
<file path=[Content_Types].xml><?xml version="1.0" encoding="utf-8"?>
<Types xmlns="http://schemas.openxmlformats.org/package/2006/content-types">
  <Override PartName="/word/footnotes.xml" ContentType="application/vnd.openxmlformats-officedocument.wordprocessingml.footnotes+xml"/>
  <Override PartName="/word/diagrams/quickStyle1.xml" ContentType="application/vnd.openxmlformats-officedocument.drawingml.diagramStyle+xml"/>
  <Override PartName="/customXml/itemProps1.xml" ContentType="application/vnd.openxmlformats-officedocument.customXmlProperties+xml"/>
  <Override PartName="/word/diagrams/data1.xml" ContentType="application/vnd.openxmlformats-officedocument.drawingml.diagramData+xml"/>
  <Override PartName="/word/diagrams/colors1.xml" ContentType="application/vnd.openxmlformats-officedocument.drawingml.diagramColor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diagrams/drawing1.xml" ContentType="application/vnd.ms-office.drawingml.diagramDrawing+xml"/>
  <Override PartName="/word/footer2.xml" ContentType="application/vnd.openxmlformats-officedocument.wordprocessingml.footer+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diagrams/layout1.xml" ContentType="application/vnd.openxmlformats-officedocument.drawingml.diagramLayout+xml"/>
  <Override PartName="/word/charts/chart1.xml" ContentType="application/vnd.openxmlformats-officedocument.drawingml.chart+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sdt>
      <w:sdtPr>
        <w:rPr>
          <w:rFonts w:eastAsiaTheme="majorEastAsia" w:cstheme="majorBidi"/>
          <w:lang w:val="en-US"/>
        </w:rPr>
        <w:id w:val="9678864"/>
        <w:docPartObj>
          <w:docPartGallery w:val="Cover Pages"/>
          <w:docPartUnique/>
        </w:docPartObj>
      </w:sdtPr>
      <w:sdtEndPr>
        <w:rPr>
          <w:rFonts w:eastAsiaTheme="minorHAnsi" w:cstheme="minorBidi"/>
          <w:color w:val="4F81BD" w:themeColor="accent1"/>
          <w:sz w:val="40"/>
          <w:szCs w:val="40"/>
        </w:rPr>
      </w:sdtEndPr>
      <w:sdtContent>
        <w:tbl>
          <w:tblPr>
            <w:tblpPr w:leftFromText="187" w:rightFromText="187" w:horzAnchor="margin" w:tblpXSpec="center" w:tblpY="2881"/>
            <w:tblW w:w="4000" w:type="pct"/>
            <w:tblBorders>
              <w:left w:val="single" w:sz="18" w:space="0" w:color="4F81BD" w:themeColor="accent1"/>
            </w:tblBorders>
            <w:tblLook w:val="04A0"/>
          </w:tblPr>
          <w:tblGrid>
            <w:gridCol w:w="7672"/>
          </w:tblGrid>
          <w:tr w:rsidR="00CF06DF">
            <w:tc>
              <w:tcPr>
                <w:tcW w:w="7672" w:type="dxa"/>
                <w:tcMar>
                  <w:top w:w="216" w:type="dxa"/>
                  <w:left w:w="115" w:type="dxa"/>
                  <w:bottom w:w="216" w:type="dxa"/>
                  <w:right w:w="115" w:type="dxa"/>
                </w:tcMar>
              </w:tcPr>
              <w:p w:rsidR="00CF06DF" w:rsidRDefault="00CF06DF" w:rsidP="00CF06DF">
                <w:pPr>
                  <w:pStyle w:val="NoSpacing"/>
                  <w:spacing w:after="120"/>
                  <w:rPr>
                    <w:rFonts w:eastAsiaTheme="majorEastAsia" w:cstheme="majorBidi"/>
                  </w:rPr>
                </w:pPr>
                <w:r>
                  <w:rPr>
                    <w:rFonts w:eastAsiaTheme="majorEastAsia" w:cstheme="majorBidi"/>
                  </w:rPr>
                  <w:t xml:space="preserve">Erasmus </w:t>
                </w:r>
                <w:proofErr w:type="spellStart"/>
                <w:r>
                  <w:rPr>
                    <w:rFonts w:eastAsiaTheme="majorEastAsia" w:cstheme="majorBidi"/>
                  </w:rPr>
                  <w:t>University</w:t>
                </w:r>
                <w:proofErr w:type="spellEnd"/>
                <w:r>
                  <w:rPr>
                    <w:rFonts w:eastAsiaTheme="majorEastAsia" w:cstheme="majorBidi"/>
                  </w:rPr>
                  <w:t xml:space="preserve"> Rotterdam</w:t>
                </w:r>
              </w:p>
              <w:p w:rsidR="00CF06DF" w:rsidRPr="00CF06DF" w:rsidRDefault="00CF06DF" w:rsidP="00CF06DF">
                <w:pPr>
                  <w:pStyle w:val="NoSpacing"/>
                  <w:spacing w:after="120"/>
                  <w:rPr>
                    <w:rFonts w:eastAsiaTheme="majorEastAsia" w:cstheme="majorBidi"/>
                  </w:rPr>
                </w:pPr>
                <w:r>
                  <w:rPr>
                    <w:rFonts w:eastAsiaTheme="majorEastAsia" w:cstheme="majorBidi"/>
                  </w:rPr>
                  <w:t xml:space="preserve">Erasmus School of </w:t>
                </w:r>
                <w:proofErr w:type="spellStart"/>
                <w:r>
                  <w:rPr>
                    <w:rFonts w:eastAsiaTheme="majorEastAsia" w:cstheme="majorBidi"/>
                  </w:rPr>
                  <w:t>Economics</w:t>
                </w:r>
                <w:proofErr w:type="spellEnd"/>
              </w:p>
            </w:tc>
          </w:tr>
          <w:tr w:rsidR="00CF06DF">
            <w:tc>
              <w:tcPr>
                <w:tcW w:w="7672" w:type="dxa"/>
              </w:tcPr>
              <w:bookmarkStart w:id="0" w:name="_Toc298505968" w:displacedByCustomXml="next"/>
              <w:bookmarkStart w:id="1" w:name="_Toc298149742" w:displacedByCustomXml="next"/>
              <w:sdt>
                <w:sdtPr>
                  <w:rPr>
                    <w:rFonts w:asciiTheme="majorHAnsi" w:eastAsiaTheme="majorEastAsia" w:hAnsiTheme="majorHAnsi" w:cstheme="majorBidi"/>
                    <w:color w:val="4F81BD" w:themeColor="accent1"/>
                    <w:sz w:val="80"/>
                    <w:szCs w:val="80"/>
                    <w:lang w:val="en-US"/>
                  </w:rPr>
                  <w:alias w:val="Titel"/>
                  <w:id w:val="13406919"/>
                  <w:dataBinding w:prefixMappings="xmlns:ns0='http://schemas.openxmlformats.org/package/2006/metadata/core-properties' xmlns:ns1='http://purl.org/dc/elements/1.1/'" w:xpath="/ns0:coreProperties[1]/ns1:title[1]" w:storeItemID="{6C3C8BC8-F283-45AE-878A-BAB7291924A1}"/>
                  <w:text/>
                </w:sdtPr>
                <w:sdtContent>
                  <w:p w:rsidR="00CF06DF" w:rsidRPr="00CF06DF" w:rsidRDefault="00CF06DF">
                    <w:pPr>
                      <w:pStyle w:val="NoSpacing"/>
                      <w:rPr>
                        <w:rFonts w:asciiTheme="majorHAnsi" w:eastAsiaTheme="majorEastAsia" w:hAnsiTheme="majorHAnsi" w:cstheme="majorBidi"/>
                        <w:color w:val="4F81BD" w:themeColor="accent1"/>
                        <w:sz w:val="80"/>
                        <w:szCs w:val="80"/>
                        <w:lang w:val="en-US"/>
                      </w:rPr>
                    </w:pPr>
                    <w:r w:rsidRPr="00CF06DF">
                      <w:rPr>
                        <w:rFonts w:asciiTheme="majorHAnsi" w:eastAsiaTheme="majorEastAsia" w:hAnsiTheme="majorHAnsi" w:cstheme="majorBidi"/>
                        <w:color w:val="4F81BD" w:themeColor="accent1"/>
                        <w:sz w:val="80"/>
                        <w:szCs w:val="80"/>
                        <w:lang w:val="en-US"/>
                      </w:rPr>
                      <w:t>The influence of Corporate Social Responsibility</w:t>
                    </w:r>
                    <w:r w:rsidR="005065F9">
                      <w:rPr>
                        <w:rFonts w:asciiTheme="majorHAnsi" w:eastAsiaTheme="majorEastAsia" w:hAnsiTheme="majorHAnsi" w:cstheme="majorBidi"/>
                        <w:color w:val="4F81BD" w:themeColor="accent1"/>
                        <w:sz w:val="80"/>
                        <w:szCs w:val="80"/>
                        <w:lang w:val="en-US"/>
                      </w:rPr>
                      <w:t xml:space="preserve"> reporting</w:t>
                    </w:r>
                    <w:r w:rsidRPr="00CF06DF">
                      <w:rPr>
                        <w:rFonts w:asciiTheme="majorHAnsi" w:eastAsiaTheme="majorEastAsia" w:hAnsiTheme="majorHAnsi" w:cstheme="majorBidi"/>
                        <w:color w:val="4F81BD" w:themeColor="accent1"/>
                        <w:sz w:val="80"/>
                        <w:szCs w:val="80"/>
                        <w:lang w:val="en-US"/>
                      </w:rPr>
                      <w:t xml:space="preserve"> on reputation</w:t>
                    </w:r>
                  </w:p>
                </w:sdtContent>
              </w:sdt>
            </w:tc>
          </w:tr>
          <w:tr w:rsidR="00CF06DF">
            <w:sdt>
              <w:sdtPr>
                <w:rPr>
                  <w:rFonts w:eastAsiaTheme="majorEastAsia" w:cstheme="majorBidi"/>
                  <w:lang w:val="en-US"/>
                </w:rPr>
                <w:alias w:val="Ondertitel"/>
                <w:id w:val="13406923"/>
                <w:dataBinding w:prefixMappings="xmlns:ns0='http://schemas.openxmlformats.org/package/2006/metadata/core-properties' xmlns:ns1='http://purl.org/dc/elements/1.1/'" w:xpath="/ns0:coreProperties[1]/ns1:subject[1]" w:storeItemID="{6C3C8BC8-F283-45AE-878A-BAB7291924A1}"/>
                <w:text/>
              </w:sdtPr>
              <w:sdtContent>
                <w:tc>
                  <w:tcPr>
                    <w:tcW w:w="7672" w:type="dxa"/>
                    <w:tcMar>
                      <w:top w:w="216" w:type="dxa"/>
                      <w:left w:w="115" w:type="dxa"/>
                      <w:bottom w:w="216" w:type="dxa"/>
                      <w:right w:w="115" w:type="dxa"/>
                    </w:tcMar>
                  </w:tcPr>
                  <w:p w:rsidR="00CF06DF" w:rsidRPr="00CF06DF" w:rsidRDefault="00CF06DF" w:rsidP="00CF06DF">
                    <w:pPr>
                      <w:pStyle w:val="NoSpacing"/>
                      <w:rPr>
                        <w:rFonts w:asciiTheme="majorHAnsi" w:eastAsiaTheme="majorEastAsia" w:hAnsiTheme="majorHAnsi" w:cstheme="majorBidi"/>
                        <w:lang w:val="en-US"/>
                      </w:rPr>
                    </w:pPr>
                    <w:r w:rsidRPr="00CF06DF">
                      <w:rPr>
                        <w:rFonts w:eastAsiaTheme="majorEastAsia" w:cstheme="majorBidi"/>
                        <w:lang w:val="en-US"/>
                      </w:rPr>
                      <w:t>Thesis:</w:t>
                    </w:r>
                    <w:r>
                      <w:rPr>
                        <w:rFonts w:eastAsiaTheme="majorEastAsia" w:cstheme="majorBidi"/>
                        <w:lang w:val="en-US"/>
                      </w:rPr>
                      <w:t xml:space="preserve"> Accounting, Auditing and Control</w:t>
                    </w:r>
                  </w:p>
                </w:tc>
              </w:sdtContent>
            </w:sdt>
          </w:tr>
        </w:tbl>
        <w:p w:rsidR="00CF06DF" w:rsidRPr="00CF06DF" w:rsidRDefault="00CF06DF"/>
        <w:p w:rsidR="00CF06DF" w:rsidRPr="005065F9" w:rsidRDefault="00CF06DF"/>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Default="00CF06DF">
          <w:pPr>
            <w:rPr>
              <w:color w:val="4F81BD" w:themeColor="accent1"/>
              <w:sz w:val="40"/>
              <w:szCs w:val="40"/>
            </w:rPr>
          </w:pPr>
        </w:p>
        <w:p w:rsidR="00CF06DF" w:rsidRPr="00CF06DF" w:rsidRDefault="00CF06DF" w:rsidP="00CF06DF">
          <w:pPr>
            <w:spacing w:after="120" w:line="240" w:lineRule="auto"/>
          </w:pPr>
          <w:r w:rsidRPr="00CF06DF">
            <w:t>Author</w:t>
          </w:r>
          <w:r w:rsidRPr="00CF06DF">
            <w:tab/>
          </w:r>
          <w:r w:rsidRPr="00CF06DF">
            <w:tab/>
          </w:r>
          <w:r w:rsidRPr="00CF06DF">
            <w:tab/>
            <w:t>Stephanie Termeulen</w:t>
          </w:r>
        </w:p>
        <w:p w:rsidR="00CF06DF" w:rsidRPr="00CF06DF" w:rsidRDefault="00CF06DF" w:rsidP="00CF06DF">
          <w:pPr>
            <w:spacing w:after="120" w:line="240" w:lineRule="auto"/>
          </w:pPr>
          <w:r w:rsidRPr="00CF06DF">
            <w:t>Student number</w:t>
          </w:r>
          <w:r w:rsidRPr="00CF06DF">
            <w:tab/>
            <w:t>304834</w:t>
          </w:r>
        </w:p>
        <w:p w:rsidR="00CF06DF" w:rsidRPr="00CF06DF" w:rsidRDefault="001F4B48" w:rsidP="00CF06DF">
          <w:pPr>
            <w:spacing w:after="120" w:line="240" w:lineRule="auto"/>
          </w:pPr>
          <w:r>
            <w:t>Superv</w:t>
          </w:r>
          <w:r w:rsidR="00CF06DF" w:rsidRPr="00CF06DF">
            <w:t>isor</w:t>
          </w:r>
          <w:r w:rsidR="00CF06DF" w:rsidRPr="00CF06DF">
            <w:tab/>
          </w:r>
          <w:r w:rsidR="00CF06DF" w:rsidRPr="00CF06DF">
            <w:tab/>
            <w:t>K.E.H. Maas</w:t>
          </w:r>
        </w:p>
        <w:p w:rsidR="00CF06DF" w:rsidRPr="00CF06DF" w:rsidRDefault="00CF06DF" w:rsidP="00CF06DF">
          <w:pPr>
            <w:spacing w:after="120" w:line="240" w:lineRule="auto"/>
            <w:rPr>
              <w:lang w:val="it-IT"/>
            </w:rPr>
          </w:pPr>
          <w:r>
            <w:rPr>
              <w:lang w:val="it-IT"/>
            </w:rPr>
            <w:t>Date</w:t>
          </w:r>
          <w:r>
            <w:rPr>
              <w:lang w:val="it-IT"/>
            </w:rPr>
            <w:tab/>
          </w:r>
          <w:r>
            <w:rPr>
              <w:lang w:val="it-IT"/>
            </w:rPr>
            <w:tab/>
            <w:t xml:space="preserve"> </w:t>
          </w:r>
          <w:r>
            <w:rPr>
              <w:lang w:val="it-IT"/>
            </w:rPr>
            <w:tab/>
            <w:t>July 2011</w:t>
          </w:r>
        </w:p>
        <w:p w:rsidR="00CF06DF" w:rsidRDefault="00CF06DF">
          <w:pPr>
            <w:rPr>
              <w:b/>
              <w:bCs/>
              <w:color w:val="4F81BD" w:themeColor="accent1"/>
              <w:sz w:val="40"/>
              <w:szCs w:val="40"/>
            </w:rPr>
          </w:pPr>
          <w:r>
            <w:rPr>
              <w:color w:val="4F81BD" w:themeColor="accent1"/>
              <w:sz w:val="40"/>
              <w:szCs w:val="40"/>
            </w:rPr>
            <w:br w:type="page"/>
          </w:r>
        </w:p>
      </w:sdtContent>
    </w:sdt>
    <w:p w:rsidR="009F4376" w:rsidRDefault="009F4376" w:rsidP="00A403B2">
      <w:pPr>
        <w:pStyle w:val="Heading1"/>
        <w:spacing w:line="360" w:lineRule="auto"/>
        <w:jc w:val="both"/>
        <w:rPr>
          <w:u w:val="single"/>
          <w:lang w:val="nl-NL"/>
        </w:rPr>
      </w:pPr>
      <w:bookmarkStart w:id="2" w:name="_Toc299353353"/>
      <w:bookmarkEnd w:id="0"/>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9F4376" w:rsidRDefault="009F4376" w:rsidP="00A403B2">
      <w:pPr>
        <w:pStyle w:val="Heading1"/>
        <w:spacing w:line="360" w:lineRule="auto"/>
        <w:jc w:val="both"/>
        <w:rPr>
          <w:u w:val="single"/>
          <w:lang w:val="nl-NL"/>
        </w:rPr>
      </w:pPr>
    </w:p>
    <w:p w:rsidR="00B85DE1" w:rsidRPr="004D4DEF" w:rsidRDefault="00FE520C" w:rsidP="00A403B2">
      <w:pPr>
        <w:pStyle w:val="Heading1"/>
        <w:spacing w:line="360" w:lineRule="auto"/>
        <w:jc w:val="both"/>
        <w:rPr>
          <w:u w:val="single"/>
          <w:lang w:val="nl-NL"/>
        </w:rPr>
      </w:pPr>
      <w:proofErr w:type="spellStart"/>
      <w:r>
        <w:rPr>
          <w:u w:val="single"/>
          <w:lang w:val="nl-NL"/>
        </w:rPr>
        <w:lastRenderedPageBreak/>
        <w:t>Preface</w:t>
      </w:r>
      <w:bookmarkEnd w:id="2"/>
      <w:proofErr w:type="spellEnd"/>
    </w:p>
    <w:p w:rsidR="00A403B2" w:rsidRDefault="002C2A9D" w:rsidP="00A403B2">
      <w:pPr>
        <w:spacing w:line="360" w:lineRule="auto"/>
        <w:jc w:val="both"/>
        <w:rPr>
          <w:lang w:val="nl-NL"/>
        </w:rPr>
      </w:pPr>
      <w:r w:rsidRPr="002C2A9D">
        <w:rPr>
          <w:lang w:val="nl-NL"/>
        </w:rPr>
        <w:t>Deze scriptie heb ik g</w:t>
      </w:r>
      <w:r>
        <w:rPr>
          <w:lang w:val="nl-NL"/>
        </w:rPr>
        <w:t>eschreve</w:t>
      </w:r>
      <w:r w:rsidR="004D4DEF">
        <w:rPr>
          <w:lang w:val="nl-NL"/>
        </w:rPr>
        <w:t xml:space="preserve">n ter afronding van mijn </w:t>
      </w:r>
      <w:proofErr w:type="spellStart"/>
      <w:r w:rsidR="004D4DEF">
        <w:rPr>
          <w:lang w:val="nl-NL"/>
        </w:rPr>
        <w:t>Master</w:t>
      </w:r>
      <w:proofErr w:type="spellEnd"/>
      <w:r w:rsidR="004D4DEF">
        <w:rPr>
          <w:lang w:val="nl-NL"/>
        </w:rPr>
        <w:t xml:space="preserve"> </w:t>
      </w:r>
      <w:r>
        <w:rPr>
          <w:lang w:val="nl-NL"/>
        </w:rPr>
        <w:t xml:space="preserve">opleiding, </w:t>
      </w:r>
      <w:r w:rsidRPr="002C2A9D">
        <w:rPr>
          <w:i/>
          <w:lang w:val="nl-NL"/>
        </w:rPr>
        <w:t xml:space="preserve">Accountancy, </w:t>
      </w:r>
      <w:proofErr w:type="spellStart"/>
      <w:r w:rsidRPr="002C2A9D">
        <w:rPr>
          <w:i/>
          <w:lang w:val="nl-NL"/>
        </w:rPr>
        <w:t>Auditing</w:t>
      </w:r>
      <w:proofErr w:type="spellEnd"/>
      <w:r w:rsidRPr="002C2A9D">
        <w:rPr>
          <w:i/>
          <w:lang w:val="nl-NL"/>
        </w:rPr>
        <w:t xml:space="preserve"> and </w:t>
      </w:r>
      <w:proofErr w:type="spellStart"/>
      <w:r w:rsidRPr="002C2A9D">
        <w:rPr>
          <w:i/>
          <w:lang w:val="nl-NL"/>
        </w:rPr>
        <w:t>Control</w:t>
      </w:r>
      <w:proofErr w:type="spellEnd"/>
      <w:r w:rsidRPr="002C2A9D">
        <w:rPr>
          <w:i/>
          <w:lang w:val="nl-NL"/>
        </w:rPr>
        <w:t xml:space="preserve"> </w:t>
      </w:r>
      <w:r>
        <w:rPr>
          <w:lang w:val="nl-NL"/>
        </w:rPr>
        <w:t xml:space="preserve">aan de Erasmus Universiteit. </w:t>
      </w:r>
      <w:r w:rsidR="004D4DEF">
        <w:rPr>
          <w:lang w:val="nl-NL"/>
        </w:rPr>
        <w:t xml:space="preserve">Graag wil ik mijn </w:t>
      </w:r>
      <w:r w:rsidR="00A403B2">
        <w:rPr>
          <w:lang w:val="nl-NL"/>
        </w:rPr>
        <w:t xml:space="preserve">begeleidster, Karen Maas bedanken voor haar kritische </w:t>
      </w:r>
      <w:r w:rsidR="001F4B48">
        <w:rPr>
          <w:lang w:val="nl-NL"/>
        </w:rPr>
        <w:t>feedback</w:t>
      </w:r>
      <w:r w:rsidR="00A403B2">
        <w:rPr>
          <w:lang w:val="nl-NL"/>
        </w:rPr>
        <w:t xml:space="preserve"> op mijn scriptie. </w:t>
      </w:r>
    </w:p>
    <w:p w:rsidR="002C2A9D" w:rsidRDefault="002C2A9D" w:rsidP="00A403B2">
      <w:pPr>
        <w:spacing w:line="360" w:lineRule="auto"/>
        <w:jc w:val="both"/>
        <w:rPr>
          <w:lang w:val="nl-NL"/>
        </w:rPr>
      </w:pPr>
      <w:r>
        <w:rPr>
          <w:lang w:val="nl-NL"/>
        </w:rPr>
        <w:t xml:space="preserve">De afgelopen jaren heb ik </w:t>
      </w:r>
      <w:r w:rsidR="004D4DEF">
        <w:rPr>
          <w:lang w:val="nl-NL"/>
        </w:rPr>
        <w:t xml:space="preserve">intens </w:t>
      </w:r>
      <w:r>
        <w:rPr>
          <w:lang w:val="nl-NL"/>
        </w:rPr>
        <w:t>genoten va</w:t>
      </w:r>
      <w:r w:rsidR="00A403B2">
        <w:rPr>
          <w:lang w:val="nl-NL"/>
        </w:rPr>
        <w:t xml:space="preserve">n mijn studententijd aan de Erasmus Universiteit. </w:t>
      </w:r>
      <w:r w:rsidR="00326101">
        <w:rPr>
          <w:lang w:val="nl-NL"/>
        </w:rPr>
        <w:t>Vooral mijn studie</w:t>
      </w:r>
      <w:r w:rsidR="004D4DEF">
        <w:rPr>
          <w:lang w:val="nl-NL"/>
        </w:rPr>
        <w:t xml:space="preserve">tijd aan de </w:t>
      </w:r>
      <w:proofErr w:type="spellStart"/>
      <w:r w:rsidR="004D4DEF">
        <w:rPr>
          <w:lang w:val="nl-NL"/>
        </w:rPr>
        <w:t>Haskayne</w:t>
      </w:r>
      <w:proofErr w:type="spellEnd"/>
      <w:r w:rsidR="004D4DEF">
        <w:rPr>
          <w:lang w:val="nl-NL"/>
        </w:rPr>
        <w:t xml:space="preserve"> School of Business in </w:t>
      </w:r>
      <w:proofErr w:type="spellStart"/>
      <w:r w:rsidR="004D4DEF">
        <w:rPr>
          <w:lang w:val="nl-NL"/>
        </w:rPr>
        <w:t>Calagry</w:t>
      </w:r>
      <w:proofErr w:type="spellEnd"/>
      <w:r w:rsidR="004D4DEF">
        <w:rPr>
          <w:lang w:val="nl-NL"/>
        </w:rPr>
        <w:t xml:space="preserve"> was onvergetelijk. Deze mooie tijd had ik niet kunnen beleven zonder steun van mijn ouders</w:t>
      </w:r>
      <w:r w:rsidR="001F4B48">
        <w:rPr>
          <w:lang w:val="nl-NL"/>
        </w:rPr>
        <w:t>, zussen, vriend en vrienden. He</w:t>
      </w:r>
      <w:r w:rsidR="004D4DEF">
        <w:rPr>
          <w:lang w:val="nl-NL"/>
        </w:rPr>
        <w:t>n wil ik hiervoor graag bedanken.</w:t>
      </w:r>
    </w:p>
    <w:p w:rsidR="004D4DEF" w:rsidRDefault="004D4DEF" w:rsidP="00A403B2">
      <w:pPr>
        <w:spacing w:line="360" w:lineRule="auto"/>
        <w:jc w:val="both"/>
        <w:rPr>
          <w:lang w:val="nl-NL"/>
        </w:rPr>
      </w:pPr>
    </w:p>
    <w:p w:rsidR="004D4DEF" w:rsidRDefault="004D4DEF" w:rsidP="00A403B2">
      <w:pPr>
        <w:spacing w:line="360" w:lineRule="auto"/>
        <w:jc w:val="both"/>
        <w:rPr>
          <w:lang w:val="nl-NL"/>
        </w:rPr>
      </w:pPr>
      <w:r>
        <w:rPr>
          <w:lang w:val="nl-NL"/>
        </w:rPr>
        <w:t>Stephanie Termeulen</w:t>
      </w:r>
    </w:p>
    <w:p w:rsidR="004D4DEF" w:rsidRPr="002C2A9D" w:rsidRDefault="004D4DEF" w:rsidP="00A403B2">
      <w:pPr>
        <w:spacing w:line="360" w:lineRule="auto"/>
        <w:jc w:val="both"/>
        <w:rPr>
          <w:lang w:val="nl-NL"/>
        </w:rPr>
      </w:pPr>
      <w:r>
        <w:rPr>
          <w:lang w:val="nl-NL"/>
        </w:rPr>
        <w:t>Oude Wetering, 15</w:t>
      </w:r>
      <w:r w:rsidR="00FE520C">
        <w:rPr>
          <w:lang w:val="nl-NL"/>
        </w:rPr>
        <w:t xml:space="preserve"> </w:t>
      </w:r>
      <w:r w:rsidR="00866FED">
        <w:rPr>
          <w:lang w:val="nl-NL"/>
        </w:rPr>
        <w:t>juli</w:t>
      </w:r>
      <w:r>
        <w:rPr>
          <w:lang w:val="nl-NL"/>
        </w:rPr>
        <w:t xml:space="preserve"> 2011</w:t>
      </w:r>
    </w:p>
    <w:p w:rsidR="00B85DE1" w:rsidRDefault="00B85DE1" w:rsidP="00A403B2">
      <w:pPr>
        <w:pStyle w:val="Heading1"/>
        <w:spacing w:line="360" w:lineRule="auto"/>
        <w:jc w:val="both"/>
        <w:rPr>
          <w:u w:val="single"/>
          <w:lang w:val="nl-NL"/>
        </w:rPr>
      </w:pPr>
    </w:p>
    <w:p w:rsidR="005E2F3B" w:rsidRDefault="005E2F3B" w:rsidP="005E2F3B">
      <w:pPr>
        <w:rPr>
          <w:lang w:val="nl-NL"/>
        </w:rPr>
      </w:pPr>
    </w:p>
    <w:p w:rsidR="005E2F3B" w:rsidRPr="005065F9" w:rsidRDefault="005E2F3B" w:rsidP="005E2F3B">
      <w:pPr>
        <w:rPr>
          <w:lang w:val="nl-NL"/>
        </w:rPr>
      </w:pPr>
    </w:p>
    <w:p w:rsidR="00B85DE1" w:rsidRPr="005065F9" w:rsidRDefault="00B85DE1" w:rsidP="00A403B2">
      <w:pPr>
        <w:pStyle w:val="Heading1"/>
        <w:spacing w:line="360" w:lineRule="auto"/>
        <w:jc w:val="both"/>
        <w:rPr>
          <w:u w:val="single"/>
          <w:lang w:val="nl-NL"/>
        </w:rPr>
      </w:pPr>
    </w:p>
    <w:p w:rsidR="005E2F3B" w:rsidRPr="005065F9" w:rsidRDefault="005E2F3B" w:rsidP="005E2F3B">
      <w:pPr>
        <w:rPr>
          <w:lang w:val="nl-NL"/>
        </w:rPr>
      </w:pPr>
    </w:p>
    <w:p w:rsidR="005E2F3B" w:rsidRPr="005065F9" w:rsidRDefault="005E2F3B" w:rsidP="005E2F3B">
      <w:pPr>
        <w:rPr>
          <w:lang w:val="nl-NL"/>
        </w:rPr>
      </w:pPr>
    </w:p>
    <w:p w:rsidR="00B85DE1" w:rsidRPr="005065F9" w:rsidRDefault="00B85DE1" w:rsidP="00A403B2">
      <w:pPr>
        <w:pStyle w:val="Heading1"/>
        <w:spacing w:line="360" w:lineRule="auto"/>
        <w:jc w:val="both"/>
        <w:rPr>
          <w:u w:val="single"/>
          <w:lang w:val="nl-NL"/>
        </w:rPr>
      </w:pPr>
    </w:p>
    <w:p w:rsidR="00375C00" w:rsidRPr="005065F9" w:rsidRDefault="00375C00" w:rsidP="00375C00">
      <w:pPr>
        <w:rPr>
          <w:lang w:val="nl-NL"/>
        </w:rPr>
      </w:pPr>
    </w:p>
    <w:p w:rsidR="00B85DE1" w:rsidRPr="005065F9" w:rsidRDefault="00B85DE1" w:rsidP="00A403B2">
      <w:pPr>
        <w:pStyle w:val="Heading1"/>
        <w:spacing w:line="360" w:lineRule="auto"/>
        <w:jc w:val="both"/>
        <w:rPr>
          <w:u w:val="single"/>
          <w:lang w:val="nl-NL"/>
        </w:rPr>
      </w:pPr>
    </w:p>
    <w:p w:rsidR="005E2F3B" w:rsidRPr="005065F9" w:rsidRDefault="005E2F3B" w:rsidP="005E2F3B">
      <w:pPr>
        <w:rPr>
          <w:lang w:val="nl-NL"/>
        </w:rPr>
      </w:pPr>
    </w:p>
    <w:p w:rsidR="005E2F3B" w:rsidRPr="005065F9" w:rsidRDefault="005E2F3B" w:rsidP="005E2F3B">
      <w:pPr>
        <w:rPr>
          <w:lang w:val="nl-NL"/>
        </w:rPr>
      </w:pPr>
    </w:p>
    <w:p w:rsidR="009F4376" w:rsidRPr="006058C4" w:rsidRDefault="009F4376" w:rsidP="00A403B2">
      <w:pPr>
        <w:pStyle w:val="Heading1"/>
        <w:spacing w:line="360" w:lineRule="auto"/>
        <w:jc w:val="both"/>
        <w:rPr>
          <w:u w:val="single"/>
          <w:lang w:val="nl-NL"/>
        </w:rPr>
      </w:pPr>
      <w:bookmarkStart w:id="3" w:name="_Toc298155854"/>
      <w:bookmarkStart w:id="4" w:name="_Toc298233403"/>
      <w:bookmarkStart w:id="5" w:name="_Toc298337134"/>
      <w:bookmarkStart w:id="6" w:name="_Toc298505969"/>
      <w:bookmarkStart w:id="7" w:name="_Toc299353354"/>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9F4376" w:rsidRPr="006058C4" w:rsidRDefault="009F4376" w:rsidP="00A403B2">
      <w:pPr>
        <w:pStyle w:val="Heading1"/>
        <w:spacing w:line="360" w:lineRule="auto"/>
        <w:jc w:val="both"/>
        <w:rPr>
          <w:u w:val="single"/>
          <w:lang w:val="nl-NL"/>
        </w:rPr>
      </w:pPr>
    </w:p>
    <w:p w:rsidR="00B85DE1" w:rsidRDefault="00B85DE1" w:rsidP="00A403B2">
      <w:pPr>
        <w:pStyle w:val="Heading1"/>
        <w:spacing w:line="360" w:lineRule="auto"/>
        <w:jc w:val="both"/>
        <w:rPr>
          <w:u w:val="single"/>
        </w:rPr>
      </w:pPr>
      <w:r>
        <w:rPr>
          <w:u w:val="single"/>
        </w:rPr>
        <w:lastRenderedPageBreak/>
        <w:t>Abstract</w:t>
      </w:r>
      <w:bookmarkEnd w:id="3"/>
      <w:bookmarkEnd w:id="4"/>
      <w:bookmarkEnd w:id="5"/>
      <w:bookmarkEnd w:id="6"/>
      <w:bookmarkEnd w:id="7"/>
    </w:p>
    <w:p w:rsidR="00B85DE1" w:rsidRDefault="001937E3" w:rsidP="00A403B2">
      <w:pPr>
        <w:spacing w:line="360" w:lineRule="auto"/>
        <w:jc w:val="both"/>
      </w:pPr>
      <w:r>
        <w:t xml:space="preserve">In this </w:t>
      </w:r>
      <w:r w:rsidR="00326101">
        <w:t>paper</w:t>
      </w:r>
      <w:r>
        <w:t xml:space="preserve"> the impact of Corporate Social Responsibility</w:t>
      </w:r>
      <w:r w:rsidR="00FE520C">
        <w:t xml:space="preserve"> (CSR)</w:t>
      </w:r>
      <w:r>
        <w:t xml:space="preserve"> reporting on reputation is investigated. </w:t>
      </w:r>
      <w:r w:rsidR="009823BC">
        <w:t>Disclosed CSR information is observed by stakeholders</w:t>
      </w:r>
      <w:r w:rsidR="00FE520C">
        <w:t xml:space="preserve">. By publishing a CSR report a company provides its stakeholders with more information about the company. </w:t>
      </w:r>
      <w:r w:rsidR="009823BC">
        <w:t xml:space="preserve">When a CSR report is of higher quality, stakeholders are provided with more transparent information. </w:t>
      </w:r>
      <w:r w:rsidR="00FE520C">
        <w:t xml:space="preserve">The agency theory, information asymmetry, legitimacy theory and stakeholder theory suggest that due to a CSR report an impact on the reputation is expectable. </w:t>
      </w:r>
      <w:r w:rsidR="007D4334">
        <w:t xml:space="preserve">In this </w:t>
      </w:r>
      <w:r w:rsidR="00FE520C">
        <w:t>paper it is</w:t>
      </w:r>
      <w:r w:rsidR="00326101">
        <w:t xml:space="preserve"> to be</w:t>
      </w:r>
      <w:r w:rsidR="00FE520C">
        <w:t xml:space="preserve"> expected that higher</w:t>
      </w:r>
      <w:r w:rsidR="007D4334">
        <w:t xml:space="preserve"> CSR reporting quality increases the reputation of a company. </w:t>
      </w:r>
    </w:p>
    <w:p w:rsidR="007D4334" w:rsidRDefault="007D4334" w:rsidP="00A403B2">
      <w:pPr>
        <w:spacing w:line="360" w:lineRule="auto"/>
        <w:jc w:val="both"/>
      </w:pPr>
      <w:r>
        <w:t xml:space="preserve">CSR reporting quality is measured </w:t>
      </w:r>
      <w:r w:rsidR="00FE520C">
        <w:t>with the application level that</w:t>
      </w:r>
      <w:r>
        <w:t xml:space="preserve"> is provided by the Global Reporting Initiative (GRI) Report List. The reputation index from Fortune 500 is used as proxy for the reputation. The CSR reporting of current year affects the reputation of</w:t>
      </w:r>
      <w:r w:rsidR="00FE520C">
        <w:t xml:space="preserve"> the next year. The timeframe of this paper</w:t>
      </w:r>
      <w:r>
        <w:t xml:space="preserve"> contains CSR reporting from 2005 till 2009. From this selected time period 85, 106, 138, 167 and 175 respectively data points are observed.</w:t>
      </w:r>
    </w:p>
    <w:p w:rsidR="00B85DE1" w:rsidRDefault="008C29AA" w:rsidP="00A403B2">
      <w:pPr>
        <w:spacing w:line="360" w:lineRule="auto"/>
        <w:jc w:val="both"/>
      </w:pPr>
      <w:r>
        <w:t>Unlike prior studies, this paper</w:t>
      </w:r>
      <w:r w:rsidR="002C2A9D">
        <w:t xml:space="preserve"> concludes that CSR reporting has no influence on reputation.</w:t>
      </w:r>
      <w:r>
        <w:t xml:space="preserve"> The outcome of this paper indicates that other variables than CSR reporting has an influence on the reputation of a company.</w:t>
      </w:r>
    </w:p>
    <w:p w:rsidR="002C2A9D" w:rsidRDefault="002C2A9D" w:rsidP="002C2A9D">
      <w:pPr>
        <w:spacing w:line="360" w:lineRule="auto"/>
      </w:pPr>
    </w:p>
    <w:p w:rsidR="002C2A9D" w:rsidRDefault="002C2A9D" w:rsidP="002C2A9D">
      <w:pPr>
        <w:spacing w:line="360" w:lineRule="auto"/>
      </w:pPr>
    </w:p>
    <w:p w:rsidR="002C2A9D" w:rsidRDefault="002C2A9D" w:rsidP="002C2A9D">
      <w:pPr>
        <w:spacing w:line="360" w:lineRule="auto"/>
      </w:pPr>
    </w:p>
    <w:p w:rsidR="002C2A9D" w:rsidRDefault="002C2A9D" w:rsidP="002C2A9D">
      <w:pPr>
        <w:spacing w:line="360" w:lineRule="auto"/>
        <w:rPr>
          <w:u w:val="single"/>
        </w:rPr>
      </w:pPr>
    </w:p>
    <w:p w:rsidR="00B85DE1" w:rsidRDefault="00B85DE1" w:rsidP="00452989">
      <w:pPr>
        <w:pStyle w:val="Heading1"/>
        <w:spacing w:line="360" w:lineRule="auto"/>
        <w:jc w:val="both"/>
        <w:rPr>
          <w:u w:val="single"/>
        </w:rPr>
      </w:pPr>
    </w:p>
    <w:p w:rsidR="001937E3" w:rsidRPr="001937E3" w:rsidRDefault="001937E3" w:rsidP="001937E3"/>
    <w:p w:rsidR="00375C00" w:rsidRDefault="00375C00" w:rsidP="00452989">
      <w:pPr>
        <w:pStyle w:val="Heading1"/>
        <w:spacing w:line="360" w:lineRule="auto"/>
        <w:jc w:val="both"/>
        <w:rPr>
          <w:u w:val="single"/>
        </w:rPr>
      </w:pPr>
      <w:bookmarkStart w:id="8" w:name="_Toc298155855"/>
      <w:bookmarkStart w:id="9" w:name="_Toc298233404"/>
      <w:bookmarkStart w:id="10" w:name="_Toc298337135"/>
      <w:bookmarkStart w:id="11" w:name="_Toc298505970"/>
    </w:p>
    <w:p w:rsidR="008C29AA" w:rsidRPr="008C29AA" w:rsidRDefault="008C29AA" w:rsidP="008C29AA"/>
    <w:p w:rsidR="008C29AA" w:rsidRPr="008C29AA" w:rsidRDefault="008C29AA" w:rsidP="008C29AA"/>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9F4376" w:rsidRDefault="009F4376" w:rsidP="00452989">
      <w:pPr>
        <w:pStyle w:val="Heading1"/>
        <w:spacing w:line="360" w:lineRule="auto"/>
        <w:jc w:val="both"/>
        <w:rPr>
          <w:u w:val="single"/>
        </w:rPr>
      </w:pPr>
    </w:p>
    <w:p w:rsidR="00631FDC" w:rsidRDefault="001F573F" w:rsidP="00452989">
      <w:pPr>
        <w:pStyle w:val="Heading1"/>
        <w:spacing w:line="360" w:lineRule="auto"/>
        <w:jc w:val="both"/>
        <w:rPr>
          <w:u w:val="single"/>
        </w:rPr>
      </w:pPr>
      <w:r>
        <w:rPr>
          <w:u w:val="single"/>
        </w:rPr>
        <w:lastRenderedPageBreak/>
        <w:t xml:space="preserve"> </w:t>
      </w:r>
      <w:bookmarkStart w:id="12" w:name="_Toc299353355"/>
      <w:r w:rsidR="001937E3">
        <w:rPr>
          <w:u w:val="single"/>
        </w:rPr>
        <w:t>T</w:t>
      </w:r>
      <w:r w:rsidR="00631FDC">
        <w:rPr>
          <w:u w:val="single"/>
        </w:rPr>
        <w:t>able of Contents</w:t>
      </w:r>
      <w:bookmarkEnd w:id="8"/>
      <w:bookmarkEnd w:id="9"/>
      <w:bookmarkEnd w:id="10"/>
      <w:bookmarkEnd w:id="11"/>
      <w:bookmarkEnd w:id="12"/>
      <w:bookmarkEnd w:id="1"/>
    </w:p>
    <w:p w:rsidR="00C27D1E" w:rsidRDefault="001615B4" w:rsidP="00C27D1E">
      <w:pPr>
        <w:pStyle w:val="TOC1"/>
        <w:tabs>
          <w:tab w:val="right" w:leader="dot" w:pos="9350"/>
        </w:tabs>
        <w:rPr>
          <w:noProof/>
          <w:lang w:val="nl-NL" w:eastAsia="nl-NL"/>
        </w:rPr>
      </w:pPr>
      <w:r w:rsidRPr="001615B4">
        <w:rPr>
          <w:u w:val="single"/>
        </w:rPr>
        <w:fldChar w:fldCharType="begin"/>
      </w:r>
      <w:r w:rsidR="00631FDC">
        <w:rPr>
          <w:u w:val="single"/>
        </w:rPr>
        <w:instrText xml:space="preserve"> TOC \o "1-3" \h \z \u </w:instrText>
      </w:r>
      <w:r w:rsidRPr="001615B4">
        <w:rPr>
          <w:u w:val="single"/>
        </w:rPr>
        <w:fldChar w:fldCharType="separate"/>
      </w:r>
    </w:p>
    <w:p w:rsidR="00C27D1E" w:rsidRDefault="001615B4">
      <w:pPr>
        <w:pStyle w:val="TOC1"/>
        <w:tabs>
          <w:tab w:val="right" w:leader="dot" w:pos="9350"/>
        </w:tabs>
        <w:rPr>
          <w:noProof/>
          <w:lang w:val="nl-NL" w:eastAsia="nl-NL"/>
        </w:rPr>
      </w:pPr>
      <w:hyperlink w:anchor="_Toc299353356" w:history="1">
        <w:r w:rsidR="00C27D1E" w:rsidRPr="00F82CAB">
          <w:rPr>
            <w:rStyle w:val="Hyperlink"/>
            <w:noProof/>
          </w:rPr>
          <w:t>Chapter 1 Introduction</w:t>
        </w:r>
        <w:r w:rsidR="00C27D1E">
          <w:rPr>
            <w:noProof/>
            <w:webHidden/>
          </w:rPr>
          <w:tab/>
        </w:r>
        <w:r>
          <w:rPr>
            <w:noProof/>
            <w:webHidden/>
          </w:rPr>
          <w:fldChar w:fldCharType="begin"/>
        </w:r>
        <w:r w:rsidR="00C27D1E">
          <w:rPr>
            <w:noProof/>
            <w:webHidden/>
          </w:rPr>
          <w:instrText xml:space="preserve"> PAGEREF _Toc299353356 \h </w:instrText>
        </w:r>
        <w:r>
          <w:rPr>
            <w:noProof/>
            <w:webHidden/>
          </w:rPr>
        </w:r>
        <w:r>
          <w:rPr>
            <w:noProof/>
            <w:webHidden/>
          </w:rPr>
          <w:fldChar w:fldCharType="separate"/>
        </w:r>
        <w:r w:rsidR="006058C4">
          <w:rPr>
            <w:noProof/>
            <w:webHidden/>
          </w:rPr>
          <w:t>11</w:t>
        </w:r>
        <w:r>
          <w:rPr>
            <w:noProof/>
            <w:webHidden/>
          </w:rPr>
          <w:fldChar w:fldCharType="end"/>
        </w:r>
      </w:hyperlink>
    </w:p>
    <w:p w:rsidR="00C27D1E" w:rsidRDefault="001615B4">
      <w:pPr>
        <w:pStyle w:val="TOC2"/>
        <w:tabs>
          <w:tab w:val="left" w:pos="880"/>
          <w:tab w:val="right" w:leader="dot" w:pos="9350"/>
        </w:tabs>
        <w:rPr>
          <w:noProof/>
          <w:lang w:val="nl-NL" w:eastAsia="nl-NL"/>
        </w:rPr>
      </w:pPr>
      <w:hyperlink w:anchor="_Toc299353357" w:history="1">
        <w:r w:rsidR="00C27D1E" w:rsidRPr="00F82CAB">
          <w:rPr>
            <w:rStyle w:val="Hyperlink"/>
            <w:noProof/>
          </w:rPr>
          <w:t>1.1</w:t>
        </w:r>
        <w:r w:rsidR="00C27D1E">
          <w:rPr>
            <w:noProof/>
            <w:lang w:val="nl-NL" w:eastAsia="nl-NL"/>
          </w:rPr>
          <w:tab/>
        </w:r>
        <w:r w:rsidR="00C27D1E" w:rsidRPr="00F82CAB">
          <w:rPr>
            <w:rStyle w:val="Hyperlink"/>
            <w:noProof/>
          </w:rPr>
          <w:t>Research question and research  method</w:t>
        </w:r>
        <w:r w:rsidR="00C27D1E">
          <w:rPr>
            <w:noProof/>
            <w:webHidden/>
          </w:rPr>
          <w:tab/>
        </w:r>
        <w:r>
          <w:rPr>
            <w:noProof/>
            <w:webHidden/>
          </w:rPr>
          <w:fldChar w:fldCharType="begin"/>
        </w:r>
        <w:r w:rsidR="00C27D1E">
          <w:rPr>
            <w:noProof/>
            <w:webHidden/>
          </w:rPr>
          <w:instrText xml:space="preserve"> PAGEREF _Toc299353357 \h </w:instrText>
        </w:r>
        <w:r>
          <w:rPr>
            <w:noProof/>
            <w:webHidden/>
          </w:rPr>
        </w:r>
        <w:r>
          <w:rPr>
            <w:noProof/>
            <w:webHidden/>
          </w:rPr>
          <w:fldChar w:fldCharType="separate"/>
        </w:r>
        <w:r w:rsidR="006058C4">
          <w:rPr>
            <w:noProof/>
            <w:webHidden/>
          </w:rPr>
          <w:t>12</w:t>
        </w:r>
        <w:r>
          <w:rPr>
            <w:noProof/>
            <w:webHidden/>
          </w:rPr>
          <w:fldChar w:fldCharType="end"/>
        </w:r>
      </w:hyperlink>
    </w:p>
    <w:p w:rsidR="00C27D1E" w:rsidRDefault="001615B4">
      <w:pPr>
        <w:pStyle w:val="TOC2"/>
        <w:tabs>
          <w:tab w:val="left" w:pos="880"/>
          <w:tab w:val="right" w:leader="dot" w:pos="9350"/>
        </w:tabs>
        <w:rPr>
          <w:noProof/>
          <w:lang w:val="nl-NL" w:eastAsia="nl-NL"/>
        </w:rPr>
      </w:pPr>
      <w:hyperlink w:anchor="_Toc299353358" w:history="1">
        <w:r w:rsidR="00C27D1E" w:rsidRPr="00F82CAB">
          <w:rPr>
            <w:rStyle w:val="Hyperlink"/>
            <w:noProof/>
          </w:rPr>
          <w:t>1.2</w:t>
        </w:r>
        <w:r w:rsidR="00C27D1E">
          <w:rPr>
            <w:noProof/>
            <w:lang w:val="nl-NL" w:eastAsia="nl-NL"/>
          </w:rPr>
          <w:tab/>
        </w:r>
        <w:r w:rsidR="00C27D1E" w:rsidRPr="00F82CAB">
          <w:rPr>
            <w:rStyle w:val="Hyperlink"/>
            <w:noProof/>
          </w:rPr>
          <w:t>Relevance</w:t>
        </w:r>
        <w:r w:rsidR="00C27D1E">
          <w:rPr>
            <w:noProof/>
            <w:webHidden/>
          </w:rPr>
          <w:tab/>
        </w:r>
        <w:r>
          <w:rPr>
            <w:noProof/>
            <w:webHidden/>
          </w:rPr>
          <w:fldChar w:fldCharType="begin"/>
        </w:r>
        <w:r w:rsidR="00C27D1E">
          <w:rPr>
            <w:noProof/>
            <w:webHidden/>
          </w:rPr>
          <w:instrText xml:space="preserve"> PAGEREF _Toc299353358 \h </w:instrText>
        </w:r>
        <w:r>
          <w:rPr>
            <w:noProof/>
            <w:webHidden/>
          </w:rPr>
        </w:r>
        <w:r>
          <w:rPr>
            <w:noProof/>
            <w:webHidden/>
          </w:rPr>
          <w:fldChar w:fldCharType="separate"/>
        </w:r>
        <w:r w:rsidR="006058C4">
          <w:rPr>
            <w:noProof/>
            <w:webHidden/>
          </w:rPr>
          <w:t>14</w:t>
        </w:r>
        <w:r>
          <w:rPr>
            <w:noProof/>
            <w:webHidden/>
          </w:rPr>
          <w:fldChar w:fldCharType="end"/>
        </w:r>
      </w:hyperlink>
    </w:p>
    <w:p w:rsidR="00C27D1E" w:rsidRDefault="001615B4">
      <w:pPr>
        <w:pStyle w:val="TOC2"/>
        <w:tabs>
          <w:tab w:val="left" w:pos="880"/>
          <w:tab w:val="right" w:leader="dot" w:pos="9350"/>
        </w:tabs>
        <w:rPr>
          <w:rStyle w:val="Hyperlink"/>
          <w:noProof/>
        </w:rPr>
      </w:pPr>
      <w:hyperlink w:anchor="_Toc299353359" w:history="1">
        <w:r w:rsidR="00C27D1E" w:rsidRPr="00F82CAB">
          <w:rPr>
            <w:rStyle w:val="Hyperlink"/>
            <w:noProof/>
          </w:rPr>
          <w:t>1.3</w:t>
        </w:r>
        <w:r w:rsidR="00C27D1E">
          <w:rPr>
            <w:noProof/>
            <w:lang w:val="nl-NL" w:eastAsia="nl-NL"/>
          </w:rPr>
          <w:tab/>
        </w:r>
        <w:r w:rsidR="00C27D1E" w:rsidRPr="00F82CAB">
          <w:rPr>
            <w:rStyle w:val="Hyperlink"/>
            <w:noProof/>
          </w:rPr>
          <w:t>Structure</w:t>
        </w:r>
        <w:r w:rsidR="00C27D1E">
          <w:rPr>
            <w:noProof/>
            <w:webHidden/>
          </w:rPr>
          <w:tab/>
        </w:r>
        <w:r>
          <w:rPr>
            <w:noProof/>
            <w:webHidden/>
          </w:rPr>
          <w:fldChar w:fldCharType="begin"/>
        </w:r>
        <w:r w:rsidR="00C27D1E">
          <w:rPr>
            <w:noProof/>
            <w:webHidden/>
          </w:rPr>
          <w:instrText xml:space="preserve"> PAGEREF _Toc299353359 \h </w:instrText>
        </w:r>
        <w:r>
          <w:rPr>
            <w:noProof/>
            <w:webHidden/>
          </w:rPr>
        </w:r>
        <w:r>
          <w:rPr>
            <w:noProof/>
            <w:webHidden/>
          </w:rPr>
          <w:fldChar w:fldCharType="separate"/>
        </w:r>
        <w:r w:rsidR="006058C4">
          <w:rPr>
            <w:noProof/>
            <w:webHidden/>
          </w:rPr>
          <w:t>15</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360" w:history="1">
        <w:r w:rsidR="00C27D1E" w:rsidRPr="00F82CAB">
          <w:rPr>
            <w:rStyle w:val="Hyperlink"/>
            <w:noProof/>
          </w:rPr>
          <w:t>Chapter 2 Theoretical Background</w:t>
        </w:r>
        <w:r w:rsidR="00C27D1E">
          <w:rPr>
            <w:noProof/>
            <w:webHidden/>
          </w:rPr>
          <w:tab/>
        </w:r>
        <w:r>
          <w:rPr>
            <w:noProof/>
            <w:webHidden/>
          </w:rPr>
          <w:fldChar w:fldCharType="begin"/>
        </w:r>
        <w:r w:rsidR="00C27D1E">
          <w:rPr>
            <w:noProof/>
            <w:webHidden/>
          </w:rPr>
          <w:instrText xml:space="preserve"> PAGEREF _Toc299353360 \h </w:instrText>
        </w:r>
        <w:r>
          <w:rPr>
            <w:noProof/>
            <w:webHidden/>
          </w:rPr>
        </w:r>
        <w:r>
          <w:rPr>
            <w:noProof/>
            <w:webHidden/>
          </w:rPr>
          <w:fldChar w:fldCharType="separate"/>
        </w:r>
        <w:r w:rsidR="006058C4">
          <w:rPr>
            <w:noProof/>
            <w:webHidden/>
          </w:rPr>
          <w:t>16</w:t>
        </w:r>
        <w:r>
          <w:rPr>
            <w:noProof/>
            <w:webHidden/>
          </w:rPr>
          <w:fldChar w:fldCharType="end"/>
        </w:r>
      </w:hyperlink>
    </w:p>
    <w:p w:rsidR="00C27D1E" w:rsidRDefault="001615B4">
      <w:pPr>
        <w:pStyle w:val="TOC2"/>
        <w:tabs>
          <w:tab w:val="right" w:leader="dot" w:pos="9350"/>
        </w:tabs>
        <w:rPr>
          <w:noProof/>
          <w:lang w:val="nl-NL" w:eastAsia="nl-NL"/>
        </w:rPr>
      </w:pPr>
      <w:hyperlink w:anchor="_Toc299353361" w:history="1">
        <w:r w:rsidR="00C27D1E" w:rsidRPr="00F82CAB">
          <w:rPr>
            <w:rStyle w:val="Hyperlink"/>
            <w:noProof/>
          </w:rPr>
          <w:t>2.1 Disclosures</w:t>
        </w:r>
        <w:r w:rsidR="00C27D1E">
          <w:rPr>
            <w:noProof/>
            <w:webHidden/>
          </w:rPr>
          <w:tab/>
        </w:r>
        <w:r>
          <w:rPr>
            <w:noProof/>
            <w:webHidden/>
          </w:rPr>
          <w:fldChar w:fldCharType="begin"/>
        </w:r>
        <w:r w:rsidR="00C27D1E">
          <w:rPr>
            <w:noProof/>
            <w:webHidden/>
          </w:rPr>
          <w:instrText xml:space="preserve"> PAGEREF _Toc299353361 \h </w:instrText>
        </w:r>
        <w:r>
          <w:rPr>
            <w:noProof/>
            <w:webHidden/>
          </w:rPr>
        </w:r>
        <w:r>
          <w:rPr>
            <w:noProof/>
            <w:webHidden/>
          </w:rPr>
          <w:fldChar w:fldCharType="separate"/>
        </w:r>
        <w:r w:rsidR="006058C4">
          <w:rPr>
            <w:noProof/>
            <w:webHidden/>
          </w:rPr>
          <w:t>16</w:t>
        </w:r>
        <w:r>
          <w:rPr>
            <w:noProof/>
            <w:webHidden/>
          </w:rPr>
          <w:fldChar w:fldCharType="end"/>
        </w:r>
      </w:hyperlink>
    </w:p>
    <w:p w:rsidR="00C27D1E" w:rsidRDefault="001615B4">
      <w:pPr>
        <w:pStyle w:val="TOC3"/>
        <w:tabs>
          <w:tab w:val="right" w:leader="dot" w:pos="9350"/>
        </w:tabs>
        <w:rPr>
          <w:noProof/>
          <w:lang w:val="nl-NL" w:eastAsia="nl-NL"/>
        </w:rPr>
      </w:pPr>
      <w:hyperlink w:anchor="_Toc299353362" w:history="1">
        <w:r w:rsidR="00C27D1E" w:rsidRPr="00F82CAB">
          <w:rPr>
            <w:rStyle w:val="Hyperlink"/>
            <w:noProof/>
          </w:rPr>
          <w:t>2.1.1 Financial disclosure</w:t>
        </w:r>
        <w:r w:rsidR="00C27D1E">
          <w:rPr>
            <w:noProof/>
            <w:webHidden/>
          </w:rPr>
          <w:tab/>
        </w:r>
        <w:r>
          <w:rPr>
            <w:noProof/>
            <w:webHidden/>
          </w:rPr>
          <w:fldChar w:fldCharType="begin"/>
        </w:r>
        <w:r w:rsidR="00C27D1E">
          <w:rPr>
            <w:noProof/>
            <w:webHidden/>
          </w:rPr>
          <w:instrText xml:space="preserve"> PAGEREF _Toc299353362 \h </w:instrText>
        </w:r>
        <w:r>
          <w:rPr>
            <w:noProof/>
            <w:webHidden/>
          </w:rPr>
        </w:r>
        <w:r>
          <w:rPr>
            <w:noProof/>
            <w:webHidden/>
          </w:rPr>
          <w:fldChar w:fldCharType="separate"/>
        </w:r>
        <w:r w:rsidR="006058C4">
          <w:rPr>
            <w:noProof/>
            <w:webHidden/>
          </w:rPr>
          <w:t>16</w:t>
        </w:r>
        <w:r>
          <w:rPr>
            <w:noProof/>
            <w:webHidden/>
          </w:rPr>
          <w:fldChar w:fldCharType="end"/>
        </w:r>
      </w:hyperlink>
    </w:p>
    <w:p w:rsidR="00C27D1E" w:rsidRDefault="001615B4">
      <w:pPr>
        <w:pStyle w:val="TOC3"/>
        <w:tabs>
          <w:tab w:val="right" w:leader="dot" w:pos="9350"/>
        </w:tabs>
        <w:rPr>
          <w:noProof/>
          <w:lang w:val="nl-NL" w:eastAsia="nl-NL"/>
        </w:rPr>
      </w:pPr>
      <w:hyperlink w:anchor="_Toc299353363" w:history="1">
        <w:r w:rsidR="00C27D1E" w:rsidRPr="00F82CAB">
          <w:rPr>
            <w:rStyle w:val="Hyperlink"/>
            <w:noProof/>
          </w:rPr>
          <w:t>2.1.2 Voluntary disclosure</w:t>
        </w:r>
        <w:r w:rsidR="00C27D1E">
          <w:rPr>
            <w:noProof/>
            <w:webHidden/>
          </w:rPr>
          <w:tab/>
        </w:r>
        <w:r>
          <w:rPr>
            <w:noProof/>
            <w:webHidden/>
          </w:rPr>
          <w:fldChar w:fldCharType="begin"/>
        </w:r>
        <w:r w:rsidR="00C27D1E">
          <w:rPr>
            <w:noProof/>
            <w:webHidden/>
          </w:rPr>
          <w:instrText xml:space="preserve"> PAGEREF _Toc299353363 \h </w:instrText>
        </w:r>
        <w:r>
          <w:rPr>
            <w:noProof/>
            <w:webHidden/>
          </w:rPr>
        </w:r>
        <w:r>
          <w:rPr>
            <w:noProof/>
            <w:webHidden/>
          </w:rPr>
          <w:fldChar w:fldCharType="separate"/>
        </w:r>
        <w:r w:rsidR="006058C4">
          <w:rPr>
            <w:noProof/>
            <w:webHidden/>
          </w:rPr>
          <w:t>17</w:t>
        </w:r>
        <w:r>
          <w:rPr>
            <w:noProof/>
            <w:webHidden/>
          </w:rPr>
          <w:fldChar w:fldCharType="end"/>
        </w:r>
      </w:hyperlink>
    </w:p>
    <w:p w:rsidR="00C27D1E" w:rsidRDefault="001615B4">
      <w:pPr>
        <w:pStyle w:val="TOC3"/>
        <w:tabs>
          <w:tab w:val="right" w:leader="dot" w:pos="9350"/>
        </w:tabs>
        <w:rPr>
          <w:noProof/>
          <w:lang w:val="nl-NL" w:eastAsia="nl-NL"/>
        </w:rPr>
      </w:pPr>
      <w:hyperlink w:anchor="_Toc299353364" w:history="1">
        <w:r w:rsidR="00C27D1E" w:rsidRPr="00F82CAB">
          <w:rPr>
            <w:rStyle w:val="Hyperlink"/>
            <w:noProof/>
          </w:rPr>
          <w:t>2.1.4 Summary disclosures</w:t>
        </w:r>
        <w:r w:rsidR="00C27D1E">
          <w:rPr>
            <w:noProof/>
            <w:webHidden/>
          </w:rPr>
          <w:tab/>
        </w:r>
        <w:r>
          <w:rPr>
            <w:noProof/>
            <w:webHidden/>
          </w:rPr>
          <w:fldChar w:fldCharType="begin"/>
        </w:r>
        <w:r w:rsidR="00C27D1E">
          <w:rPr>
            <w:noProof/>
            <w:webHidden/>
          </w:rPr>
          <w:instrText xml:space="preserve"> PAGEREF _Toc299353364 \h </w:instrText>
        </w:r>
        <w:r>
          <w:rPr>
            <w:noProof/>
            <w:webHidden/>
          </w:rPr>
        </w:r>
        <w:r>
          <w:rPr>
            <w:noProof/>
            <w:webHidden/>
          </w:rPr>
          <w:fldChar w:fldCharType="separate"/>
        </w:r>
        <w:r w:rsidR="006058C4">
          <w:rPr>
            <w:noProof/>
            <w:webHidden/>
          </w:rPr>
          <w:t>17</w:t>
        </w:r>
        <w:r>
          <w:rPr>
            <w:noProof/>
            <w:webHidden/>
          </w:rPr>
          <w:fldChar w:fldCharType="end"/>
        </w:r>
      </w:hyperlink>
    </w:p>
    <w:p w:rsidR="00C27D1E" w:rsidRDefault="001615B4">
      <w:pPr>
        <w:pStyle w:val="TOC2"/>
        <w:tabs>
          <w:tab w:val="right" w:leader="dot" w:pos="9350"/>
        </w:tabs>
        <w:rPr>
          <w:noProof/>
          <w:lang w:val="nl-NL" w:eastAsia="nl-NL"/>
        </w:rPr>
      </w:pPr>
      <w:hyperlink w:anchor="_Toc299353365" w:history="1">
        <w:r w:rsidR="00C27D1E" w:rsidRPr="00F82CAB">
          <w:rPr>
            <w:rStyle w:val="Hyperlink"/>
            <w:noProof/>
          </w:rPr>
          <w:t>2.2 Corporate Social Responsibility</w:t>
        </w:r>
        <w:r w:rsidR="00C27D1E">
          <w:rPr>
            <w:noProof/>
            <w:webHidden/>
          </w:rPr>
          <w:tab/>
        </w:r>
        <w:r>
          <w:rPr>
            <w:noProof/>
            <w:webHidden/>
          </w:rPr>
          <w:fldChar w:fldCharType="begin"/>
        </w:r>
        <w:r w:rsidR="00C27D1E">
          <w:rPr>
            <w:noProof/>
            <w:webHidden/>
          </w:rPr>
          <w:instrText xml:space="preserve"> PAGEREF _Toc299353365 \h </w:instrText>
        </w:r>
        <w:r>
          <w:rPr>
            <w:noProof/>
            <w:webHidden/>
          </w:rPr>
        </w:r>
        <w:r>
          <w:rPr>
            <w:noProof/>
            <w:webHidden/>
          </w:rPr>
          <w:fldChar w:fldCharType="separate"/>
        </w:r>
        <w:r w:rsidR="006058C4">
          <w:rPr>
            <w:noProof/>
            <w:webHidden/>
          </w:rPr>
          <w:t>18</w:t>
        </w:r>
        <w:r>
          <w:rPr>
            <w:noProof/>
            <w:webHidden/>
          </w:rPr>
          <w:fldChar w:fldCharType="end"/>
        </w:r>
      </w:hyperlink>
    </w:p>
    <w:p w:rsidR="00C27D1E" w:rsidRDefault="001615B4">
      <w:pPr>
        <w:pStyle w:val="TOC3"/>
        <w:tabs>
          <w:tab w:val="right" w:leader="dot" w:pos="9350"/>
        </w:tabs>
        <w:rPr>
          <w:noProof/>
          <w:lang w:val="nl-NL" w:eastAsia="nl-NL"/>
        </w:rPr>
      </w:pPr>
      <w:hyperlink w:anchor="_Toc299353366" w:history="1">
        <w:r w:rsidR="00C27D1E" w:rsidRPr="00F82CAB">
          <w:rPr>
            <w:rStyle w:val="Hyperlink"/>
            <w:noProof/>
          </w:rPr>
          <w:t>2.2.1 Definition of Corporate Social Responsibility</w:t>
        </w:r>
        <w:r w:rsidR="00C27D1E">
          <w:rPr>
            <w:noProof/>
            <w:webHidden/>
          </w:rPr>
          <w:tab/>
        </w:r>
        <w:r>
          <w:rPr>
            <w:noProof/>
            <w:webHidden/>
          </w:rPr>
          <w:fldChar w:fldCharType="begin"/>
        </w:r>
        <w:r w:rsidR="00C27D1E">
          <w:rPr>
            <w:noProof/>
            <w:webHidden/>
          </w:rPr>
          <w:instrText xml:space="preserve"> PAGEREF _Toc299353366 \h </w:instrText>
        </w:r>
        <w:r>
          <w:rPr>
            <w:noProof/>
            <w:webHidden/>
          </w:rPr>
        </w:r>
        <w:r>
          <w:rPr>
            <w:noProof/>
            <w:webHidden/>
          </w:rPr>
          <w:fldChar w:fldCharType="separate"/>
        </w:r>
        <w:r w:rsidR="006058C4">
          <w:rPr>
            <w:noProof/>
            <w:webHidden/>
          </w:rPr>
          <w:t>18</w:t>
        </w:r>
        <w:r>
          <w:rPr>
            <w:noProof/>
            <w:webHidden/>
          </w:rPr>
          <w:fldChar w:fldCharType="end"/>
        </w:r>
      </w:hyperlink>
    </w:p>
    <w:p w:rsidR="00C27D1E" w:rsidRDefault="001615B4">
      <w:pPr>
        <w:pStyle w:val="TOC3"/>
        <w:tabs>
          <w:tab w:val="right" w:leader="dot" w:pos="9350"/>
        </w:tabs>
        <w:rPr>
          <w:noProof/>
          <w:lang w:val="nl-NL" w:eastAsia="nl-NL"/>
        </w:rPr>
      </w:pPr>
      <w:hyperlink w:anchor="_Toc299353367" w:history="1">
        <w:r w:rsidR="00C27D1E" w:rsidRPr="00F82CAB">
          <w:rPr>
            <w:rStyle w:val="Hyperlink"/>
            <w:noProof/>
          </w:rPr>
          <w:t>2.2.2 Developments in Corporate Social Responsibility</w:t>
        </w:r>
        <w:r w:rsidR="00C27D1E">
          <w:rPr>
            <w:noProof/>
            <w:webHidden/>
          </w:rPr>
          <w:tab/>
        </w:r>
        <w:r>
          <w:rPr>
            <w:noProof/>
            <w:webHidden/>
          </w:rPr>
          <w:fldChar w:fldCharType="begin"/>
        </w:r>
        <w:r w:rsidR="00C27D1E">
          <w:rPr>
            <w:noProof/>
            <w:webHidden/>
          </w:rPr>
          <w:instrText xml:space="preserve"> PAGEREF _Toc299353367 \h </w:instrText>
        </w:r>
        <w:r>
          <w:rPr>
            <w:noProof/>
            <w:webHidden/>
          </w:rPr>
        </w:r>
        <w:r>
          <w:rPr>
            <w:noProof/>
            <w:webHidden/>
          </w:rPr>
          <w:fldChar w:fldCharType="separate"/>
        </w:r>
        <w:r w:rsidR="006058C4">
          <w:rPr>
            <w:noProof/>
            <w:webHidden/>
          </w:rPr>
          <w:t>20</w:t>
        </w:r>
        <w:r>
          <w:rPr>
            <w:noProof/>
            <w:webHidden/>
          </w:rPr>
          <w:fldChar w:fldCharType="end"/>
        </w:r>
      </w:hyperlink>
    </w:p>
    <w:p w:rsidR="00C27D1E" w:rsidRDefault="001615B4">
      <w:pPr>
        <w:pStyle w:val="TOC3"/>
        <w:tabs>
          <w:tab w:val="right" w:leader="dot" w:pos="9350"/>
        </w:tabs>
        <w:rPr>
          <w:noProof/>
          <w:lang w:val="nl-NL" w:eastAsia="nl-NL"/>
        </w:rPr>
      </w:pPr>
      <w:hyperlink w:anchor="_Toc299353368" w:history="1">
        <w:r w:rsidR="00C27D1E" w:rsidRPr="00F82CAB">
          <w:rPr>
            <w:rStyle w:val="Hyperlink"/>
            <w:noProof/>
          </w:rPr>
          <w:t>2.2.3 Corporate Social Responsibility reporting</w:t>
        </w:r>
        <w:r w:rsidR="00C27D1E">
          <w:rPr>
            <w:noProof/>
            <w:webHidden/>
          </w:rPr>
          <w:tab/>
        </w:r>
        <w:r>
          <w:rPr>
            <w:noProof/>
            <w:webHidden/>
          </w:rPr>
          <w:fldChar w:fldCharType="begin"/>
        </w:r>
        <w:r w:rsidR="00C27D1E">
          <w:rPr>
            <w:noProof/>
            <w:webHidden/>
          </w:rPr>
          <w:instrText xml:space="preserve"> PAGEREF _Toc299353368 \h </w:instrText>
        </w:r>
        <w:r>
          <w:rPr>
            <w:noProof/>
            <w:webHidden/>
          </w:rPr>
        </w:r>
        <w:r>
          <w:rPr>
            <w:noProof/>
            <w:webHidden/>
          </w:rPr>
          <w:fldChar w:fldCharType="separate"/>
        </w:r>
        <w:r w:rsidR="006058C4">
          <w:rPr>
            <w:noProof/>
            <w:webHidden/>
          </w:rPr>
          <w:t>21</w:t>
        </w:r>
        <w:r>
          <w:rPr>
            <w:noProof/>
            <w:webHidden/>
          </w:rPr>
          <w:fldChar w:fldCharType="end"/>
        </w:r>
      </w:hyperlink>
    </w:p>
    <w:p w:rsidR="00C27D1E" w:rsidRDefault="001615B4">
      <w:pPr>
        <w:pStyle w:val="TOC3"/>
        <w:tabs>
          <w:tab w:val="right" w:leader="dot" w:pos="9350"/>
        </w:tabs>
        <w:rPr>
          <w:noProof/>
          <w:lang w:val="nl-NL" w:eastAsia="nl-NL"/>
        </w:rPr>
      </w:pPr>
      <w:hyperlink w:anchor="_Toc299353369" w:history="1">
        <w:r w:rsidR="00C27D1E" w:rsidRPr="00F82CAB">
          <w:rPr>
            <w:rStyle w:val="Hyperlink"/>
            <w:noProof/>
          </w:rPr>
          <w:t>2.2.4 Corporate Social Responsibility reporting guidelines</w:t>
        </w:r>
        <w:r w:rsidR="00C27D1E">
          <w:rPr>
            <w:noProof/>
            <w:webHidden/>
          </w:rPr>
          <w:tab/>
        </w:r>
        <w:r>
          <w:rPr>
            <w:noProof/>
            <w:webHidden/>
          </w:rPr>
          <w:fldChar w:fldCharType="begin"/>
        </w:r>
        <w:r w:rsidR="00C27D1E">
          <w:rPr>
            <w:noProof/>
            <w:webHidden/>
          </w:rPr>
          <w:instrText xml:space="preserve"> PAGEREF _Toc299353369 \h </w:instrText>
        </w:r>
        <w:r>
          <w:rPr>
            <w:noProof/>
            <w:webHidden/>
          </w:rPr>
        </w:r>
        <w:r>
          <w:rPr>
            <w:noProof/>
            <w:webHidden/>
          </w:rPr>
          <w:fldChar w:fldCharType="separate"/>
        </w:r>
        <w:r w:rsidR="006058C4">
          <w:rPr>
            <w:noProof/>
            <w:webHidden/>
          </w:rPr>
          <w:t>21</w:t>
        </w:r>
        <w:r>
          <w:rPr>
            <w:noProof/>
            <w:webHidden/>
          </w:rPr>
          <w:fldChar w:fldCharType="end"/>
        </w:r>
      </w:hyperlink>
    </w:p>
    <w:p w:rsidR="00C27D1E" w:rsidRDefault="001615B4">
      <w:pPr>
        <w:pStyle w:val="TOC3"/>
        <w:tabs>
          <w:tab w:val="right" w:leader="dot" w:pos="9350"/>
        </w:tabs>
        <w:rPr>
          <w:noProof/>
          <w:lang w:val="nl-NL" w:eastAsia="nl-NL"/>
        </w:rPr>
      </w:pPr>
      <w:hyperlink w:anchor="_Toc299353370" w:history="1">
        <w:r w:rsidR="00C27D1E" w:rsidRPr="00F82CAB">
          <w:rPr>
            <w:rStyle w:val="Hyperlink"/>
            <w:noProof/>
          </w:rPr>
          <w:t>2.2.5 Summary Corporate Social Responsibility</w:t>
        </w:r>
        <w:r w:rsidR="00C27D1E">
          <w:rPr>
            <w:noProof/>
            <w:webHidden/>
          </w:rPr>
          <w:tab/>
        </w:r>
        <w:r>
          <w:rPr>
            <w:noProof/>
            <w:webHidden/>
          </w:rPr>
          <w:fldChar w:fldCharType="begin"/>
        </w:r>
        <w:r w:rsidR="00C27D1E">
          <w:rPr>
            <w:noProof/>
            <w:webHidden/>
          </w:rPr>
          <w:instrText xml:space="preserve"> PAGEREF _Toc299353370 \h </w:instrText>
        </w:r>
        <w:r>
          <w:rPr>
            <w:noProof/>
            <w:webHidden/>
          </w:rPr>
        </w:r>
        <w:r>
          <w:rPr>
            <w:noProof/>
            <w:webHidden/>
          </w:rPr>
          <w:fldChar w:fldCharType="separate"/>
        </w:r>
        <w:r w:rsidR="006058C4">
          <w:rPr>
            <w:noProof/>
            <w:webHidden/>
          </w:rPr>
          <w:t>23</w:t>
        </w:r>
        <w:r>
          <w:rPr>
            <w:noProof/>
            <w:webHidden/>
          </w:rPr>
          <w:fldChar w:fldCharType="end"/>
        </w:r>
      </w:hyperlink>
    </w:p>
    <w:p w:rsidR="00C27D1E" w:rsidRDefault="001615B4">
      <w:pPr>
        <w:pStyle w:val="TOC2"/>
        <w:tabs>
          <w:tab w:val="right" w:leader="dot" w:pos="9350"/>
        </w:tabs>
        <w:rPr>
          <w:noProof/>
          <w:lang w:val="nl-NL" w:eastAsia="nl-NL"/>
        </w:rPr>
      </w:pPr>
      <w:hyperlink w:anchor="_Toc299353371" w:history="1">
        <w:r w:rsidR="00C27D1E" w:rsidRPr="00F82CAB">
          <w:rPr>
            <w:rStyle w:val="Hyperlink"/>
            <w:noProof/>
          </w:rPr>
          <w:t>2.3 Positive Accounting Theory</w:t>
        </w:r>
        <w:r w:rsidR="00C27D1E">
          <w:rPr>
            <w:noProof/>
            <w:webHidden/>
          </w:rPr>
          <w:tab/>
        </w:r>
        <w:r>
          <w:rPr>
            <w:noProof/>
            <w:webHidden/>
          </w:rPr>
          <w:fldChar w:fldCharType="begin"/>
        </w:r>
        <w:r w:rsidR="00C27D1E">
          <w:rPr>
            <w:noProof/>
            <w:webHidden/>
          </w:rPr>
          <w:instrText xml:space="preserve"> PAGEREF _Toc299353371 \h </w:instrText>
        </w:r>
        <w:r>
          <w:rPr>
            <w:noProof/>
            <w:webHidden/>
          </w:rPr>
        </w:r>
        <w:r>
          <w:rPr>
            <w:noProof/>
            <w:webHidden/>
          </w:rPr>
          <w:fldChar w:fldCharType="separate"/>
        </w:r>
        <w:r w:rsidR="006058C4">
          <w:rPr>
            <w:noProof/>
            <w:webHidden/>
          </w:rPr>
          <w:t>23</w:t>
        </w:r>
        <w:r>
          <w:rPr>
            <w:noProof/>
            <w:webHidden/>
          </w:rPr>
          <w:fldChar w:fldCharType="end"/>
        </w:r>
      </w:hyperlink>
    </w:p>
    <w:p w:rsidR="00C27D1E" w:rsidRDefault="001615B4">
      <w:pPr>
        <w:pStyle w:val="TOC3"/>
        <w:tabs>
          <w:tab w:val="right" w:leader="dot" w:pos="9350"/>
        </w:tabs>
        <w:rPr>
          <w:noProof/>
          <w:lang w:val="nl-NL" w:eastAsia="nl-NL"/>
        </w:rPr>
      </w:pPr>
      <w:hyperlink w:anchor="_Toc299353372" w:history="1">
        <w:r w:rsidR="00C27D1E" w:rsidRPr="00F82CAB">
          <w:rPr>
            <w:rStyle w:val="Hyperlink"/>
            <w:noProof/>
          </w:rPr>
          <w:t>2.3.1 Agency theory</w:t>
        </w:r>
        <w:r w:rsidR="00C27D1E">
          <w:rPr>
            <w:noProof/>
            <w:webHidden/>
          </w:rPr>
          <w:tab/>
        </w:r>
        <w:r>
          <w:rPr>
            <w:noProof/>
            <w:webHidden/>
          </w:rPr>
          <w:fldChar w:fldCharType="begin"/>
        </w:r>
        <w:r w:rsidR="00C27D1E">
          <w:rPr>
            <w:noProof/>
            <w:webHidden/>
          </w:rPr>
          <w:instrText xml:space="preserve"> PAGEREF _Toc299353372 \h </w:instrText>
        </w:r>
        <w:r>
          <w:rPr>
            <w:noProof/>
            <w:webHidden/>
          </w:rPr>
        </w:r>
        <w:r>
          <w:rPr>
            <w:noProof/>
            <w:webHidden/>
          </w:rPr>
          <w:fldChar w:fldCharType="separate"/>
        </w:r>
        <w:r w:rsidR="006058C4">
          <w:rPr>
            <w:noProof/>
            <w:webHidden/>
          </w:rPr>
          <w:t>24</w:t>
        </w:r>
        <w:r>
          <w:rPr>
            <w:noProof/>
            <w:webHidden/>
          </w:rPr>
          <w:fldChar w:fldCharType="end"/>
        </w:r>
      </w:hyperlink>
    </w:p>
    <w:p w:rsidR="00C27D1E" w:rsidRDefault="001615B4">
      <w:pPr>
        <w:pStyle w:val="TOC3"/>
        <w:tabs>
          <w:tab w:val="right" w:leader="dot" w:pos="9350"/>
        </w:tabs>
        <w:rPr>
          <w:noProof/>
          <w:lang w:val="nl-NL" w:eastAsia="nl-NL"/>
        </w:rPr>
      </w:pPr>
      <w:hyperlink w:anchor="_Toc299353373" w:history="1">
        <w:r w:rsidR="00C27D1E" w:rsidRPr="00F82CAB">
          <w:rPr>
            <w:rStyle w:val="Hyperlink"/>
            <w:noProof/>
          </w:rPr>
          <w:t>2.3.2 Information asymmetry</w:t>
        </w:r>
        <w:r w:rsidR="00C27D1E">
          <w:rPr>
            <w:noProof/>
            <w:webHidden/>
          </w:rPr>
          <w:tab/>
        </w:r>
        <w:r>
          <w:rPr>
            <w:noProof/>
            <w:webHidden/>
          </w:rPr>
          <w:fldChar w:fldCharType="begin"/>
        </w:r>
        <w:r w:rsidR="00C27D1E">
          <w:rPr>
            <w:noProof/>
            <w:webHidden/>
          </w:rPr>
          <w:instrText xml:space="preserve"> PAGEREF _Toc299353373 \h </w:instrText>
        </w:r>
        <w:r>
          <w:rPr>
            <w:noProof/>
            <w:webHidden/>
          </w:rPr>
        </w:r>
        <w:r>
          <w:rPr>
            <w:noProof/>
            <w:webHidden/>
          </w:rPr>
          <w:fldChar w:fldCharType="separate"/>
        </w:r>
        <w:r w:rsidR="006058C4">
          <w:rPr>
            <w:noProof/>
            <w:webHidden/>
          </w:rPr>
          <w:t>26</w:t>
        </w:r>
        <w:r>
          <w:rPr>
            <w:noProof/>
            <w:webHidden/>
          </w:rPr>
          <w:fldChar w:fldCharType="end"/>
        </w:r>
      </w:hyperlink>
    </w:p>
    <w:p w:rsidR="00C27D1E" w:rsidRDefault="001615B4">
      <w:pPr>
        <w:pStyle w:val="TOC3"/>
        <w:tabs>
          <w:tab w:val="right" w:leader="dot" w:pos="9350"/>
        </w:tabs>
        <w:rPr>
          <w:noProof/>
          <w:lang w:val="nl-NL" w:eastAsia="nl-NL"/>
        </w:rPr>
      </w:pPr>
      <w:hyperlink w:anchor="_Toc299353374" w:history="1">
        <w:r w:rsidR="00C27D1E" w:rsidRPr="00F82CAB">
          <w:rPr>
            <w:rStyle w:val="Hyperlink"/>
            <w:noProof/>
          </w:rPr>
          <w:t>2.3.3 Legitimacy theory</w:t>
        </w:r>
        <w:r w:rsidR="00C27D1E">
          <w:rPr>
            <w:noProof/>
            <w:webHidden/>
          </w:rPr>
          <w:tab/>
        </w:r>
        <w:r>
          <w:rPr>
            <w:noProof/>
            <w:webHidden/>
          </w:rPr>
          <w:fldChar w:fldCharType="begin"/>
        </w:r>
        <w:r w:rsidR="00C27D1E">
          <w:rPr>
            <w:noProof/>
            <w:webHidden/>
          </w:rPr>
          <w:instrText xml:space="preserve"> PAGEREF _Toc299353374 \h </w:instrText>
        </w:r>
        <w:r>
          <w:rPr>
            <w:noProof/>
            <w:webHidden/>
          </w:rPr>
        </w:r>
        <w:r>
          <w:rPr>
            <w:noProof/>
            <w:webHidden/>
          </w:rPr>
          <w:fldChar w:fldCharType="separate"/>
        </w:r>
        <w:r w:rsidR="006058C4">
          <w:rPr>
            <w:noProof/>
            <w:webHidden/>
          </w:rPr>
          <w:t>28</w:t>
        </w:r>
        <w:r>
          <w:rPr>
            <w:noProof/>
            <w:webHidden/>
          </w:rPr>
          <w:fldChar w:fldCharType="end"/>
        </w:r>
      </w:hyperlink>
    </w:p>
    <w:p w:rsidR="00C27D1E" w:rsidRDefault="001615B4">
      <w:pPr>
        <w:pStyle w:val="TOC3"/>
        <w:tabs>
          <w:tab w:val="right" w:leader="dot" w:pos="9350"/>
        </w:tabs>
        <w:rPr>
          <w:noProof/>
          <w:lang w:val="nl-NL" w:eastAsia="nl-NL"/>
        </w:rPr>
      </w:pPr>
      <w:hyperlink w:anchor="_Toc299353375" w:history="1">
        <w:r w:rsidR="00C27D1E" w:rsidRPr="00F82CAB">
          <w:rPr>
            <w:rStyle w:val="Hyperlink"/>
            <w:noProof/>
          </w:rPr>
          <w:t>2.3.4 Stakeholder theory</w:t>
        </w:r>
        <w:r w:rsidR="00C27D1E">
          <w:rPr>
            <w:noProof/>
            <w:webHidden/>
          </w:rPr>
          <w:tab/>
        </w:r>
        <w:r>
          <w:rPr>
            <w:noProof/>
            <w:webHidden/>
          </w:rPr>
          <w:fldChar w:fldCharType="begin"/>
        </w:r>
        <w:r w:rsidR="00C27D1E">
          <w:rPr>
            <w:noProof/>
            <w:webHidden/>
          </w:rPr>
          <w:instrText xml:space="preserve"> PAGEREF _Toc299353375 \h </w:instrText>
        </w:r>
        <w:r>
          <w:rPr>
            <w:noProof/>
            <w:webHidden/>
          </w:rPr>
        </w:r>
        <w:r>
          <w:rPr>
            <w:noProof/>
            <w:webHidden/>
          </w:rPr>
          <w:fldChar w:fldCharType="separate"/>
        </w:r>
        <w:r w:rsidR="006058C4">
          <w:rPr>
            <w:noProof/>
            <w:webHidden/>
          </w:rPr>
          <w:t>30</w:t>
        </w:r>
        <w:r>
          <w:rPr>
            <w:noProof/>
            <w:webHidden/>
          </w:rPr>
          <w:fldChar w:fldCharType="end"/>
        </w:r>
      </w:hyperlink>
    </w:p>
    <w:p w:rsidR="00C27D1E" w:rsidRDefault="001615B4">
      <w:pPr>
        <w:pStyle w:val="TOC3"/>
        <w:tabs>
          <w:tab w:val="right" w:leader="dot" w:pos="9350"/>
        </w:tabs>
        <w:rPr>
          <w:rStyle w:val="Hyperlink"/>
          <w:noProof/>
        </w:rPr>
      </w:pPr>
      <w:hyperlink w:anchor="_Toc299353376" w:history="1">
        <w:r w:rsidR="00C27D1E" w:rsidRPr="00F82CAB">
          <w:rPr>
            <w:rStyle w:val="Hyperlink"/>
            <w:noProof/>
          </w:rPr>
          <w:t>2.3.5 Summary Voluntary Disclosures and Positive Accounting Theory</w:t>
        </w:r>
        <w:r w:rsidR="00C27D1E">
          <w:rPr>
            <w:noProof/>
            <w:webHidden/>
          </w:rPr>
          <w:tab/>
        </w:r>
        <w:r>
          <w:rPr>
            <w:noProof/>
            <w:webHidden/>
          </w:rPr>
          <w:fldChar w:fldCharType="begin"/>
        </w:r>
        <w:r w:rsidR="00C27D1E">
          <w:rPr>
            <w:noProof/>
            <w:webHidden/>
          </w:rPr>
          <w:instrText xml:space="preserve"> PAGEREF _Toc299353376 \h </w:instrText>
        </w:r>
        <w:r>
          <w:rPr>
            <w:noProof/>
            <w:webHidden/>
          </w:rPr>
        </w:r>
        <w:r>
          <w:rPr>
            <w:noProof/>
            <w:webHidden/>
          </w:rPr>
          <w:fldChar w:fldCharType="separate"/>
        </w:r>
        <w:r w:rsidR="006058C4">
          <w:rPr>
            <w:noProof/>
            <w:webHidden/>
          </w:rPr>
          <w:t>31</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377" w:history="1">
        <w:r w:rsidR="00C27D1E" w:rsidRPr="00F82CAB">
          <w:rPr>
            <w:rStyle w:val="Hyperlink"/>
            <w:noProof/>
          </w:rPr>
          <w:t>Chapter 3 Literature Review</w:t>
        </w:r>
        <w:r w:rsidR="00C27D1E">
          <w:rPr>
            <w:noProof/>
            <w:webHidden/>
          </w:rPr>
          <w:tab/>
        </w:r>
        <w:r>
          <w:rPr>
            <w:noProof/>
            <w:webHidden/>
          </w:rPr>
          <w:fldChar w:fldCharType="begin"/>
        </w:r>
        <w:r w:rsidR="00C27D1E">
          <w:rPr>
            <w:noProof/>
            <w:webHidden/>
          </w:rPr>
          <w:instrText xml:space="preserve"> PAGEREF _Toc299353377 \h </w:instrText>
        </w:r>
        <w:r>
          <w:rPr>
            <w:noProof/>
            <w:webHidden/>
          </w:rPr>
        </w:r>
        <w:r>
          <w:rPr>
            <w:noProof/>
            <w:webHidden/>
          </w:rPr>
          <w:fldChar w:fldCharType="separate"/>
        </w:r>
        <w:r w:rsidR="006058C4">
          <w:rPr>
            <w:noProof/>
            <w:webHidden/>
          </w:rPr>
          <w:t>32</w:t>
        </w:r>
        <w:r>
          <w:rPr>
            <w:noProof/>
            <w:webHidden/>
          </w:rPr>
          <w:fldChar w:fldCharType="end"/>
        </w:r>
      </w:hyperlink>
    </w:p>
    <w:p w:rsidR="00C27D1E" w:rsidRDefault="001615B4">
      <w:pPr>
        <w:pStyle w:val="TOC2"/>
        <w:tabs>
          <w:tab w:val="right" w:leader="dot" w:pos="9350"/>
        </w:tabs>
        <w:rPr>
          <w:noProof/>
          <w:lang w:val="nl-NL" w:eastAsia="nl-NL"/>
        </w:rPr>
      </w:pPr>
      <w:hyperlink w:anchor="_Toc299353378" w:history="1">
        <w:r w:rsidR="00C27D1E" w:rsidRPr="00F82CAB">
          <w:rPr>
            <w:rStyle w:val="Hyperlink"/>
            <w:noProof/>
          </w:rPr>
          <w:t>3.1 Incentives of Corporate Social Responsibility strategy and reporting</w:t>
        </w:r>
        <w:r w:rsidR="00C27D1E">
          <w:rPr>
            <w:noProof/>
            <w:webHidden/>
          </w:rPr>
          <w:tab/>
        </w:r>
        <w:r>
          <w:rPr>
            <w:noProof/>
            <w:webHidden/>
          </w:rPr>
          <w:fldChar w:fldCharType="begin"/>
        </w:r>
        <w:r w:rsidR="00C27D1E">
          <w:rPr>
            <w:noProof/>
            <w:webHidden/>
          </w:rPr>
          <w:instrText xml:space="preserve"> PAGEREF _Toc299353378 \h </w:instrText>
        </w:r>
        <w:r>
          <w:rPr>
            <w:noProof/>
            <w:webHidden/>
          </w:rPr>
        </w:r>
        <w:r>
          <w:rPr>
            <w:noProof/>
            <w:webHidden/>
          </w:rPr>
          <w:fldChar w:fldCharType="separate"/>
        </w:r>
        <w:r w:rsidR="006058C4">
          <w:rPr>
            <w:noProof/>
            <w:webHidden/>
          </w:rPr>
          <w:t>32</w:t>
        </w:r>
        <w:r>
          <w:rPr>
            <w:noProof/>
            <w:webHidden/>
          </w:rPr>
          <w:fldChar w:fldCharType="end"/>
        </w:r>
      </w:hyperlink>
    </w:p>
    <w:p w:rsidR="00C27D1E" w:rsidRDefault="001615B4">
      <w:pPr>
        <w:pStyle w:val="TOC3"/>
        <w:tabs>
          <w:tab w:val="right" w:leader="dot" w:pos="9350"/>
        </w:tabs>
        <w:rPr>
          <w:noProof/>
          <w:lang w:val="nl-NL" w:eastAsia="nl-NL"/>
        </w:rPr>
      </w:pPr>
      <w:hyperlink w:anchor="_Toc299353379" w:history="1">
        <w:r w:rsidR="00C27D1E" w:rsidRPr="00F82CAB">
          <w:rPr>
            <w:rStyle w:val="Hyperlink"/>
            <w:noProof/>
          </w:rPr>
          <w:t>3.1.1 Corporate Social Responsibility strategy and reporting  incentives</w:t>
        </w:r>
        <w:r w:rsidR="00C27D1E">
          <w:rPr>
            <w:noProof/>
            <w:webHidden/>
          </w:rPr>
          <w:tab/>
        </w:r>
        <w:r>
          <w:rPr>
            <w:noProof/>
            <w:webHidden/>
          </w:rPr>
          <w:fldChar w:fldCharType="begin"/>
        </w:r>
        <w:r w:rsidR="00C27D1E">
          <w:rPr>
            <w:noProof/>
            <w:webHidden/>
          </w:rPr>
          <w:instrText xml:space="preserve"> PAGEREF _Toc299353379 \h </w:instrText>
        </w:r>
        <w:r>
          <w:rPr>
            <w:noProof/>
            <w:webHidden/>
          </w:rPr>
        </w:r>
        <w:r>
          <w:rPr>
            <w:noProof/>
            <w:webHidden/>
          </w:rPr>
          <w:fldChar w:fldCharType="separate"/>
        </w:r>
        <w:r w:rsidR="006058C4">
          <w:rPr>
            <w:noProof/>
            <w:webHidden/>
          </w:rPr>
          <w:t>32</w:t>
        </w:r>
        <w:r>
          <w:rPr>
            <w:noProof/>
            <w:webHidden/>
          </w:rPr>
          <w:fldChar w:fldCharType="end"/>
        </w:r>
      </w:hyperlink>
    </w:p>
    <w:p w:rsidR="00C27D1E" w:rsidRDefault="001615B4">
      <w:pPr>
        <w:pStyle w:val="TOC3"/>
        <w:tabs>
          <w:tab w:val="right" w:leader="dot" w:pos="9350"/>
        </w:tabs>
        <w:rPr>
          <w:noProof/>
          <w:lang w:val="nl-NL" w:eastAsia="nl-NL"/>
        </w:rPr>
      </w:pPr>
      <w:hyperlink w:anchor="_Toc299353380" w:history="1">
        <w:r w:rsidR="00C27D1E" w:rsidRPr="00F82CAB">
          <w:rPr>
            <w:rStyle w:val="Hyperlink"/>
            <w:noProof/>
          </w:rPr>
          <w:t>3.1.2 Implementing Corporate Social Responsibility strategy and report</w:t>
        </w:r>
        <w:r w:rsidR="00C27D1E">
          <w:rPr>
            <w:noProof/>
            <w:webHidden/>
          </w:rPr>
          <w:tab/>
        </w:r>
        <w:r>
          <w:rPr>
            <w:noProof/>
            <w:webHidden/>
          </w:rPr>
          <w:fldChar w:fldCharType="begin"/>
        </w:r>
        <w:r w:rsidR="00C27D1E">
          <w:rPr>
            <w:noProof/>
            <w:webHidden/>
          </w:rPr>
          <w:instrText xml:space="preserve"> PAGEREF _Toc299353380 \h </w:instrText>
        </w:r>
        <w:r>
          <w:rPr>
            <w:noProof/>
            <w:webHidden/>
          </w:rPr>
        </w:r>
        <w:r>
          <w:rPr>
            <w:noProof/>
            <w:webHidden/>
          </w:rPr>
          <w:fldChar w:fldCharType="separate"/>
        </w:r>
        <w:r w:rsidR="006058C4">
          <w:rPr>
            <w:noProof/>
            <w:webHidden/>
          </w:rPr>
          <w:t>37</w:t>
        </w:r>
        <w:r>
          <w:rPr>
            <w:noProof/>
            <w:webHidden/>
          </w:rPr>
          <w:fldChar w:fldCharType="end"/>
        </w:r>
      </w:hyperlink>
    </w:p>
    <w:p w:rsidR="00C27D1E" w:rsidRDefault="001615B4">
      <w:pPr>
        <w:pStyle w:val="TOC3"/>
        <w:tabs>
          <w:tab w:val="right" w:leader="dot" w:pos="9350"/>
        </w:tabs>
        <w:rPr>
          <w:noProof/>
          <w:lang w:val="nl-NL" w:eastAsia="nl-NL"/>
        </w:rPr>
      </w:pPr>
      <w:hyperlink w:anchor="_Toc299353381" w:history="1">
        <w:r w:rsidR="00C27D1E" w:rsidRPr="00F82CAB">
          <w:rPr>
            <w:rStyle w:val="Hyperlink"/>
            <w:noProof/>
          </w:rPr>
          <w:t>3.1.5 Summary incentives Corporate Social Responsibility strategy and report</w:t>
        </w:r>
        <w:r w:rsidR="00C27D1E">
          <w:rPr>
            <w:noProof/>
            <w:webHidden/>
          </w:rPr>
          <w:tab/>
        </w:r>
        <w:r>
          <w:rPr>
            <w:noProof/>
            <w:webHidden/>
          </w:rPr>
          <w:fldChar w:fldCharType="begin"/>
        </w:r>
        <w:r w:rsidR="00C27D1E">
          <w:rPr>
            <w:noProof/>
            <w:webHidden/>
          </w:rPr>
          <w:instrText xml:space="preserve"> PAGEREF _Toc299353381 \h </w:instrText>
        </w:r>
        <w:r>
          <w:rPr>
            <w:noProof/>
            <w:webHidden/>
          </w:rPr>
        </w:r>
        <w:r>
          <w:rPr>
            <w:noProof/>
            <w:webHidden/>
          </w:rPr>
          <w:fldChar w:fldCharType="separate"/>
        </w:r>
        <w:r w:rsidR="006058C4">
          <w:rPr>
            <w:noProof/>
            <w:webHidden/>
          </w:rPr>
          <w:t>39</w:t>
        </w:r>
        <w:r>
          <w:rPr>
            <w:noProof/>
            <w:webHidden/>
          </w:rPr>
          <w:fldChar w:fldCharType="end"/>
        </w:r>
      </w:hyperlink>
    </w:p>
    <w:p w:rsidR="00C27D1E" w:rsidRDefault="001615B4">
      <w:pPr>
        <w:pStyle w:val="TOC2"/>
        <w:tabs>
          <w:tab w:val="right" w:leader="dot" w:pos="9350"/>
        </w:tabs>
        <w:rPr>
          <w:noProof/>
          <w:lang w:val="nl-NL" w:eastAsia="nl-NL"/>
        </w:rPr>
      </w:pPr>
      <w:hyperlink w:anchor="_Toc299353382" w:history="1">
        <w:r w:rsidR="00C27D1E" w:rsidRPr="00F82CAB">
          <w:rPr>
            <w:rStyle w:val="Hyperlink"/>
            <w:noProof/>
          </w:rPr>
          <w:t>3.2 Impacts of Corporate Social Responsibility Report</w:t>
        </w:r>
        <w:r w:rsidR="00C27D1E">
          <w:rPr>
            <w:noProof/>
            <w:webHidden/>
          </w:rPr>
          <w:tab/>
        </w:r>
        <w:r>
          <w:rPr>
            <w:noProof/>
            <w:webHidden/>
          </w:rPr>
          <w:fldChar w:fldCharType="begin"/>
        </w:r>
        <w:r w:rsidR="00C27D1E">
          <w:rPr>
            <w:noProof/>
            <w:webHidden/>
          </w:rPr>
          <w:instrText xml:space="preserve"> PAGEREF _Toc299353382 \h </w:instrText>
        </w:r>
        <w:r>
          <w:rPr>
            <w:noProof/>
            <w:webHidden/>
          </w:rPr>
        </w:r>
        <w:r>
          <w:rPr>
            <w:noProof/>
            <w:webHidden/>
          </w:rPr>
          <w:fldChar w:fldCharType="separate"/>
        </w:r>
        <w:r w:rsidR="006058C4">
          <w:rPr>
            <w:noProof/>
            <w:webHidden/>
          </w:rPr>
          <w:t>39</w:t>
        </w:r>
        <w:r>
          <w:rPr>
            <w:noProof/>
            <w:webHidden/>
          </w:rPr>
          <w:fldChar w:fldCharType="end"/>
        </w:r>
      </w:hyperlink>
    </w:p>
    <w:p w:rsidR="00C27D1E" w:rsidRDefault="001615B4">
      <w:pPr>
        <w:pStyle w:val="TOC3"/>
        <w:tabs>
          <w:tab w:val="right" w:leader="dot" w:pos="9350"/>
        </w:tabs>
        <w:rPr>
          <w:noProof/>
          <w:lang w:val="nl-NL" w:eastAsia="nl-NL"/>
        </w:rPr>
      </w:pPr>
      <w:hyperlink w:anchor="_Toc299353383" w:history="1">
        <w:r w:rsidR="00C27D1E" w:rsidRPr="00F82CAB">
          <w:rPr>
            <w:rStyle w:val="Hyperlink"/>
            <w:noProof/>
          </w:rPr>
          <w:t>3.2.1Forecast accuracy</w:t>
        </w:r>
        <w:r w:rsidR="00C27D1E">
          <w:rPr>
            <w:noProof/>
            <w:webHidden/>
          </w:rPr>
          <w:tab/>
        </w:r>
        <w:r>
          <w:rPr>
            <w:noProof/>
            <w:webHidden/>
          </w:rPr>
          <w:fldChar w:fldCharType="begin"/>
        </w:r>
        <w:r w:rsidR="00C27D1E">
          <w:rPr>
            <w:noProof/>
            <w:webHidden/>
          </w:rPr>
          <w:instrText xml:space="preserve"> PAGEREF _Toc299353383 \h </w:instrText>
        </w:r>
        <w:r>
          <w:rPr>
            <w:noProof/>
            <w:webHidden/>
          </w:rPr>
        </w:r>
        <w:r>
          <w:rPr>
            <w:noProof/>
            <w:webHidden/>
          </w:rPr>
          <w:fldChar w:fldCharType="separate"/>
        </w:r>
        <w:r w:rsidR="006058C4">
          <w:rPr>
            <w:noProof/>
            <w:webHidden/>
          </w:rPr>
          <w:t>39</w:t>
        </w:r>
        <w:r>
          <w:rPr>
            <w:noProof/>
            <w:webHidden/>
          </w:rPr>
          <w:fldChar w:fldCharType="end"/>
        </w:r>
      </w:hyperlink>
    </w:p>
    <w:p w:rsidR="00C27D1E" w:rsidRDefault="001615B4">
      <w:pPr>
        <w:pStyle w:val="TOC3"/>
        <w:tabs>
          <w:tab w:val="right" w:leader="dot" w:pos="9350"/>
        </w:tabs>
        <w:rPr>
          <w:noProof/>
          <w:lang w:val="nl-NL" w:eastAsia="nl-NL"/>
        </w:rPr>
      </w:pPr>
      <w:hyperlink w:anchor="_Toc299353384" w:history="1">
        <w:r w:rsidR="00C27D1E" w:rsidRPr="00F82CAB">
          <w:rPr>
            <w:rStyle w:val="Hyperlink"/>
            <w:noProof/>
          </w:rPr>
          <w:t>3.2.2 Public sentiment</w:t>
        </w:r>
        <w:r w:rsidR="00C27D1E">
          <w:rPr>
            <w:noProof/>
            <w:webHidden/>
          </w:rPr>
          <w:tab/>
        </w:r>
        <w:r>
          <w:rPr>
            <w:noProof/>
            <w:webHidden/>
          </w:rPr>
          <w:fldChar w:fldCharType="begin"/>
        </w:r>
        <w:r w:rsidR="00C27D1E">
          <w:rPr>
            <w:noProof/>
            <w:webHidden/>
          </w:rPr>
          <w:instrText xml:space="preserve"> PAGEREF _Toc299353384 \h </w:instrText>
        </w:r>
        <w:r>
          <w:rPr>
            <w:noProof/>
            <w:webHidden/>
          </w:rPr>
        </w:r>
        <w:r>
          <w:rPr>
            <w:noProof/>
            <w:webHidden/>
          </w:rPr>
          <w:fldChar w:fldCharType="separate"/>
        </w:r>
        <w:r w:rsidR="006058C4">
          <w:rPr>
            <w:noProof/>
            <w:webHidden/>
          </w:rPr>
          <w:t>42</w:t>
        </w:r>
        <w:r>
          <w:rPr>
            <w:noProof/>
            <w:webHidden/>
          </w:rPr>
          <w:fldChar w:fldCharType="end"/>
        </w:r>
      </w:hyperlink>
    </w:p>
    <w:p w:rsidR="00C27D1E" w:rsidRDefault="001615B4">
      <w:pPr>
        <w:pStyle w:val="TOC3"/>
        <w:tabs>
          <w:tab w:val="right" w:leader="dot" w:pos="9350"/>
        </w:tabs>
        <w:rPr>
          <w:noProof/>
          <w:lang w:val="nl-NL" w:eastAsia="nl-NL"/>
        </w:rPr>
      </w:pPr>
      <w:hyperlink w:anchor="_Toc299353385" w:history="1">
        <w:r w:rsidR="00C27D1E" w:rsidRPr="00F82CAB">
          <w:rPr>
            <w:rStyle w:val="Hyperlink"/>
            <w:noProof/>
          </w:rPr>
          <w:t>3.2.3 Financial impacts</w:t>
        </w:r>
        <w:r w:rsidR="00C27D1E">
          <w:rPr>
            <w:noProof/>
            <w:webHidden/>
          </w:rPr>
          <w:tab/>
        </w:r>
        <w:r>
          <w:rPr>
            <w:noProof/>
            <w:webHidden/>
          </w:rPr>
          <w:fldChar w:fldCharType="begin"/>
        </w:r>
        <w:r w:rsidR="00C27D1E">
          <w:rPr>
            <w:noProof/>
            <w:webHidden/>
          </w:rPr>
          <w:instrText xml:space="preserve"> PAGEREF _Toc299353385 \h </w:instrText>
        </w:r>
        <w:r>
          <w:rPr>
            <w:noProof/>
            <w:webHidden/>
          </w:rPr>
        </w:r>
        <w:r>
          <w:rPr>
            <w:noProof/>
            <w:webHidden/>
          </w:rPr>
          <w:fldChar w:fldCharType="separate"/>
        </w:r>
        <w:r w:rsidR="006058C4">
          <w:rPr>
            <w:noProof/>
            <w:webHidden/>
          </w:rPr>
          <w:t>44</w:t>
        </w:r>
        <w:r>
          <w:rPr>
            <w:noProof/>
            <w:webHidden/>
          </w:rPr>
          <w:fldChar w:fldCharType="end"/>
        </w:r>
      </w:hyperlink>
    </w:p>
    <w:p w:rsidR="00C27D1E" w:rsidRDefault="001615B4">
      <w:pPr>
        <w:pStyle w:val="TOC3"/>
        <w:tabs>
          <w:tab w:val="right" w:leader="dot" w:pos="9350"/>
        </w:tabs>
        <w:rPr>
          <w:rStyle w:val="Hyperlink"/>
          <w:noProof/>
        </w:rPr>
      </w:pPr>
      <w:hyperlink w:anchor="_Toc299353386" w:history="1">
        <w:r w:rsidR="00C27D1E" w:rsidRPr="00F82CAB">
          <w:rPr>
            <w:rStyle w:val="Hyperlink"/>
            <w:noProof/>
          </w:rPr>
          <w:t>3.2.4 Summary impacts</w:t>
        </w:r>
        <w:r w:rsidR="00C27D1E">
          <w:rPr>
            <w:noProof/>
            <w:webHidden/>
          </w:rPr>
          <w:tab/>
        </w:r>
        <w:r>
          <w:rPr>
            <w:noProof/>
            <w:webHidden/>
          </w:rPr>
          <w:fldChar w:fldCharType="begin"/>
        </w:r>
        <w:r w:rsidR="00C27D1E">
          <w:rPr>
            <w:noProof/>
            <w:webHidden/>
          </w:rPr>
          <w:instrText xml:space="preserve"> PAGEREF _Toc299353386 \h </w:instrText>
        </w:r>
        <w:r>
          <w:rPr>
            <w:noProof/>
            <w:webHidden/>
          </w:rPr>
        </w:r>
        <w:r>
          <w:rPr>
            <w:noProof/>
            <w:webHidden/>
          </w:rPr>
          <w:fldChar w:fldCharType="separate"/>
        </w:r>
        <w:r w:rsidR="006058C4">
          <w:rPr>
            <w:noProof/>
            <w:webHidden/>
          </w:rPr>
          <w:t>48</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387" w:history="1">
        <w:r w:rsidR="00C27D1E" w:rsidRPr="00F82CAB">
          <w:rPr>
            <w:rStyle w:val="Hyperlink"/>
            <w:noProof/>
          </w:rPr>
          <w:t>Chapter 4 Hypotheses development</w:t>
        </w:r>
        <w:r w:rsidR="00C27D1E">
          <w:rPr>
            <w:noProof/>
            <w:webHidden/>
          </w:rPr>
          <w:tab/>
        </w:r>
        <w:r>
          <w:rPr>
            <w:noProof/>
            <w:webHidden/>
          </w:rPr>
          <w:fldChar w:fldCharType="begin"/>
        </w:r>
        <w:r w:rsidR="00C27D1E">
          <w:rPr>
            <w:noProof/>
            <w:webHidden/>
          </w:rPr>
          <w:instrText xml:space="preserve"> PAGEREF _Toc299353387 \h </w:instrText>
        </w:r>
        <w:r>
          <w:rPr>
            <w:noProof/>
            <w:webHidden/>
          </w:rPr>
        </w:r>
        <w:r>
          <w:rPr>
            <w:noProof/>
            <w:webHidden/>
          </w:rPr>
          <w:fldChar w:fldCharType="separate"/>
        </w:r>
        <w:r w:rsidR="006058C4">
          <w:rPr>
            <w:noProof/>
            <w:webHidden/>
          </w:rPr>
          <w:t>50</w:t>
        </w:r>
        <w:r>
          <w:rPr>
            <w:noProof/>
            <w:webHidden/>
          </w:rPr>
          <w:fldChar w:fldCharType="end"/>
        </w:r>
      </w:hyperlink>
    </w:p>
    <w:p w:rsidR="00C27D1E" w:rsidRDefault="001615B4">
      <w:pPr>
        <w:pStyle w:val="TOC2"/>
        <w:tabs>
          <w:tab w:val="right" w:leader="dot" w:pos="9350"/>
        </w:tabs>
        <w:rPr>
          <w:noProof/>
          <w:lang w:val="nl-NL" w:eastAsia="nl-NL"/>
        </w:rPr>
      </w:pPr>
      <w:hyperlink w:anchor="_Toc299353388" w:history="1">
        <w:r w:rsidR="00C27D1E" w:rsidRPr="00F82CAB">
          <w:rPr>
            <w:rStyle w:val="Hyperlink"/>
            <w:noProof/>
          </w:rPr>
          <w:t>4.1 Development of the main hypothesis</w:t>
        </w:r>
        <w:r w:rsidR="00C27D1E">
          <w:rPr>
            <w:noProof/>
            <w:webHidden/>
          </w:rPr>
          <w:tab/>
        </w:r>
        <w:r>
          <w:rPr>
            <w:noProof/>
            <w:webHidden/>
          </w:rPr>
          <w:fldChar w:fldCharType="begin"/>
        </w:r>
        <w:r w:rsidR="00C27D1E">
          <w:rPr>
            <w:noProof/>
            <w:webHidden/>
          </w:rPr>
          <w:instrText xml:space="preserve"> PAGEREF _Toc299353388 \h </w:instrText>
        </w:r>
        <w:r>
          <w:rPr>
            <w:noProof/>
            <w:webHidden/>
          </w:rPr>
        </w:r>
        <w:r>
          <w:rPr>
            <w:noProof/>
            <w:webHidden/>
          </w:rPr>
          <w:fldChar w:fldCharType="separate"/>
        </w:r>
        <w:r w:rsidR="006058C4">
          <w:rPr>
            <w:noProof/>
            <w:webHidden/>
          </w:rPr>
          <w:t>50</w:t>
        </w:r>
        <w:r>
          <w:rPr>
            <w:noProof/>
            <w:webHidden/>
          </w:rPr>
          <w:fldChar w:fldCharType="end"/>
        </w:r>
      </w:hyperlink>
    </w:p>
    <w:p w:rsidR="00C27D1E" w:rsidRDefault="001615B4">
      <w:pPr>
        <w:pStyle w:val="TOC2"/>
        <w:tabs>
          <w:tab w:val="right" w:leader="dot" w:pos="9350"/>
        </w:tabs>
        <w:rPr>
          <w:noProof/>
          <w:lang w:val="nl-NL" w:eastAsia="nl-NL"/>
        </w:rPr>
      </w:pPr>
      <w:hyperlink w:anchor="_Toc299353389" w:history="1">
        <w:r w:rsidR="00C27D1E" w:rsidRPr="00F82CAB">
          <w:rPr>
            <w:rStyle w:val="Hyperlink"/>
            <w:noProof/>
          </w:rPr>
          <w:t>4.2 Difference compared to previous studies</w:t>
        </w:r>
        <w:r w:rsidR="00C27D1E">
          <w:rPr>
            <w:noProof/>
            <w:webHidden/>
          </w:rPr>
          <w:tab/>
        </w:r>
        <w:r>
          <w:rPr>
            <w:noProof/>
            <w:webHidden/>
          </w:rPr>
          <w:fldChar w:fldCharType="begin"/>
        </w:r>
        <w:r w:rsidR="00C27D1E">
          <w:rPr>
            <w:noProof/>
            <w:webHidden/>
          </w:rPr>
          <w:instrText xml:space="preserve"> PAGEREF _Toc299353389 \h </w:instrText>
        </w:r>
        <w:r>
          <w:rPr>
            <w:noProof/>
            <w:webHidden/>
          </w:rPr>
        </w:r>
        <w:r>
          <w:rPr>
            <w:noProof/>
            <w:webHidden/>
          </w:rPr>
          <w:fldChar w:fldCharType="separate"/>
        </w:r>
        <w:r w:rsidR="006058C4">
          <w:rPr>
            <w:noProof/>
            <w:webHidden/>
          </w:rPr>
          <w:t>52</w:t>
        </w:r>
        <w:r>
          <w:rPr>
            <w:noProof/>
            <w:webHidden/>
          </w:rPr>
          <w:fldChar w:fldCharType="end"/>
        </w:r>
      </w:hyperlink>
    </w:p>
    <w:p w:rsidR="00C27D1E" w:rsidRDefault="001615B4">
      <w:pPr>
        <w:pStyle w:val="TOC2"/>
        <w:tabs>
          <w:tab w:val="right" w:leader="dot" w:pos="9350"/>
        </w:tabs>
        <w:rPr>
          <w:noProof/>
          <w:lang w:val="nl-NL" w:eastAsia="nl-NL"/>
        </w:rPr>
      </w:pPr>
      <w:hyperlink w:anchor="_Toc299353390" w:history="1">
        <w:r w:rsidR="00C27D1E" w:rsidRPr="00F82CAB">
          <w:rPr>
            <w:rStyle w:val="Hyperlink"/>
            <w:noProof/>
          </w:rPr>
          <w:t>4.3 Development of sub hypotheses</w:t>
        </w:r>
        <w:r w:rsidR="00C27D1E">
          <w:rPr>
            <w:noProof/>
            <w:webHidden/>
          </w:rPr>
          <w:tab/>
        </w:r>
        <w:r>
          <w:rPr>
            <w:noProof/>
            <w:webHidden/>
          </w:rPr>
          <w:fldChar w:fldCharType="begin"/>
        </w:r>
        <w:r w:rsidR="00C27D1E">
          <w:rPr>
            <w:noProof/>
            <w:webHidden/>
          </w:rPr>
          <w:instrText xml:space="preserve"> PAGEREF _Toc299353390 \h </w:instrText>
        </w:r>
        <w:r>
          <w:rPr>
            <w:noProof/>
            <w:webHidden/>
          </w:rPr>
        </w:r>
        <w:r>
          <w:rPr>
            <w:noProof/>
            <w:webHidden/>
          </w:rPr>
          <w:fldChar w:fldCharType="separate"/>
        </w:r>
        <w:r w:rsidR="006058C4">
          <w:rPr>
            <w:noProof/>
            <w:webHidden/>
          </w:rPr>
          <w:t>54</w:t>
        </w:r>
        <w:r>
          <w:rPr>
            <w:noProof/>
            <w:webHidden/>
          </w:rPr>
          <w:fldChar w:fldCharType="end"/>
        </w:r>
      </w:hyperlink>
    </w:p>
    <w:p w:rsidR="00C27D1E" w:rsidRDefault="001615B4">
      <w:pPr>
        <w:pStyle w:val="TOC2"/>
        <w:tabs>
          <w:tab w:val="right" w:leader="dot" w:pos="9350"/>
        </w:tabs>
        <w:rPr>
          <w:rStyle w:val="Hyperlink"/>
          <w:noProof/>
        </w:rPr>
      </w:pPr>
      <w:hyperlink w:anchor="_Toc299353391" w:history="1">
        <w:r w:rsidR="00C27D1E" w:rsidRPr="00F82CAB">
          <w:rPr>
            <w:rStyle w:val="Hyperlink"/>
            <w:noProof/>
          </w:rPr>
          <w:t>4.4 Summary hypothesis development</w:t>
        </w:r>
        <w:r w:rsidR="00C27D1E">
          <w:rPr>
            <w:noProof/>
            <w:webHidden/>
          </w:rPr>
          <w:tab/>
        </w:r>
        <w:r>
          <w:rPr>
            <w:noProof/>
            <w:webHidden/>
          </w:rPr>
          <w:fldChar w:fldCharType="begin"/>
        </w:r>
        <w:r w:rsidR="00C27D1E">
          <w:rPr>
            <w:noProof/>
            <w:webHidden/>
          </w:rPr>
          <w:instrText xml:space="preserve"> PAGEREF _Toc299353391 \h </w:instrText>
        </w:r>
        <w:r>
          <w:rPr>
            <w:noProof/>
            <w:webHidden/>
          </w:rPr>
        </w:r>
        <w:r>
          <w:rPr>
            <w:noProof/>
            <w:webHidden/>
          </w:rPr>
          <w:fldChar w:fldCharType="separate"/>
        </w:r>
        <w:r w:rsidR="006058C4">
          <w:rPr>
            <w:noProof/>
            <w:webHidden/>
          </w:rPr>
          <w:t>57</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392" w:history="1">
        <w:r w:rsidR="00C27D1E" w:rsidRPr="00F82CAB">
          <w:rPr>
            <w:rStyle w:val="Hyperlink"/>
            <w:noProof/>
          </w:rPr>
          <w:t>Chapter 5 Methodology</w:t>
        </w:r>
        <w:r w:rsidR="00C27D1E">
          <w:rPr>
            <w:noProof/>
            <w:webHidden/>
          </w:rPr>
          <w:tab/>
        </w:r>
        <w:r>
          <w:rPr>
            <w:noProof/>
            <w:webHidden/>
          </w:rPr>
          <w:fldChar w:fldCharType="begin"/>
        </w:r>
        <w:r w:rsidR="00C27D1E">
          <w:rPr>
            <w:noProof/>
            <w:webHidden/>
          </w:rPr>
          <w:instrText xml:space="preserve"> PAGEREF _Toc299353392 \h </w:instrText>
        </w:r>
        <w:r>
          <w:rPr>
            <w:noProof/>
            <w:webHidden/>
          </w:rPr>
        </w:r>
        <w:r>
          <w:rPr>
            <w:noProof/>
            <w:webHidden/>
          </w:rPr>
          <w:fldChar w:fldCharType="separate"/>
        </w:r>
        <w:r w:rsidR="006058C4">
          <w:rPr>
            <w:noProof/>
            <w:webHidden/>
          </w:rPr>
          <w:t>58</w:t>
        </w:r>
        <w:r>
          <w:rPr>
            <w:noProof/>
            <w:webHidden/>
          </w:rPr>
          <w:fldChar w:fldCharType="end"/>
        </w:r>
      </w:hyperlink>
    </w:p>
    <w:p w:rsidR="00C27D1E" w:rsidRDefault="001615B4">
      <w:pPr>
        <w:pStyle w:val="TOC2"/>
        <w:tabs>
          <w:tab w:val="right" w:leader="dot" w:pos="9350"/>
        </w:tabs>
        <w:rPr>
          <w:noProof/>
          <w:lang w:val="nl-NL" w:eastAsia="nl-NL"/>
        </w:rPr>
      </w:pPr>
      <w:hyperlink w:anchor="_Toc299353393" w:history="1">
        <w:r w:rsidR="00C27D1E" w:rsidRPr="00F82CAB">
          <w:rPr>
            <w:rStyle w:val="Hyperlink"/>
            <w:noProof/>
          </w:rPr>
          <w:t>5.1 Sample</w:t>
        </w:r>
        <w:r w:rsidR="00C27D1E">
          <w:rPr>
            <w:noProof/>
            <w:webHidden/>
          </w:rPr>
          <w:tab/>
        </w:r>
        <w:r>
          <w:rPr>
            <w:noProof/>
            <w:webHidden/>
          </w:rPr>
          <w:fldChar w:fldCharType="begin"/>
        </w:r>
        <w:r w:rsidR="00C27D1E">
          <w:rPr>
            <w:noProof/>
            <w:webHidden/>
          </w:rPr>
          <w:instrText xml:space="preserve"> PAGEREF _Toc299353393 \h </w:instrText>
        </w:r>
        <w:r>
          <w:rPr>
            <w:noProof/>
            <w:webHidden/>
          </w:rPr>
        </w:r>
        <w:r>
          <w:rPr>
            <w:noProof/>
            <w:webHidden/>
          </w:rPr>
          <w:fldChar w:fldCharType="separate"/>
        </w:r>
        <w:r w:rsidR="006058C4">
          <w:rPr>
            <w:noProof/>
            <w:webHidden/>
          </w:rPr>
          <w:t>58</w:t>
        </w:r>
        <w:r>
          <w:rPr>
            <w:noProof/>
            <w:webHidden/>
          </w:rPr>
          <w:fldChar w:fldCharType="end"/>
        </w:r>
      </w:hyperlink>
    </w:p>
    <w:p w:rsidR="00C27D1E" w:rsidRDefault="001615B4">
      <w:pPr>
        <w:pStyle w:val="TOC3"/>
        <w:tabs>
          <w:tab w:val="right" w:leader="dot" w:pos="9350"/>
        </w:tabs>
        <w:rPr>
          <w:noProof/>
          <w:lang w:val="nl-NL" w:eastAsia="nl-NL"/>
        </w:rPr>
      </w:pPr>
      <w:hyperlink w:anchor="_Toc299353394" w:history="1">
        <w:r w:rsidR="00C27D1E" w:rsidRPr="00F82CAB">
          <w:rPr>
            <w:rStyle w:val="Hyperlink"/>
            <w:noProof/>
          </w:rPr>
          <w:t>5.1.1 Used databases</w:t>
        </w:r>
        <w:r w:rsidR="00C27D1E">
          <w:rPr>
            <w:noProof/>
            <w:webHidden/>
          </w:rPr>
          <w:tab/>
        </w:r>
        <w:r>
          <w:rPr>
            <w:noProof/>
            <w:webHidden/>
          </w:rPr>
          <w:fldChar w:fldCharType="begin"/>
        </w:r>
        <w:r w:rsidR="00C27D1E">
          <w:rPr>
            <w:noProof/>
            <w:webHidden/>
          </w:rPr>
          <w:instrText xml:space="preserve"> PAGEREF _Toc299353394 \h </w:instrText>
        </w:r>
        <w:r>
          <w:rPr>
            <w:noProof/>
            <w:webHidden/>
          </w:rPr>
        </w:r>
        <w:r>
          <w:rPr>
            <w:noProof/>
            <w:webHidden/>
          </w:rPr>
          <w:fldChar w:fldCharType="separate"/>
        </w:r>
        <w:r w:rsidR="006058C4">
          <w:rPr>
            <w:noProof/>
            <w:webHidden/>
          </w:rPr>
          <w:t>58</w:t>
        </w:r>
        <w:r>
          <w:rPr>
            <w:noProof/>
            <w:webHidden/>
          </w:rPr>
          <w:fldChar w:fldCharType="end"/>
        </w:r>
      </w:hyperlink>
    </w:p>
    <w:p w:rsidR="00C27D1E" w:rsidRDefault="001615B4">
      <w:pPr>
        <w:pStyle w:val="TOC3"/>
        <w:tabs>
          <w:tab w:val="right" w:leader="dot" w:pos="9350"/>
        </w:tabs>
        <w:rPr>
          <w:noProof/>
          <w:lang w:val="nl-NL" w:eastAsia="nl-NL"/>
        </w:rPr>
      </w:pPr>
      <w:hyperlink w:anchor="_Toc299353395" w:history="1">
        <w:r w:rsidR="00C27D1E" w:rsidRPr="00F82CAB">
          <w:rPr>
            <w:rStyle w:val="Hyperlink"/>
            <w:noProof/>
          </w:rPr>
          <w:t>5.1.2 Development sample and time period</w:t>
        </w:r>
        <w:r w:rsidR="00C27D1E">
          <w:rPr>
            <w:noProof/>
            <w:webHidden/>
          </w:rPr>
          <w:tab/>
        </w:r>
        <w:r>
          <w:rPr>
            <w:noProof/>
            <w:webHidden/>
          </w:rPr>
          <w:fldChar w:fldCharType="begin"/>
        </w:r>
        <w:r w:rsidR="00C27D1E">
          <w:rPr>
            <w:noProof/>
            <w:webHidden/>
          </w:rPr>
          <w:instrText xml:space="preserve"> PAGEREF _Toc299353395 \h </w:instrText>
        </w:r>
        <w:r>
          <w:rPr>
            <w:noProof/>
            <w:webHidden/>
          </w:rPr>
        </w:r>
        <w:r>
          <w:rPr>
            <w:noProof/>
            <w:webHidden/>
          </w:rPr>
          <w:fldChar w:fldCharType="separate"/>
        </w:r>
        <w:r w:rsidR="006058C4">
          <w:rPr>
            <w:noProof/>
            <w:webHidden/>
          </w:rPr>
          <w:t>59</w:t>
        </w:r>
        <w:r>
          <w:rPr>
            <w:noProof/>
            <w:webHidden/>
          </w:rPr>
          <w:fldChar w:fldCharType="end"/>
        </w:r>
      </w:hyperlink>
    </w:p>
    <w:p w:rsidR="00C27D1E" w:rsidRDefault="001615B4">
      <w:pPr>
        <w:pStyle w:val="TOC2"/>
        <w:tabs>
          <w:tab w:val="right" w:leader="dot" w:pos="9350"/>
        </w:tabs>
        <w:rPr>
          <w:noProof/>
          <w:lang w:val="nl-NL" w:eastAsia="nl-NL"/>
        </w:rPr>
      </w:pPr>
      <w:hyperlink w:anchor="_Toc299353396" w:history="1">
        <w:r w:rsidR="00C27D1E" w:rsidRPr="00F82CAB">
          <w:rPr>
            <w:rStyle w:val="Hyperlink"/>
            <w:noProof/>
          </w:rPr>
          <w:t>5.2 Methodology of statistical research</w:t>
        </w:r>
        <w:r w:rsidR="00C27D1E">
          <w:rPr>
            <w:noProof/>
            <w:webHidden/>
          </w:rPr>
          <w:tab/>
        </w:r>
        <w:r>
          <w:rPr>
            <w:noProof/>
            <w:webHidden/>
          </w:rPr>
          <w:fldChar w:fldCharType="begin"/>
        </w:r>
        <w:r w:rsidR="00C27D1E">
          <w:rPr>
            <w:noProof/>
            <w:webHidden/>
          </w:rPr>
          <w:instrText xml:space="preserve"> PAGEREF _Toc299353396 \h </w:instrText>
        </w:r>
        <w:r>
          <w:rPr>
            <w:noProof/>
            <w:webHidden/>
          </w:rPr>
        </w:r>
        <w:r>
          <w:rPr>
            <w:noProof/>
            <w:webHidden/>
          </w:rPr>
          <w:fldChar w:fldCharType="separate"/>
        </w:r>
        <w:r w:rsidR="006058C4">
          <w:rPr>
            <w:noProof/>
            <w:webHidden/>
          </w:rPr>
          <w:t>60</w:t>
        </w:r>
        <w:r>
          <w:rPr>
            <w:noProof/>
            <w:webHidden/>
          </w:rPr>
          <w:fldChar w:fldCharType="end"/>
        </w:r>
      </w:hyperlink>
    </w:p>
    <w:p w:rsidR="00C27D1E" w:rsidRDefault="001615B4">
      <w:pPr>
        <w:pStyle w:val="TOC2"/>
        <w:tabs>
          <w:tab w:val="right" w:leader="dot" w:pos="9350"/>
        </w:tabs>
        <w:rPr>
          <w:rStyle w:val="Hyperlink"/>
          <w:noProof/>
        </w:rPr>
      </w:pPr>
      <w:hyperlink w:anchor="_Toc299353397" w:history="1">
        <w:r w:rsidR="00C27D1E" w:rsidRPr="00F82CAB">
          <w:rPr>
            <w:rStyle w:val="Hyperlink"/>
            <w:noProof/>
          </w:rPr>
          <w:t>5.3 Data</w:t>
        </w:r>
        <w:r w:rsidR="00C27D1E">
          <w:rPr>
            <w:noProof/>
            <w:webHidden/>
          </w:rPr>
          <w:tab/>
        </w:r>
        <w:r>
          <w:rPr>
            <w:noProof/>
            <w:webHidden/>
          </w:rPr>
          <w:fldChar w:fldCharType="begin"/>
        </w:r>
        <w:r w:rsidR="00C27D1E">
          <w:rPr>
            <w:noProof/>
            <w:webHidden/>
          </w:rPr>
          <w:instrText xml:space="preserve"> PAGEREF _Toc299353397 \h </w:instrText>
        </w:r>
        <w:r>
          <w:rPr>
            <w:noProof/>
            <w:webHidden/>
          </w:rPr>
        </w:r>
        <w:r>
          <w:rPr>
            <w:noProof/>
            <w:webHidden/>
          </w:rPr>
          <w:fldChar w:fldCharType="separate"/>
        </w:r>
        <w:r w:rsidR="006058C4">
          <w:rPr>
            <w:noProof/>
            <w:webHidden/>
          </w:rPr>
          <w:t>61</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398" w:history="1">
        <w:r w:rsidR="00C27D1E" w:rsidRPr="00F82CAB">
          <w:rPr>
            <w:rStyle w:val="Hyperlink"/>
            <w:noProof/>
          </w:rPr>
          <w:t>Chapter 6 Analytical Results</w:t>
        </w:r>
        <w:r w:rsidR="00C27D1E">
          <w:rPr>
            <w:noProof/>
            <w:webHidden/>
          </w:rPr>
          <w:tab/>
        </w:r>
        <w:r>
          <w:rPr>
            <w:noProof/>
            <w:webHidden/>
          </w:rPr>
          <w:fldChar w:fldCharType="begin"/>
        </w:r>
        <w:r w:rsidR="00C27D1E">
          <w:rPr>
            <w:noProof/>
            <w:webHidden/>
          </w:rPr>
          <w:instrText xml:space="preserve"> PAGEREF _Toc299353398 \h </w:instrText>
        </w:r>
        <w:r>
          <w:rPr>
            <w:noProof/>
            <w:webHidden/>
          </w:rPr>
        </w:r>
        <w:r>
          <w:rPr>
            <w:noProof/>
            <w:webHidden/>
          </w:rPr>
          <w:fldChar w:fldCharType="separate"/>
        </w:r>
        <w:r w:rsidR="006058C4">
          <w:rPr>
            <w:noProof/>
            <w:webHidden/>
          </w:rPr>
          <w:t>64</w:t>
        </w:r>
        <w:r>
          <w:rPr>
            <w:noProof/>
            <w:webHidden/>
          </w:rPr>
          <w:fldChar w:fldCharType="end"/>
        </w:r>
      </w:hyperlink>
    </w:p>
    <w:p w:rsidR="00C27D1E" w:rsidRDefault="001615B4">
      <w:pPr>
        <w:pStyle w:val="TOC2"/>
        <w:tabs>
          <w:tab w:val="right" w:leader="dot" w:pos="9350"/>
        </w:tabs>
        <w:rPr>
          <w:noProof/>
          <w:lang w:val="nl-NL" w:eastAsia="nl-NL"/>
        </w:rPr>
      </w:pPr>
      <w:hyperlink w:anchor="_Toc299353399" w:history="1">
        <w:r w:rsidR="00C27D1E" w:rsidRPr="00F82CAB">
          <w:rPr>
            <w:rStyle w:val="Hyperlink"/>
            <w:noProof/>
          </w:rPr>
          <w:t>6.1 Descriptive analysis</w:t>
        </w:r>
        <w:r w:rsidR="00C27D1E">
          <w:rPr>
            <w:noProof/>
            <w:webHidden/>
          </w:rPr>
          <w:tab/>
        </w:r>
        <w:r>
          <w:rPr>
            <w:noProof/>
            <w:webHidden/>
          </w:rPr>
          <w:fldChar w:fldCharType="begin"/>
        </w:r>
        <w:r w:rsidR="00C27D1E">
          <w:rPr>
            <w:noProof/>
            <w:webHidden/>
          </w:rPr>
          <w:instrText xml:space="preserve"> PAGEREF _Toc299353399 \h </w:instrText>
        </w:r>
        <w:r>
          <w:rPr>
            <w:noProof/>
            <w:webHidden/>
          </w:rPr>
        </w:r>
        <w:r>
          <w:rPr>
            <w:noProof/>
            <w:webHidden/>
          </w:rPr>
          <w:fldChar w:fldCharType="separate"/>
        </w:r>
        <w:r w:rsidR="006058C4">
          <w:rPr>
            <w:noProof/>
            <w:webHidden/>
          </w:rPr>
          <w:t>64</w:t>
        </w:r>
        <w:r>
          <w:rPr>
            <w:noProof/>
            <w:webHidden/>
          </w:rPr>
          <w:fldChar w:fldCharType="end"/>
        </w:r>
      </w:hyperlink>
    </w:p>
    <w:p w:rsidR="00C27D1E" w:rsidRDefault="001615B4">
      <w:pPr>
        <w:pStyle w:val="TOC2"/>
        <w:tabs>
          <w:tab w:val="right" w:leader="dot" w:pos="9350"/>
        </w:tabs>
        <w:rPr>
          <w:noProof/>
          <w:lang w:val="nl-NL" w:eastAsia="nl-NL"/>
        </w:rPr>
      </w:pPr>
      <w:hyperlink w:anchor="_Toc299353400" w:history="1">
        <w:r w:rsidR="00C27D1E" w:rsidRPr="00F82CAB">
          <w:rPr>
            <w:rStyle w:val="Hyperlink"/>
            <w:noProof/>
          </w:rPr>
          <w:t>6.2 Statistical Results</w:t>
        </w:r>
        <w:r w:rsidR="00C27D1E">
          <w:rPr>
            <w:noProof/>
            <w:webHidden/>
          </w:rPr>
          <w:tab/>
        </w:r>
        <w:r>
          <w:rPr>
            <w:noProof/>
            <w:webHidden/>
          </w:rPr>
          <w:fldChar w:fldCharType="begin"/>
        </w:r>
        <w:r w:rsidR="00C27D1E">
          <w:rPr>
            <w:noProof/>
            <w:webHidden/>
          </w:rPr>
          <w:instrText xml:space="preserve"> PAGEREF _Toc299353400 \h </w:instrText>
        </w:r>
        <w:r>
          <w:rPr>
            <w:noProof/>
            <w:webHidden/>
          </w:rPr>
        </w:r>
        <w:r>
          <w:rPr>
            <w:noProof/>
            <w:webHidden/>
          </w:rPr>
          <w:fldChar w:fldCharType="separate"/>
        </w:r>
        <w:r w:rsidR="006058C4">
          <w:rPr>
            <w:noProof/>
            <w:webHidden/>
          </w:rPr>
          <w:t>67</w:t>
        </w:r>
        <w:r>
          <w:rPr>
            <w:noProof/>
            <w:webHidden/>
          </w:rPr>
          <w:fldChar w:fldCharType="end"/>
        </w:r>
      </w:hyperlink>
    </w:p>
    <w:p w:rsidR="00C27D1E" w:rsidRDefault="001615B4">
      <w:pPr>
        <w:pStyle w:val="TOC3"/>
        <w:tabs>
          <w:tab w:val="right" w:leader="dot" w:pos="9350"/>
        </w:tabs>
        <w:rPr>
          <w:noProof/>
          <w:lang w:val="nl-NL" w:eastAsia="nl-NL"/>
        </w:rPr>
      </w:pPr>
      <w:hyperlink w:anchor="_Toc299353401" w:history="1">
        <w:r w:rsidR="00C27D1E" w:rsidRPr="00F82CAB">
          <w:rPr>
            <w:rStyle w:val="Hyperlink"/>
            <w:noProof/>
          </w:rPr>
          <w:t>6.2.1 Correlation</w:t>
        </w:r>
        <w:r w:rsidR="00C27D1E">
          <w:rPr>
            <w:noProof/>
            <w:webHidden/>
          </w:rPr>
          <w:tab/>
        </w:r>
        <w:r>
          <w:rPr>
            <w:noProof/>
            <w:webHidden/>
          </w:rPr>
          <w:fldChar w:fldCharType="begin"/>
        </w:r>
        <w:r w:rsidR="00C27D1E">
          <w:rPr>
            <w:noProof/>
            <w:webHidden/>
          </w:rPr>
          <w:instrText xml:space="preserve"> PAGEREF _Toc299353401 \h </w:instrText>
        </w:r>
        <w:r>
          <w:rPr>
            <w:noProof/>
            <w:webHidden/>
          </w:rPr>
        </w:r>
        <w:r>
          <w:rPr>
            <w:noProof/>
            <w:webHidden/>
          </w:rPr>
          <w:fldChar w:fldCharType="separate"/>
        </w:r>
        <w:r w:rsidR="006058C4">
          <w:rPr>
            <w:noProof/>
            <w:webHidden/>
          </w:rPr>
          <w:t>67</w:t>
        </w:r>
        <w:r>
          <w:rPr>
            <w:noProof/>
            <w:webHidden/>
          </w:rPr>
          <w:fldChar w:fldCharType="end"/>
        </w:r>
      </w:hyperlink>
    </w:p>
    <w:p w:rsidR="00C27D1E" w:rsidRDefault="001615B4">
      <w:pPr>
        <w:pStyle w:val="TOC3"/>
        <w:tabs>
          <w:tab w:val="right" w:leader="dot" w:pos="9350"/>
        </w:tabs>
        <w:rPr>
          <w:rStyle w:val="Hyperlink"/>
          <w:noProof/>
        </w:rPr>
      </w:pPr>
      <w:hyperlink w:anchor="_Toc299353402" w:history="1">
        <w:r w:rsidR="00C27D1E" w:rsidRPr="00F82CAB">
          <w:rPr>
            <w:rStyle w:val="Hyperlink"/>
            <w:noProof/>
          </w:rPr>
          <w:t>6.2.2 Regression</w:t>
        </w:r>
        <w:r w:rsidR="00C27D1E">
          <w:rPr>
            <w:noProof/>
            <w:webHidden/>
          </w:rPr>
          <w:tab/>
        </w:r>
        <w:r>
          <w:rPr>
            <w:noProof/>
            <w:webHidden/>
          </w:rPr>
          <w:fldChar w:fldCharType="begin"/>
        </w:r>
        <w:r w:rsidR="00C27D1E">
          <w:rPr>
            <w:noProof/>
            <w:webHidden/>
          </w:rPr>
          <w:instrText xml:space="preserve"> PAGEREF _Toc299353402 \h </w:instrText>
        </w:r>
        <w:r>
          <w:rPr>
            <w:noProof/>
            <w:webHidden/>
          </w:rPr>
        </w:r>
        <w:r>
          <w:rPr>
            <w:noProof/>
            <w:webHidden/>
          </w:rPr>
          <w:fldChar w:fldCharType="separate"/>
        </w:r>
        <w:r w:rsidR="006058C4">
          <w:rPr>
            <w:noProof/>
            <w:webHidden/>
          </w:rPr>
          <w:t>72</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403" w:history="1">
        <w:r w:rsidR="00C27D1E" w:rsidRPr="00F82CAB">
          <w:rPr>
            <w:rStyle w:val="Hyperlink"/>
            <w:noProof/>
          </w:rPr>
          <w:t>Chapter 7 Conclusion</w:t>
        </w:r>
        <w:r w:rsidR="00C27D1E">
          <w:rPr>
            <w:noProof/>
            <w:webHidden/>
          </w:rPr>
          <w:tab/>
        </w:r>
        <w:r>
          <w:rPr>
            <w:noProof/>
            <w:webHidden/>
          </w:rPr>
          <w:fldChar w:fldCharType="begin"/>
        </w:r>
        <w:r w:rsidR="00C27D1E">
          <w:rPr>
            <w:noProof/>
            <w:webHidden/>
          </w:rPr>
          <w:instrText xml:space="preserve"> PAGEREF _Toc299353403 \h </w:instrText>
        </w:r>
        <w:r>
          <w:rPr>
            <w:noProof/>
            <w:webHidden/>
          </w:rPr>
        </w:r>
        <w:r>
          <w:rPr>
            <w:noProof/>
            <w:webHidden/>
          </w:rPr>
          <w:fldChar w:fldCharType="separate"/>
        </w:r>
        <w:r w:rsidR="006058C4">
          <w:rPr>
            <w:noProof/>
            <w:webHidden/>
          </w:rPr>
          <w:t>80</w:t>
        </w:r>
        <w:r>
          <w:rPr>
            <w:noProof/>
            <w:webHidden/>
          </w:rPr>
          <w:fldChar w:fldCharType="end"/>
        </w:r>
      </w:hyperlink>
    </w:p>
    <w:p w:rsidR="00C27D1E" w:rsidRDefault="001615B4">
      <w:pPr>
        <w:pStyle w:val="TOC2"/>
        <w:tabs>
          <w:tab w:val="right" w:leader="dot" w:pos="9350"/>
        </w:tabs>
        <w:rPr>
          <w:noProof/>
          <w:lang w:val="nl-NL" w:eastAsia="nl-NL"/>
        </w:rPr>
      </w:pPr>
      <w:hyperlink w:anchor="_Toc299353404" w:history="1">
        <w:r w:rsidR="00C27D1E" w:rsidRPr="00F82CAB">
          <w:rPr>
            <w:rStyle w:val="Hyperlink"/>
            <w:noProof/>
          </w:rPr>
          <w:t>7.1 Discussion</w:t>
        </w:r>
        <w:r w:rsidR="00C27D1E">
          <w:rPr>
            <w:noProof/>
            <w:webHidden/>
          </w:rPr>
          <w:tab/>
        </w:r>
        <w:r>
          <w:rPr>
            <w:noProof/>
            <w:webHidden/>
          </w:rPr>
          <w:fldChar w:fldCharType="begin"/>
        </w:r>
        <w:r w:rsidR="00C27D1E">
          <w:rPr>
            <w:noProof/>
            <w:webHidden/>
          </w:rPr>
          <w:instrText xml:space="preserve"> PAGEREF _Toc299353404 \h </w:instrText>
        </w:r>
        <w:r>
          <w:rPr>
            <w:noProof/>
            <w:webHidden/>
          </w:rPr>
        </w:r>
        <w:r>
          <w:rPr>
            <w:noProof/>
            <w:webHidden/>
          </w:rPr>
          <w:fldChar w:fldCharType="separate"/>
        </w:r>
        <w:r w:rsidR="006058C4">
          <w:rPr>
            <w:noProof/>
            <w:webHidden/>
          </w:rPr>
          <w:t>80</w:t>
        </w:r>
        <w:r>
          <w:rPr>
            <w:noProof/>
            <w:webHidden/>
          </w:rPr>
          <w:fldChar w:fldCharType="end"/>
        </w:r>
      </w:hyperlink>
    </w:p>
    <w:p w:rsidR="00C27D1E" w:rsidRDefault="001615B4">
      <w:pPr>
        <w:pStyle w:val="TOC2"/>
        <w:tabs>
          <w:tab w:val="right" w:leader="dot" w:pos="9350"/>
        </w:tabs>
        <w:rPr>
          <w:noProof/>
          <w:lang w:val="nl-NL" w:eastAsia="nl-NL"/>
        </w:rPr>
      </w:pPr>
      <w:hyperlink w:anchor="_Toc299353405" w:history="1">
        <w:r w:rsidR="00C27D1E" w:rsidRPr="00F82CAB">
          <w:rPr>
            <w:rStyle w:val="Hyperlink"/>
            <w:noProof/>
          </w:rPr>
          <w:t>7.2 Implications</w:t>
        </w:r>
        <w:r w:rsidR="00C27D1E">
          <w:rPr>
            <w:noProof/>
            <w:webHidden/>
          </w:rPr>
          <w:tab/>
        </w:r>
        <w:r>
          <w:rPr>
            <w:noProof/>
            <w:webHidden/>
          </w:rPr>
          <w:fldChar w:fldCharType="begin"/>
        </w:r>
        <w:r w:rsidR="00C27D1E">
          <w:rPr>
            <w:noProof/>
            <w:webHidden/>
          </w:rPr>
          <w:instrText xml:space="preserve"> PAGEREF _Toc299353405 \h </w:instrText>
        </w:r>
        <w:r>
          <w:rPr>
            <w:noProof/>
            <w:webHidden/>
          </w:rPr>
        </w:r>
        <w:r>
          <w:rPr>
            <w:noProof/>
            <w:webHidden/>
          </w:rPr>
          <w:fldChar w:fldCharType="separate"/>
        </w:r>
        <w:r w:rsidR="006058C4">
          <w:rPr>
            <w:noProof/>
            <w:webHidden/>
          </w:rPr>
          <w:t>82</w:t>
        </w:r>
        <w:r>
          <w:rPr>
            <w:noProof/>
            <w:webHidden/>
          </w:rPr>
          <w:fldChar w:fldCharType="end"/>
        </w:r>
      </w:hyperlink>
    </w:p>
    <w:p w:rsidR="00C27D1E" w:rsidRDefault="001615B4">
      <w:pPr>
        <w:pStyle w:val="TOC2"/>
        <w:tabs>
          <w:tab w:val="right" w:leader="dot" w:pos="9350"/>
        </w:tabs>
        <w:rPr>
          <w:rStyle w:val="Hyperlink"/>
          <w:noProof/>
        </w:rPr>
      </w:pPr>
      <w:hyperlink w:anchor="_Toc299353406" w:history="1">
        <w:r w:rsidR="00C27D1E" w:rsidRPr="00F82CAB">
          <w:rPr>
            <w:rStyle w:val="Hyperlink"/>
            <w:noProof/>
          </w:rPr>
          <w:t>7.3 Limitations and further research</w:t>
        </w:r>
        <w:r w:rsidR="00C27D1E">
          <w:rPr>
            <w:noProof/>
            <w:webHidden/>
          </w:rPr>
          <w:tab/>
        </w:r>
        <w:r>
          <w:rPr>
            <w:noProof/>
            <w:webHidden/>
          </w:rPr>
          <w:fldChar w:fldCharType="begin"/>
        </w:r>
        <w:r w:rsidR="00C27D1E">
          <w:rPr>
            <w:noProof/>
            <w:webHidden/>
          </w:rPr>
          <w:instrText xml:space="preserve"> PAGEREF _Toc299353406 \h </w:instrText>
        </w:r>
        <w:r>
          <w:rPr>
            <w:noProof/>
            <w:webHidden/>
          </w:rPr>
        </w:r>
        <w:r>
          <w:rPr>
            <w:noProof/>
            <w:webHidden/>
          </w:rPr>
          <w:fldChar w:fldCharType="separate"/>
        </w:r>
        <w:r w:rsidR="006058C4">
          <w:rPr>
            <w:noProof/>
            <w:webHidden/>
          </w:rPr>
          <w:t>83</w:t>
        </w:r>
        <w:r>
          <w:rPr>
            <w:noProof/>
            <w:webHidden/>
          </w:rPr>
          <w:fldChar w:fldCharType="end"/>
        </w:r>
      </w:hyperlink>
    </w:p>
    <w:p w:rsidR="00C27D1E" w:rsidRDefault="00C27D1E" w:rsidP="00C27D1E">
      <w:pPr>
        <w:rPr>
          <w:noProof/>
        </w:rPr>
      </w:pPr>
    </w:p>
    <w:p w:rsidR="00C27D1E" w:rsidRPr="00C27D1E" w:rsidRDefault="00C27D1E" w:rsidP="00C27D1E">
      <w:pPr>
        <w:rPr>
          <w:noProof/>
        </w:rPr>
      </w:pPr>
    </w:p>
    <w:p w:rsidR="00C27D1E" w:rsidRDefault="001615B4">
      <w:pPr>
        <w:pStyle w:val="TOC1"/>
        <w:tabs>
          <w:tab w:val="right" w:leader="dot" w:pos="9350"/>
        </w:tabs>
        <w:rPr>
          <w:rStyle w:val="Hyperlink"/>
          <w:noProof/>
        </w:rPr>
      </w:pPr>
      <w:hyperlink w:anchor="_Toc299353407" w:history="1">
        <w:r w:rsidR="00C27D1E" w:rsidRPr="00F82CAB">
          <w:rPr>
            <w:rStyle w:val="Hyperlink"/>
            <w:noProof/>
          </w:rPr>
          <w:t>References</w:t>
        </w:r>
        <w:r w:rsidR="00C27D1E">
          <w:rPr>
            <w:noProof/>
            <w:webHidden/>
          </w:rPr>
          <w:tab/>
        </w:r>
        <w:r>
          <w:rPr>
            <w:noProof/>
            <w:webHidden/>
          </w:rPr>
          <w:fldChar w:fldCharType="begin"/>
        </w:r>
        <w:r w:rsidR="00C27D1E">
          <w:rPr>
            <w:noProof/>
            <w:webHidden/>
          </w:rPr>
          <w:instrText xml:space="preserve"> PAGEREF _Toc299353407 \h </w:instrText>
        </w:r>
        <w:r>
          <w:rPr>
            <w:noProof/>
            <w:webHidden/>
          </w:rPr>
        </w:r>
        <w:r>
          <w:rPr>
            <w:noProof/>
            <w:webHidden/>
          </w:rPr>
          <w:fldChar w:fldCharType="separate"/>
        </w:r>
        <w:r w:rsidR="006058C4">
          <w:rPr>
            <w:noProof/>
            <w:webHidden/>
          </w:rPr>
          <w:t>84</w:t>
        </w:r>
        <w:r>
          <w:rPr>
            <w:noProof/>
            <w:webHidden/>
          </w:rPr>
          <w:fldChar w:fldCharType="end"/>
        </w:r>
      </w:hyperlink>
    </w:p>
    <w:p w:rsidR="00C27D1E" w:rsidRPr="00C27D1E" w:rsidRDefault="00C27D1E" w:rsidP="00C27D1E">
      <w:pPr>
        <w:rPr>
          <w:noProof/>
        </w:rPr>
      </w:pPr>
    </w:p>
    <w:p w:rsidR="00C27D1E" w:rsidRDefault="001615B4">
      <w:pPr>
        <w:pStyle w:val="TOC1"/>
        <w:tabs>
          <w:tab w:val="right" w:leader="dot" w:pos="9350"/>
        </w:tabs>
        <w:rPr>
          <w:noProof/>
          <w:lang w:val="nl-NL" w:eastAsia="nl-NL"/>
        </w:rPr>
      </w:pPr>
      <w:hyperlink w:anchor="_Toc299353408" w:history="1">
        <w:r w:rsidR="00C27D1E" w:rsidRPr="00F82CAB">
          <w:rPr>
            <w:rStyle w:val="Hyperlink"/>
            <w:noProof/>
          </w:rPr>
          <w:t>Appendix A: Companies included in sample</w:t>
        </w:r>
        <w:r w:rsidR="00C27D1E">
          <w:rPr>
            <w:noProof/>
            <w:webHidden/>
          </w:rPr>
          <w:tab/>
        </w:r>
        <w:r>
          <w:rPr>
            <w:noProof/>
            <w:webHidden/>
          </w:rPr>
          <w:fldChar w:fldCharType="begin"/>
        </w:r>
        <w:r w:rsidR="00C27D1E">
          <w:rPr>
            <w:noProof/>
            <w:webHidden/>
          </w:rPr>
          <w:instrText xml:space="preserve"> PAGEREF _Toc299353408 \h </w:instrText>
        </w:r>
        <w:r>
          <w:rPr>
            <w:noProof/>
            <w:webHidden/>
          </w:rPr>
        </w:r>
        <w:r>
          <w:rPr>
            <w:noProof/>
            <w:webHidden/>
          </w:rPr>
          <w:fldChar w:fldCharType="separate"/>
        </w:r>
        <w:r w:rsidR="006058C4">
          <w:rPr>
            <w:noProof/>
            <w:webHidden/>
          </w:rPr>
          <w:t>88</w:t>
        </w:r>
        <w:r>
          <w:rPr>
            <w:noProof/>
            <w:webHidden/>
          </w:rPr>
          <w:fldChar w:fldCharType="end"/>
        </w:r>
      </w:hyperlink>
    </w:p>
    <w:p w:rsidR="00C27D1E" w:rsidRDefault="001615B4">
      <w:pPr>
        <w:pStyle w:val="TOC1"/>
        <w:tabs>
          <w:tab w:val="right" w:leader="dot" w:pos="9350"/>
        </w:tabs>
        <w:rPr>
          <w:noProof/>
          <w:lang w:val="nl-NL" w:eastAsia="nl-NL"/>
        </w:rPr>
      </w:pPr>
      <w:hyperlink w:anchor="_Toc299353409" w:history="1">
        <w:r w:rsidR="00C27D1E" w:rsidRPr="00F82CAB">
          <w:rPr>
            <w:rStyle w:val="Hyperlink"/>
            <w:noProof/>
          </w:rPr>
          <w:t>Appendix B: Distribution CSR report levels over all variables</w:t>
        </w:r>
        <w:r w:rsidR="00C27D1E">
          <w:rPr>
            <w:noProof/>
            <w:webHidden/>
          </w:rPr>
          <w:tab/>
        </w:r>
        <w:r>
          <w:rPr>
            <w:noProof/>
            <w:webHidden/>
          </w:rPr>
          <w:fldChar w:fldCharType="begin"/>
        </w:r>
        <w:r w:rsidR="00C27D1E">
          <w:rPr>
            <w:noProof/>
            <w:webHidden/>
          </w:rPr>
          <w:instrText xml:space="preserve"> PAGEREF _Toc299353409 \h </w:instrText>
        </w:r>
        <w:r>
          <w:rPr>
            <w:noProof/>
            <w:webHidden/>
          </w:rPr>
        </w:r>
        <w:r>
          <w:rPr>
            <w:noProof/>
            <w:webHidden/>
          </w:rPr>
          <w:fldChar w:fldCharType="separate"/>
        </w:r>
        <w:r w:rsidR="006058C4">
          <w:rPr>
            <w:noProof/>
            <w:webHidden/>
          </w:rPr>
          <w:t>98</w:t>
        </w:r>
        <w:r>
          <w:rPr>
            <w:noProof/>
            <w:webHidden/>
          </w:rPr>
          <w:fldChar w:fldCharType="end"/>
        </w:r>
      </w:hyperlink>
    </w:p>
    <w:p w:rsidR="00795AB5" w:rsidRDefault="001615B4" w:rsidP="00452989">
      <w:pPr>
        <w:pStyle w:val="Heading1"/>
        <w:jc w:val="both"/>
      </w:pPr>
      <w:r>
        <w:fldChar w:fldCharType="end"/>
      </w:r>
    </w:p>
    <w:p w:rsidR="00B876E8" w:rsidRDefault="00B876E8"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B12C99" w:rsidRDefault="00B12C99" w:rsidP="00452989">
      <w:pPr>
        <w:jc w:val="both"/>
      </w:pPr>
    </w:p>
    <w:p w:rsidR="006058C4" w:rsidRDefault="006058C4" w:rsidP="00452989">
      <w:pPr>
        <w:jc w:val="both"/>
      </w:pPr>
    </w:p>
    <w:p w:rsidR="00B12C99" w:rsidRDefault="00B12C99" w:rsidP="00452989">
      <w:pPr>
        <w:jc w:val="both"/>
      </w:pPr>
    </w:p>
    <w:p w:rsidR="00B12C99" w:rsidRDefault="00B12C99" w:rsidP="00452989">
      <w:pPr>
        <w:jc w:val="both"/>
      </w:pPr>
    </w:p>
    <w:p w:rsidR="00631FDC" w:rsidRDefault="00631FDC" w:rsidP="00452989">
      <w:pPr>
        <w:pStyle w:val="Heading1"/>
        <w:spacing w:line="360" w:lineRule="auto"/>
        <w:jc w:val="both"/>
        <w:rPr>
          <w:u w:val="single"/>
        </w:rPr>
      </w:pPr>
      <w:bookmarkStart w:id="13" w:name="_Toc299353356"/>
      <w:r>
        <w:rPr>
          <w:u w:val="single"/>
        </w:rPr>
        <w:lastRenderedPageBreak/>
        <w:t>Chapter 1 Introduction</w:t>
      </w:r>
      <w:bookmarkEnd w:id="13"/>
    </w:p>
    <w:p w:rsidR="00631FDC" w:rsidRDefault="005065F9" w:rsidP="00452989">
      <w:pPr>
        <w:spacing w:line="360" w:lineRule="auto"/>
        <w:jc w:val="both"/>
      </w:pPr>
      <w:r>
        <w:t>The last decades e</w:t>
      </w:r>
      <w:r w:rsidR="009E7EAE">
        <w:t xml:space="preserve">nvironmental and social related </w:t>
      </w:r>
      <w:r>
        <w:t xml:space="preserve">impact </w:t>
      </w:r>
      <w:r w:rsidR="009E7EAE">
        <w:t xml:space="preserve">of companies </w:t>
      </w:r>
      <w:r>
        <w:t xml:space="preserve">is </w:t>
      </w:r>
      <w:r w:rsidR="009E7EAE">
        <w:t>under risi</w:t>
      </w:r>
      <w:r w:rsidR="00854BE4">
        <w:t xml:space="preserve">ng attention of </w:t>
      </w:r>
      <w:r w:rsidR="008C29AA">
        <w:t xml:space="preserve">the </w:t>
      </w:r>
      <w:r w:rsidR="00854BE4">
        <w:t>public. The ‘Deepwater Horizon Oil Split’ of April 2010 resulted in negative public attention of the oil company</w:t>
      </w:r>
      <w:r w:rsidR="00690EEF">
        <w:t>,</w:t>
      </w:r>
      <w:r w:rsidR="00854BE4">
        <w:t xml:space="preserve"> British Petroleum (BP). During three months oil was continuously </w:t>
      </w:r>
      <w:r>
        <w:t xml:space="preserve">spilling </w:t>
      </w:r>
      <w:r w:rsidR="00854BE4">
        <w:t>in</w:t>
      </w:r>
      <w:r>
        <w:t>to</w:t>
      </w:r>
      <w:r w:rsidR="00854BE4">
        <w:t xml:space="preserve"> the Gulf of Mexico. The</w:t>
      </w:r>
      <w:r w:rsidR="00E4031B">
        <w:t xml:space="preserve"> enormous</w:t>
      </w:r>
      <w:r w:rsidR="00854BE4">
        <w:t xml:space="preserve"> </w:t>
      </w:r>
      <w:r w:rsidR="00690EEF">
        <w:t>environmental damage due to BP’</w:t>
      </w:r>
      <w:r>
        <w:t>s</w:t>
      </w:r>
      <w:r w:rsidR="00690EEF">
        <w:t xml:space="preserve"> negligence</w:t>
      </w:r>
      <w:r w:rsidR="00E4031B">
        <w:t xml:space="preserve"> was wi</w:t>
      </w:r>
      <w:r w:rsidR="008C29AA">
        <w:t xml:space="preserve">dely described in the worldwide </w:t>
      </w:r>
      <w:r w:rsidR="00E4031B">
        <w:t>media.</w:t>
      </w:r>
      <w:r w:rsidR="00690EEF">
        <w:t xml:space="preserve"> Besides companies’ environmental issues,</w:t>
      </w:r>
      <w:r w:rsidR="00760063">
        <w:t xml:space="preserve"> social consequences and social responsibility also fac</w:t>
      </w:r>
      <w:r>
        <w:t>e</w:t>
      </w:r>
      <w:r w:rsidR="00690EEF">
        <w:t xml:space="preserve"> attention of </w:t>
      </w:r>
      <w:r w:rsidR="0031659A">
        <w:t xml:space="preserve">the </w:t>
      </w:r>
      <w:r w:rsidR="005E7ACD">
        <w:t xml:space="preserve">public. The public attention to </w:t>
      </w:r>
      <w:r w:rsidR="00760063">
        <w:t xml:space="preserve">social </w:t>
      </w:r>
      <w:r w:rsidR="00866FED">
        <w:t>issues</w:t>
      </w:r>
      <w:r w:rsidR="008C29AA">
        <w:t xml:space="preserve"> is reflected in the</w:t>
      </w:r>
      <w:r w:rsidR="00760063">
        <w:t xml:space="preserve"> scandal of the British newspaper</w:t>
      </w:r>
      <w:r w:rsidR="00E4031B">
        <w:t xml:space="preserve"> ‘News of the World’. The newspaper was suspected o</w:t>
      </w:r>
      <w:r w:rsidR="00760063">
        <w:t xml:space="preserve">f </w:t>
      </w:r>
      <w:r w:rsidR="008C29AA">
        <w:t>illegally</w:t>
      </w:r>
      <w:r w:rsidR="00760063">
        <w:t xml:space="preserve"> monitor</w:t>
      </w:r>
      <w:r>
        <w:t>ing</w:t>
      </w:r>
      <w:r w:rsidR="00760063">
        <w:t xml:space="preserve"> private ph</w:t>
      </w:r>
      <w:r w:rsidR="005E7ACD">
        <w:t>one calls. This scandal was</w:t>
      </w:r>
      <w:r w:rsidR="00760063">
        <w:t xml:space="preserve"> widely described in the media</w:t>
      </w:r>
      <w:r>
        <w:t>.</w:t>
      </w:r>
      <w:r w:rsidR="00760063">
        <w:t xml:space="preserve"> </w:t>
      </w:r>
      <w:r>
        <w:t>T</w:t>
      </w:r>
      <w:r w:rsidR="00760063">
        <w:t>he associated negative attention about ‘News of the World’</w:t>
      </w:r>
      <w:r w:rsidR="00BD131E">
        <w:t xml:space="preserve"> </w:t>
      </w:r>
      <w:r w:rsidR="00866FED">
        <w:t>made the</w:t>
      </w:r>
      <w:r w:rsidR="00BD131E">
        <w:t xml:space="preserve"> owner of the newspaper</w:t>
      </w:r>
      <w:r w:rsidR="0031659A">
        <w:t xml:space="preserve"> decide</w:t>
      </w:r>
      <w:r w:rsidR="00BD131E">
        <w:t xml:space="preserve"> to immediately abolish the newspaper. </w:t>
      </w:r>
    </w:p>
    <w:p w:rsidR="003803D3" w:rsidRDefault="00102D9E" w:rsidP="00452989">
      <w:pPr>
        <w:spacing w:line="360" w:lineRule="auto"/>
        <w:jc w:val="both"/>
      </w:pPr>
      <w:r>
        <w:t xml:space="preserve">The rise of attention for environmental and social related </w:t>
      </w:r>
      <w:r w:rsidR="0031659A">
        <w:t xml:space="preserve">impact </w:t>
      </w:r>
      <w:r w:rsidR="008C29AA">
        <w:t>is reflected in increasing</w:t>
      </w:r>
      <w:r>
        <w:t xml:space="preserve"> attention </w:t>
      </w:r>
      <w:r w:rsidR="0031659A">
        <w:t>for</w:t>
      </w:r>
      <w:r>
        <w:t xml:space="preserve"> Corporate Social Responsibility (CSR). </w:t>
      </w:r>
      <w:r w:rsidR="005E7ACD">
        <w:t>Besides the society, c</w:t>
      </w:r>
      <w:r w:rsidR="00B56947">
        <w:t xml:space="preserve">ompanies </w:t>
      </w:r>
      <w:r w:rsidR="0031659A">
        <w:t xml:space="preserve">also </w:t>
      </w:r>
      <w:r w:rsidR="00B56947">
        <w:t xml:space="preserve">became more aware of </w:t>
      </w:r>
      <w:r w:rsidR="004A0DD6">
        <w:t xml:space="preserve">their </w:t>
      </w:r>
      <w:r w:rsidR="0013233D">
        <w:t>environmental and social side</w:t>
      </w:r>
      <w:r w:rsidR="00B56947">
        <w:t>.</w:t>
      </w:r>
      <w:r w:rsidR="003803D3">
        <w:t xml:space="preserve"> The increased awareness of environmental and social </w:t>
      </w:r>
      <w:r w:rsidR="0031659A">
        <w:t xml:space="preserve">impact </w:t>
      </w:r>
      <w:r w:rsidR="003803D3">
        <w:t>results in the implementation of</w:t>
      </w:r>
      <w:r w:rsidR="00B56947">
        <w:t xml:space="preserve"> </w:t>
      </w:r>
      <w:r w:rsidR="004A0DD6">
        <w:t xml:space="preserve">CSR activities </w:t>
      </w:r>
      <w:r w:rsidR="008C29AA">
        <w:t>with</w:t>
      </w:r>
      <w:r w:rsidR="003803D3">
        <w:t xml:space="preserve">in </w:t>
      </w:r>
      <w:r w:rsidR="0031659A">
        <w:t>a</w:t>
      </w:r>
      <w:r w:rsidR="008C29AA">
        <w:t xml:space="preserve"> </w:t>
      </w:r>
      <w:r w:rsidR="003803D3">
        <w:t xml:space="preserve">company. CSR activities </w:t>
      </w:r>
      <w:r w:rsidR="00103D5D">
        <w:t xml:space="preserve">are implemented to contribute to </w:t>
      </w:r>
      <w:r w:rsidR="004A0DD6">
        <w:t>the economic performances</w:t>
      </w:r>
      <w:r w:rsidR="003803D3">
        <w:t xml:space="preserve"> of the company</w:t>
      </w:r>
      <w:r w:rsidR="004A0DD6">
        <w:t xml:space="preserve"> and </w:t>
      </w:r>
      <w:r w:rsidR="00BA499F">
        <w:t>to benefit</w:t>
      </w:r>
      <w:r w:rsidR="003803D3">
        <w:t xml:space="preserve"> society</w:t>
      </w:r>
      <w:r w:rsidR="00103D5D">
        <w:t>. In a CSR report the CSR performances are summarized, when the CSR report is disclosed stakeholders are provided with more transparency.</w:t>
      </w:r>
      <w:r w:rsidR="00702C71">
        <w:t xml:space="preserve"> </w:t>
      </w:r>
    </w:p>
    <w:p w:rsidR="00631FDC" w:rsidRDefault="0031659A" w:rsidP="00452989">
      <w:pPr>
        <w:spacing w:line="360" w:lineRule="auto"/>
        <w:jc w:val="both"/>
      </w:pPr>
      <w:r>
        <w:t>Since the early nineties</w:t>
      </w:r>
      <w:r w:rsidR="00E20E3A">
        <w:t xml:space="preserve"> a lot of research </w:t>
      </w:r>
      <w:r>
        <w:t>has been</w:t>
      </w:r>
      <w:r w:rsidR="00E20E3A">
        <w:t xml:space="preserve"> done on the topic of CSR. The impact of CSR is mainly examined on the financial performances of the company. The study of Margolis and Walsh (2003</w:t>
      </w:r>
      <w:r w:rsidR="007E2FB6">
        <w:t xml:space="preserve">) analyzed the outcomes of 127 prior studies and found a positive relation between CSR performances and financial performances. </w:t>
      </w:r>
      <w:r w:rsidR="001A4B1F">
        <w:t>Wood (2010) argued that the relation between CSR performances and financial performances is already well established and that CSR researc</w:t>
      </w:r>
      <w:r w:rsidR="005E7ACD">
        <w:t xml:space="preserve">h should be more focused on </w:t>
      </w:r>
      <w:r w:rsidR="001A4B1F">
        <w:t xml:space="preserve">society and stakeholders. </w:t>
      </w:r>
      <w:r w:rsidR="00465B57">
        <w:t xml:space="preserve">Where the </w:t>
      </w:r>
      <w:r w:rsidR="001A4B1F">
        <w:t>studies</w:t>
      </w:r>
      <w:r w:rsidR="00CF55BC">
        <w:t xml:space="preserve"> of Margolis </w:t>
      </w:r>
      <w:r w:rsidR="0001438A">
        <w:t>et al.</w:t>
      </w:r>
      <w:r w:rsidR="00CF55BC">
        <w:t xml:space="preserve"> (2003) and Wood (2010)</w:t>
      </w:r>
      <w:r w:rsidR="001A4B1F">
        <w:t xml:space="preserve"> investigated the CSR performances</w:t>
      </w:r>
      <w:r w:rsidR="00CF55BC">
        <w:t xml:space="preserve">, </w:t>
      </w:r>
      <w:r w:rsidR="005E7ACD">
        <w:t xml:space="preserve">this </w:t>
      </w:r>
      <w:r w:rsidR="00103D5D">
        <w:t>paper</w:t>
      </w:r>
      <w:r w:rsidR="001A4B1F">
        <w:t xml:space="preserve"> investigate</w:t>
      </w:r>
      <w:r w:rsidR="005E7ACD">
        <w:t>s</w:t>
      </w:r>
      <w:r w:rsidR="001A4B1F">
        <w:t xml:space="preserve"> the CSR reporti</w:t>
      </w:r>
      <w:r w:rsidR="00CF55BC">
        <w:t xml:space="preserve">ng. </w:t>
      </w:r>
      <w:r w:rsidR="005251D5">
        <w:t>In this paper</w:t>
      </w:r>
      <w:r w:rsidR="00CF55BC">
        <w:t xml:space="preserve"> the</w:t>
      </w:r>
      <w:r w:rsidR="005E7ACD">
        <w:t xml:space="preserve"> impact of CSR reporting is examined</w:t>
      </w:r>
      <w:r w:rsidR="00CF55BC">
        <w:t>, the quality of CSR performance is not taken into consideration, but the quality of the CSR report</w:t>
      </w:r>
      <w:r w:rsidR="00465B57">
        <w:t xml:space="preserve"> is.</w:t>
      </w:r>
    </w:p>
    <w:p w:rsidR="008630DE" w:rsidRDefault="00CF55BC" w:rsidP="00452989">
      <w:pPr>
        <w:spacing w:line="360" w:lineRule="auto"/>
        <w:jc w:val="both"/>
      </w:pPr>
      <w:r>
        <w:t xml:space="preserve">The quality of a CSR report benefits the </w:t>
      </w:r>
      <w:r w:rsidR="00465B57">
        <w:t xml:space="preserve">company’s </w:t>
      </w:r>
      <w:r>
        <w:t>stakeholders. When a</w:t>
      </w:r>
      <w:r w:rsidR="00A01471">
        <w:t xml:space="preserve"> CSR report is disclosed, stakeholders acquire </w:t>
      </w:r>
      <w:r w:rsidR="008630DE">
        <w:t>CSR information of the company</w:t>
      </w:r>
      <w:r w:rsidR="00A01471">
        <w:t>. If the CSR report is of high quality, stakeholders are provided with r</w:t>
      </w:r>
      <w:r w:rsidR="005E7ACD">
        <w:t>eliable CSR information</w:t>
      </w:r>
      <w:r w:rsidR="00465B57">
        <w:t>.</w:t>
      </w:r>
      <w:r w:rsidR="005E7ACD">
        <w:t xml:space="preserve"> </w:t>
      </w:r>
      <w:r w:rsidR="00465B57">
        <w:t>T</w:t>
      </w:r>
      <w:r w:rsidR="005E7ACD">
        <w:t>his</w:t>
      </w:r>
      <w:r w:rsidR="00465B57">
        <w:t xml:space="preserve"> reliable information</w:t>
      </w:r>
      <w:r w:rsidR="00A01471">
        <w:t xml:space="preserve"> increases </w:t>
      </w:r>
      <w:r w:rsidR="00465B57">
        <w:t xml:space="preserve">the </w:t>
      </w:r>
      <w:r w:rsidR="00A01471">
        <w:t xml:space="preserve">transparency. </w:t>
      </w:r>
      <w:r w:rsidR="00465B57">
        <w:t>T</w:t>
      </w:r>
      <w:r w:rsidR="005E7ACD">
        <w:t xml:space="preserve">he </w:t>
      </w:r>
      <w:r w:rsidR="005E7ACD">
        <w:lastRenderedPageBreak/>
        <w:t xml:space="preserve">stakeholders’ impression </w:t>
      </w:r>
      <w:r w:rsidR="00E364CA">
        <w:t xml:space="preserve">of </w:t>
      </w:r>
      <w:r w:rsidR="005E7ACD">
        <w:t>the company changes due to the provided information</w:t>
      </w:r>
      <w:r w:rsidR="008630DE">
        <w:t xml:space="preserve">. In </w:t>
      </w:r>
      <w:r w:rsidR="00691A7B">
        <w:t>this paper</w:t>
      </w:r>
      <w:r w:rsidR="008630DE">
        <w:t xml:space="preserve"> the impact of CSR reporting quality on the </w:t>
      </w:r>
      <w:r w:rsidR="00452989">
        <w:t>reputation</w:t>
      </w:r>
      <w:r w:rsidR="008630DE">
        <w:t xml:space="preserve"> is examined. Th</w:t>
      </w:r>
      <w:r w:rsidR="00E364CA">
        <w:t>is</w:t>
      </w:r>
      <w:r w:rsidR="008630DE">
        <w:t xml:space="preserve"> </w:t>
      </w:r>
      <w:r w:rsidR="00452989">
        <w:t>reputation</w:t>
      </w:r>
      <w:r w:rsidR="008630DE">
        <w:t xml:space="preserve"> is the impression</w:t>
      </w:r>
      <w:r w:rsidR="00E364CA">
        <w:t xml:space="preserve"> of a company</w:t>
      </w:r>
      <w:r w:rsidR="008630DE">
        <w:t xml:space="preserve"> of all stakeholders together. </w:t>
      </w:r>
      <w:r w:rsidR="00BA499F">
        <w:t xml:space="preserve">The impression of stakeholders </w:t>
      </w:r>
      <w:r w:rsidR="00E364CA">
        <w:t xml:space="preserve">of </w:t>
      </w:r>
      <w:r w:rsidR="00BA499F">
        <w:t xml:space="preserve">a company is influenced by CSR information. </w:t>
      </w:r>
    </w:p>
    <w:p w:rsidR="006B0A8D" w:rsidRDefault="00452989" w:rsidP="00452989">
      <w:pPr>
        <w:spacing w:line="360" w:lineRule="auto"/>
        <w:jc w:val="both"/>
      </w:pPr>
      <w:r>
        <w:t>Existing studies used</w:t>
      </w:r>
      <w:r w:rsidR="005B68C3">
        <w:t xml:space="preserve"> the term</w:t>
      </w:r>
      <w:r>
        <w:t xml:space="preserve"> public sentiment, to investigate stakeholders’ impression </w:t>
      </w:r>
      <w:r w:rsidR="00E364CA">
        <w:t xml:space="preserve">of </w:t>
      </w:r>
      <w:r>
        <w:t xml:space="preserve">a company. In this </w:t>
      </w:r>
      <w:r w:rsidR="00103D5D">
        <w:t>paper</w:t>
      </w:r>
      <w:r>
        <w:t xml:space="preserve"> reputation is used, to investigate stakeholders’ impression. </w:t>
      </w:r>
      <w:r w:rsidR="00E364CA">
        <w:t>R</w:t>
      </w:r>
      <w:r>
        <w:t xml:space="preserve">eputation is a </w:t>
      </w:r>
      <w:r w:rsidR="00E364CA">
        <w:t>more direct term</w:t>
      </w:r>
      <w:r>
        <w:t xml:space="preserve"> to examine </w:t>
      </w:r>
      <w:r w:rsidR="00156F2C">
        <w:t>stakeholders’</w:t>
      </w:r>
      <w:r w:rsidR="005B68C3">
        <w:t xml:space="preserve"> impression about a company</w:t>
      </w:r>
      <w:r>
        <w:t>. In this</w:t>
      </w:r>
      <w:r w:rsidR="005B68C3">
        <w:t xml:space="preserve"> paper</w:t>
      </w:r>
      <w:r>
        <w:t xml:space="preserve"> </w:t>
      </w:r>
      <w:r w:rsidR="005B68C3">
        <w:t xml:space="preserve">no distinction is being made </w:t>
      </w:r>
      <w:r>
        <w:t xml:space="preserve">between public sentiment of existing studies and reputation </w:t>
      </w:r>
      <w:r w:rsidR="005251D5">
        <w:t>of this paper</w:t>
      </w:r>
      <w:r>
        <w:t>.</w:t>
      </w:r>
    </w:p>
    <w:p w:rsidR="00452989" w:rsidRDefault="00452989" w:rsidP="00452989">
      <w:pPr>
        <w:spacing w:line="360" w:lineRule="auto"/>
        <w:jc w:val="both"/>
      </w:pPr>
    </w:p>
    <w:p w:rsidR="00BA499F" w:rsidRDefault="00156F2C" w:rsidP="00452989">
      <w:pPr>
        <w:pStyle w:val="Heading2"/>
        <w:numPr>
          <w:ilvl w:val="1"/>
          <w:numId w:val="4"/>
        </w:numPr>
        <w:spacing w:line="360" w:lineRule="auto"/>
        <w:jc w:val="both"/>
      </w:pPr>
      <w:bookmarkStart w:id="14" w:name="_Toc299353357"/>
      <w:r>
        <w:t>Research question and research</w:t>
      </w:r>
      <w:r w:rsidR="00BA499F">
        <w:t xml:space="preserve"> method</w:t>
      </w:r>
      <w:bookmarkEnd w:id="14"/>
    </w:p>
    <w:p w:rsidR="00BA499F" w:rsidRDefault="005251D5" w:rsidP="00452989">
      <w:pPr>
        <w:spacing w:line="360" w:lineRule="auto"/>
        <w:jc w:val="both"/>
      </w:pPr>
      <w:r>
        <w:t>The</w:t>
      </w:r>
      <w:r w:rsidR="00BA499F">
        <w:t xml:space="preserve"> research question </w:t>
      </w:r>
      <w:r w:rsidR="005B68C3">
        <w:t xml:space="preserve">of this paper </w:t>
      </w:r>
      <w:r w:rsidR="00BA499F">
        <w:t>is:</w:t>
      </w:r>
    </w:p>
    <w:p w:rsidR="00BA499F" w:rsidRPr="00B81AB2" w:rsidRDefault="00BA499F" w:rsidP="00452989">
      <w:pPr>
        <w:spacing w:line="360" w:lineRule="auto"/>
        <w:ind w:firstLine="720"/>
        <w:jc w:val="both"/>
        <w:rPr>
          <w:b/>
          <w:i/>
        </w:rPr>
      </w:pPr>
      <w:r w:rsidRPr="00B81AB2">
        <w:rPr>
          <w:b/>
          <w:i/>
        </w:rPr>
        <w:t xml:space="preserve">What is the impact of Corporate Social Responsibility reporting on </w:t>
      </w:r>
      <w:r w:rsidR="00452989">
        <w:rPr>
          <w:b/>
          <w:i/>
        </w:rPr>
        <w:t>reputation</w:t>
      </w:r>
      <w:r w:rsidRPr="00B81AB2">
        <w:rPr>
          <w:b/>
          <w:i/>
        </w:rPr>
        <w:t>?</w:t>
      </w:r>
    </w:p>
    <w:p w:rsidR="008A3E2A" w:rsidRDefault="00FB129D" w:rsidP="00452989">
      <w:pPr>
        <w:spacing w:line="360" w:lineRule="auto"/>
        <w:jc w:val="both"/>
      </w:pPr>
      <w:r>
        <w:t xml:space="preserve">To answer the research question, </w:t>
      </w:r>
      <w:r w:rsidR="00801F1A">
        <w:t xml:space="preserve">different CSR related topics </w:t>
      </w:r>
      <w:r w:rsidR="005B68C3">
        <w:t>are investigated in advance. F</w:t>
      </w:r>
      <w:r>
        <w:t xml:space="preserve">irst the definition of CSR should be </w:t>
      </w:r>
      <w:r w:rsidR="00801F1A">
        <w:t>define</w:t>
      </w:r>
      <w:r w:rsidR="00E364CA">
        <w:t>d</w:t>
      </w:r>
      <w:r w:rsidR="00801F1A">
        <w:t>. Also the char</w:t>
      </w:r>
      <w:r w:rsidR="00DC699B">
        <w:t>acteristics of CSR reporting should be</w:t>
      </w:r>
      <w:r w:rsidR="00801F1A">
        <w:t xml:space="preserve"> investigate</w:t>
      </w:r>
      <w:r w:rsidR="00E364CA">
        <w:t>d</w:t>
      </w:r>
      <w:r>
        <w:t xml:space="preserve">. The positive accounting theory provides theories which predicts and explains CSR.  </w:t>
      </w:r>
      <w:r w:rsidR="00801F1A">
        <w:t>Description of t</w:t>
      </w:r>
      <w:r>
        <w:t xml:space="preserve">he agency theory, information asymmetry, legitimacy theory and stakeholder theory </w:t>
      </w:r>
      <w:r w:rsidR="00801F1A">
        <w:t>are provided to investigate in</w:t>
      </w:r>
      <w:r w:rsidR="005B68C3">
        <w:t>centives of</w:t>
      </w:r>
      <w:r w:rsidR="00801F1A">
        <w:t xml:space="preserve"> CSR and CSR reporting. </w:t>
      </w:r>
      <w:r w:rsidR="008A3E2A">
        <w:t>To implement CSR into the company, the company shoul</w:t>
      </w:r>
      <w:r w:rsidR="00801F1A">
        <w:t xml:space="preserve">d </w:t>
      </w:r>
      <w:r w:rsidR="00415398">
        <w:t>go</w:t>
      </w:r>
      <w:r w:rsidR="00801F1A">
        <w:t xml:space="preserve"> through different stages</w:t>
      </w:r>
      <w:r w:rsidR="00DC699B">
        <w:t>, th</w:t>
      </w:r>
      <w:r w:rsidR="00415398">
        <w:t>e</w:t>
      </w:r>
      <w:r w:rsidR="00DC699B">
        <w:t>s</w:t>
      </w:r>
      <w:r w:rsidR="00415398">
        <w:t>e</w:t>
      </w:r>
      <w:r w:rsidR="00DC699B">
        <w:t xml:space="preserve"> different stages are</w:t>
      </w:r>
      <w:r w:rsidR="00801F1A">
        <w:t xml:space="preserve"> described. Finally, the investi</w:t>
      </w:r>
      <w:r w:rsidR="00DC699B">
        <w:t xml:space="preserve">gated influence of CSR reporting on </w:t>
      </w:r>
      <w:r w:rsidR="00452989">
        <w:t>reputation</w:t>
      </w:r>
      <w:r w:rsidR="00801F1A">
        <w:t xml:space="preserve"> from prior research </w:t>
      </w:r>
      <w:r w:rsidR="00415398">
        <w:t>is</w:t>
      </w:r>
      <w:r w:rsidR="00801F1A">
        <w:t xml:space="preserve"> described.</w:t>
      </w:r>
    </w:p>
    <w:p w:rsidR="00801F1A" w:rsidRDefault="00801F1A" w:rsidP="00452989">
      <w:pPr>
        <w:spacing w:line="360" w:lineRule="auto"/>
        <w:jc w:val="both"/>
      </w:pPr>
      <w:r>
        <w:t xml:space="preserve">The research question is answered by empirical research. </w:t>
      </w:r>
      <w:r w:rsidR="00DC699B">
        <w:t xml:space="preserve">The impact of CSR reporting is measured with CSR reporting quality. </w:t>
      </w:r>
      <w:r w:rsidR="003B21DA">
        <w:t xml:space="preserve">The CSR report quality is observed from the CSR report level provided by the Global Reporting Initiative </w:t>
      </w:r>
      <w:r w:rsidR="005B68C3">
        <w:t xml:space="preserve">(GRI) </w:t>
      </w:r>
      <w:r w:rsidR="003B21DA">
        <w:t xml:space="preserve">Report List. This CSR report level indicates </w:t>
      </w:r>
      <w:r w:rsidR="00415398">
        <w:t>t</w:t>
      </w:r>
      <w:r w:rsidR="005B68C3">
        <w:t>he degree of conformity with GRI</w:t>
      </w:r>
      <w:r w:rsidR="00415398">
        <w:t xml:space="preserve"> reporting guidelines of</w:t>
      </w:r>
      <w:r w:rsidR="003B21DA">
        <w:t xml:space="preserve"> the CSR report</w:t>
      </w:r>
      <w:r w:rsidR="00156F2C">
        <w:t>.</w:t>
      </w:r>
      <w:r w:rsidR="003B21DA">
        <w:t xml:space="preserve"> </w:t>
      </w:r>
      <w:r w:rsidR="005B68C3">
        <w:t xml:space="preserve">The application level is determined for CSR reports which are voluntary </w:t>
      </w:r>
      <w:r w:rsidR="00E768EE">
        <w:t xml:space="preserve">submitted in the GRI report list. </w:t>
      </w:r>
      <w:r>
        <w:t xml:space="preserve">The used proxy </w:t>
      </w:r>
      <w:r w:rsidR="003B21DA">
        <w:t xml:space="preserve">for </w:t>
      </w:r>
      <w:r w:rsidR="00452989">
        <w:t>reputation</w:t>
      </w:r>
      <w:r>
        <w:t xml:space="preserve"> is the reputation index. This index is based on nine components and is yearly compiled.</w:t>
      </w:r>
      <w:r w:rsidR="003B21DA">
        <w:t xml:space="preserve"> </w:t>
      </w:r>
      <w:r w:rsidR="00E768EE">
        <w:t xml:space="preserve">The CSR report is disclosed after the </w:t>
      </w:r>
      <w:r w:rsidR="005251D5">
        <w:t>reported</w:t>
      </w:r>
      <w:r w:rsidR="00E768EE">
        <w:t xml:space="preserve"> year and influences the reputation of the year after the reported year. In the reputation index database, reputation indices from 2006 are available, therefore this paper uses the CSR reporting time period 2005 up till and including 2009.</w:t>
      </w:r>
      <w:r w:rsidR="00B81AB2">
        <w:t xml:space="preserve"> </w:t>
      </w:r>
      <w:r w:rsidR="00DC699B">
        <w:t>The research question is answered by the main hypothesis</w:t>
      </w:r>
      <w:r w:rsidR="0006399B">
        <w:t xml:space="preserve"> </w:t>
      </w:r>
      <w:r w:rsidR="0006399B">
        <w:lastRenderedPageBreak/>
        <w:t>and</w:t>
      </w:r>
      <w:r w:rsidR="00DC699B">
        <w:t xml:space="preserve"> sub hypothes</w:t>
      </w:r>
      <w:r w:rsidR="0006399B">
        <w:t>e</w:t>
      </w:r>
      <w:r w:rsidR="00DC699B">
        <w:t xml:space="preserve">s. </w:t>
      </w:r>
      <w:r w:rsidR="005B68C3">
        <w:t>These</w:t>
      </w:r>
      <w:r w:rsidR="00DC699B">
        <w:t xml:space="preserve"> hypotheses are tested with a regression and a correlation. </w:t>
      </w:r>
      <w:r w:rsidR="00B81AB2">
        <w:t>The hypotheses are:</w:t>
      </w:r>
    </w:p>
    <w:p w:rsidR="005B68C3" w:rsidRDefault="005B68C3" w:rsidP="00452989">
      <w:pPr>
        <w:spacing w:line="360" w:lineRule="auto"/>
        <w:jc w:val="both"/>
      </w:pPr>
    </w:p>
    <w:p w:rsidR="00B81AB2" w:rsidRDefault="00B81AB2" w:rsidP="00452989">
      <w:pPr>
        <w:spacing w:line="360" w:lineRule="auto"/>
        <w:jc w:val="both"/>
        <w:rPr>
          <w:i/>
        </w:rPr>
      </w:pPr>
      <w:r w:rsidRPr="00B81AB2">
        <w:rPr>
          <w:i/>
        </w:rPr>
        <w:t xml:space="preserve">Main hypothesis: </w:t>
      </w:r>
    </w:p>
    <w:p w:rsidR="00B81AB2" w:rsidRPr="00B81AB2" w:rsidRDefault="005251D5" w:rsidP="00452989">
      <w:pPr>
        <w:spacing w:line="360" w:lineRule="auto"/>
        <w:ind w:firstLine="720"/>
        <w:jc w:val="both"/>
        <w:rPr>
          <w:b/>
          <w:i/>
        </w:rPr>
      </w:pPr>
      <w:r>
        <w:rPr>
          <w:b/>
          <w:i/>
        </w:rPr>
        <w:t>CSR reporting quality</w:t>
      </w:r>
      <w:r w:rsidR="00B81AB2" w:rsidRPr="00B81AB2">
        <w:rPr>
          <w:b/>
          <w:i/>
        </w:rPr>
        <w:t xml:space="preserve"> increases </w:t>
      </w:r>
      <w:r>
        <w:rPr>
          <w:b/>
          <w:i/>
        </w:rPr>
        <w:t xml:space="preserve">the </w:t>
      </w:r>
      <w:r w:rsidR="00452989">
        <w:rPr>
          <w:b/>
          <w:i/>
        </w:rPr>
        <w:t>reputation</w:t>
      </w:r>
      <w:r>
        <w:rPr>
          <w:b/>
          <w:i/>
        </w:rPr>
        <w:t xml:space="preserve"> </w:t>
      </w:r>
      <w:r w:rsidR="00B81AB2" w:rsidRPr="00B81AB2">
        <w:rPr>
          <w:b/>
          <w:i/>
        </w:rPr>
        <w:t>of a company.</w:t>
      </w:r>
    </w:p>
    <w:p w:rsidR="00DC699B" w:rsidRDefault="00DC699B" w:rsidP="00452989">
      <w:pPr>
        <w:spacing w:line="360" w:lineRule="auto"/>
        <w:jc w:val="both"/>
        <w:rPr>
          <w:i/>
        </w:rPr>
      </w:pPr>
    </w:p>
    <w:p w:rsidR="00B81AB2" w:rsidRDefault="00B81AB2" w:rsidP="00452989">
      <w:pPr>
        <w:spacing w:line="360" w:lineRule="auto"/>
        <w:jc w:val="both"/>
        <w:rPr>
          <w:i/>
        </w:rPr>
      </w:pPr>
      <w:r>
        <w:rPr>
          <w:i/>
        </w:rPr>
        <w:t xml:space="preserve">Sub hypotheses: </w:t>
      </w:r>
    </w:p>
    <w:p w:rsidR="00B81AB2" w:rsidRDefault="005A32A8" w:rsidP="00452989">
      <w:pPr>
        <w:spacing w:line="360" w:lineRule="auto"/>
        <w:ind w:left="705"/>
        <w:jc w:val="both"/>
        <w:rPr>
          <w:b/>
          <w:i/>
        </w:rPr>
      </w:pPr>
      <w:r>
        <w:rPr>
          <w:b/>
          <w:i/>
        </w:rPr>
        <w:t>T</w:t>
      </w:r>
      <w:r w:rsidR="00B81AB2">
        <w:rPr>
          <w:b/>
          <w:i/>
        </w:rPr>
        <w:t>he relationship between CSR reporting quality and</w:t>
      </w:r>
      <w:r w:rsidR="005251D5">
        <w:rPr>
          <w:b/>
          <w:i/>
        </w:rPr>
        <w:t xml:space="preserve"> the</w:t>
      </w:r>
      <w:r w:rsidR="00B81AB2">
        <w:rPr>
          <w:b/>
          <w:i/>
        </w:rPr>
        <w:t xml:space="preserve"> </w:t>
      </w:r>
      <w:r w:rsidR="00452989">
        <w:rPr>
          <w:b/>
          <w:i/>
        </w:rPr>
        <w:t>reputation</w:t>
      </w:r>
      <w:r>
        <w:rPr>
          <w:b/>
          <w:i/>
        </w:rPr>
        <w:t xml:space="preserve"> is positively influenced by larger companies.</w:t>
      </w:r>
    </w:p>
    <w:p w:rsidR="00B81AB2" w:rsidRDefault="005A32A8" w:rsidP="00452989">
      <w:pPr>
        <w:spacing w:line="360" w:lineRule="auto"/>
        <w:ind w:left="705"/>
        <w:jc w:val="both"/>
        <w:rPr>
          <w:b/>
          <w:i/>
        </w:rPr>
      </w:pPr>
      <w:r>
        <w:rPr>
          <w:b/>
          <w:i/>
        </w:rPr>
        <w:t>The relationship between CSR reporting quality and</w:t>
      </w:r>
      <w:r w:rsidR="005251D5">
        <w:rPr>
          <w:b/>
          <w:i/>
        </w:rPr>
        <w:t xml:space="preserve"> the</w:t>
      </w:r>
      <w:r>
        <w:rPr>
          <w:b/>
          <w:i/>
        </w:rPr>
        <w:t xml:space="preserve"> </w:t>
      </w:r>
      <w:r w:rsidR="00452989">
        <w:rPr>
          <w:b/>
          <w:i/>
        </w:rPr>
        <w:t>reputation</w:t>
      </w:r>
      <w:r>
        <w:rPr>
          <w:b/>
          <w:i/>
        </w:rPr>
        <w:t xml:space="preserve"> is positively influenced by better financial performances.</w:t>
      </w:r>
    </w:p>
    <w:p w:rsidR="005A32A8" w:rsidRDefault="005A32A8" w:rsidP="00452989">
      <w:pPr>
        <w:spacing w:line="360" w:lineRule="auto"/>
        <w:ind w:left="705"/>
        <w:jc w:val="both"/>
        <w:rPr>
          <w:b/>
          <w:i/>
        </w:rPr>
      </w:pPr>
      <w:r>
        <w:rPr>
          <w:b/>
          <w:i/>
        </w:rPr>
        <w:t>The relationship between CSR reporting quality and</w:t>
      </w:r>
      <w:r w:rsidR="005251D5">
        <w:rPr>
          <w:b/>
          <w:i/>
        </w:rPr>
        <w:t xml:space="preserve"> the</w:t>
      </w:r>
      <w:r>
        <w:rPr>
          <w:b/>
          <w:i/>
        </w:rPr>
        <w:t xml:space="preserve"> </w:t>
      </w:r>
      <w:r w:rsidR="00452989">
        <w:rPr>
          <w:b/>
          <w:i/>
        </w:rPr>
        <w:t>reputation</w:t>
      </w:r>
      <w:r>
        <w:rPr>
          <w:b/>
          <w:i/>
        </w:rPr>
        <w:t xml:space="preserve"> is positively influenced by higher general selling and administrative expenses to sales.</w:t>
      </w:r>
    </w:p>
    <w:p w:rsidR="005A32A8" w:rsidRDefault="005A32A8" w:rsidP="00452989">
      <w:pPr>
        <w:spacing w:line="360" w:lineRule="auto"/>
        <w:ind w:left="705"/>
        <w:jc w:val="both"/>
        <w:rPr>
          <w:b/>
          <w:i/>
        </w:rPr>
      </w:pPr>
      <w:r>
        <w:rPr>
          <w:b/>
          <w:i/>
        </w:rPr>
        <w:t>The relationship between CSR reporting quality and</w:t>
      </w:r>
      <w:r w:rsidR="005251D5">
        <w:rPr>
          <w:b/>
          <w:i/>
        </w:rPr>
        <w:t xml:space="preserve"> the </w:t>
      </w:r>
      <w:r w:rsidR="00452989">
        <w:rPr>
          <w:b/>
          <w:i/>
        </w:rPr>
        <w:t>reputation</w:t>
      </w:r>
      <w:r>
        <w:rPr>
          <w:b/>
          <w:i/>
        </w:rPr>
        <w:t xml:space="preserve"> is influenced by regions of companies.</w:t>
      </w:r>
    </w:p>
    <w:p w:rsidR="00B81AB2" w:rsidRDefault="005A32A8" w:rsidP="00452989">
      <w:pPr>
        <w:spacing w:line="360" w:lineRule="auto"/>
        <w:ind w:left="705"/>
        <w:jc w:val="both"/>
        <w:rPr>
          <w:b/>
          <w:i/>
        </w:rPr>
      </w:pPr>
      <w:r>
        <w:rPr>
          <w:b/>
          <w:i/>
        </w:rPr>
        <w:t xml:space="preserve">The relationship between CSR reporting quality </w:t>
      </w:r>
      <w:r w:rsidR="005251D5">
        <w:rPr>
          <w:b/>
          <w:i/>
        </w:rPr>
        <w:t>and the</w:t>
      </w:r>
      <w:r>
        <w:rPr>
          <w:b/>
          <w:i/>
        </w:rPr>
        <w:t xml:space="preserve"> </w:t>
      </w:r>
      <w:r w:rsidR="00452989">
        <w:rPr>
          <w:b/>
          <w:i/>
        </w:rPr>
        <w:t>reputation</w:t>
      </w:r>
      <w:r>
        <w:rPr>
          <w:b/>
          <w:i/>
        </w:rPr>
        <w:t xml:space="preserve"> is influenced by industries of companies.</w:t>
      </w:r>
    </w:p>
    <w:p w:rsidR="005A32A8" w:rsidRDefault="005A32A8" w:rsidP="00452989">
      <w:pPr>
        <w:spacing w:line="360" w:lineRule="auto"/>
        <w:ind w:left="705"/>
        <w:jc w:val="both"/>
        <w:rPr>
          <w:b/>
          <w:i/>
          <w:color w:val="000000" w:themeColor="text1"/>
        </w:rPr>
      </w:pPr>
    </w:p>
    <w:p w:rsidR="00B81AB2" w:rsidRDefault="00B81AB2" w:rsidP="00452989">
      <w:pPr>
        <w:spacing w:line="360" w:lineRule="auto"/>
        <w:jc w:val="both"/>
      </w:pPr>
      <w:r>
        <w:rPr>
          <w:color w:val="000000" w:themeColor="text1"/>
        </w:rPr>
        <w:t>Companies for which all relevant data w</w:t>
      </w:r>
      <w:r w:rsidR="0006399B">
        <w:rPr>
          <w:color w:val="000000" w:themeColor="text1"/>
        </w:rPr>
        <w:t>ere</w:t>
      </w:r>
      <w:r>
        <w:rPr>
          <w:color w:val="000000" w:themeColor="text1"/>
        </w:rPr>
        <w:t xml:space="preserve"> available </w:t>
      </w:r>
      <w:r w:rsidR="0006399B">
        <w:rPr>
          <w:color w:val="000000" w:themeColor="text1"/>
        </w:rPr>
        <w:t xml:space="preserve">are </w:t>
      </w:r>
      <w:r>
        <w:rPr>
          <w:color w:val="000000" w:themeColor="text1"/>
        </w:rPr>
        <w:t xml:space="preserve">included in the sample. For the year 2005 </w:t>
      </w:r>
      <w:r w:rsidR="00E768EE">
        <w:rPr>
          <w:color w:val="000000" w:themeColor="text1"/>
        </w:rPr>
        <w:t>up till</w:t>
      </w:r>
      <w:r w:rsidR="0006399B">
        <w:rPr>
          <w:color w:val="000000" w:themeColor="text1"/>
        </w:rPr>
        <w:t xml:space="preserve"> and including</w:t>
      </w:r>
      <w:r w:rsidR="006B0A8D">
        <w:rPr>
          <w:color w:val="000000" w:themeColor="text1"/>
        </w:rPr>
        <w:t xml:space="preserve"> 2009</w:t>
      </w:r>
      <w:r w:rsidR="0006399B">
        <w:rPr>
          <w:color w:val="000000" w:themeColor="text1"/>
        </w:rPr>
        <w:t>;</w:t>
      </w:r>
      <w:r w:rsidR="006B0A8D">
        <w:rPr>
          <w:color w:val="000000" w:themeColor="text1"/>
        </w:rPr>
        <w:t xml:space="preserve"> </w:t>
      </w:r>
      <w:r w:rsidR="006B0A8D">
        <w:t xml:space="preserve">85, 106, 138, 167 and 175 respectively data points </w:t>
      </w:r>
      <w:r w:rsidR="0006399B">
        <w:t>were</w:t>
      </w:r>
      <w:r w:rsidR="006B0A8D">
        <w:t xml:space="preserve"> available. The years are individual</w:t>
      </w:r>
      <w:r w:rsidR="00E768EE">
        <w:t>ly</w:t>
      </w:r>
      <w:r w:rsidR="006B0A8D">
        <w:t xml:space="preserve"> </w:t>
      </w:r>
      <w:r w:rsidR="00E768EE">
        <w:t>tested, otherwise the results will be</w:t>
      </w:r>
      <w:r w:rsidR="006B0A8D">
        <w:t xml:space="preserve"> biased. The influence of CSR reporting quality on </w:t>
      </w:r>
      <w:r w:rsidR="00452989">
        <w:t>reputation</w:t>
      </w:r>
      <w:r w:rsidR="006B0A8D">
        <w:t xml:space="preserve"> is tested by the correlation and the regression of the reputation index and the CSR report level.</w:t>
      </w:r>
    </w:p>
    <w:p w:rsidR="006B0A8D" w:rsidRDefault="006B0A8D" w:rsidP="00452989">
      <w:pPr>
        <w:spacing w:line="360" w:lineRule="auto"/>
        <w:jc w:val="both"/>
      </w:pPr>
    </w:p>
    <w:p w:rsidR="006B0A8D" w:rsidRDefault="006B0A8D" w:rsidP="00452989">
      <w:pPr>
        <w:pStyle w:val="Heading2"/>
        <w:numPr>
          <w:ilvl w:val="1"/>
          <w:numId w:val="4"/>
        </w:numPr>
        <w:spacing w:line="360" w:lineRule="auto"/>
        <w:jc w:val="both"/>
      </w:pPr>
      <w:bookmarkStart w:id="15" w:name="_Toc299353358"/>
      <w:r>
        <w:lastRenderedPageBreak/>
        <w:t>Relevance</w:t>
      </w:r>
      <w:bookmarkEnd w:id="15"/>
    </w:p>
    <w:p w:rsidR="00994F93" w:rsidRDefault="006B0A8D" w:rsidP="00452989">
      <w:pPr>
        <w:spacing w:line="360" w:lineRule="auto"/>
        <w:jc w:val="both"/>
      </w:pPr>
      <w:r>
        <w:t xml:space="preserve">The </w:t>
      </w:r>
      <w:r w:rsidR="00F14A31">
        <w:t xml:space="preserve">investigated </w:t>
      </w:r>
      <w:r>
        <w:t xml:space="preserve">relation between CSR reporting quality and </w:t>
      </w:r>
      <w:r w:rsidR="00452989">
        <w:t>reputation</w:t>
      </w:r>
      <w:r w:rsidR="00F14A31">
        <w:t xml:space="preserve"> </w:t>
      </w:r>
      <w:r w:rsidR="00646F9D">
        <w:t>provide</w:t>
      </w:r>
      <w:r w:rsidR="0006399B">
        <w:t>s</w:t>
      </w:r>
      <w:r w:rsidR="00646F9D">
        <w:t xml:space="preserve"> benefits for the scientific </w:t>
      </w:r>
      <w:r w:rsidR="00F14A31">
        <w:t xml:space="preserve">world, companies and society. Below the </w:t>
      </w:r>
      <w:r w:rsidR="005651BD">
        <w:t>relevance</w:t>
      </w:r>
      <w:r w:rsidR="00F14A31">
        <w:t xml:space="preserve"> for scientific</w:t>
      </w:r>
      <w:r w:rsidR="005651BD">
        <w:t xml:space="preserve"> world, companies and society is</w:t>
      </w:r>
      <w:r w:rsidR="00F14A31">
        <w:t xml:space="preserve"> explained. </w:t>
      </w:r>
      <w:r>
        <w:t>I</w:t>
      </w:r>
      <w:r w:rsidR="00EF6EF3">
        <w:t xml:space="preserve">n the study of </w:t>
      </w:r>
      <w:r w:rsidR="00496023">
        <w:t>Clarkson, Hua Fang, Li and Richardson (2010)</w:t>
      </w:r>
      <w:r w:rsidR="00EF6EF3">
        <w:t xml:space="preserve"> a positive relation is found between CSR reporting and </w:t>
      </w:r>
      <w:r w:rsidR="00452989">
        <w:t>public sentiment</w:t>
      </w:r>
      <w:r w:rsidR="00496023">
        <w:t>. But in this study, public sentiment is measured wit</w:t>
      </w:r>
      <w:r w:rsidR="00F14A31">
        <w:t>h the Janis Fadner coefficient. T</w:t>
      </w:r>
      <w:r w:rsidR="00496023">
        <w:t>his coefficient is based on the amount of negative and positive environmental</w:t>
      </w:r>
      <w:r w:rsidR="00F14A31">
        <w:t>ly</w:t>
      </w:r>
      <w:r w:rsidR="00496023">
        <w:t xml:space="preserve"> </w:t>
      </w:r>
      <w:r w:rsidR="00EF6EF3">
        <w:t>and socia</w:t>
      </w:r>
      <w:r w:rsidR="00F14A31">
        <w:t>l</w:t>
      </w:r>
      <w:r w:rsidR="00EF6EF3">
        <w:t>l</w:t>
      </w:r>
      <w:r w:rsidR="00F14A31">
        <w:t>y</w:t>
      </w:r>
      <w:r w:rsidR="00EF6EF3">
        <w:t xml:space="preserve"> related articles. The Janis Fadner coefficient is not the most reliable measurement to investigate the public sentiment. </w:t>
      </w:r>
      <w:r w:rsidR="00156F2C">
        <w:t>This coefficient suggests</w:t>
      </w:r>
      <w:r w:rsidR="005651BD">
        <w:t xml:space="preserve"> that companies with equal amounts of negative and positive articles have the same public sentiment. </w:t>
      </w:r>
      <w:r w:rsidR="00EF6EF3">
        <w:t xml:space="preserve">The study of Clarkson et al. (2010) takes the influence of CSR reporting into consideration but the studies of Brown and Dacin (1997) and Ittner </w:t>
      </w:r>
      <w:r w:rsidR="0001438A">
        <w:t>et al.</w:t>
      </w:r>
      <w:r w:rsidR="00EF6EF3">
        <w:t xml:space="preserve"> (1998) take the influence of CSR on public sentiment into consideration. Th</w:t>
      </w:r>
      <w:r w:rsidR="0006399B">
        <w:t>e</w:t>
      </w:r>
      <w:r w:rsidR="00EF6EF3">
        <w:t>s</w:t>
      </w:r>
      <w:r w:rsidR="0006399B">
        <w:t>e</w:t>
      </w:r>
      <w:r w:rsidR="00EF6EF3">
        <w:t xml:space="preserve"> studies investigate the relation between CSR and public sentiment</w:t>
      </w:r>
      <w:r w:rsidR="00F14A31">
        <w:t xml:space="preserve"> </w:t>
      </w:r>
      <w:r w:rsidR="00994F93">
        <w:t>with a field study.</w:t>
      </w:r>
      <w:r w:rsidR="00F14A31">
        <w:t xml:space="preserve"> </w:t>
      </w:r>
      <w:r w:rsidR="00994F93">
        <w:t>The field study evaluates products based on the customer satisfaction.</w:t>
      </w:r>
      <w:r w:rsidR="00A842CE">
        <w:t xml:space="preserve"> Product </w:t>
      </w:r>
      <w:r w:rsidR="00156F2C">
        <w:t>evaluations by (potential) customers’ satisfaction levels are</w:t>
      </w:r>
      <w:r w:rsidR="00A842CE">
        <w:t xml:space="preserve"> no exact measurements to investigate the public sentiment. </w:t>
      </w:r>
      <w:r w:rsidR="00994F93">
        <w:t xml:space="preserve">It is hard to </w:t>
      </w:r>
      <w:r w:rsidR="006B4D49">
        <w:t xml:space="preserve">accurately </w:t>
      </w:r>
      <w:r w:rsidR="00994F93">
        <w:t>evaluate services of companies. Some companies producing more than one product, when one product is evaluated not a right representation is provided of the company.</w:t>
      </w:r>
    </w:p>
    <w:p w:rsidR="002D0C7A" w:rsidRDefault="005F0D6D" w:rsidP="00452989">
      <w:pPr>
        <w:spacing w:line="360" w:lineRule="auto"/>
        <w:jc w:val="both"/>
      </w:pPr>
      <w:r>
        <w:t>The scientific world also</w:t>
      </w:r>
      <w:r w:rsidR="00277F7C">
        <w:t xml:space="preserve"> benefits from the investigated relation between CSR quality reporting and </w:t>
      </w:r>
      <w:r w:rsidR="00452989">
        <w:t>reputation</w:t>
      </w:r>
      <w:r w:rsidR="00277F7C">
        <w:t xml:space="preserve"> because of the lack of </w:t>
      </w:r>
      <w:r w:rsidR="002D0C7A">
        <w:t>CSR research which is focused on s</w:t>
      </w:r>
      <w:r w:rsidR="00277F7C">
        <w:t xml:space="preserve">takeholder and society. </w:t>
      </w:r>
      <w:r w:rsidR="005651BD">
        <w:t>From this paper</w:t>
      </w:r>
      <w:r w:rsidR="006B4D49">
        <w:t>, society</w:t>
      </w:r>
      <w:r>
        <w:t xml:space="preserve"> benefits</w:t>
      </w:r>
      <w:r w:rsidR="006B4D49">
        <w:t xml:space="preserve"> afford</w:t>
      </w:r>
      <w:r>
        <w:t xml:space="preserve">, there is investigated if CSR reporting </w:t>
      </w:r>
      <w:r w:rsidR="006B4D49">
        <w:t>influence the reputation</w:t>
      </w:r>
      <w:r>
        <w:t xml:space="preserve">. An investigation is </w:t>
      </w:r>
      <w:r w:rsidR="006B4D49">
        <w:t xml:space="preserve">performed, </w:t>
      </w:r>
      <w:r w:rsidR="00895B87">
        <w:t>where the reputation is dependent</w:t>
      </w:r>
      <w:r w:rsidR="006B4D49">
        <w:t xml:space="preserve"> on</w:t>
      </w:r>
      <w:r>
        <w:t xml:space="preserve">. When no relationship is found, </w:t>
      </w:r>
      <w:r w:rsidR="00106029">
        <w:t>society does not observe the CSR r</w:t>
      </w:r>
      <w:r w:rsidR="006B4D49">
        <w:t>eporting quality. This paper</w:t>
      </w:r>
      <w:r w:rsidR="002D0C7A">
        <w:t xml:space="preserve"> is </w:t>
      </w:r>
      <w:r w:rsidR="006B4D49">
        <w:t>also of relevance for companies</w:t>
      </w:r>
      <w:r w:rsidR="002D0C7A">
        <w:t xml:space="preserve"> because</w:t>
      </w:r>
      <w:r w:rsidR="006B4D49">
        <w:t xml:space="preserve"> it researches </w:t>
      </w:r>
      <w:r w:rsidR="002D0C7A">
        <w:t xml:space="preserve">if CSR reporting quality leads to an improvement of </w:t>
      </w:r>
      <w:r w:rsidR="006B4D49">
        <w:t xml:space="preserve">a </w:t>
      </w:r>
      <w:r w:rsidR="00905135">
        <w:t xml:space="preserve">company’s </w:t>
      </w:r>
      <w:r w:rsidR="00452989">
        <w:t>reputation</w:t>
      </w:r>
      <w:r w:rsidR="002D0C7A">
        <w:t xml:space="preserve">. If </w:t>
      </w:r>
      <w:r w:rsidR="00905135">
        <w:t>evidence is found for a p</w:t>
      </w:r>
      <w:r>
        <w:t>ositive relation, companies</w:t>
      </w:r>
      <w:r w:rsidR="006B4D49">
        <w:t xml:space="preserve"> benefit from providing</w:t>
      </w:r>
      <w:r w:rsidR="00905135">
        <w:t xml:space="preserve"> high quality CSR reports.</w:t>
      </w:r>
      <w:r w:rsidR="00106029">
        <w:t xml:space="preserve"> If no evidence is found, companies can cha</w:t>
      </w:r>
      <w:r w:rsidR="006B4D49">
        <w:t xml:space="preserve">nge their way of CSR </w:t>
      </w:r>
      <w:r w:rsidR="00895B87">
        <w:t>reporting</w:t>
      </w:r>
      <w:r w:rsidR="006B4D49">
        <w:t xml:space="preserve"> to achieve better results with</w:t>
      </w:r>
      <w:r w:rsidR="00106029">
        <w:t xml:space="preserve"> their CSR disclosure. </w:t>
      </w:r>
      <w:r w:rsidR="00BA499F">
        <w:t xml:space="preserve">Investigating the relation between CSR reporting quality and </w:t>
      </w:r>
      <w:r w:rsidR="00452989">
        <w:t>reputation</w:t>
      </w:r>
      <w:r w:rsidR="00BA499F">
        <w:t xml:space="preserve"> is </w:t>
      </w:r>
      <w:r w:rsidR="006B4D49">
        <w:t xml:space="preserve">therefore </w:t>
      </w:r>
      <w:r w:rsidR="00BA499F">
        <w:t xml:space="preserve">beneficial for society. </w:t>
      </w:r>
    </w:p>
    <w:p w:rsidR="00646F9D" w:rsidRDefault="00646F9D" w:rsidP="00452989">
      <w:pPr>
        <w:spacing w:line="360" w:lineRule="auto"/>
        <w:jc w:val="both"/>
      </w:pPr>
    </w:p>
    <w:p w:rsidR="008D7978" w:rsidRDefault="008D7978" w:rsidP="00452989">
      <w:pPr>
        <w:spacing w:line="360" w:lineRule="auto"/>
        <w:jc w:val="both"/>
      </w:pPr>
    </w:p>
    <w:p w:rsidR="00646F9D" w:rsidRDefault="00646F9D" w:rsidP="00452989">
      <w:pPr>
        <w:pStyle w:val="Heading2"/>
        <w:numPr>
          <w:ilvl w:val="1"/>
          <w:numId w:val="4"/>
        </w:numPr>
        <w:spacing w:line="360" w:lineRule="auto"/>
        <w:jc w:val="both"/>
      </w:pPr>
      <w:bookmarkStart w:id="16" w:name="_Toc299353359"/>
      <w:r>
        <w:lastRenderedPageBreak/>
        <w:t>Structure</w:t>
      </w:r>
      <w:bookmarkEnd w:id="16"/>
    </w:p>
    <w:p w:rsidR="002E1B34" w:rsidRPr="002E1B34" w:rsidRDefault="006B4D49" w:rsidP="00452989">
      <w:pPr>
        <w:spacing w:line="360" w:lineRule="auto"/>
        <w:jc w:val="both"/>
      </w:pPr>
      <w:r>
        <w:t>This paper</w:t>
      </w:r>
      <w:r w:rsidR="00646F9D">
        <w:t xml:space="preserve"> is</w:t>
      </w:r>
      <w:r w:rsidR="00EF21FC">
        <w:t xml:space="preserve"> outlined as follows, in the second</w:t>
      </w:r>
      <w:r w:rsidR="00646F9D">
        <w:t xml:space="preserve"> chapter the theoretical background of CSR reporting is discussed. </w:t>
      </w:r>
      <w:r w:rsidR="00EF21FC">
        <w:t xml:space="preserve">Disclosures in general, the definition of CSR and the relation of CSR with the positive accounting theory are described. In the third chapter the literature review is </w:t>
      </w:r>
      <w:r>
        <w:t>provided. Also</w:t>
      </w:r>
      <w:r w:rsidR="00EF21FC">
        <w:t xml:space="preserve"> the incentives and impacts of CSR and CSR reporting are presented. The </w:t>
      </w:r>
      <w:r w:rsidR="004D2215">
        <w:t xml:space="preserve">hypotheses are introduced in </w:t>
      </w:r>
      <w:r w:rsidR="00EF21FC">
        <w:t>chapter four. The methodology</w:t>
      </w:r>
      <w:r w:rsidR="004D2215">
        <w:t>,</w:t>
      </w:r>
      <w:r w:rsidR="00EF21FC">
        <w:t xml:space="preserve"> which is used to test the hypothes</w:t>
      </w:r>
      <w:r w:rsidR="00106029">
        <w:t>es</w:t>
      </w:r>
      <w:r w:rsidR="004D2215">
        <w:t>, is</w:t>
      </w:r>
      <w:r w:rsidR="00106029">
        <w:t xml:space="preserve"> described in chapter five. M</w:t>
      </w:r>
      <w:r w:rsidR="00EF21FC">
        <w:t>ethodology, statistical research and d</w:t>
      </w:r>
      <w:r w:rsidR="00106029">
        <w:t>ata are part of chapter five</w:t>
      </w:r>
      <w:r w:rsidR="00EF21FC">
        <w:t>. In chapter six the analyt</w:t>
      </w:r>
      <w:r w:rsidR="004D2215">
        <w:t>ical results are presented, these</w:t>
      </w:r>
      <w:r w:rsidR="00EF21FC">
        <w:t xml:space="preserve"> </w:t>
      </w:r>
      <w:r w:rsidR="0077750E">
        <w:t xml:space="preserve">results are composed of the descriptive and statistical results. Finally in chapter seven, the conclusion is stated. </w:t>
      </w:r>
    </w:p>
    <w:p w:rsidR="00631FDC" w:rsidRDefault="00631FDC" w:rsidP="00452989">
      <w:pPr>
        <w:pStyle w:val="Heading1"/>
        <w:spacing w:line="360" w:lineRule="auto"/>
        <w:jc w:val="both"/>
        <w:rPr>
          <w:u w:val="single"/>
        </w:rPr>
      </w:pPr>
    </w:p>
    <w:p w:rsidR="001937E3" w:rsidRDefault="001937E3" w:rsidP="001937E3"/>
    <w:p w:rsidR="001937E3" w:rsidRDefault="001937E3" w:rsidP="001937E3"/>
    <w:p w:rsidR="001937E3" w:rsidRDefault="001937E3" w:rsidP="001937E3"/>
    <w:p w:rsidR="001937E3" w:rsidRDefault="001937E3" w:rsidP="001937E3"/>
    <w:p w:rsidR="001937E3" w:rsidRDefault="001937E3" w:rsidP="001937E3"/>
    <w:p w:rsidR="001937E3" w:rsidRDefault="001937E3" w:rsidP="001937E3"/>
    <w:p w:rsidR="001937E3" w:rsidRDefault="001937E3" w:rsidP="001937E3"/>
    <w:p w:rsidR="001937E3" w:rsidRDefault="001937E3" w:rsidP="001937E3"/>
    <w:p w:rsidR="00866FED" w:rsidRDefault="00866FED" w:rsidP="001937E3"/>
    <w:p w:rsidR="001937E3" w:rsidRDefault="001937E3" w:rsidP="001937E3"/>
    <w:p w:rsidR="001937E3" w:rsidRDefault="001937E3" w:rsidP="001937E3"/>
    <w:p w:rsidR="001937E3" w:rsidRDefault="001937E3" w:rsidP="001937E3"/>
    <w:p w:rsidR="001937E3" w:rsidRDefault="001937E3" w:rsidP="001937E3"/>
    <w:p w:rsidR="001937E3" w:rsidRDefault="001937E3" w:rsidP="001937E3"/>
    <w:p w:rsidR="009F4376" w:rsidRDefault="009F4376" w:rsidP="00452989">
      <w:pPr>
        <w:pStyle w:val="Heading1"/>
        <w:spacing w:line="360" w:lineRule="auto"/>
        <w:jc w:val="both"/>
        <w:rPr>
          <w:rFonts w:asciiTheme="minorHAnsi" w:eastAsiaTheme="minorHAnsi" w:hAnsiTheme="minorHAnsi" w:cstheme="minorBidi"/>
          <w:b w:val="0"/>
          <w:bCs w:val="0"/>
          <w:kern w:val="0"/>
          <w:sz w:val="22"/>
          <w:szCs w:val="22"/>
        </w:rPr>
      </w:pPr>
    </w:p>
    <w:p w:rsidR="001937E3" w:rsidRDefault="001937E3" w:rsidP="001937E3"/>
    <w:p w:rsidR="00631FDC" w:rsidRPr="004D0F59" w:rsidRDefault="00631FDC" w:rsidP="00452989">
      <w:pPr>
        <w:pStyle w:val="Heading1"/>
        <w:spacing w:line="360" w:lineRule="auto"/>
        <w:jc w:val="both"/>
        <w:rPr>
          <w:u w:val="single"/>
        </w:rPr>
      </w:pPr>
      <w:bookmarkStart w:id="17" w:name="_Toc299353360"/>
      <w:r w:rsidRPr="004D0F59">
        <w:rPr>
          <w:u w:val="single"/>
        </w:rPr>
        <w:lastRenderedPageBreak/>
        <w:t>Chapter 2 Theoretical Background</w:t>
      </w:r>
      <w:bookmarkEnd w:id="17"/>
    </w:p>
    <w:p w:rsidR="00631FDC" w:rsidRDefault="00895B87" w:rsidP="00452989">
      <w:pPr>
        <w:spacing w:line="360" w:lineRule="auto"/>
        <w:jc w:val="both"/>
      </w:pPr>
      <w:r>
        <w:t>To provide</w:t>
      </w:r>
      <w:r w:rsidR="00B36954">
        <w:t xml:space="preserve"> a complete understanding of </w:t>
      </w:r>
      <w:r>
        <w:t>CSR reporting</w:t>
      </w:r>
      <w:r w:rsidR="00B36954">
        <w:t xml:space="preserve">, </w:t>
      </w:r>
      <w:r>
        <w:t xml:space="preserve">in this chapter </w:t>
      </w:r>
      <w:r w:rsidR="00B36954">
        <w:t>a th</w:t>
      </w:r>
      <w:r>
        <w:t>eoretical background is given</w:t>
      </w:r>
      <w:r w:rsidR="00B36954">
        <w:t xml:space="preserve"> about c</w:t>
      </w:r>
      <w:r>
        <w:t xml:space="preserve">ommunication information. </w:t>
      </w:r>
      <w:r w:rsidR="00106029">
        <w:t>This chapter starts with describing</w:t>
      </w:r>
      <w:r w:rsidR="00B36954">
        <w:t xml:space="preserve">, </w:t>
      </w:r>
      <w:r w:rsidR="00631FDC">
        <w:t>different typ</w:t>
      </w:r>
      <w:r w:rsidR="00106029">
        <w:t>es of communicating information, f</w:t>
      </w:r>
      <w:r w:rsidR="00B36954">
        <w:t>inancial disclosures and voluntary disclosures are introduced. Thereafter CSR and CSR reporting are</w:t>
      </w:r>
      <w:r w:rsidR="00631FDC">
        <w:t xml:space="preserve"> </w:t>
      </w:r>
      <w:r w:rsidR="00B36954">
        <w:t xml:space="preserve">discussed. </w:t>
      </w:r>
      <w:r w:rsidR="00631FDC">
        <w:t>The definition of CSR is explained, the CSR report and the guidelines for providing a CSR report are discussed. The final part of this chapter explains the positive accounting theory and the relation with CSR reporting.</w:t>
      </w:r>
    </w:p>
    <w:p w:rsidR="00631FDC" w:rsidRDefault="00631FDC" w:rsidP="00452989">
      <w:pPr>
        <w:spacing w:line="360" w:lineRule="auto"/>
        <w:jc w:val="both"/>
      </w:pPr>
    </w:p>
    <w:p w:rsidR="00631FDC" w:rsidRDefault="00631FDC" w:rsidP="00452989">
      <w:pPr>
        <w:pStyle w:val="Heading2"/>
        <w:spacing w:line="360" w:lineRule="auto"/>
        <w:jc w:val="both"/>
      </w:pPr>
      <w:bookmarkStart w:id="18" w:name="_Toc299353361"/>
      <w:r>
        <w:t>2.1 Disclosures</w:t>
      </w:r>
      <w:bookmarkEnd w:id="18"/>
    </w:p>
    <w:p w:rsidR="00631FDC" w:rsidRDefault="00631FDC" w:rsidP="00452989">
      <w:pPr>
        <w:spacing w:line="360" w:lineRule="auto"/>
        <w:jc w:val="both"/>
      </w:pPr>
      <w:r>
        <w:t>A disclosure communicates company’s information, the disclosure is provide</w:t>
      </w:r>
      <w:r w:rsidR="000564C6">
        <w:t>d</w:t>
      </w:r>
      <w:r>
        <w:t xml:space="preserve"> by the company. Rules and regulation exist to provide all obligated informa</w:t>
      </w:r>
      <w:r w:rsidR="00B36954">
        <w:t>tion. Companies should make</w:t>
      </w:r>
      <w:r>
        <w:t xml:space="preserve"> required information publically available. The financial disclosure is a well known mandatory disclosure. Also voluntary disclosures exist, in voluntary disclosures information is provided which is, next to mandatory disclosure, not obligated to communicate. First, a short description is given of the financial disclosures, followed with a description of voluntary disclosur</w:t>
      </w:r>
      <w:r w:rsidR="000564C6">
        <w:t xml:space="preserve">es. This description gives a </w:t>
      </w:r>
      <w:r>
        <w:t>background for understanding the CSR report disclosures.</w:t>
      </w:r>
    </w:p>
    <w:p w:rsidR="00631FDC" w:rsidRDefault="00631FDC" w:rsidP="00452989">
      <w:pPr>
        <w:spacing w:line="360" w:lineRule="auto"/>
        <w:jc w:val="both"/>
      </w:pPr>
    </w:p>
    <w:p w:rsidR="00631FDC" w:rsidRPr="003B302C" w:rsidRDefault="00631FDC" w:rsidP="00452989">
      <w:pPr>
        <w:pStyle w:val="Heading3"/>
        <w:spacing w:line="360" w:lineRule="auto"/>
        <w:jc w:val="both"/>
        <w:rPr>
          <w:color w:val="auto"/>
        </w:rPr>
      </w:pPr>
      <w:bookmarkStart w:id="19" w:name="_Toc299353362"/>
      <w:r w:rsidRPr="003B302C">
        <w:rPr>
          <w:color w:val="auto"/>
        </w:rPr>
        <w:t xml:space="preserve">2.1.1 Financial </w:t>
      </w:r>
      <w:r w:rsidR="005E2F3B">
        <w:rPr>
          <w:color w:val="auto"/>
        </w:rPr>
        <w:t>d</w:t>
      </w:r>
      <w:r w:rsidRPr="003B302C">
        <w:rPr>
          <w:color w:val="auto"/>
        </w:rPr>
        <w:t>isclosure</w:t>
      </w:r>
      <w:bookmarkEnd w:id="19"/>
    </w:p>
    <w:p w:rsidR="00631FDC" w:rsidRDefault="000564C6" w:rsidP="00452989">
      <w:pPr>
        <w:spacing w:line="360" w:lineRule="auto"/>
        <w:jc w:val="both"/>
      </w:pPr>
      <w:r>
        <w:t xml:space="preserve">Companies </w:t>
      </w:r>
      <w:r w:rsidR="00895B87">
        <w:t>communicate information</w:t>
      </w:r>
      <w:r w:rsidR="00631FDC">
        <w:t xml:space="preserve"> in different ways, these</w:t>
      </w:r>
      <w:r w:rsidR="00631FDC" w:rsidRPr="008C5D70">
        <w:t xml:space="preserve"> announcements are called disclosures.</w:t>
      </w:r>
      <w:r w:rsidR="00631FDC">
        <w:t xml:space="preserve"> The most common known disclosure </w:t>
      </w:r>
      <w:r w:rsidR="00895B87">
        <w:t>is the financial annual report.</w:t>
      </w:r>
      <w:r w:rsidR="00631FDC" w:rsidRPr="008C5D70">
        <w:t xml:space="preserve"> In </w:t>
      </w:r>
      <w:r w:rsidR="00156F2C">
        <w:t>these disclosures</w:t>
      </w:r>
      <w:r>
        <w:t>, information is provided about</w:t>
      </w:r>
      <w:r w:rsidR="00631FDC">
        <w:t xml:space="preserve"> past financial performances and</w:t>
      </w:r>
      <w:r w:rsidR="00EF34D8">
        <w:t xml:space="preserve"> the current financial position</w:t>
      </w:r>
      <w:r>
        <w:t xml:space="preserve"> of the company</w:t>
      </w:r>
      <w:r w:rsidR="00EF34D8">
        <w:t>.</w:t>
      </w:r>
      <w:r w:rsidR="00B36954">
        <w:t xml:space="preserve"> </w:t>
      </w:r>
      <w:r w:rsidR="00EF34D8">
        <w:t>In the</w:t>
      </w:r>
      <w:r w:rsidR="00631FDC">
        <w:t xml:space="preserve"> financial report the profit and loss account, balance sheet and cash flow statement are included. Also other important information for users should be incorporated</w:t>
      </w:r>
      <w:r w:rsidR="00EF34D8">
        <w:t xml:space="preserve"> in a financial report. F</w:t>
      </w:r>
      <w:r w:rsidR="00631FDC">
        <w:t xml:space="preserve">inancial </w:t>
      </w:r>
      <w:r w:rsidR="00EF34D8">
        <w:t>disclosures provide</w:t>
      </w:r>
      <w:r w:rsidR="00631FDC">
        <w:t xml:space="preserve"> useful information to investors and other stakeholders, based on</w:t>
      </w:r>
      <w:r w:rsidR="00EF34D8">
        <w:t xml:space="preserve"> the disclosed information investors and stakeholders </w:t>
      </w:r>
      <w:r w:rsidR="00631FDC">
        <w:t xml:space="preserve">make decisions. Financial reports are valuable for investors, this </w:t>
      </w:r>
      <w:r w:rsidR="00156F2C">
        <w:t>associated in</w:t>
      </w:r>
      <w:r w:rsidR="00631FDC">
        <w:t xml:space="preserve"> the studies of Kothari (2001), </w:t>
      </w:r>
      <w:proofErr w:type="spellStart"/>
      <w:r w:rsidR="00631FDC">
        <w:t>Louhichi</w:t>
      </w:r>
      <w:proofErr w:type="spellEnd"/>
      <w:r w:rsidR="00631FDC">
        <w:t xml:space="preserve"> (2008) and Su (2003). In these studies ev</w:t>
      </w:r>
      <w:r w:rsidR="00B36954">
        <w:t>idence is found that financial reports</w:t>
      </w:r>
      <w:r w:rsidR="00631FDC">
        <w:t xml:space="preserve"> affect stock price reactions. The reaction of investors can be</w:t>
      </w:r>
      <w:r w:rsidR="00895B87">
        <w:t xml:space="preserve"> observed due to the changes in</w:t>
      </w:r>
      <w:r w:rsidR="00631FDC">
        <w:t xml:space="preserve"> stock prices. </w:t>
      </w:r>
    </w:p>
    <w:p w:rsidR="00631FDC" w:rsidRDefault="00631FDC" w:rsidP="00452989">
      <w:pPr>
        <w:spacing w:line="360" w:lineRule="auto"/>
        <w:jc w:val="both"/>
      </w:pPr>
      <w:r>
        <w:lastRenderedPageBreak/>
        <w:t>Specific requirements exist for th</w:t>
      </w:r>
      <w:r w:rsidR="00B36954">
        <w:t>e financial reporting</w:t>
      </w:r>
      <w:r>
        <w:t xml:space="preserve"> of listed companies. All listed companies are required to make the financial report publically available. These listed companies have a big influence on the society, so the disclosures should be free from errors and fraud. Therefore the financial reports should be audited by a Certified Public </w:t>
      </w:r>
      <w:r w:rsidR="00EF34D8">
        <w:t>Account (CPA) firm. Providing a</w:t>
      </w:r>
      <w:r>
        <w:t xml:space="preserve"> financial r</w:t>
      </w:r>
      <w:r w:rsidR="00EF34D8">
        <w:t xml:space="preserve">eport is the responsibility of </w:t>
      </w:r>
      <w:r>
        <w:t xml:space="preserve">company’s management. </w:t>
      </w:r>
      <w:r w:rsidR="00EF34D8">
        <w:t xml:space="preserve">Management is </w:t>
      </w:r>
      <w:r>
        <w:t>primarily responsible for the information provided in the report. The financial report should be in conformity with standards and regulations. The General Accepted Accounting Principles (GAAP) and the International Financial Reporting Standards (IFRS) are common used standard</w:t>
      </w:r>
      <w:r w:rsidR="000564C6">
        <w:t>s</w:t>
      </w:r>
      <w:r>
        <w:t xml:space="preserve">. For GAAP different country versions exist. The IFRS services a broader public, this reporting standards is applied in an international setting. </w:t>
      </w:r>
    </w:p>
    <w:p w:rsidR="00631FDC" w:rsidRDefault="00631FDC" w:rsidP="00452989">
      <w:pPr>
        <w:spacing w:line="360" w:lineRule="auto"/>
        <w:jc w:val="both"/>
      </w:pPr>
    </w:p>
    <w:p w:rsidR="00631FDC" w:rsidRPr="003B302C" w:rsidRDefault="005E2F3B" w:rsidP="00452989">
      <w:pPr>
        <w:pStyle w:val="Heading3"/>
        <w:spacing w:line="360" w:lineRule="auto"/>
        <w:jc w:val="both"/>
        <w:rPr>
          <w:color w:val="auto"/>
        </w:rPr>
      </w:pPr>
      <w:bookmarkStart w:id="20" w:name="_Toc299353363"/>
      <w:r>
        <w:rPr>
          <w:color w:val="auto"/>
        </w:rPr>
        <w:t>2.1.2 Voluntary d</w:t>
      </w:r>
      <w:r w:rsidR="00631FDC" w:rsidRPr="003B302C">
        <w:rPr>
          <w:color w:val="auto"/>
        </w:rPr>
        <w:t>isclosure</w:t>
      </w:r>
      <w:bookmarkEnd w:id="20"/>
    </w:p>
    <w:p w:rsidR="00631FDC" w:rsidRDefault="00631FDC" w:rsidP="00452989">
      <w:pPr>
        <w:spacing w:line="360" w:lineRule="auto"/>
        <w:jc w:val="both"/>
      </w:pPr>
      <w:r w:rsidRPr="00766F8B">
        <w:t>Management</w:t>
      </w:r>
      <w:r>
        <w:t xml:space="preserve"> </w:t>
      </w:r>
      <w:r w:rsidR="000564C6">
        <w:t>is able to</w:t>
      </w:r>
      <w:r>
        <w:t xml:space="preserve"> choose</w:t>
      </w:r>
      <w:r w:rsidR="000564C6">
        <w:t>,</w:t>
      </w:r>
      <w:r>
        <w:t xml:space="preserve"> to disclose more information than is required. The non mandatory </w:t>
      </w:r>
      <w:r w:rsidR="00156F2C">
        <w:t>disclosed information</w:t>
      </w:r>
      <w:r>
        <w:t xml:space="preserve"> is called voluntary disclosures. Mandatory disclosed information is imposed by laws and regulations. But no laws and regulations exist for providing voluntary disclosures. When on a voluntary base information becomes available, </w:t>
      </w:r>
      <w:r w:rsidR="00060859">
        <w:t>investors are provided with additional</w:t>
      </w:r>
      <w:r>
        <w:t xml:space="preserve"> information, this will lead to improved decision making by investors. Also companies can distinguish themselves from other companies, when p</w:t>
      </w:r>
      <w:r w:rsidR="00060859">
        <w:t>roviding voluntary information.</w:t>
      </w:r>
      <w:r>
        <w:t xml:space="preserve"> Different forms of voluntar</w:t>
      </w:r>
      <w:r w:rsidR="00060859">
        <w:t>y disclosures exist, examples are:</w:t>
      </w:r>
      <w:r>
        <w:t xml:space="preserve"> conference calls, press releases, interviews and sustainability or CSR report</w:t>
      </w:r>
      <w:r w:rsidR="00EF34D8">
        <w:t>s</w:t>
      </w:r>
      <w:r>
        <w:t>.</w:t>
      </w:r>
    </w:p>
    <w:p w:rsidR="00631FDC" w:rsidRDefault="00631FDC" w:rsidP="00452989">
      <w:pPr>
        <w:pStyle w:val="Heading3"/>
        <w:spacing w:line="360" w:lineRule="auto"/>
        <w:jc w:val="both"/>
        <w:rPr>
          <w:rFonts w:asciiTheme="minorHAnsi" w:eastAsiaTheme="minorHAnsi" w:hAnsiTheme="minorHAnsi" w:cstheme="minorBidi"/>
          <w:b w:val="0"/>
          <w:bCs w:val="0"/>
          <w:color w:val="auto"/>
        </w:rPr>
      </w:pPr>
    </w:p>
    <w:p w:rsidR="00631FDC" w:rsidRPr="00F9095D" w:rsidRDefault="00631FDC" w:rsidP="00452989">
      <w:pPr>
        <w:pStyle w:val="Heading3"/>
        <w:spacing w:line="360" w:lineRule="auto"/>
        <w:jc w:val="both"/>
        <w:rPr>
          <w:color w:val="auto"/>
        </w:rPr>
      </w:pPr>
      <w:bookmarkStart w:id="21" w:name="_Toc299353364"/>
      <w:r w:rsidRPr="00F9095D">
        <w:rPr>
          <w:color w:val="auto"/>
        </w:rPr>
        <w:t>2.1.4 Summary</w:t>
      </w:r>
      <w:r>
        <w:rPr>
          <w:color w:val="auto"/>
        </w:rPr>
        <w:t xml:space="preserve"> </w:t>
      </w:r>
      <w:r w:rsidR="005E2F3B">
        <w:rPr>
          <w:color w:val="auto"/>
        </w:rPr>
        <w:t>d</w:t>
      </w:r>
      <w:r w:rsidRPr="00F9095D">
        <w:rPr>
          <w:color w:val="auto"/>
        </w:rPr>
        <w:t>isclosures</w:t>
      </w:r>
      <w:bookmarkEnd w:id="21"/>
    </w:p>
    <w:p w:rsidR="00631FDC" w:rsidRDefault="00631FDC" w:rsidP="00452989">
      <w:pPr>
        <w:spacing w:line="360" w:lineRule="auto"/>
        <w:jc w:val="both"/>
      </w:pPr>
      <w:r w:rsidRPr="002C3D21">
        <w:t xml:space="preserve">Companies communicate information to </w:t>
      </w:r>
      <w:r>
        <w:t>stakeholders by disclosures. In a financial disclosure required information is provided. For this required information rules and regulations exist. Voluntary disclosure is a disclosure, that communicates no</w:t>
      </w:r>
      <w:r w:rsidR="00EF34D8">
        <w:t>n</w:t>
      </w:r>
      <w:r>
        <w:t xml:space="preserve"> </w:t>
      </w:r>
      <w:r w:rsidR="00EF34D8">
        <w:t xml:space="preserve">mandatory </w:t>
      </w:r>
      <w:r>
        <w:t>information and no rules and regulation exist for these provisions</w:t>
      </w:r>
    </w:p>
    <w:p w:rsidR="00631FDC" w:rsidRDefault="00631FDC" w:rsidP="00452989">
      <w:pPr>
        <w:spacing w:line="360" w:lineRule="auto"/>
        <w:jc w:val="both"/>
      </w:pPr>
    </w:p>
    <w:p w:rsidR="008D7978" w:rsidRDefault="008D7978" w:rsidP="00452989">
      <w:pPr>
        <w:spacing w:line="360" w:lineRule="auto"/>
        <w:jc w:val="both"/>
      </w:pPr>
    </w:p>
    <w:p w:rsidR="00631FDC" w:rsidRPr="002C3D21" w:rsidRDefault="00631FDC" w:rsidP="00452989">
      <w:pPr>
        <w:pStyle w:val="Heading2"/>
        <w:spacing w:line="360" w:lineRule="auto"/>
        <w:jc w:val="both"/>
      </w:pPr>
      <w:bookmarkStart w:id="22" w:name="_Toc299353365"/>
      <w:r w:rsidRPr="002C3D21">
        <w:lastRenderedPageBreak/>
        <w:t>2.</w:t>
      </w:r>
      <w:r>
        <w:t>2</w:t>
      </w:r>
      <w:r w:rsidRPr="002C3D21">
        <w:t xml:space="preserve"> Corporate Social Responsibility</w:t>
      </w:r>
      <w:bookmarkEnd w:id="22"/>
      <w:r w:rsidRPr="002C3D21">
        <w:t xml:space="preserve"> </w:t>
      </w:r>
    </w:p>
    <w:p w:rsidR="00631FDC" w:rsidRDefault="00631FDC" w:rsidP="00452989">
      <w:pPr>
        <w:spacing w:line="360" w:lineRule="auto"/>
        <w:jc w:val="both"/>
      </w:pPr>
      <w:r>
        <w:t>The subject of this thesis is to investiga</w:t>
      </w:r>
      <w:r w:rsidR="00060859">
        <w:t>te the impact of CSR reporting.</w:t>
      </w:r>
      <w:r w:rsidR="00EF34D8">
        <w:t xml:space="preserve"> Before investigating this impact, first the definition of CSR and CSR reporting should be clear. </w:t>
      </w:r>
      <w:r>
        <w:t>In a CSR report the performance of th</w:t>
      </w:r>
      <w:r w:rsidR="00060859">
        <w:t>e CSR strategy is communicated.</w:t>
      </w:r>
      <w:r>
        <w:t xml:space="preserve"> </w:t>
      </w:r>
      <w:r w:rsidR="00060859">
        <w:t>Fi</w:t>
      </w:r>
      <w:r>
        <w:t xml:space="preserve">rst the </w:t>
      </w:r>
      <w:r w:rsidR="00EF34D8">
        <w:t xml:space="preserve">definition </w:t>
      </w:r>
      <w:r>
        <w:t>of CSR</w:t>
      </w:r>
      <w:r w:rsidR="00060859">
        <w:t xml:space="preserve"> is provided, t</w:t>
      </w:r>
      <w:r w:rsidR="00EB3274">
        <w:t xml:space="preserve">his is followed with </w:t>
      </w:r>
      <w:r w:rsidR="00156F2C">
        <w:t>an</w:t>
      </w:r>
      <w:r w:rsidR="00EB3274">
        <w:t xml:space="preserve"> introduction of CSR reporting. Besides that CSR reporting is a voluntary disclosure, guidelines exist for providing a report. The guidelines of CSR reporting are provided in the third part of this paragraph. </w:t>
      </w:r>
    </w:p>
    <w:p w:rsidR="00631FDC" w:rsidRPr="00A00A9B" w:rsidRDefault="00631FDC" w:rsidP="00452989">
      <w:pPr>
        <w:spacing w:line="360" w:lineRule="auto"/>
        <w:jc w:val="both"/>
      </w:pPr>
    </w:p>
    <w:p w:rsidR="00631FDC" w:rsidRDefault="00631FDC" w:rsidP="00452989">
      <w:pPr>
        <w:pStyle w:val="Heading3"/>
        <w:spacing w:line="360" w:lineRule="auto"/>
        <w:jc w:val="both"/>
        <w:rPr>
          <w:color w:val="auto"/>
        </w:rPr>
      </w:pPr>
      <w:bookmarkStart w:id="23" w:name="_Toc299353366"/>
      <w:r w:rsidRPr="00A00A9B">
        <w:rPr>
          <w:color w:val="auto"/>
        </w:rPr>
        <w:t>2.</w:t>
      </w:r>
      <w:r>
        <w:rPr>
          <w:color w:val="auto"/>
        </w:rPr>
        <w:t>2</w:t>
      </w:r>
      <w:r w:rsidRPr="00A00A9B">
        <w:rPr>
          <w:color w:val="auto"/>
        </w:rPr>
        <w:t>.1 Definition of Corporate Social Responsibility</w:t>
      </w:r>
      <w:bookmarkEnd w:id="23"/>
    </w:p>
    <w:p w:rsidR="00694477" w:rsidRDefault="00631FDC" w:rsidP="00452989">
      <w:pPr>
        <w:spacing w:line="360" w:lineRule="auto"/>
        <w:jc w:val="both"/>
      </w:pPr>
      <w:r>
        <w:t xml:space="preserve">Companies which implement CSR strategy into the organization, put attention to environmental and social activities. When a company implements CSR strategy into the organization, a switch is made in the focus of the company. Not only the financial </w:t>
      </w:r>
      <w:r w:rsidR="00060859">
        <w:t xml:space="preserve">performances are important, </w:t>
      </w:r>
      <w:r>
        <w:t>but also the environmental and social performances face attention. These companies are concerned about their negative influences.</w:t>
      </w:r>
    </w:p>
    <w:p w:rsidR="00694477" w:rsidRDefault="00694477" w:rsidP="00452989">
      <w:pPr>
        <w:spacing w:line="360" w:lineRule="auto"/>
        <w:jc w:val="both"/>
      </w:pPr>
      <w:r>
        <w:t xml:space="preserve">Many CSR definitions exist, one of the </w:t>
      </w:r>
      <w:r w:rsidR="00156F2C">
        <w:t>definitions</w:t>
      </w:r>
      <w:r>
        <w:t xml:space="preserve"> is coming from the World Business Council for Sustainable Development (WBCSD). This is a platform developed by 200 companies, out of 30 countries.  The WBCSD deals with business and sustainable development, they help companies exploring a new CSR strategy in the company. Also sharing knowledge and experiences are important purposes of the WBCSD. Their definition of CSR is:</w:t>
      </w:r>
    </w:p>
    <w:p w:rsidR="00694477" w:rsidRDefault="00694477" w:rsidP="00452989">
      <w:pPr>
        <w:spacing w:line="360" w:lineRule="auto"/>
        <w:jc w:val="both"/>
        <w:rPr>
          <w:i/>
        </w:rPr>
      </w:pPr>
      <w:r>
        <w:rPr>
          <w:i/>
        </w:rPr>
        <w:t>“T</w:t>
      </w:r>
      <w:r w:rsidRPr="00B30BDB">
        <w:rPr>
          <w:i/>
        </w:rPr>
        <w:t>he continuing commitment by business to behave ethically and contribute to economic development while improving the quality of life of the workforce and their families as well as of the local community and society at large.”</w:t>
      </w:r>
    </w:p>
    <w:p w:rsidR="00694477" w:rsidRDefault="00694477" w:rsidP="00452989">
      <w:pPr>
        <w:spacing w:line="360" w:lineRule="auto"/>
        <w:jc w:val="both"/>
      </w:pPr>
      <w:r>
        <w:t xml:space="preserve">A </w:t>
      </w:r>
      <w:r w:rsidR="00156F2C">
        <w:t>stricter</w:t>
      </w:r>
      <w:r>
        <w:t xml:space="preserve"> explanation of CSR is provided by Naylor (1999) and used by Douglas, Doris and Johnson (2004). This definition is more in line with WBCSD, where CSR is defined as a contin</w:t>
      </w:r>
      <w:r w:rsidR="00060859">
        <w:t xml:space="preserve">uously commitment. The </w:t>
      </w:r>
      <w:r w:rsidR="00156F2C">
        <w:t>stricter</w:t>
      </w:r>
      <w:r>
        <w:t xml:space="preserve"> definition of Naylor (1999) is:</w:t>
      </w:r>
    </w:p>
    <w:p w:rsidR="00694477" w:rsidRDefault="00694477" w:rsidP="00452989">
      <w:pPr>
        <w:spacing w:line="360" w:lineRule="auto"/>
        <w:jc w:val="both"/>
      </w:pPr>
      <w:r>
        <w:t>“</w:t>
      </w:r>
      <w:r>
        <w:rPr>
          <w:i/>
        </w:rPr>
        <w:t>The obligation of managers to choose and act in ways that benefit both the interest of the organization and those of society as a whole.</w:t>
      </w:r>
      <w:r>
        <w:t>”</w:t>
      </w:r>
    </w:p>
    <w:p w:rsidR="00631FDC" w:rsidRDefault="00694477" w:rsidP="00452989">
      <w:pPr>
        <w:spacing w:line="360" w:lineRule="auto"/>
        <w:jc w:val="both"/>
      </w:pPr>
      <w:r>
        <w:t>CSR is makes use of activities, different activities exist for different companies</w:t>
      </w:r>
      <w:r w:rsidR="00060859">
        <w:t>. For example, m</w:t>
      </w:r>
      <w:r>
        <w:t>anufacturing companies</w:t>
      </w:r>
      <w:r w:rsidR="006854D0">
        <w:t xml:space="preserve"> that</w:t>
      </w:r>
      <w:r>
        <w:t xml:space="preserve"> use for </w:t>
      </w:r>
      <w:r w:rsidR="00631FDC">
        <w:t>production natural materials can implement CSR</w:t>
      </w:r>
      <w:r w:rsidR="006854D0">
        <w:t xml:space="preserve"> activities</w:t>
      </w:r>
      <w:r w:rsidR="00631FDC">
        <w:t xml:space="preserve">. One </w:t>
      </w:r>
      <w:r w:rsidR="00631FDC">
        <w:lastRenderedPageBreak/>
        <w:t>of the goals of their CSR strategy can be</w:t>
      </w:r>
      <w:r w:rsidR="00EB3274">
        <w:t>,</w:t>
      </w:r>
      <w:r w:rsidR="00631FDC">
        <w:t xml:space="preserve"> lowering the amount of used natural materials by setting maximum leve</w:t>
      </w:r>
      <w:r w:rsidR="006854D0">
        <w:t>ls of use. M</w:t>
      </w:r>
      <w:r w:rsidR="00631FDC">
        <w:t>inimizing the pollution rate is a well know CSR activity</w:t>
      </w:r>
      <w:r w:rsidR="006854D0">
        <w:t xml:space="preserve"> too</w:t>
      </w:r>
      <w:r w:rsidR="00631FDC">
        <w:t xml:space="preserve">. The social side </w:t>
      </w:r>
      <w:r w:rsidR="00156F2C">
        <w:t>activities of CSR are</w:t>
      </w:r>
      <w:r w:rsidR="006854D0">
        <w:t>,</w:t>
      </w:r>
      <w:r w:rsidR="00631FDC">
        <w:t xml:space="preserve"> </w:t>
      </w:r>
      <w:r w:rsidR="00EB3274">
        <w:t>for example</w:t>
      </w:r>
      <w:r w:rsidR="00060859">
        <w:t>,</w:t>
      </w:r>
      <w:r w:rsidR="00EB3274">
        <w:t xml:space="preserve"> </w:t>
      </w:r>
      <w:r w:rsidR="00631FDC">
        <w:t xml:space="preserve">related to providing sponsorships to foundations. </w:t>
      </w:r>
      <w:r w:rsidR="00EB3274">
        <w:t xml:space="preserve">The </w:t>
      </w:r>
      <w:r w:rsidR="00631FDC">
        <w:t xml:space="preserve">Dutch bank </w:t>
      </w:r>
      <w:proofErr w:type="spellStart"/>
      <w:r w:rsidR="00631FDC">
        <w:t>Rabobank</w:t>
      </w:r>
      <w:proofErr w:type="spellEnd"/>
      <w:r w:rsidR="00631FDC">
        <w:t xml:space="preserve"> provides much sponsorships to sport and cultural organizations.</w:t>
      </w:r>
      <w:r w:rsidR="00631FDC">
        <w:rPr>
          <w:rStyle w:val="FootnoteReference"/>
        </w:rPr>
        <w:footnoteReference w:id="1"/>
      </w:r>
      <w:r w:rsidR="00060859">
        <w:t xml:space="preserve"> Companies</w:t>
      </w:r>
      <w:r w:rsidR="006854D0">
        <w:t xml:space="preserve"> have also the possibility to implement CSR activities which focus more on the intern side of the company.</w:t>
      </w:r>
      <w:r w:rsidR="00631FDC">
        <w:t xml:space="preserve"> </w:t>
      </w:r>
      <w:r w:rsidR="00EB3274">
        <w:t>Examples</w:t>
      </w:r>
      <w:r w:rsidR="00631FDC">
        <w:t xml:space="preserve"> of intern CSR activities are,</w:t>
      </w:r>
      <w:r w:rsidR="006854D0">
        <w:t xml:space="preserve"> stimulating of employees </w:t>
      </w:r>
      <w:r w:rsidR="00631FDC">
        <w:t xml:space="preserve">to go by bike to office and </w:t>
      </w:r>
      <w:r w:rsidR="006854D0">
        <w:t>serving healthy food in the canteen</w:t>
      </w:r>
      <w:r w:rsidR="00631FDC">
        <w:t>.  The health of employees is an important factor for</w:t>
      </w:r>
      <w:r w:rsidR="006854D0">
        <w:t xml:space="preserve"> companies</w:t>
      </w:r>
      <w:r w:rsidR="00631FDC">
        <w:t xml:space="preserve">, healthy employees are better performers (Biotech Week, 2004). </w:t>
      </w:r>
    </w:p>
    <w:p w:rsidR="00631FDC" w:rsidRDefault="00631FDC" w:rsidP="00452989">
      <w:pPr>
        <w:spacing w:line="360" w:lineRule="auto"/>
        <w:jc w:val="both"/>
      </w:pPr>
      <w:r>
        <w:t xml:space="preserve">Above some examples are given of CSR activities, </w:t>
      </w:r>
      <w:r w:rsidR="00156F2C">
        <w:t>these CSR activities</w:t>
      </w:r>
      <w:r>
        <w:t xml:space="preserve"> leads to the</w:t>
      </w:r>
      <w:r w:rsidR="0044455B">
        <w:t xml:space="preserve"> CSR performances or outcomes of the CSR strategy. </w:t>
      </w:r>
      <w:r>
        <w:t xml:space="preserve">A CSR strategy includes many CSR activities, the CSR activities all together have the purpose of reaching a final goal. The outcomes or performances of CSR activities are corporate social performance (CSP). Wood (2010) </w:t>
      </w:r>
      <w:r w:rsidR="00156F2C">
        <w:t>provides</w:t>
      </w:r>
      <w:r>
        <w:t xml:space="preserve"> a framework which made the distinction clear between CSP and CSR. Following the study of Wood (2010) there is claimed that CSP is more focused on the outcomes and impacts of performances. The CSP is defined by the principles of CSR</w:t>
      </w:r>
      <w:r w:rsidR="001C4858">
        <w:t>, the CSR strategy sets out the expected performances</w:t>
      </w:r>
      <w:r>
        <w:t>. Wood (2010) implies that, CSP result from CSR and th</w:t>
      </w:r>
      <w:r w:rsidR="00156F2C">
        <w:t>at CSP proves from</w:t>
      </w:r>
      <w:r>
        <w:t xml:space="preserve"> social responsiveness. She identified the social responsiveness as a process where environmental scanning, stakeholder management an</w:t>
      </w:r>
      <w:r w:rsidR="0044455B">
        <w:t>d public affairs management are</w:t>
      </w:r>
      <w:r>
        <w:t xml:space="preserve"> incorporated. This all implies that, CSP is the outcome of the CSR activities.</w:t>
      </w:r>
    </w:p>
    <w:p w:rsidR="00631FDC" w:rsidRDefault="00631FDC" w:rsidP="00452989">
      <w:pPr>
        <w:spacing w:line="360" w:lineRule="auto"/>
        <w:jc w:val="both"/>
      </w:pPr>
      <w:r>
        <w:t>In the study of Wood (2010) there is made use of CSR, when measuring the corporate social performances. Before, already was mentioned that Wood (2010) se</w:t>
      </w:r>
      <w:r w:rsidR="0044455B">
        <w:t xml:space="preserve">es CSP as the outcome of CSR. </w:t>
      </w:r>
      <w:r>
        <w:t>In this framework CSR is defined on three principles: legitimacy, public responsibility and managerial discretion. In this study a definition about the legitimacy theory is given:  “</w:t>
      </w:r>
      <w:r>
        <w:rPr>
          <w:i/>
        </w:rPr>
        <w:t xml:space="preserve">Businesses that abuse the power society grants them will lose that power.” </w:t>
      </w:r>
      <w:r>
        <w:t xml:space="preserve">A company obtained power, achieved from society. The company uses this power in their daily production and decision making. If a company harms the environment of society due to the production or decision making, they misuse their power. The society will judged the company in a negative way, the company </w:t>
      </w:r>
      <w:r w:rsidR="0044455B">
        <w:t>will obtain less power finally.</w:t>
      </w:r>
      <w:r>
        <w:t xml:space="preserve"> The definition of the public responsibility is</w:t>
      </w:r>
      <w:r w:rsidR="00156F2C">
        <w:t>:”</w:t>
      </w:r>
      <w:r>
        <w:rPr>
          <w:i/>
        </w:rPr>
        <w:t>Businesses are responsible for outcomes related to their primary and secondary areas of involvement with society.”</w:t>
      </w:r>
      <w:r>
        <w:t xml:space="preserve"> This definition </w:t>
      </w:r>
      <w:r w:rsidR="0044455B">
        <w:t>implies that,</w:t>
      </w:r>
      <w:r>
        <w:t xml:space="preserve"> the company is full responsible for the environmental and social performances. Not only the positive performances are </w:t>
      </w:r>
      <w:r w:rsidR="001C4858">
        <w:t xml:space="preserve">under </w:t>
      </w:r>
      <w:r>
        <w:t>company’s responsibility but also the negative performances are under</w:t>
      </w:r>
      <w:r w:rsidR="001C4858">
        <w:t xml:space="preserve"> company’s responsibility</w:t>
      </w:r>
      <w:r>
        <w:t>. The m</w:t>
      </w:r>
      <w:r w:rsidR="0044455B">
        <w:t xml:space="preserve">anagerial </w:t>
      </w:r>
      <w:r w:rsidR="0044455B">
        <w:lastRenderedPageBreak/>
        <w:t>discretion is defined</w:t>
      </w:r>
      <w:r w:rsidR="001C4858">
        <w:t xml:space="preserve"> by Wood (2010) </w:t>
      </w:r>
      <w:r>
        <w:t xml:space="preserve">as: </w:t>
      </w:r>
      <w:r>
        <w:rPr>
          <w:i/>
        </w:rPr>
        <w:t>“Managers and other employees are moral actors and have a duty to exercise discretion toward socially responsible, ethical outcomes.”</w:t>
      </w:r>
      <w:r>
        <w:t xml:space="preserve"> This implies managers and other employees should act in the way the CSR strategy prescribes. </w:t>
      </w:r>
      <w:r w:rsidR="00156F2C">
        <w:t>This extended framework with the three included principles, designed by Wood (2010), suggests</w:t>
      </w:r>
      <w:r>
        <w:t xml:space="preserve"> that CSR is driven by managers and employees, towards the</w:t>
      </w:r>
      <w:r w:rsidR="0044455B">
        <w:t xml:space="preserve"> company’s performances which benefit</w:t>
      </w:r>
      <w:r>
        <w:t xml:space="preserve"> s</w:t>
      </w:r>
      <w:r w:rsidR="006854D0">
        <w:t>ociety. When a company abuses</w:t>
      </w:r>
      <w:r>
        <w:t xml:space="preserve"> power from society, the company will be harmed in losing power. </w:t>
      </w:r>
    </w:p>
    <w:p w:rsidR="00631FDC" w:rsidRDefault="0044455B" w:rsidP="00452989">
      <w:pPr>
        <w:spacing w:line="360" w:lineRule="auto"/>
        <w:jc w:val="both"/>
      </w:pPr>
      <w:r>
        <w:t>C</w:t>
      </w:r>
      <w:r w:rsidR="00631FDC">
        <w:t>ompanies are free to choo</w:t>
      </w:r>
      <w:r>
        <w:t xml:space="preserve">se whether or not to implement </w:t>
      </w:r>
      <w:r w:rsidR="00631FDC">
        <w:t xml:space="preserve">a CSR strategy into the organization. No mandatory </w:t>
      </w:r>
      <w:r w:rsidR="00156F2C">
        <w:t>requirements exist</w:t>
      </w:r>
      <w:r w:rsidR="00631FDC">
        <w:t xml:space="preserve"> for implementing a CSR strategy. CSR is a strategy that provides benefits not only for the company, but for the society too. When impl</w:t>
      </w:r>
      <w:r>
        <w:t xml:space="preserve">ementing CSR, the </w:t>
      </w:r>
      <w:r w:rsidR="00156F2C">
        <w:t>company acts in their own preferences (for example, high financial performances) and also takes</w:t>
      </w:r>
      <w:r w:rsidR="001C4858">
        <w:t xml:space="preserve"> the </w:t>
      </w:r>
      <w:r w:rsidR="00631FDC">
        <w:t>preference of society</w:t>
      </w:r>
      <w:r w:rsidR="001C4858">
        <w:t xml:space="preserve"> into account</w:t>
      </w:r>
      <w:r w:rsidR="00631FDC">
        <w:t xml:space="preserve"> (for example, reducing </w:t>
      </w:r>
      <w:r w:rsidR="001C4858">
        <w:t xml:space="preserve">the company’s </w:t>
      </w:r>
      <w:r w:rsidR="00631FDC">
        <w:t xml:space="preserve">pollution). </w:t>
      </w:r>
    </w:p>
    <w:p w:rsidR="006854D0" w:rsidRDefault="006854D0" w:rsidP="00452989">
      <w:pPr>
        <w:spacing w:line="360" w:lineRule="auto"/>
        <w:jc w:val="both"/>
      </w:pPr>
    </w:p>
    <w:p w:rsidR="006854D0" w:rsidRPr="002A5A80" w:rsidRDefault="006854D0" w:rsidP="00452989">
      <w:pPr>
        <w:pStyle w:val="Heading3"/>
        <w:spacing w:line="360" w:lineRule="auto"/>
        <w:jc w:val="both"/>
        <w:rPr>
          <w:color w:val="auto"/>
        </w:rPr>
      </w:pPr>
      <w:bookmarkStart w:id="24" w:name="_Toc299353367"/>
      <w:r>
        <w:rPr>
          <w:color w:val="auto"/>
        </w:rPr>
        <w:t xml:space="preserve">2.2.2 </w:t>
      </w:r>
      <w:r w:rsidRPr="002A5A80">
        <w:rPr>
          <w:color w:val="auto"/>
        </w:rPr>
        <w:t>Developments in Corporate Social Responsibility</w:t>
      </w:r>
      <w:bookmarkEnd w:id="24"/>
      <w:r w:rsidRPr="002A5A80">
        <w:rPr>
          <w:color w:val="auto"/>
        </w:rPr>
        <w:t xml:space="preserve"> </w:t>
      </w:r>
    </w:p>
    <w:p w:rsidR="006854D0" w:rsidRPr="00185090" w:rsidRDefault="00102D9E" w:rsidP="00452989">
      <w:pPr>
        <w:spacing w:line="360" w:lineRule="auto"/>
        <w:jc w:val="both"/>
      </w:pPr>
      <w:r>
        <w:t>In the previous decades the use of CSR was rising</w:t>
      </w:r>
      <w:r w:rsidR="006854D0" w:rsidRPr="00185090">
        <w:t xml:space="preserve">. This is mainly due </w:t>
      </w:r>
      <w:r w:rsidR="006854D0">
        <w:t xml:space="preserve">to the rise in awareness about environmental and social issues (Quaak, Aalbers and Goedee </w:t>
      </w:r>
      <w:r w:rsidR="0044455B">
        <w:t xml:space="preserve">, </w:t>
      </w:r>
      <w:r w:rsidR="006854D0">
        <w:t>2006 and Kaka</w:t>
      </w:r>
      <w:r w:rsidR="0044455B">
        <w:t xml:space="preserve">badse, Kakabadse and Lee-Davies, </w:t>
      </w:r>
      <w:r w:rsidR="006854D0">
        <w:t>2006)</w:t>
      </w:r>
      <w:r w:rsidR="0044455B">
        <w:t>.</w:t>
      </w:r>
      <w:r w:rsidR="006854D0" w:rsidRPr="00185090">
        <w:t xml:space="preserve"> The focus of companies on </w:t>
      </w:r>
      <w:r w:rsidR="00156F2C" w:rsidRPr="00185090">
        <w:t>environmental and</w:t>
      </w:r>
      <w:r w:rsidR="006854D0" w:rsidRPr="00185090">
        <w:t xml:space="preserve"> social issue</w:t>
      </w:r>
      <w:r w:rsidR="005169C4">
        <w:t xml:space="preserve">s has changed over time. In the </w:t>
      </w:r>
      <w:r w:rsidR="006854D0" w:rsidRPr="00185090">
        <w:t>first decades of the twent</w:t>
      </w:r>
      <w:r w:rsidR="006854D0">
        <w:t>ieth century a little start of</w:t>
      </w:r>
      <w:r w:rsidR="006854D0" w:rsidRPr="00185090">
        <w:t xml:space="preserve"> CSR was a</w:t>
      </w:r>
      <w:r w:rsidR="006854D0">
        <w:t xml:space="preserve">lready been made. </w:t>
      </w:r>
      <w:r w:rsidR="005169C4">
        <w:t>Companies became more aware of their social side, attention to</w:t>
      </w:r>
      <w:r w:rsidR="006854D0">
        <w:t xml:space="preserve"> h</w:t>
      </w:r>
      <w:r w:rsidR="006854D0" w:rsidRPr="00185090">
        <w:t xml:space="preserve">ousing of employees and health security was growing. Later on, the government takes the responsibility for this social guidance. The consequences of the economic growth became </w:t>
      </w:r>
      <w:r w:rsidR="006854D0">
        <w:t xml:space="preserve">visible </w:t>
      </w:r>
      <w:r w:rsidR="006854D0" w:rsidRPr="00185090">
        <w:t xml:space="preserve">in the </w:t>
      </w:r>
      <w:r>
        <w:t>seventies of the last century,</w:t>
      </w:r>
      <w:r w:rsidR="006854D0" w:rsidRPr="00185090">
        <w:t xml:space="preserve"> big economic growth was harming the environment too much. There was coming more pressure on the social and environment involvement of the company. The last decades continues globalization leads to a grow</w:t>
      </w:r>
      <w:r w:rsidR="006854D0">
        <w:t>ing change</w:t>
      </w:r>
      <w:r w:rsidR="006854D0" w:rsidRPr="00185090">
        <w:t xml:space="preserve"> in the social and environmental problems, from local perspective to global perspective. Companies now, have </w:t>
      </w:r>
      <w:r w:rsidR="006854D0">
        <w:t>to solve problems on three different dimensions</w:t>
      </w:r>
      <w:r w:rsidR="006854D0" w:rsidRPr="00185090">
        <w:t xml:space="preserve">; economic, social and environmental. </w:t>
      </w:r>
      <w:r w:rsidR="005169C4">
        <w:t xml:space="preserve">Nowadays, </w:t>
      </w:r>
      <w:r w:rsidR="006854D0">
        <w:t xml:space="preserve">companies can </w:t>
      </w:r>
      <w:r w:rsidR="00DC54DE">
        <w:t>solve</w:t>
      </w:r>
      <w:r w:rsidR="006854D0">
        <w:t xml:space="preserve"> these problems by the </w:t>
      </w:r>
      <w:r w:rsidR="006854D0" w:rsidRPr="00185090">
        <w:t xml:space="preserve">triple P-strategy. </w:t>
      </w:r>
      <w:r w:rsidR="006854D0">
        <w:t>(Quaak et al., 2006)</w:t>
      </w:r>
    </w:p>
    <w:p w:rsidR="00631FDC" w:rsidRDefault="00631FDC" w:rsidP="00452989">
      <w:pPr>
        <w:spacing w:line="360" w:lineRule="auto"/>
        <w:jc w:val="both"/>
      </w:pPr>
    </w:p>
    <w:p w:rsidR="008D7978" w:rsidRDefault="008D7978" w:rsidP="00452989">
      <w:pPr>
        <w:spacing w:line="360" w:lineRule="auto"/>
        <w:jc w:val="both"/>
      </w:pPr>
    </w:p>
    <w:p w:rsidR="00631FDC" w:rsidRDefault="00631FDC" w:rsidP="00452989">
      <w:pPr>
        <w:pStyle w:val="Heading3"/>
        <w:spacing w:line="360" w:lineRule="auto"/>
        <w:jc w:val="both"/>
        <w:rPr>
          <w:color w:val="auto"/>
        </w:rPr>
      </w:pPr>
      <w:bookmarkStart w:id="25" w:name="_Toc299353368"/>
      <w:r w:rsidRPr="009163C2">
        <w:rPr>
          <w:color w:val="auto"/>
        </w:rPr>
        <w:lastRenderedPageBreak/>
        <w:t>2.</w:t>
      </w:r>
      <w:r>
        <w:rPr>
          <w:color w:val="auto"/>
        </w:rPr>
        <w:t>2</w:t>
      </w:r>
      <w:r w:rsidRPr="009163C2">
        <w:rPr>
          <w:color w:val="auto"/>
        </w:rPr>
        <w:t>.</w:t>
      </w:r>
      <w:r w:rsidR="00102D9E">
        <w:rPr>
          <w:color w:val="auto"/>
        </w:rPr>
        <w:t>3</w:t>
      </w:r>
      <w:r w:rsidRPr="009163C2">
        <w:rPr>
          <w:color w:val="auto"/>
        </w:rPr>
        <w:t xml:space="preserve"> Corporate Social Responsibility</w:t>
      </w:r>
      <w:r>
        <w:rPr>
          <w:color w:val="auto"/>
        </w:rPr>
        <w:t xml:space="preserve"> reporting</w:t>
      </w:r>
      <w:bookmarkEnd w:id="25"/>
    </w:p>
    <w:p w:rsidR="005169C4" w:rsidRDefault="00631FDC" w:rsidP="00452989">
      <w:pPr>
        <w:spacing w:line="360" w:lineRule="auto"/>
        <w:jc w:val="both"/>
      </w:pPr>
      <w:r>
        <w:t xml:space="preserve">Performances related to CSR can be </w:t>
      </w:r>
      <w:r w:rsidR="00DC54DE">
        <w:t>communicated</w:t>
      </w:r>
      <w:r>
        <w:t xml:space="preserve"> by several CSR disclosures. One of these CSR disclosures is the CSR report. In a CSR r</w:t>
      </w:r>
      <w:r w:rsidR="002576E9">
        <w:t xml:space="preserve">eport the CSR performances of </w:t>
      </w:r>
      <w:r>
        <w:t xml:space="preserve">underlying period are summarized. The CSP are communicated in this CSR report. In the study of Dawkins </w:t>
      </w:r>
      <w:r w:rsidR="009A53AB">
        <w:t>and Stewart</w:t>
      </w:r>
      <w:r>
        <w:t xml:space="preserve"> (2003) is prescribed that companies should disclose CS</w:t>
      </w:r>
      <w:r w:rsidR="005169C4">
        <w:t>R information</w:t>
      </w:r>
      <w:r>
        <w:t>.</w:t>
      </w:r>
      <w:r w:rsidR="00DD2AE1">
        <w:t xml:space="preserve"> In this study the demand of CSR </w:t>
      </w:r>
      <w:r w:rsidR="005169C4">
        <w:t>reporting</w:t>
      </w:r>
      <w:r w:rsidR="00DD2AE1">
        <w:t xml:space="preserve"> was investigated. </w:t>
      </w:r>
      <w:r w:rsidR="005169C4">
        <w:t>The</w:t>
      </w:r>
      <w:r w:rsidR="00DD2AE1">
        <w:t xml:space="preserve"> demand </w:t>
      </w:r>
      <w:r w:rsidR="005169C4">
        <w:t xml:space="preserve">to provide CSR </w:t>
      </w:r>
      <w:r w:rsidR="00DC54DE">
        <w:t>reporting</w:t>
      </w:r>
      <w:r>
        <w:t xml:space="preserve"> was represented by 86 percent o</w:t>
      </w:r>
      <w:r w:rsidR="005169C4">
        <w:t>f the British public. But what contains the concept of CSR reporting? Different</w:t>
      </w:r>
      <w:r>
        <w:t xml:space="preserve"> descriptions exist for th</w:t>
      </w:r>
      <w:r w:rsidR="005169C4">
        <w:t>is concept, different definitions of CSR reporting are discussed.</w:t>
      </w:r>
    </w:p>
    <w:p w:rsidR="00631FDC" w:rsidRDefault="00631FDC" w:rsidP="00452989">
      <w:pPr>
        <w:spacing w:line="360" w:lineRule="auto"/>
        <w:jc w:val="both"/>
      </w:pPr>
      <w:r>
        <w:t>In the study of Sutantoputra (2009) companies are assessed</w:t>
      </w:r>
      <w:r w:rsidR="005169C4">
        <w:t xml:space="preserve"> on the level of CSR reporting,</w:t>
      </w:r>
      <w:r>
        <w:t xml:space="preserve"> when providing a rating of the social performances of the selected companies. The </w:t>
      </w:r>
      <w:r w:rsidR="00DC54DE">
        <w:t>assessment of the CSR reports is</w:t>
      </w:r>
      <w:r>
        <w:t xml:space="preserve"> based on the GRI framework. In this study there is made use of the following definition of CSR reporting:</w:t>
      </w:r>
    </w:p>
    <w:p w:rsidR="00631FDC" w:rsidRDefault="00631FDC" w:rsidP="00452989">
      <w:pPr>
        <w:spacing w:line="360" w:lineRule="auto"/>
        <w:jc w:val="both"/>
        <w:rPr>
          <w:i/>
        </w:rPr>
      </w:pPr>
      <w:r>
        <w:rPr>
          <w:i/>
        </w:rPr>
        <w:t>“The process of providing information designed to discharge social accountability”</w:t>
      </w:r>
    </w:p>
    <w:p w:rsidR="00631FDC" w:rsidRDefault="009A53AB" w:rsidP="00452989">
      <w:pPr>
        <w:spacing w:line="360" w:lineRule="auto"/>
        <w:jc w:val="both"/>
      </w:pPr>
      <w:r>
        <w:t xml:space="preserve">In another study of Douglas et al. </w:t>
      </w:r>
      <w:r w:rsidR="00631FDC">
        <w:t>(2004) the CSR reports of fina</w:t>
      </w:r>
      <w:r w:rsidR="005169C4">
        <w:t>ncial institutions from Ireland</w:t>
      </w:r>
      <w:r w:rsidR="00631FDC">
        <w:t xml:space="preserve"> are analyzed. In this study is argued that CSR reporting is a way to provide</w:t>
      </w:r>
      <w:r w:rsidR="005169C4">
        <w:t xml:space="preserve"> stakeholders</w:t>
      </w:r>
      <w:r w:rsidR="00631FDC">
        <w:t xml:space="preserve"> information about social performances of th</w:t>
      </w:r>
      <w:r w:rsidR="00DD2AE1">
        <w:t>e company</w:t>
      </w:r>
      <w:r w:rsidR="005169C4">
        <w:t xml:space="preserve">. </w:t>
      </w:r>
      <w:r w:rsidR="00DD2AE1">
        <w:t>In this study</w:t>
      </w:r>
      <w:r w:rsidR="002576E9">
        <w:t xml:space="preserve"> of Doris et al. (2004)</w:t>
      </w:r>
      <w:r w:rsidR="00DD2AE1">
        <w:t xml:space="preserve"> </w:t>
      </w:r>
      <w:r w:rsidR="00631FDC">
        <w:t xml:space="preserve">corporate social reporting </w:t>
      </w:r>
      <w:r w:rsidR="00DD2AE1">
        <w:t>is seen as a tool</w:t>
      </w:r>
      <w:r w:rsidR="00631FDC">
        <w:t xml:space="preserve"> for developing a positive image among the stakeholders. </w:t>
      </w:r>
    </w:p>
    <w:p w:rsidR="00631FDC" w:rsidRDefault="00DD2AE1" w:rsidP="00452989">
      <w:pPr>
        <w:spacing w:line="360" w:lineRule="auto"/>
        <w:jc w:val="both"/>
      </w:pPr>
      <w:r>
        <w:t xml:space="preserve">Sutantoputra (2009) </w:t>
      </w:r>
      <w:r w:rsidR="00DC54DE">
        <w:t>notice that</w:t>
      </w:r>
      <w:r w:rsidR="00631FDC">
        <w:t xml:space="preserve"> CSR performances are </w:t>
      </w:r>
      <w:r>
        <w:t>also communicated in annual reports instead of a standalone CSR report</w:t>
      </w:r>
      <w:r w:rsidR="00631FDC">
        <w:t>. But</w:t>
      </w:r>
      <w:r>
        <w:t xml:space="preserve"> </w:t>
      </w:r>
      <w:r w:rsidR="00631FDC">
        <w:t>a rising trend</w:t>
      </w:r>
      <w:r w:rsidR="002576E9">
        <w:t xml:space="preserve"> is observed</w:t>
      </w:r>
      <w:r>
        <w:t xml:space="preserve"> in providing </w:t>
      </w:r>
      <w:r w:rsidR="00631FDC">
        <w:t>CSR information</w:t>
      </w:r>
      <w:r w:rsidR="002576E9">
        <w:t>, a growing rate of CSR disclosures is disclosed in a standalone</w:t>
      </w:r>
      <w:r w:rsidR="00631FDC">
        <w:t xml:space="preserve"> CSR report</w:t>
      </w:r>
      <w:r w:rsidR="002576E9">
        <w:t>.</w:t>
      </w:r>
      <w:r w:rsidR="00631FDC">
        <w:t xml:space="preserve"> The CSR reporting behavior is different among countries. Douglas et al. (2004) argued that these differences are based on the government policies, cultural differences and stage of the economical development. They claim too, the quality of CSR report is not related to the volume of </w:t>
      </w:r>
      <w:r>
        <w:t>disclosed information.</w:t>
      </w:r>
    </w:p>
    <w:p w:rsidR="00FF5235" w:rsidRDefault="00FF5235" w:rsidP="00452989">
      <w:pPr>
        <w:pStyle w:val="Heading3"/>
        <w:spacing w:line="360" w:lineRule="auto"/>
        <w:jc w:val="both"/>
        <w:rPr>
          <w:color w:val="auto"/>
        </w:rPr>
      </w:pPr>
    </w:p>
    <w:p w:rsidR="00631FDC" w:rsidRPr="00AC2171" w:rsidRDefault="002576E9" w:rsidP="00452989">
      <w:pPr>
        <w:pStyle w:val="Heading3"/>
        <w:spacing w:line="360" w:lineRule="auto"/>
        <w:jc w:val="both"/>
        <w:rPr>
          <w:color w:val="auto"/>
        </w:rPr>
      </w:pPr>
      <w:bookmarkStart w:id="26" w:name="_Toc299353369"/>
      <w:r>
        <w:rPr>
          <w:color w:val="auto"/>
        </w:rPr>
        <w:t>2.2.4</w:t>
      </w:r>
      <w:r w:rsidR="00631FDC" w:rsidRPr="00AC2171">
        <w:rPr>
          <w:color w:val="auto"/>
        </w:rPr>
        <w:t xml:space="preserve"> Corporate Social Responsibility</w:t>
      </w:r>
      <w:r w:rsidR="005E2F3B">
        <w:rPr>
          <w:color w:val="auto"/>
        </w:rPr>
        <w:t xml:space="preserve"> reporting g</w:t>
      </w:r>
      <w:r w:rsidR="00631FDC" w:rsidRPr="00AC2171">
        <w:rPr>
          <w:color w:val="auto"/>
        </w:rPr>
        <w:t>uidelines</w:t>
      </w:r>
      <w:bookmarkEnd w:id="26"/>
    </w:p>
    <w:p w:rsidR="00631FDC" w:rsidRDefault="00631FDC" w:rsidP="00452989">
      <w:pPr>
        <w:spacing w:line="360" w:lineRule="auto"/>
        <w:jc w:val="both"/>
      </w:pPr>
      <w:r>
        <w:t xml:space="preserve">Since a CSR report is a voluntary disclosure no laws and regulations exist when developing the report. But when no </w:t>
      </w:r>
      <w:r w:rsidR="005169C4">
        <w:t>rules and regulations exist to provide a CSR report</w:t>
      </w:r>
      <w:r>
        <w:t>, too much freedom occurs when formatting a report.</w:t>
      </w:r>
      <w:r w:rsidR="00DD2AE1">
        <w:t xml:space="preserve"> This can follow in a diversity of</w:t>
      </w:r>
      <w:r w:rsidR="002576E9">
        <w:t xml:space="preserve"> high and low quality</w:t>
      </w:r>
      <w:r w:rsidR="00DD2AE1">
        <w:t xml:space="preserve"> levels among CSR reports.</w:t>
      </w:r>
      <w:r w:rsidR="002144BA">
        <w:t xml:space="preserve"> Low quality level reports </w:t>
      </w:r>
      <w:r w:rsidR="002576E9">
        <w:t>provide less transparent and less reliable information then high quality reports.</w:t>
      </w:r>
      <w:r w:rsidR="00DD2AE1">
        <w:t xml:space="preserve"> </w:t>
      </w:r>
      <w:r w:rsidR="00543FDE">
        <w:t xml:space="preserve">To </w:t>
      </w:r>
      <w:r w:rsidR="00543FDE">
        <w:lastRenderedPageBreak/>
        <w:t xml:space="preserve">provide high quality CSR reports, a framework for developing CSR reports should be constructed. A framework with guidelines to establish high quality CSR </w:t>
      </w:r>
      <w:r w:rsidR="00DC54DE">
        <w:t>reports</w:t>
      </w:r>
      <w:r w:rsidR="00543FDE">
        <w:t xml:space="preserve"> provides CSR reports which achieve a satisfied quality level. Below, </w:t>
      </w:r>
      <w:r>
        <w:t>description</w:t>
      </w:r>
      <w:r w:rsidR="00543FDE">
        <w:t>s</w:t>
      </w:r>
      <w:r>
        <w:t xml:space="preserve"> and to</w:t>
      </w:r>
      <w:r w:rsidR="002144BA">
        <w:t>ols are given about guidelines,</w:t>
      </w:r>
      <w:r>
        <w:t xml:space="preserve"> provided by the Global Reporting Initiative (GRI).</w:t>
      </w:r>
    </w:p>
    <w:p w:rsidR="00631FDC" w:rsidRDefault="00631FDC" w:rsidP="00452989">
      <w:pPr>
        <w:spacing w:line="360" w:lineRule="auto"/>
        <w:jc w:val="both"/>
      </w:pPr>
      <w:r>
        <w:t xml:space="preserve">The GRI is an important institute for the development of CSR reporting. They provide a framework for sustainability reporting. This framework is based on </w:t>
      </w:r>
      <w:r w:rsidR="00DC54DE">
        <w:t>stakeholders’</w:t>
      </w:r>
      <w:r>
        <w:t xml:space="preserve"> perceptions. Principles and objectives underline the GRI framework. When managers follow the framework benefits arise for the organization it selves and the users of the report. The GRI framework is global</w:t>
      </w:r>
      <w:r w:rsidR="00DC54DE">
        <w:t>, the</w:t>
      </w:r>
      <w:r>
        <w:t xml:space="preserve"> most used framework for social reports. On their website they refer to their mission:</w:t>
      </w:r>
    </w:p>
    <w:p w:rsidR="00631FDC" w:rsidRDefault="00631FDC" w:rsidP="00452989">
      <w:pPr>
        <w:spacing w:line="360" w:lineRule="auto"/>
        <w:jc w:val="both"/>
        <w:rPr>
          <w:rFonts w:cs="Calibri"/>
          <w:i/>
          <w:lang w:val="en-GB"/>
        </w:rPr>
      </w:pPr>
      <w:r w:rsidRPr="00462281">
        <w:rPr>
          <w:rFonts w:cs="Calibri"/>
          <w:i/>
        </w:rPr>
        <w:t>“</w:t>
      </w:r>
      <w:r>
        <w:rPr>
          <w:rFonts w:cs="Calibri"/>
          <w:i/>
        </w:rPr>
        <w:t>T</w:t>
      </w:r>
      <w:r w:rsidRPr="00462281">
        <w:rPr>
          <w:rFonts w:cs="Calibri"/>
          <w:i/>
          <w:lang w:val="en-GB"/>
        </w:rPr>
        <w:t xml:space="preserve">o create conditions for the transparent and reliable exchange of sustainability information through the development and continuous improvement of the GRI Sustainability Reporting Framework.” </w:t>
      </w:r>
      <w:r>
        <w:rPr>
          <w:rStyle w:val="FootnoteReference"/>
          <w:rFonts w:cs="Calibri"/>
          <w:i/>
          <w:lang w:val="en-GB"/>
        </w:rPr>
        <w:footnoteReference w:id="2"/>
      </w:r>
    </w:p>
    <w:p w:rsidR="00631FDC" w:rsidRDefault="00631FDC" w:rsidP="00452989">
      <w:pPr>
        <w:spacing w:line="360" w:lineRule="auto"/>
        <w:jc w:val="both"/>
      </w:pPr>
      <w:r>
        <w:t xml:space="preserve">The provided framework </w:t>
      </w:r>
      <w:r w:rsidR="00DC54DE">
        <w:t>is developed</w:t>
      </w:r>
      <w:r>
        <w:t xml:space="preserve"> for every company </w:t>
      </w:r>
      <w:r w:rsidR="00543FDE">
        <w:t>independent of size and sector characteristics of companies.</w:t>
      </w:r>
      <w:r w:rsidR="002144BA">
        <w:t xml:space="preserve"> The principles</w:t>
      </w:r>
      <w:r>
        <w:t xml:space="preserve"> guarantee </w:t>
      </w:r>
      <w:r w:rsidR="002144BA">
        <w:t>qualified provided information.</w:t>
      </w:r>
      <w:r>
        <w:t xml:space="preserve"> The principles include standardizations of the information disclosures. </w:t>
      </w:r>
      <w:r>
        <w:rPr>
          <w:rStyle w:val="FootnoteReference"/>
        </w:rPr>
        <w:footnoteReference w:id="3"/>
      </w:r>
      <w:r>
        <w:t>Different</w:t>
      </w:r>
      <w:r w:rsidR="002144BA">
        <w:t xml:space="preserve"> reporting</w:t>
      </w:r>
      <w:r>
        <w:t xml:space="preserve"> </w:t>
      </w:r>
      <w:r w:rsidR="002144BA">
        <w:t>levels</w:t>
      </w:r>
      <w:r>
        <w:t xml:space="preserve"> are specified by the GRI framework. The </w:t>
      </w:r>
      <w:r w:rsidR="002144BA">
        <w:t xml:space="preserve">application </w:t>
      </w:r>
      <w:r>
        <w:t>levels are A, B and C, these levels measures the extent of coverage of the GRI framework. This level framework provides benefits for report users and makers.</w:t>
      </w:r>
      <w:r w:rsidR="00543FDE">
        <w:t xml:space="preserve"> This level framework </w:t>
      </w:r>
      <w:r>
        <w:t>provides incentives for report makers, to increase their reporting skills.</w:t>
      </w:r>
      <w:r>
        <w:rPr>
          <w:rStyle w:val="FootnoteReference"/>
        </w:rPr>
        <w:footnoteReference w:id="4"/>
      </w:r>
    </w:p>
    <w:p w:rsidR="00631FDC" w:rsidRDefault="00631FDC" w:rsidP="00452989">
      <w:pPr>
        <w:spacing w:line="360" w:lineRule="auto"/>
        <w:jc w:val="both"/>
      </w:pPr>
      <w:r>
        <w:rPr>
          <w:lang w:val="en-GB"/>
        </w:rPr>
        <w:t xml:space="preserve">Following the objectives of GRI, the </w:t>
      </w:r>
      <w:r>
        <w:t xml:space="preserve">CSR report should </w:t>
      </w:r>
      <w:r w:rsidR="002144BA">
        <w:t>measure and publish</w:t>
      </w:r>
      <w:r>
        <w:t xml:space="preserve"> the </w:t>
      </w:r>
      <w:r w:rsidR="002144BA">
        <w:t xml:space="preserve">company’s </w:t>
      </w:r>
      <w:r>
        <w:t>responsibilities to stakeholders about sustainable growing performance. These reports can be used for different purposes:</w:t>
      </w:r>
    </w:p>
    <w:p w:rsidR="00631FDC" w:rsidRDefault="00631FDC" w:rsidP="00452989">
      <w:pPr>
        <w:numPr>
          <w:ilvl w:val="0"/>
          <w:numId w:val="1"/>
        </w:numPr>
        <w:spacing w:line="360" w:lineRule="auto"/>
        <w:jc w:val="both"/>
      </w:pPr>
      <w:r>
        <w:t>Comparing and assessing the sustainable performance of legislation, official norms, codes, performance standardization and voluntary initiatives.</w:t>
      </w:r>
    </w:p>
    <w:p w:rsidR="00631FDC" w:rsidRDefault="00FF2057" w:rsidP="00452989">
      <w:pPr>
        <w:numPr>
          <w:ilvl w:val="0"/>
          <w:numId w:val="1"/>
        </w:numPr>
        <w:spacing w:line="360" w:lineRule="auto"/>
        <w:jc w:val="both"/>
      </w:pPr>
      <w:r>
        <w:t xml:space="preserve">Assessing </w:t>
      </w:r>
      <w:r w:rsidR="00631FDC">
        <w:t>how the company i</w:t>
      </w:r>
      <w:r>
        <w:t xml:space="preserve">s influenced by and influencing the </w:t>
      </w:r>
      <w:r w:rsidR="00631FDC">
        <w:t>expectations of sustainable development.</w:t>
      </w:r>
    </w:p>
    <w:p w:rsidR="00631FDC" w:rsidRDefault="00631FDC" w:rsidP="00452989">
      <w:pPr>
        <w:numPr>
          <w:ilvl w:val="0"/>
          <w:numId w:val="1"/>
        </w:numPr>
        <w:spacing w:line="360" w:lineRule="auto"/>
        <w:jc w:val="both"/>
      </w:pPr>
      <w:r>
        <w:lastRenderedPageBreak/>
        <w:t>Comparing different performance of a company and the difference between companies on a long turn.</w:t>
      </w:r>
    </w:p>
    <w:p w:rsidR="00631FDC" w:rsidRPr="00DF48EC" w:rsidRDefault="00631FDC" w:rsidP="00452989">
      <w:pPr>
        <w:spacing w:line="360" w:lineRule="auto"/>
        <w:jc w:val="both"/>
      </w:pPr>
    </w:p>
    <w:p w:rsidR="00631FDC" w:rsidRPr="00F9095D" w:rsidRDefault="00631FDC" w:rsidP="00452989">
      <w:pPr>
        <w:pStyle w:val="Heading3"/>
        <w:spacing w:line="360" w:lineRule="auto"/>
        <w:jc w:val="both"/>
        <w:rPr>
          <w:color w:val="auto"/>
        </w:rPr>
      </w:pPr>
      <w:bookmarkStart w:id="27" w:name="_Toc299353370"/>
      <w:r>
        <w:rPr>
          <w:color w:val="auto"/>
        </w:rPr>
        <w:t>2.2</w:t>
      </w:r>
      <w:r w:rsidR="00543FDE">
        <w:rPr>
          <w:color w:val="auto"/>
        </w:rPr>
        <w:t>.5</w:t>
      </w:r>
      <w:r w:rsidRPr="00F9095D">
        <w:rPr>
          <w:color w:val="auto"/>
        </w:rPr>
        <w:t xml:space="preserve"> Summary Corporate Social Responsibility</w:t>
      </w:r>
      <w:bookmarkEnd w:id="27"/>
      <w:r w:rsidRPr="00F9095D">
        <w:rPr>
          <w:color w:val="auto"/>
        </w:rPr>
        <w:t xml:space="preserve"> </w:t>
      </w:r>
    </w:p>
    <w:p w:rsidR="00631FDC" w:rsidRDefault="002144BA" w:rsidP="00452989">
      <w:pPr>
        <w:spacing w:line="360" w:lineRule="auto"/>
        <w:jc w:val="both"/>
      </w:pPr>
      <w:r>
        <w:t>Several definitions exist CSR, the CSR definitions</w:t>
      </w:r>
      <w:r w:rsidR="00631FDC">
        <w:t xml:space="preserve"> describe tha</w:t>
      </w:r>
      <w:r>
        <w:t xml:space="preserve">t CSR covers responsibility of </w:t>
      </w:r>
      <w:r w:rsidR="00631FDC">
        <w:t>environmental and social</w:t>
      </w:r>
      <w:r>
        <w:t xml:space="preserve"> </w:t>
      </w:r>
      <w:r w:rsidR="00DC54DE">
        <w:t>side, which</w:t>
      </w:r>
      <w:r>
        <w:t xml:space="preserve"> benefits the company and society</w:t>
      </w:r>
      <w:r w:rsidR="00631FDC">
        <w:t xml:space="preserve">. When a CSR strategy is implemented in the company, CSR activities support the goal of CSR strategy. The outcome of CSR is CSP. </w:t>
      </w:r>
    </w:p>
    <w:p w:rsidR="00631FDC" w:rsidRDefault="00631FDC" w:rsidP="00452989">
      <w:pPr>
        <w:spacing w:line="360" w:lineRule="auto"/>
        <w:jc w:val="both"/>
      </w:pPr>
      <w:r>
        <w:t>When the CSR strategy is implemented in the organization, managers have the op</w:t>
      </w:r>
      <w:r w:rsidR="002144BA">
        <w:t>portunity to communicate the CSR information in a</w:t>
      </w:r>
      <w:r>
        <w:t xml:space="preserve"> CSR report. When the CSR information is disclosed, stakeholders are provided with more information. </w:t>
      </w:r>
    </w:p>
    <w:p w:rsidR="00631FDC" w:rsidRDefault="002144BA" w:rsidP="00452989">
      <w:pPr>
        <w:spacing w:line="360" w:lineRule="auto"/>
        <w:jc w:val="both"/>
      </w:pPr>
      <w:r>
        <w:t>No laws and regulation exist to prove a CSR report</w:t>
      </w:r>
      <w:r w:rsidR="00631FDC">
        <w:t xml:space="preserve">. But </w:t>
      </w:r>
      <w:r>
        <w:t>t</w:t>
      </w:r>
      <w:r w:rsidR="00631FDC">
        <w:t xml:space="preserve">he GRI provides guidelines for developing a report. This framework provides benefits for users and makers of </w:t>
      </w:r>
      <w:r>
        <w:t xml:space="preserve">CSR </w:t>
      </w:r>
      <w:r w:rsidR="00631FDC">
        <w:t xml:space="preserve">report. </w:t>
      </w:r>
    </w:p>
    <w:p w:rsidR="00FF5235" w:rsidRDefault="00FF5235" w:rsidP="00452989">
      <w:pPr>
        <w:spacing w:line="360" w:lineRule="auto"/>
        <w:jc w:val="both"/>
      </w:pPr>
    </w:p>
    <w:p w:rsidR="00631FDC" w:rsidRDefault="00631FDC" w:rsidP="00452989">
      <w:pPr>
        <w:pStyle w:val="Heading2"/>
        <w:spacing w:line="360" w:lineRule="auto"/>
        <w:jc w:val="both"/>
      </w:pPr>
      <w:bookmarkStart w:id="28" w:name="_Toc299353371"/>
      <w:r>
        <w:t>2.3 Positive Accounting Theory</w:t>
      </w:r>
      <w:bookmarkEnd w:id="28"/>
    </w:p>
    <w:p w:rsidR="00631FDC" w:rsidRDefault="00631FDC" w:rsidP="00452989">
      <w:pPr>
        <w:spacing w:line="360" w:lineRule="auto"/>
        <w:jc w:val="both"/>
      </w:pPr>
      <w:r>
        <w:t>The positive ac</w:t>
      </w:r>
      <w:r w:rsidR="002144BA">
        <w:t>counting theory is important in</w:t>
      </w:r>
      <w:r w:rsidR="00564BE0">
        <w:t xml:space="preserve"> disclosing</w:t>
      </w:r>
      <w:r>
        <w:t xml:space="preserve"> voluntary</w:t>
      </w:r>
      <w:r w:rsidR="00564BE0">
        <w:t xml:space="preserve"> information</w:t>
      </w:r>
      <w:r>
        <w:t xml:space="preserve">. </w:t>
      </w:r>
      <w:r w:rsidR="00FF2057">
        <w:t>The positive accounting theory is useful to specify the reason</w:t>
      </w:r>
      <w:r w:rsidR="00564BE0">
        <w:t>s</w:t>
      </w:r>
      <w:r w:rsidR="00FF2057">
        <w:t xml:space="preserve"> of disclosing a CSR report. </w:t>
      </w:r>
      <w:r>
        <w:t xml:space="preserve">The positive accounting theory </w:t>
      </w:r>
      <w:r w:rsidR="00D11C87">
        <w:t xml:space="preserve">includes </w:t>
      </w:r>
      <w:r>
        <w:t xml:space="preserve">theories which explains and predicts circumstances. As argued by Deegan and Unerman (2006) the positive accounting </w:t>
      </w:r>
      <w:r w:rsidR="00DC54DE">
        <w:t>theory focuses</w:t>
      </w:r>
      <w:r>
        <w:t xml:space="preserve"> on the relationship between stakeholders and the com</w:t>
      </w:r>
      <w:r w:rsidR="00D11C87">
        <w:t xml:space="preserve">pany. Deegan </w:t>
      </w:r>
      <w:r w:rsidR="00564BE0">
        <w:t xml:space="preserve">et al. </w:t>
      </w:r>
      <w:r w:rsidR="00D11C87">
        <w:t>(2006) explains that</w:t>
      </w:r>
      <w:r>
        <w:t xml:space="preserve"> positive accounting theory is used to assists this relationship. The agency problem, </w:t>
      </w:r>
      <w:r w:rsidR="00D11C87">
        <w:t xml:space="preserve">information asymmetry, legitimacy theory and </w:t>
      </w:r>
      <w:r>
        <w:t xml:space="preserve">stakeholder theory </w:t>
      </w:r>
      <w:r w:rsidR="00564BE0">
        <w:t>are explained</w:t>
      </w:r>
      <w:r>
        <w:t xml:space="preserve"> in this paragraph. First</w:t>
      </w:r>
      <w:r w:rsidR="00D11C87">
        <w:t>,</w:t>
      </w:r>
      <w:r>
        <w:t xml:space="preserve"> the information asymmetry and the agency problem are introduced. The information asymmetry is deducted from the agency problem. The</w:t>
      </w:r>
      <w:r w:rsidR="00BF2269">
        <w:t xml:space="preserve"> legitimacy theory and stakeholder theory are explained as well. The incentives of CSR reporting which are based on the positive accounting theories are</w:t>
      </w:r>
      <w:r w:rsidR="00564BE0">
        <w:t xml:space="preserve"> more </w:t>
      </w:r>
      <w:r w:rsidR="00BF2269">
        <w:t xml:space="preserve">discussed in next chapter. </w:t>
      </w:r>
    </w:p>
    <w:p w:rsidR="00A6560A" w:rsidRDefault="00A6560A" w:rsidP="00452989">
      <w:pPr>
        <w:spacing w:line="360" w:lineRule="auto"/>
        <w:jc w:val="both"/>
        <w:rPr>
          <w:b/>
        </w:rPr>
      </w:pPr>
    </w:p>
    <w:p w:rsidR="00631FDC" w:rsidRPr="004A079B" w:rsidRDefault="00631FDC" w:rsidP="00452989">
      <w:pPr>
        <w:pStyle w:val="Heading3"/>
        <w:spacing w:line="360" w:lineRule="auto"/>
        <w:jc w:val="both"/>
        <w:rPr>
          <w:color w:val="auto"/>
        </w:rPr>
      </w:pPr>
      <w:bookmarkStart w:id="29" w:name="_Toc299353372"/>
      <w:r w:rsidRPr="004A079B">
        <w:rPr>
          <w:color w:val="auto"/>
        </w:rPr>
        <w:lastRenderedPageBreak/>
        <w:t>2.</w:t>
      </w:r>
      <w:r>
        <w:rPr>
          <w:color w:val="auto"/>
        </w:rPr>
        <w:t>3</w:t>
      </w:r>
      <w:r w:rsidRPr="004A079B">
        <w:rPr>
          <w:color w:val="auto"/>
        </w:rPr>
        <w:t>.1 Agency</w:t>
      </w:r>
      <w:r w:rsidR="005E2F3B">
        <w:rPr>
          <w:color w:val="auto"/>
        </w:rPr>
        <w:t xml:space="preserve"> theory</w:t>
      </w:r>
      <w:bookmarkEnd w:id="29"/>
    </w:p>
    <w:p w:rsidR="00631FDC" w:rsidRDefault="00631FDC" w:rsidP="00452989">
      <w:pPr>
        <w:spacing w:line="360" w:lineRule="auto"/>
        <w:jc w:val="both"/>
      </w:pPr>
      <w:r>
        <w:t>The agency problem arise</w:t>
      </w:r>
      <w:r w:rsidR="00843481">
        <w:t>s</w:t>
      </w:r>
      <w:r>
        <w:t xml:space="preserve"> among </w:t>
      </w:r>
      <w:r w:rsidR="00BB2A00">
        <w:t>stakeholders</w:t>
      </w:r>
      <w:r>
        <w:t xml:space="preserve"> and management. This problem is designed by Jensen and Meckling (1976). The agency problem is driven by self interest. </w:t>
      </w:r>
      <w:r w:rsidR="00564BE0">
        <w:t>Stakeholders</w:t>
      </w:r>
      <w:r w:rsidR="00BF5BFF">
        <w:t xml:space="preserve"> </w:t>
      </w:r>
      <w:r>
        <w:t>provide resources to the company, for example, shareholders or investors provi</w:t>
      </w:r>
      <w:r w:rsidR="00843481">
        <w:t>de financial resources and the environment</w:t>
      </w:r>
      <w:r>
        <w:t xml:space="preserve"> provide environmental resources to the company (fresh air and natural production materials). </w:t>
      </w:r>
      <w:r w:rsidR="00843481">
        <w:t>The resources provide by environment are represented by</w:t>
      </w:r>
      <w:r>
        <w:t xml:space="preserve"> environmental foundations and government Management (insiders) make decisio</w:t>
      </w:r>
      <w:r w:rsidR="00D11C87">
        <w:t>ns based on their self interest.</w:t>
      </w:r>
      <w:r>
        <w:t xml:space="preserve"> But in the decisions</w:t>
      </w:r>
      <w:r w:rsidR="00D11C87">
        <w:t xml:space="preserve"> making,</w:t>
      </w:r>
      <w:r w:rsidR="00843481">
        <w:t xml:space="preserve"> concerns of stakeholders </w:t>
      </w:r>
      <w:r>
        <w:t>(outsiders) are involved.</w:t>
      </w:r>
      <w:r w:rsidR="00843481">
        <w:t xml:space="preserve"> Because stakeholders provide resources to the company.</w:t>
      </w:r>
      <w:r>
        <w:t xml:space="preserve"> Stakeholders are defined by Freeman and Reed (1983) as:</w:t>
      </w:r>
    </w:p>
    <w:p w:rsidR="00631FDC" w:rsidRDefault="00631FDC" w:rsidP="00452989">
      <w:pPr>
        <w:spacing w:line="360" w:lineRule="auto"/>
        <w:jc w:val="both"/>
        <w:rPr>
          <w:i/>
        </w:rPr>
      </w:pPr>
      <w:r>
        <w:rPr>
          <w:i/>
        </w:rPr>
        <w:t>“Any identifiable group or individual who can affect the achievement of</w:t>
      </w:r>
      <w:r w:rsidR="00843481">
        <w:rPr>
          <w:i/>
        </w:rPr>
        <w:t xml:space="preserve"> an organization’s objectives, </w:t>
      </w:r>
      <w:r>
        <w:rPr>
          <w:i/>
        </w:rPr>
        <w:t xml:space="preserve">or is affected by the achievement of </w:t>
      </w:r>
      <w:r w:rsidR="00843481">
        <w:rPr>
          <w:i/>
        </w:rPr>
        <w:t xml:space="preserve">an organization’s objectives.” </w:t>
      </w:r>
    </w:p>
    <w:p w:rsidR="00631FDC" w:rsidRPr="005A503E" w:rsidRDefault="00DC54DE" w:rsidP="00452989">
      <w:pPr>
        <w:spacing w:line="360" w:lineRule="auto"/>
        <w:jc w:val="both"/>
        <w:rPr>
          <w:i/>
        </w:rPr>
      </w:pPr>
      <w:r>
        <w:t>Different stakeholder</w:t>
      </w:r>
      <w:r w:rsidR="00631FDC">
        <w:t xml:space="preserve"> groups have different concerns</w:t>
      </w:r>
      <w:r w:rsidR="00843481">
        <w:t xml:space="preserve"> of the company. E</w:t>
      </w:r>
      <w:r w:rsidR="00631FDC">
        <w:t>nv</w:t>
      </w:r>
      <w:r w:rsidR="00843481">
        <w:t>ironmental foundations have</w:t>
      </w:r>
      <w:r w:rsidR="00631FDC">
        <w:t xml:space="preserve"> environ</w:t>
      </w:r>
      <w:r w:rsidR="00D11C87">
        <w:t>ment</w:t>
      </w:r>
      <w:r w:rsidR="00843481">
        <w:t>al concerns.</w:t>
      </w:r>
      <w:r w:rsidR="00D11C87">
        <w:t xml:space="preserve"> </w:t>
      </w:r>
      <w:r w:rsidR="00843481">
        <w:t xml:space="preserve">For example, </w:t>
      </w:r>
      <w:r w:rsidR="00D11C87">
        <w:t>Environmental foundations do</w:t>
      </w:r>
      <w:r w:rsidR="00C92944">
        <w:t xml:space="preserve"> not appreciate management decisions </w:t>
      </w:r>
      <w:r w:rsidR="00631FDC">
        <w:t>to open a new polluting factory near a natural area. The environmental foundation is affected by the decision making, because it looks after the environment. But t</w:t>
      </w:r>
      <w:r w:rsidR="00FF2057">
        <w:t>he environmental foundation has no</w:t>
      </w:r>
      <w:r w:rsidR="00631FDC">
        <w:t xml:space="preserve"> opportunity to de</w:t>
      </w:r>
      <w:r w:rsidR="00FF2057">
        <w:t>cide whether or not building the</w:t>
      </w:r>
      <w:r w:rsidR="00843481">
        <w:t xml:space="preserve"> new factory. Management </w:t>
      </w:r>
      <w:r w:rsidR="00631FDC">
        <w:t>benefit</w:t>
      </w:r>
      <w:r w:rsidR="00843481">
        <w:t>s</w:t>
      </w:r>
      <w:r w:rsidR="00631FDC">
        <w:t xml:space="preserve"> from the new</w:t>
      </w:r>
      <w:r w:rsidR="00C92944">
        <w:t xml:space="preserve"> factory, if the new factory</w:t>
      </w:r>
      <w:r w:rsidR="00631FDC">
        <w:t xml:space="preserve"> result</w:t>
      </w:r>
      <w:r w:rsidR="00C92944">
        <w:t>s</w:t>
      </w:r>
      <w:r w:rsidR="00843481">
        <w:t xml:space="preserve"> in higher profits</w:t>
      </w:r>
      <w:r w:rsidR="00631FDC">
        <w:t>, this</w:t>
      </w:r>
      <w:r w:rsidR="00843481">
        <w:t xml:space="preserve"> higher profits drives management to decide to build the new factory.</w:t>
      </w:r>
      <w:r w:rsidR="00631FDC">
        <w:t xml:space="preserve"> Managers make decision based on their self interested incentives. Management and stakeholders differs in their incentives. In the decision of new projects, resources of stakeholders are involved. But this stakeholders does not always play an active role in decision making, stakeholders are not able to make decisions on their provided resources (employees are not able to make decision which insure their work). Jensen </w:t>
      </w:r>
      <w:r w:rsidR="0001438A">
        <w:t>et al.</w:t>
      </w:r>
      <w:r w:rsidR="00631FDC">
        <w:t xml:space="preserve"> (1976) argue that wh</w:t>
      </w:r>
      <w:r w:rsidR="00FF2057">
        <w:t>en managers and stakeholders do not</w:t>
      </w:r>
      <w:r w:rsidR="00631FDC">
        <w:t xml:space="preserve"> own the same incentives and </w:t>
      </w:r>
      <w:r w:rsidR="00C92944">
        <w:t xml:space="preserve">when </w:t>
      </w:r>
      <w:r w:rsidR="00631FDC">
        <w:t xml:space="preserve">stakeholders are not able to monitor the </w:t>
      </w:r>
      <w:r>
        <w:t>management’s</w:t>
      </w:r>
      <w:r w:rsidR="00C92944">
        <w:t xml:space="preserve"> behavior,</w:t>
      </w:r>
      <w:r w:rsidR="00631FDC">
        <w:t xml:space="preserve"> the agency problem occurs. (</w:t>
      </w:r>
      <w:r w:rsidR="0001438A">
        <w:t>Healy</w:t>
      </w:r>
      <w:r w:rsidR="00631FDC">
        <w:t xml:space="preserve"> and Palepu, 2000)</w:t>
      </w:r>
    </w:p>
    <w:p w:rsidR="00631FDC" w:rsidRDefault="00631FDC" w:rsidP="00452989">
      <w:pPr>
        <w:spacing w:line="360" w:lineRule="auto"/>
        <w:jc w:val="both"/>
      </w:pPr>
      <w:r>
        <w:t xml:space="preserve">The agency </w:t>
      </w:r>
      <w:r w:rsidR="00DC54DE">
        <w:t>problem arises</w:t>
      </w:r>
      <w:r>
        <w:t xml:space="preserve"> due to different incentives among management and stakeholders. A lot of diffe</w:t>
      </w:r>
      <w:r w:rsidR="00C92944">
        <w:t xml:space="preserve">rent stakeholders </w:t>
      </w:r>
      <w:r w:rsidR="00DC54DE">
        <w:t>exist</w:t>
      </w:r>
      <w:r w:rsidR="00C92944">
        <w:t>, with</w:t>
      </w:r>
      <w:r>
        <w:t xml:space="preserve"> different concerns. Investors benefit from high company returns, although environmental foundations are more concerned about the negative damage of the company and labor unions wants to retain the amount of work</w:t>
      </w:r>
      <w:r w:rsidR="00C92944">
        <w:t xml:space="preserve"> as before</w:t>
      </w:r>
      <w:r>
        <w:t>. All this different concerns lead</w:t>
      </w:r>
      <w:r w:rsidR="00C92944">
        <w:t>s to different incentives. But outcomes exist to solve</w:t>
      </w:r>
      <w:r>
        <w:t xml:space="preserve"> issues</w:t>
      </w:r>
      <w:r w:rsidR="00C92944">
        <w:t>, about conflicting incentives</w:t>
      </w:r>
      <w:r w:rsidR="0001438A">
        <w:t>. Heal</w:t>
      </w:r>
      <w:r>
        <w:t xml:space="preserve">y and Palepu (2000) offer ways to decrease the agency problem. The manners that Healy </w:t>
      </w:r>
      <w:r w:rsidR="0001438A">
        <w:t>et al.</w:t>
      </w:r>
      <w:r w:rsidR="00843481">
        <w:t xml:space="preserve"> (2000) are described are:</w:t>
      </w:r>
      <w:r>
        <w:t xml:space="preserve"> contracting, disclosing, corporate governance, information intermediaries and corporate control </w:t>
      </w:r>
      <w:r w:rsidR="00843481">
        <w:lastRenderedPageBreak/>
        <w:t>contest.</w:t>
      </w:r>
      <w:r>
        <w:t xml:space="preserve"> </w:t>
      </w:r>
      <w:r w:rsidR="00C92944">
        <w:t>R</w:t>
      </w:r>
      <w:r>
        <w:t xml:space="preserve">equirements can be made about issues. Healy </w:t>
      </w:r>
      <w:r w:rsidR="0001438A">
        <w:t>et al.</w:t>
      </w:r>
      <w:r>
        <w:t xml:space="preserve"> (2000) argue that compensation requirements of managements and rights and obligations of different stakeholders decrease the agency problem. </w:t>
      </w:r>
      <w:r w:rsidR="00C92944">
        <w:t xml:space="preserve">Contracts should be made, to describe the </w:t>
      </w:r>
      <w:r w:rsidR="00BF2269">
        <w:t xml:space="preserve">requirements. </w:t>
      </w:r>
      <w:r>
        <w:t xml:space="preserve">For proving if management </w:t>
      </w:r>
      <w:r w:rsidR="00DC54DE">
        <w:t>honors</w:t>
      </w:r>
      <w:r>
        <w:t xml:space="preserve"> the requirements in the contract, disclosures are important. </w:t>
      </w:r>
      <w:r w:rsidR="0001438A">
        <w:t>Healy</w:t>
      </w:r>
      <w:r>
        <w:t xml:space="preserve"> </w:t>
      </w:r>
      <w:r w:rsidR="0001438A">
        <w:t>et al.</w:t>
      </w:r>
      <w:r>
        <w:t xml:space="preserve"> (2000) argue if information is disclosed, stakeholders have the opportunity to monitor if management meets the contractual agreements. Also the board of directors can influence the agency problem, which is structured in the corporate governance of the compa</w:t>
      </w:r>
      <w:r w:rsidR="00843481">
        <w:t xml:space="preserve">ny. </w:t>
      </w:r>
      <w:r>
        <w:t xml:space="preserve">Following </w:t>
      </w:r>
      <w:r w:rsidR="0001438A">
        <w:t>Healy</w:t>
      </w:r>
      <w:r>
        <w:t xml:space="preserve"> </w:t>
      </w:r>
      <w:r w:rsidR="0001438A">
        <w:t>et al.</w:t>
      </w:r>
      <w:r>
        <w:t xml:space="preserve"> (2000), this board has t</w:t>
      </w:r>
      <w:r w:rsidR="00843481">
        <w:t>he</w:t>
      </w:r>
      <w:r>
        <w:t xml:space="preserve"> aim to control management, they make sure if management acts properly. Information intermediaries as rating agencies and financial analysts will probably detect misuse</w:t>
      </w:r>
      <w:r w:rsidR="00BF2269">
        <w:t xml:space="preserve"> o</w:t>
      </w:r>
      <w:r w:rsidR="00843481">
        <w:t>f resources and funds which are</w:t>
      </w:r>
      <w:r>
        <w:t xml:space="preserve"> provided b</w:t>
      </w:r>
      <w:r w:rsidR="00843481">
        <w:t xml:space="preserve">y investors. </w:t>
      </w:r>
      <w:r w:rsidR="00BF2269">
        <w:t xml:space="preserve">When </w:t>
      </w:r>
      <w:r w:rsidR="00DC54DE">
        <w:t>detection</w:t>
      </w:r>
      <w:r w:rsidR="00BF2269">
        <w:t xml:space="preserve"> by</w:t>
      </w:r>
      <w:r>
        <w:t xml:space="preserve"> rating agency or financial analyst </w:t>
      </w:r>
      <w:r w:rsidR="00DC54DE">
        <w:t>occurs</w:t>
      </w:r>
      <w:r>
        <w:t>, the reputation of management</w:t>
      </w:r>
      <w:r w:rsidR="00843481">
        <w:t xml:space="preserve"> will be harmed and the market </w:t>
      </w:r>
      <w:r>
        <w:t>value</w:t>
      </w:r>
      <w:r w:rsidR="00843481">
        <w:t>s</w:t>
      </w:r>
      <w:r>
        <w:t xml:space="preserve"> the company lower. </w:t>
      </w:r>
      <w:r w:rsidR="0001438A">
        <w:t>Healy</w:t>
      </w:r>
      <w:r>
        <w:t xml:space="preserve"> </w:t>
      </w:r>
      <w:r w:rsidR="0001438A">
        <w:t>et al.</w:t>
      </w:r>
      <w:r>
        <w:t xml:space="preserve"> (2000) investigate that the t</w:t>
      </w:r>
      <w:r w:rsidR="00843481">
        <w:t>hreat of market undervaluation reduces</w:t>
      </w:r>
      <w:r>
        <w:t xml:space="preserve"> the incentive of management to make decisions in favor of their self. Finally the t</w:t>
      </w:r>
      <w:r w:rsidR="00685210">
        <w:t xml:space="preserve">hreat of taking over company’s stocks by </w:t>
      </w:r>
      <w:r w:rsidR="00DC54DE">
        <w:t>competitors</w:t>
      </w:r>
      <w:r>
        <w:t xml:space="preserve"> reduce</w:t>
      </w:r>
      <w:r w:rsidR="00685210">
        <w:t>s</w:t>
      </w:r>
      <w:r>
        <w:t xml:space="preserve"> the agency problem </w:t>
      </w:r>
      <w:r w:rsidR="00685210">
        <w:t>between investors and managers.</w:t>
      </w:r>
      <w:r>
        <w:t xml:space="preserve"> If investors are not satisfied, they have the opportunity to sell stocks to competitors. This threat is called the corporate control contest. (Healy </w:t>
      </w:r>
      <w:r w:rsidR="0001438A">
        <w:t>et al.</w:t>
      </w:r>
      <w:r>
        <w:t>, 2000)</w:t>
      </w:r>
    </w:p>
    <w:p w:rsidR="00631FDC" w:rsidRDefault="004B6B65" w:rsidP="00452989">
      <w:pPr>
        <w:spacing w:line="360" w:lineRule="auto"/>
        <w:jc w:val="both"/>
      </w:pPr>
      <w:r>
        <w:t>Heal</w:t>
      </w:r>
      <w:r w:rsidR="00631FDC">
        <w:t xml:space="preserve">y </w:t>
      </w:r>
      <w:r w:rsidR="0001438A">
        <w:t>et al.</w:t>
      </w:r>
      <w:r w:rsidR="00631FDC">
        <w:t xml:space="preserve"> (2000) argue that whether contracting, disclosure, corporate governance, information intermediaries and corporate control contest eliminate agency problem is questionable. Economical and institutional factors are the reason for the questionable effectiveness. These economical </w:t>
      </w:r>
      <w:r w:rsidR="00685210">
        <w:t xml:space="preserve">and institutional factors are, </w:t>
      </w:r>
      <w:r w:rsidR="00631FDC">
        <w:t>for example, the ability to d</w:t>
      </w:r>
      <w:r w:rsidR="00BF2269">
        <w:t>evelop</w:t>
      </w:r>
      <w:r w:rsidR="00631FDC">
        <w:t xml:space="preserve"> requirements in contracts. Also Healy </w:t>
      </w:r>
      <w:r w:rsidR="0001438A">
        <w:t>et al.</w:t>
      </w:r>
      <w:r w:rsidR="00631FDC">
        <w:t xml:space="preserve"> (2000) argue that it is possible that the board of directors can own the same incentives as management. The writers also state that when the corporate control market is social and friendly, competitors are less motivated to take over the stocks. </w:t>
      </w:r>
      <w:r w:rsidR="00DC54DE">
        <w:t>These economical and institutional factors</w:t>
      </w:r>
      <w:r w:rsidR="00631FDC">
        <w:t xml:space="preserve"> have </w:t>
      </w:r>
      <w:r w:rsidR="00DC54DE">
        <w:t>influences</w:t>
      </w:r>
      <w:r w:rsidR="00631FDC">
        <w:t xml:space="preserve"> on the effectiveness of the solutions to solve the agency problem. Economical and institutional factors are continuously changing, so solutions for agency problems should be continuously be adjusted.</w:t>
      </w:r>
    </w:p>
    <w:p w:rsidR="00631FDC" w:rsidRPr="00861A74" w:rsidRDefault="00631FDC" w:rsidP="00452989">
      <w:pPr>
        <w:spacing w:line="360" w:lineRule="auto"/>
        <w:jc w:val="both"/>
        <w:rPr>
          <w:b/>
        </w:rPr>
      </w:pPr>
      <w:r>
        <w:t xml:space="preserve">As Healy </w:t>
      </w:r>
      <w:r w:rsidR="0001438A">
        <w:t>et al.</w:t>
      </w:r>
      <w:r>
        <w:t xml:space="preserve"> (2000) argue that the provided solutions of the agency problem ar</w:t>
      </w:r>
      <w:r w:rsidR="00685210">
        <w:t>e questionable, this implies not, that the provided solutions of the agency problem are not useful.</w:t>
      </w:r>
      <w:r>
        <w:t xml:space="preserve"> At least the solutions separate will face a too less impact on the agency problem. But when taken the solutions together, the effect will be larger. Voluntary disclosures</w:t>
      </w:r>
      <w:r w:rsidR="004B6B65">
        <w:t xml:space="preserve"> and also CSR reporting are one of the so</w:t>
      </w:r>
      <w:r>
        <w:t xml:space="preserve">lutions and can be seen as a tool for reducing the agency problem when also the other solutions are taken into considerations. The </w:t>
      </w:r>
      <w:r w:rsidR="00DC54DE">
        <w:t>problem exists</w:t>
      </w:r>
      <w:r>
        <w:t xml:space="preserve"> due to the fact that managers and investors have different incentives with the company. Also both parties act in their own interest. When disclosing information, </w:t>
      </w:r>
      <w:r w:rsidR="00DC54DE">
        <w:lastRenderedPageBreak/>
        <w:t>management behavior</w:t>
      </w:r>
      <w:r>
        <w:t xml:space="preserve"> can be monitored, for example CSR report disclosure monitored management on their CSR performances. Disclosures provide more openness in the behavior of management. This implies a way to monitor acts and decisions made by management. Now it’s possible for stakeholders to control and assess management behavior. When stakeholders disapprove management behavior, it will probably result in an undervaluation of the company. The underv</w:t>
      </w:r>
      <w:r w:rsidR="004B6B65">
        <w:t>aluation is harming the company, therefore</w:t>
      </w:r>
      <w:r>
        <w:t xml:space="preserve"> management tries to make a good reputation, voluntary disclosures can be used as a tool</w:t>
      </w:r>
      <w:r w:rsidR="00685210">
        <w:t xml:space="preserve"> for achieving this reputation.</w:t>
      </w:r>
      <w:r>
        <w:t xml:space="preserve"> This result of voluntary disclosure, the possibility that investors judge management has the result of more openness.</w:t>
      </w:r>
    </w:p>
    <w:p w:rsidR="00631FDC" w:rsidRDefault="00631FDC" w:rsidP="00452989">
      <w:pPr>
        <w:spacing w:line="360" w:lineRule="auto"/>
        <w:jc w:val="both"/>
        <w:rPr>
          <w:b/>
        </w:rPr>
      </w:pPr>
    </w:p>
    <w:p w:rsidR="00631FDC" w:rsidRPr="004A079B" w:rsidRDefault="00631FDC" w:rsidP="00452989">
      <w:pPr>
        <w:pStyle w:val="Heading3"/>
        <w:spacing w:line="360" w:lineRule="auto"/>
        <w:jc w:val="both"/>
        <w:rPr>
          <w:color w:val="auto"/>
        </w:rPr>
      </w:pPr>
      <w:bookmarkStart w:id="30" w:name="_Toc299353373"/>
      <w:r>
        <w:rPr>
          <w:color w:val="auto"/>
        </w:rPr>
        <w:t xml:space="preserve">2.3.2 </w:t>
      </w:r>
      <w:r w:rsidRPr="004A079B">
        <w:rPr>
          <w:color w:val="auto"/>
        </w:rPr>
        <w:t>Information asymmetry</w:t>
      </w:r>
      <w:bookmarkEnd w:id="30"/>
    </w:p>
    <w:p w:rsidR="00631FDC" w:rsidRDefault="00631FDC" w:rsidP="00452989">
      <w:pPr>
        <w:spacing w:line="360" w:lineRule="auto"/>
        <w:jc w:val="both"/>
      </w:pPr>
      <w:r>
        <w:t xml:space="preserve">The explanation of information asymmetry is based on the difference in information hold by stakeholders (outsiders) and management (insiders) of the company. Management makes decisions in favor of continuing the company. For making accurate decisions, management is completely informed.  Although </w:t>
      </w:r>
      <w:r w:rsidR="00685210">
        <w:t xml:space="preserve">stakeholders </w:t>
      </w:r>
      <w:r>
        <w:t xml:space="preserve">do not own all information. </w:t>
      </w:r>
      <w:r w:rsidR="00685210">
        <w:t>The company is dependent on</w:t>
      </w:r>
      <w:r>
        <w:t xml:space="preserve"> stakeholder</w:t>
      </w:r>
      <w:r w:rsidR="00685210">
        <w:t>s</w:t>
      </w:r>
      <w:r>
        <w:t xml:space="preserve">. </w:t>
      </w:r>
      <w:r w:rsidR="00DC54DE">
        <w:t>Stakeholders provide</w:t>
      </w:r>
      <w:r>
        <w:t xml:space="preserve"> resources to the company. </w:t>
      </w:r>
    </w:p>
    <w:p w:rsidR="004B6B65" w:rsidRDefault="004B6B65" w:rsidP="00452989">
      <w:pPr>
        <w:spacing w:line="360" w:lineRule="auto"/>
        <w:jc w:val="both"/>
      </w:pPr>
      <w:r>
        <w:t xml:space="preserve">Before, the agency problem was explained. The information asymmetry can be seen as a result of the agency problem. The </w:t>
      </w:r>
      <w:r w:rsidR="00314972">
        <w:t xml:space="preserve">agency problem is driven by self interest. Management and stakeholders make decisions based on this self interest. Providing information in a disclosure is one of these decisions. </w:t>
      </w:r>
      <w:r w:rsidR="00BF2269">
        <w:t>Provided Information is used in decision making, when management influences the amount of provide information they have the possibility to inf</w:t>
      </w:r>
      <w:r w:rsidR="00EB4F18">
        <w:t xml:space="preserve">luence stakeholders decisions. </w:t>
      </w:r>
      <w:r w:rsidR="00314972">
        <w:t xml:space="preserve">Management sometimes benefits from disclosing less information. </w:t>
      </w:r>
      <w:r w:rsidR="00BF2269">
        <w:t xml:space="preserve">When management </w:t>
      </w:r>
      <w:r w:rsidR="00DC54DE">
        <w:t>provides</w:t>
      </w:r>
      <w:r w:rsidR="00BF2269">
        <w:t xml:space="preserve"> less information, the information asymmetry is high. </w:t>
      </w:r>
    </w:p>
    <w:p w:rsidR="00631FDC" w:rsidRDefault="00631FDC" w:rsidP="00452989">
      <w:pPr>
        <w:spacing w:line="360" w:lineRule="auto"/>
        <w:jc w:val="both"/>
      </w:pPr>
      <w:r w:rsidRPr="00631FDC">
        <w:t xml:space="preserve">The information asymmetry shows the openness of the company. </w:t>
      </w:r>
      <w:r>
        <w:t>When a company is full open, management and stakeholders owns the same amount of information. But in practice a distinction in information hold by management and stakeholders exist. This difference in holding information is ca</w:t>
      </w:r>
      <w:r w:rsidR="00EB4F18">
        <w:t>lled the information asymmetry.</w:t>
      </w:r>
      <w:r>
        <w:t xml:space="preserve"> Healy </w:t>
      </w:r>
      <w:r w:rsidR="0001438A">
        <w:t>et al.</w:t>
      </w:r>
      <w:r>
        <w:t xml:space="preserve"> (2000) </w:t>
      </w:r>
      <w:r w:rsidR="00DC54DE">
        <w:t>argue</w:t>
      </w:r>
      <w:r>
        <w:t xml:space="preserve"> that in the information asymmetry risk is involved. </w:t>
      </w:r>
      <w:r w:rsidR="00BF2269">
        <w:t>S</w:t>
      </w:r>
      <w:r>
        <w:t>takeholders make decisions based on the provided informatio</w:t>
      </w:r>
      <w:r w:rsidR="00314972">
        <w:t>n. When relevant information is no</w:t>
      </w:r>
      <w:r>
        <w:t xml:space="preserve">t provided to stakeholders, the decision of stakeholders can be different. </w:t>
      </w:r>
      <w:r w:rsidR="00EB4F18">
        <w:t xml:space="preserve">Stakeholders want receive as much information as possible, to make optimal decisions. </w:t>
      </w:r>
      <w:r>
        <w:t>When</w:t>
      </w:r>
      <w:r w:rsidR="00405379">
        <w:t xml:space="preserve"> management provides</w:t>
      </w:r>
      <w:r>
        <w:t xml:space="preserve"> all information the competition status of the company can be </w:t>
      </w:r>
      <w:r w:rsidR="00DC54DE">
        <w:t>affected</w:t>
      </w:r>
      <w:r>
        <w:t xml:space="preserve">. (Healy </w:t>
      </w:r>
      <w:r w:rsidR="0001438A">
        <w:t>et al.</w:t>
      </w:r>
      <w:r>
        <w:t>, 2000)</w:t>
      </w:r>
    </w:p>
    <w:p w:rsidR="00631FDC" w:rsidRDefault="00631FDC" w:rsidP="00452989">
      <w:pPr>
        <w:spacing w:line="360" w:lineRule="auto"/>
        <w:jc w:val="both"/>
      </w:pPr>
      <w:r>
        <w:lastRenderedPageBreak/>
        <w:t>Argued by Akerlof (1970) managers</w:t>
      </w:r>
      <w:r w:rsidR="00405379">
        <w:t xml:space="preserve"> bias</w:t>
      </w:r>
      <w:r w:rsidR="00EB4F18">
        <w:t xml:space="preserve"> the provided information in a positive way. When </w:t>
      </w:r>
      <w:r>
        <w:t xml:space="preserve">providing positive information, the company will </w:t>
      </w:r>
      <w:r w:rsidR="00DC54DE">
        <w:t>attract</w:t>
      </w:r>
      <w:r>
        <w:t xml:space="preserve"> more investors. </w:t>
      </w:r>
      <w:r w:rsidR="00405379">
        <w:t>When management</w:t>
      </w:r>
      <w:r>
        <w:t xml:space="preserve"> judge less well and bad information also </w:t>
      </w:r>
      <w:r w:rsidR="00405379">
        <w:t xml:space="preserve">in a positive way, more investors are attracted. </w:t>
      </w:r>
      <w:r>
        <w:t xml:space="preserve">Akerlof (1970) described that this result in a situation where investors are not able to make a distinction between good and bad information. Information announcements about good investments are undervalued and the announcements of bad investments are overvalued. This problem is called the Lemons problem. Akerlof </w:t>
      </w:r>
      <w:r w:rsidR="00873FC7">
        <w:t xml:space="preserve">(1970) argue the lemon problem will </w:t>
      </w:r>
      <w:r>
        <w:t>finally lead</w:t>
      </w:r>
      <w:r w:rsidR="00873FC7">
        <w:t>s</w:t>
      </w:r>
      <w:r>
        <w:t xml:space="preserve"> to a breakdown of the capital market. The lemon </w:t>
      </w:r>
      <w:r w:rsidR="00DC54DE">
        <w:t>problem arises</w:t>
      </w:r>
      <w:r>
        <w:t xml:space="preserve"> from the information asymmetry. If no information </w:t>
      </w:r>
      <w:r w:rsidR="00DC54DE">
        <w:t>asymmetry exists</w:t>
      </w:r>
      <w:r>
        <w:t xml:space="preserve">, </w:t>
      </w:r>
      <w:r w:rsidR="00DC54DE">
        <w:t>outsiders own</w:t>
      </w:r>
      <w:r>
        <w:t xml:space="preserve"> all detailed information and are able to value the information content. If a situation of no </w:t>
      </w:r>
      <w:r w:rsidR="00873FC7">
        <w:t>information asymmetry occurs,</w:t>
      </w:r>
      <w:r w:rsidR="00EB4F18">
        <w:t xml:space="preserve"> investments are valued on unbiased information.</w:t>
      </w:r>
    </w:p>
    <w:p w:rsidR="00631FDC" w:rsidRDefault="00631FDC" w:rsidP="00452989">
      <w:pPr>
        <w:spacing w:line="360" w:lineRule="auto"/>
        <w:jc w:val="both"/>
      </w:pPr>
      <w:r>
        <w:t>The information asymmetry problem and lemon problem can be reduced in different manners. H</w:t>
      </w:r>
      <w:r w:rsidR="00873FC7">
        <w:t xml:space="preserve">ealy </w:t>
      </w:r>
      <w:r w:rsidR="0001438A">
        <w:t>et al.</w:t>
      </w:r>
      <w:r w:rsidR="00873FC7">
        <w:t xml:space="preserve"> (2000) explains</w:t>
      </w:r>
      <w:r>
        <w:t xml:space="preserve"> three different tools for reducing the information asymmetry and lemon problem. Information intermediaries, optimal contracts and regulation result in a lower information asymmetry.  Ratings agencies and financial analysts, which are information intermediaries, are searching for information priv</w:t>
      </w:r>
      <w:r w:rsidR="00EB4F18">
        <w:t xml:space="preserve">ately owned by management. If </w:t>
      </w:r>
      <w:r w:rsidR="00DC54DE">
        <w:t>information intermediaries make</w:t>
      </w:r>
      <w:r w:rsidR="00EB4F18">
        <w:t xml:space="preserve"> their</w:t>
      </w:r>
      <w:r>
        <w:t xml:space="preserve"> findings publically available, the distinction between information hold by managers and </w:t>
      </w:r>
      <w:r w:rsidR="00DC54DE">
        <w:t>outsiders</w:t>
      </w:r>
      <w:r w:rsidR="00EB4F18">
        <w:t xml:space="preserve"> is reduced.</w:t>
      </w:r>
      <w:r>
        <w:t xml:space="preserve"> Optimal contracts are also solutions for reducing the information asymmetry. </w:t>
      </w:r>
      <w:r w:rsidR="00DC54DE">
        <w:t>Optimal contracts incorporate</w:t>
      </w:r>
      <w:r w:rsidR="00EB4F18">
        <w:t xml:space="preserve"> management requirements to disclose optimally all private information.</w:t>
      </w:r>
      <w:r>
        <w:t xml:space="preserve"> When managers should announce all private information, more information becomes available for investors. This leads to a reduction in the information asymmetry. </w:t>
      </w:r>
      <w:r w:rsidR="00873FC7">
        <w:t xml:space="preserve"> Besides contracts, regulations that require management to disclose all private information, results in a reduction of the information asymmetry.</w:t>
      </w:r>
      <w:r>
        <w:t xml:space="preserve"> When </w:t>
      </w:r>
      <w:r w:rsidR="00DC54DE">
        <w:t>stakeholders own</w:t>
      </w:r>
      <w:r>
        <w:t xml:space="preserve"> more information, they are </w:t>
      </w:r>
      <w:r w:rsidR="00873FC7">
        <w:t>more</w:t>
      </w:r>
      <w:r>
        <w:t xml:space="preserve"> able to measure the difference between</w:t>
      </w:r>
      <w:r w:rsidR="00873FC7">
        <w:t xml:space="preserve"> good and bad information. The increase in information hold by stakeholders, results in a reduction of </w:t>
      </w:r>
      <w:r>
        <w:t xml:space="preserve">the lemon problem. (Healy </w:t>
      </w:r>
      <w:r w:rsidR="0001438A">
        <w:t>et al.</w:t>
      </w:r>
      <w:r>
        <w:t>, 2000)</w:t>
      </w:r>
    </w:p>
    <w:p w:rsidR="00631FDC" w:rsidRDefault="00631FDC" w:rsidP="00452989">
      <w:pPr>
        <w:spacing w:line="360" w:lineRule="auto"/>
        <w:jc w:val="both"/>
      </w:pPr>
      <w:r>
        <w:t xml:space="preserve">Voluntary disclosures </w:t>
      </w:r>
      <w:r w:rsidR="00405379">
        <w:t xml:space="preserve">and CSR reporting </w:t>
      </w:r>
      <w:r>
        <w:t xml:space="preserve">can </w:t>
      </w:r>
      <w:r w:rsidR="00DC54DE">
        <w:t>use</w:t>
      </w:r>
      <w:r w:rsidR="00EB4F18">
        <w:t xml:space="preserve"> as tool to reduce</w:t>
      </w:r>
      <w:r>
        <w:t xml:space="preserve"> the information asymmetry. Management can decide to provide voluntary disclosures, the voluntary disclosures will decrease the distinction in information hold between insiders and outsiders</w:t>
      </w:r>
      <w:r w:rsidR="00EB4F18">
        <w:t xml:space="preserve">. </w:t>
      </w:r>
      <w:r>
        <w:t xml:space="preserve">Voluntary disclosures are announced by management it selves. No rules and regulation exist that requires management to disclose the provided information. This negative relation between information asymmetry and voluntary disclosures is observed in the study of Akhtaruddin and Haron (2010). The information asymmetry was measured with </w:t>
      </w:r>
      <w:r>
        <w:lastRenderedPageBreak/>
        <w:t xml:space="preserve">the agency costs and found evidence that </w:t>
      </w:r>
      <w:r w:rsidR="00DC54DE">
        <w:t>high agency costs are</w:t>
      </w:r>
      <w:r>
        <w:t xml:space="preserve"> associated with low level of volun</w:t>
      </w:r>
      <w:r w:rsidR="0036129C">
        <w:t xml:space="preserve">tary disclosures. </w:t>
      </w:r>
      <w:r>
        <w:t xml:space="preserve">This </w:t>
      </w:r>
      <w:r w:rsidR="00DC54DE">
        <w:t>result</w:t>
      </w:r>
      <w:r w:rsidR="0036129C">
        <w:t xml:space="preserve"> </w:t>
      </w:r>
      <w:r>
        <w:t>implies th</w:t>
      </w:r>
      <w:r w:rsidR="0036129C">
        <w:t xml:space="preserve">at </w:t>
      </w:r>
      <w:r w:rsidR="00DC54DE">
        <w:t>voluntary disclosures reduce</w:t>
      </w:r>
      <w:r>
        <w:t xml:space="preserve"> the information asymmetry.</w:t>
      </w:r>
    </w:p>
    <w:p w:rsidR="00631FDC" w:rsidRDefault="00631FDC" w:rsidP="00452989">
      <w:pPr>
        <w:spacing w:line="360" w:lineRule="auto"/>
        <w:jc w:val="both"/>
      </w:pPr>
    </w:p>
    <w:p w:rsidR="00631FDC" w:rsidRPr="004A079B" w:rsidRDefault="00631FDC" w:rsidP="00452989">
      <w:pPr>
        <w:pStyle w:val="Heading3"/>
        <w:spacing w:line="360" w:lineRule="auto"/>
        <w:jc w:val="both"/>
        <w:rPr>
          <w:color w:val="auto"/>
        </w:rPr>
      </w:pPr>
      <w:bookmarkStart w:id="31" w:name="_Toc299353374"/>
      <w:r>
        <w:rPr>
          <w:color w:val="auto"/>
        </w:rPr>
        <w:t xml:space="preserve">2.3.3 </w:t>
      </w:r>
      <w:r w:rsidRPr="004A079B">
        <w:rPr>
          <w:color w:val="auto"/>
        </w:rPr>
        <w:t>Legitimacy theory</w:t>
      </w:r>
      <w:bookmarkEnd w:id="31"/>
    </w:p>
    <w:p w:rsidR="00631FDC" w:rsidRDefault="00631FDC" w:rsidP="00452989">
      <w:pPr>
        <w:spacing w:line="360" w:lineRule="auto"/>
        <w:jc w:val="both"/>
      </w:pPr>
      <w:r>
        <w:t xml:space="preserve">The legitimacy theory belongs to the positive accounting theory, the legitimacy theory explains why management </w:t>
      </w:r>
      <w:r w:rsidR="00DC54DE">
        <w:t>decides</w:t>
      </w:r>
      <w:r>
        <w:t xml:space="preserve"> to take action in favor of society. For understanding the legitimacy theory it is important to know, that a company operates in the society. And that the company is judged by the society on their performances. A detailed explanation of the legitimacy theory is provided by Deegan and Unerman (2006):</w:t>
      </w:r>
    </w:p>
    <w:p w:rsidR="00631FDC" w:rsidRDefault="00631FDC" w:rsidP="00452989">
      <w:pPr>
        <w:spacing w:line="360" w:lineRule="auto"/>
        <w:jc w:val="both"/>
        <w:rPr>
          <w:i/>
        </w:rPr>
      </w:pPr>
      <w:r>
        <w:rPr>
          <w:i/>
        </w:rPr>
        <w:t>“Legitimacy theory relies upon the notion that there is a ‘social contract’ between the organization in question and the society in which it operates.”</w:t>
      </w:r>
    </w:p>
    <w:p w:rsidR="00631FDC" w:rsidRPr="00B5680C" w:rsidRDefault="00631FDC" w:rsidP="00452989">
      <w:pPr>
        <w:spacing w:line="360" w:lineRule="auto"/>
        <w:jc w:val="both"/>
        <w:rPr>
          <w:i/>
        </w:rPr>
      </w:pPr>
      <w:r>
        <w:t xml:space="preserve">Deegan and Unerman (2006) explained the social contract concept by:  </w:t>
      </w:r>
    </w:p>
    <w:p w:rsidR="00631FDC" w:rsidRPr="00B5680C" w:rsidRDefault="00631FDC" w:rsidP="00452989">
      <w:pPr>
        <w:spacing w:line="360" w:lineRule="auto"/>
        <w:jc w:val="both"/>
        <w:rPr>
          <w:i/>
        </w:rPr>
      </w:pPr>
      <w:r w:rsidRPr="00B5680C">
        <w:rPr>
          <w:i/>
        </w:rPr>
        <w:t>“… a concept is used to represent the multitude of implicit and explicit expectations that society has about how the organization should conducts its operations. “</w:t>
      </w:r>
    </w:p>
    <w:p w:rsidR="00DF2554" w:rsidRDefault="00631FDC" w:rsidP="00452989">
      <w:pPr>
        <w:spacing w:line="360" w:lineRule="auto"/>
        <w:jc w:val="both"/>
      </w:pPr>
      <w:r>
        <w:t>This</w:t>
      </w:r>
      <w:r w:rsidR="00B1447E">
        <w:t xml:space="preserve"> </w:t>
      </w:r>
      <w:r w:rsidR="00DC54DE">
        <w:t>explanation</w:t>
      </w:r>
      <w:r>
        <w:t xml:space="preserve"> implies that, the legitimacy theory is driven by the public expectation of companies about </w:t>
      </w:r>
      <w:r w:rsidR="00DE57DC">
        <w:t xml:space="preserve">their </w:t>
      </w:r>
      <w:r>
        <w:t xml:space="preserve">operations. This </w:t>
      </w:r>
      <w:r w:rsidR="00DE57DC">
        <w:t xml:space="preserve">expectation is not </w:t>
      </w:r>
      <w:r>
        <w:t xml:space="preserve">only </w:t>
      </w:r>
      <w:r w:rsidR="00DE57DC">
        <w:t xml:space="preserve">based on the production process, but also on the performances of </w:t>
      </w:r>
      <w:r>
        <w:t xml:space="preserve">corporate governance and other processes which assist the operations of the company. Companies obtain legitimacy from the public, if they are performing in accordance of public. </w:t>
      </w:r>
      <w:r w:rsidR="00B1447E">
        <w:t>I</w:t>
      </w:r>
      <w:r>
        <w:t>n the study of Lightstone and Driscoll (2008), where companies behavior is tested to obtain legitimacy. In this study Canadian companies were investigated on ethics and legitimacy. They found that companies are using ethical language to inform stakeholders. When bad news was communicated also positive information was provided. The authors suggest th</w:t>
      </w:r>
      <w:r w:rsidR="00873FC7">
        <w:t>at this positive information</w:t>
      </w:r>
      <w:r>
        <w:t xml:space="preserve"> mislead</w:t>
      </w:r>
      <w:r w:rsidR="00873FC7">
        <w:t>s</w:t>
      </w:r>
      <w:r>
        <w:t xml:space="preserve"> the </w:t>
      </w:r>
      <w:r w:rsidR="00BB2A00">
        <w:t>stakeholder</w:t>
      </w:r>
      <w:r w:rsidR="00DF2554">
        <w:t xml:space="preserve">s about the bad news. </w:t>
      </w:r>
      <w:r w:rsidR="00DC54DE">
        <w:t>When stakeholders</w:t>
      </w:r>
      <w:r>
        <w:t xml:space="preserve"> are provided with bad news and positive information, </w:t>
      </w:r>
      <w:r w:rsidR="00B1447E">
        <w:t>stakeholders make more positively</w:t>
      </w:r>
      <w:r>
        <w:t xml:space="preserve"> expectations about the company than when only bad news is communicated. This is in conformity that companies will achieve legitimacy from the public.</w:t>
      </w:r>
      <w:r w:rsidR="00DF2554">
        <w:t xml:space="preserve"> When only the single bad information was announced, the public will value the company at a lower level. But when also positive news is announced, the valu</w:t>
      </w:r>
      <w:r w:rsidR="00DE57DC">
        <w:t xml:space="preserve">ation of the </w:t>
      </w:r>
      <w:r w:rsidR="00DC54DE">
        <w:t>public improves</w:t>
      </w:r>
      <w:r w:rsidR="00DF2554">
        <w:t xml:space="preserve">. </w:t>
      </w:r>
      <w:r>
        <w:t xml:space="preserve"> </w:t>
      </w:r>
      <w:r w:rsidR="00DF2554">
        <w:t>From the disclosure of this positive news, t</w:t>
      </w:r>
      <w:r w:rsidR="006018CF">
        <w:t xml:space="preserve">he company is judged legitimate by the public. </w:t>
      </w:r>
    </w:p>
    <w:p w:rsidR="00631FDC" w:rsidRDefault="00631FDC" w:rsidP="00452989">
      <w:pPr>
        <w:spacing w:line="360" w:lineRule="auto"/>
        <w:jc w:val="both"/>
      </w:pPr>
      <w:r>
        <w:lastRenderedPageBreak/>
        <w:t xml:space="preserve">Lui and Taylor (2008) found evidence that management achieves legitimacy from the society. In their research they investigate the voluntary disclosures of </w:t>
      </w:r>
      <w:r w:rsidR="00DC54DE">
        <w:t>executives’</w:t>
      </w:r>
      <w:r>
        <w:t xml:space="preserve"> remuneration in Australia between 2003 and 2004. Starting in 2002</w:t>
      </w:r>
      <w:r w:rsidR="00B1447E">
        <w:t>,</w:t>
      </w:r>
      <w:r>
        <w:t xml:space="preserve"> scandals about corporate governance were detected. </w:t>
      </w:r>
      <w:r w:rsidR="00DC54DE">
        <w:t>This scandals result</w:t>
      </w:r>
      <w:r>
        <w:t xml:space="preserve"> in</w:t>
      </w:r>
      <w:r w:rsidR="00B1447E">
        <w:t xml:space="preserve"> a rising demand of</w:t>
      </w:r>
      <w:r>
        <w:t xml:space="preserve"> stakeholders to provide more information about </w:t>
      </w:r>
      <w:r w:rsidR="00DC54DE">
        <w:t>executives’</w:t>
      </w:r>
      <w:r>
        <w:t xml:space="preserve"> remuneration. In the study of Lui </w:t>
      </w:r>
      <w:r w:rsidR="0001438A">
        <w:t>et al.</w:t>
      </w:r>
      <w:r>
        <w:t xml:space="preserve"> (2008) was investigated that management legitimated the company, by providing more detailed information about </w:t>
      </w:r>
      <w:r w:rsidR="00DC54DE">
        <w:t>executives’</w:t>
      </w:r>
      <w:r>
        <w:t xml:space="preserve"> remuneration. These details were voluntary provided in the annual report. This study implies that companies are driven by the expectations of the public to </w:t>
      </w:r>
      <w:r w:rsidR="00DC54DE">
        <w:t>legitimate</w:t>
      </w:r>
      <w:r>
        <w:t xml:space="preserve"> their operations. After disclosing detailed information about </w:t>
      </w:r>
      <w:r w:rsidR="00DC54DE">
        <w:t>executives’</w:t>
      </w:r>
      <w:r>
        <w:t xml:space="preserve"> remuneration, the company achieves from the society the</w:t>
      </w:r>
      <w:r w:rsidR="006018CF">
        <w:t xml:space="preserve"> ‘l</w:t>
      </w:r>
      <w:r>
        <w:t>icense</w:t>
      </w:r>
      <w:r w:rsidR="00B1447E">
        <w:t>’</w:t>
      </w:r>
      <w:r>
        <w:t xml:space="preserve"> to operate.</w:t>
      </w:r>
    </w:p>
    <w:p w:rsidR="00631FDC" w:rsidRDefault="00631FDC" w:rsidP="00452989">
      <w:pPr>
        <w:spacing w:line="360" w:lineRule="auto"/>
        <w:jc w:val="both"/>
      </w:pPr>
      <w:r>
        <w:t>Cho and Patten (2007) found evidence that environmental disclosures are</w:t>
      </w:r>
      <w:r w:rsidR="00B1447E">
        <w:t xml:space="preserve"> used as a tool for legitimacy.</w:t>
      </w:r>
      <w:r>
        <w:t xml:space="preserve"> This study is based on companies which are separated out in different groups, the environmental sensitive and non-environmental sensitive companies and good and bad environmental performers. In this study </w:t>
      </w:r>
      <w:r w:rsidR="00D203EA">
        <w:t>is concludes</w:t>
      </w:r>
      <w:r>
        <w:t xml:space="preserve"> that companies which are bad environmental performers are disclosing more environmental information. The findings that environmental disclosures is a tool for legitimacy and that bad environmental performers provide a higher level of environmental information is consistent with Dowling and Pfeffer (1975). In the study of Dowling </w:t>
      </w:r>
      <w:r w:rsidR="00FF5235">
        <w:t xml:space="preserve">et al. (1975) three </w:t>
      </w:r>
      <w:r>
        <w:t xml:space="preserve">tools are meant to obtain legitimacy, </w:t>
      </w:r>
      <w:r w:rsidR="00DC54DE">
        <w:t>these tools</w:t>
      </w:r>
      <w:r>
        <w:t xml:space="preserve"> are:</w:t>
      </w:r>
    </w:p>
    <w:p w:rsidR="00631FDC" w:rsidRPr="00C62E2F" w:rsidRDefault="00631FDC" w:rsidP="00452989">
      <w:pPr>
        <w:pStyle w:val="ListParagraph"/>
        <w:numPr>
          <w:ilvl w:val="0"/>
          <w:numId w:val="2"/>
        </w:numPr>
        <w:spacing w:line="360" w:lineRule="auto"/>
        <w:jc w:val="both"/>
      </w:pPr>
      <w:r>
        <w:rPr>
          <w:i/>
        </w:rPr>
        <w:t>“The organization can adapt its output, goals and methods of operation to conform to prevailing definitions of legitimacy.”</w:t>
      </w:r>
    </w:p>
    <w:p w:rsidR="00631FDC" w:rsidRPr="00C62E2F" w:rsidRDefault="00631FDC" w:rsidP="00452989">
      <w:pPr>
        <w:pStyle w:val="ListParagraph"/>
        <w:numPr>
          <w:ilvl w:val="0"/>
          <w:numId w:val="2"/>
        </w:numPr>
        <w:spacing w:line="360" w:lineRule="auto"/>
        <w:jc w:val="both"/>
      </w:pPr>
      <w:r>
        <w:rPr>
          <w:i/>
        </w:rPr>
        <w:t>“The organization can attempt, through communication, to alter the definition of social legitimacy so that it conforms to the organization’s present practices, output, and values.”</w:t>
      </w:r>
    </w:p>
    <w:p w:rsidR="00631FDC" w:rsidRDefault="00631FDC" w:rsidP="00452989">
      <w:pPr>
        <w:pStyle w:val="ListParagraph"/>
        <w:numPr>
          <w:ilvl w:val="0"/>
          <w:numId w:val="2"/>
        </w:numPr>
        <w:spacing w:line="360" w:lineRule="auto"/>
        <w:jc w:val="both"/>
      </w:pPr>
      <w:r>
        <w:rPr>
          <w:i/>
        </w:rPr>
        <w:t>“The organization can attempt, again through communication, to become identified with symbols, values, or institutions which have a strong base of social legitimacy.”</w:t>
      </w:r>
    </w:p>
    <w:p w:rsidR="00631FDC" w:rsidRDefault="00631FDC" w:rsidP="00452989">
      <w:pPr>
        <w:spacing w:line="360" w:lineRule="auto"/>
        <w:jc w:val="both"/>
      </w:pPr>
      <w:r>
        <w:t xml:space="preserve">This implies that the findings of </w:t>
      </w:r>
      <w:r w:rsidR="00BB2A00">
        <w:t>Cho et al.</w:t>
      </w:r>
      <w:r>
        <w:t xml:space="preserve"> (2007) are in consistent with the second tool of Dowling </w:t>
      </w:r>
      <w:r w:rsidR="00FF5235">
        <w:t>et al.</w:t>
      </w:r>
      <w:r>
        <w:t xml:space="preserve"> (1975). Poor environmental performers are using a higher amount of</w:t>
      </w:r>
      <w:r w:rsidR="00FD3330">
        <w:t xml:space="preserve"> environmental disclosures. The poor environmental performance </w:t>
      </w:r>
      <w:r w:rsidR="00DC54DE">
        <w:t>companies</w:t>
      </w:r>
      <w:r>
        <w:t xml:space="preserve"> need more communication to obtain a legitimacy level and therefore </w:t>
      </w:r>
      <w:r w:rsidR="00DC54DE">
        <w:t>these companies</w:t>
      </w:r>
      <w:r>
        <w:t xml:space="preserve"> communicate more environmental related information. </w:t>
      </w:r>
    </w:p>
    <w:p w:rsidR="00631FDC" w:rsidRDefault="00631FDC" w:rsidP="00452989">
      <w:pPr>
        <w:spacing w:line="360" w:lineRule="auto"/>
        <w:jc w:val="both"/>
      </w:pPr>
      <w:r>
        <w:t xml:space="preserve">This described studies of Lightstone </w:t>
      </w:r>
      <w:r w:rsidR="0001438A">
        <w:t>et al.</w:t>
      </w:r>
      <w:r>
        <w:t xml:space="preserve"> (2008), Lui </w:t>
      </w:r>
      <w:r w:rsidR="0001438A">
        <w:t>et al.</w:t>
      </w:r>
      <w:r>
        <w:t xml:space="preserve"> (2008), Cho and Patten (2007) </w:t>
      </w:r>
      <w:r w:rsidR="00DC54DE">
        <w:t>and Dowling</w:t>
      </w:r>
      <w:r>
        <w:t xml:space="preserve"> </w:t>
      </w:r>
      <w:r w:rsidR="00FF5235">
        <w:t>et al.</w:t>
      </w:r>
      <w:r>
        <w:t xml:space="preserve"> (1975) provide the incentives to disclose voluntary information. Because public provide legitimacy to the company. The company should act in a way that they deserve the legitimacy. </w:t>
      </w:r>
      <w:r w:rsidR="00DC54DE">
        <w:t xml:space="preserve">Voluntary disclosures </w:t>
      </w:r>
      <w:r w:rsidR="00DC54DE">
        <w:lastRenderedPageBreak/>
        <w:t>are</w:t>
      </w:r>
      <w:r>
        <w:t xml:space="preserve"> </w:t>
      </w:r>
      <w:r w:rsidR="006018CF">
        <w:t xml:space="preserve">a </w:t>
      </w:r>
      <w:r>
        <w:t xml:space="preserve">way to become legitimate. Argued by Dowling </w:t>
      </w:r>
      <w:r w:rsidR="00FF5235">
        <w:t>et al.</w:t>
      </w:r>
      <w:r w:rsidR="00D203EA">
        <w:t xml:space="preserve"> (1975),</w:t>
      </w:r>
      <w:r>
        <w:t xml:space="preserve"> through communicating, the company can define the taken legitimacy operations. The public </w:t>
      </w:r>
      <w:r w:rsidR="00D203EA">
        <w:t xml:space="preserve">observes </w:t>
      </w:r>
      <w:r>
        <w:t>the information from the voluntary disclosure and provide</w:t>
      </w:r>
      <w:r w:rsidR="00D203EA">
        <w:t>s</w:t>
      </w:r>
      <w:r>
        <w:t xml:space="preserve"> legitimacy. </w:t>
      </w:r>
    </w:p>
    <w:p w:rsidR="00631FDC" w:rsidRDefault="00631FDC" w:rsidP="00452989">
      <w:pPr>
        <w:spacing w:line="360" w:lineRule="auto"/>
        <w:jc w:val="both"/>
        <w:rPr>
          <w:b/>
        </w:rPr>
      </w:pPr>
    </w:p>
    <w:p w:rsidR="00631FDC" w:rsidRPr="004A079B" w:rsidRDefault="00631FDC" w:rsidP="00452989">
      <w:pPr>
        <w:pStyle w:val="Heading3"/>
        <w:spacing w:line="360" w:lineRule="auto"/>
        <w:jc w:val="both"/>
        <w:rPr>
          <w:color w:val="auto"/>
        </w:rPr>
      </w:pPr>
      <w:bookmarkStart w:id="32" w:name="_Toc299353375"/>
      <w:r>
        <w:rPr>
          <w:color w:val="auto"/>
        </w:rPr>
        <w:t xml:space="preserve">2.3.4 </w:t>
      </w:r>
      <w:r w:rsidRPr="004A079B">
        <w:rPr>
          <w:color w:val="auto"/>
        </w:rPr>
        <w:t>Stakeholder theory</w:t>
      </w:r>
      <w:bookmarkEnd w:id="32"/>
    </w:p>
    <w:p w:rsidR="00631FDC" w:rsidRPr="00F00CDC" w:rsidRDefault="00631FDC" w:rsidP="00452989">
      <w:pPr>
        <w:spacing w:line="360" w:lineRule="auto"/>
        <w:jc w:val="both"/>
      </w:pPr>
      <w:r w:rsidRPr="00F00CDC">
        <w:t xml:space="preserve">The stakeholder theory </w:t>
      </w:r>
      <w:r>
        <w:t>has some similarities with the legitimacy theory. For understanding</w:t>
      </w:r>
      <w:r w:rsidR="006018CF">
        <w:t xml:space="preserve"> both theories there</w:t>
      </w:r>
      <w:r>
        <w:t xml:space="preserve"> should be taken into account that</w:t>
      </w:r>
      <w:r w:rsidR="006018CF">
        <w:t xml:space="preserve"> the company operates in the entire</w:t>
      </w:r>
      <w:r>
        <w:t xml:space="preserve"> society. The company has to deal with different stakeholder powers </w:t>
      </w:r>
      <w:r w:rsidR="00DC54DE">
        <w:t>concerns</w:t>
      </w:r>
      <w:r>
        <w:t xml:space="preserve">. Argued by Deegan and </w:t>
      </w:r>
      <w:r w:rsidR="00DC54DE">
        <w:t>Unerman</w:t>
      </w:r>
      <w:r>
        <w:t xml:space="preserve"> (2006), the stakeholder theory can be distinguished into the ethical branch and the managerial branch. </w:t>
      </w:r>
    </w:p>
    <w:p w:rsidR="00631FDC" w:rsidRDefault="00631FDC" w:rsidP="00452989">
      <w:pPr>
        <w:spacing w:line="360" w:lineRule="auto"/>
        <w:jc w:val="both"/>
      </w:pPr>
      <w:r>
        <w:t>From an ethical point of view, all stakeholders should be treated equal. All stakeholde</w:t>
      </w:r>
      <w:r w:rsidR="006018CF">
        <w:t xml:space="preserve">rs have the same rights and no </w:t>
      </w:r>
      <w:r>
        <w:t xml:space="preserve">difference </w:t>
      </w:r>
      <w:r w:rsidR="006018CF">
        <w:t>in stakeholder power should exist</w:t>
      </w:r>
      <w:r>
        <w:t xml:space="preserve">. The rights of the stakeholders should not be violated. This result that all stakeholders should be informed about the impact of the company on their </w:t>
      </w:r>
      <w:r w:rsidR="006018CF">
        <w:t xml:space="preserve">individual </w:t>
      </w:r>
      <w:r>
        <w:t xml:space="preserve">concerns. (Deegan </w:t>
      </w:r>
      <w:r w:rsidR="00D203EA">
        <w:t>et al.,</w:t>
      </w:r>
      <w:r>
        <w:t xml:space="preserve"> 2006)</w:t>
      </w:r>
    </w:p>
    <w:p w:rsidR="00631FDC" w:rsidRDefault="00631FDC" w:rsidP="00452989">
      <w:pPr>
        <w:spacing w:line="360" w:lineRule="auto"/>
        <w:jc w:val="both"/>
      </w:pPr>
      <w:r>
        <w:t>The managerial branch of</w:t>
      </w:r>
      <w:r w:rsidR="00FD3330">
        <w:t xml:space="preserve"> stakeholder </w:t>
      </w:r>
      <w:r w:rsidR="00DC54DE">
        <w:t>theory</w:t>
      </w:r>
      <w:r w:rsidR="00FD3330">
        <w:t xml:space="preserve"> emphasizes </w:t>
      </w:r>
      <w:r>
        <w:t>different stakeholder groups. The different groups should be managed in different ways, this suggest that not all stakeholders should be treated equally. Demands of powerful stakeholders are rather meet than less powerful stakeholders. This is conformity with the</w:t>
      </w:r>
      <w:r w:rsidR="00D203EA">
        <w:t xml:space="preserve"> study of</w:t>
      </w:r>
      <w:r>
        <w:t xml:space="preserve"> Ullman (1985) which argues that </w:t>
      </w:r>
      <w:r w:rsidR="00DC54DE">
        <w:t>stakeholders’</w:t>
      </w:r>
      <w:r>
        <w:t xml:space="preserve"> power to influence the company is dependent on the </w:t>
      </w:r>
      <w:r w:rsidR="00DC54DE">
        <w:t>stakeholders’</w:t>
      </w:r>
      <w:r>
        <w:t xml:space="preserve"> possibility to control over required resources of the company</w:t>
      </w:r>
      <w:r w:rsidR="00D203EA">
        <w:t xml:space="preserve">. </w:t>
      </w:r>
      <w:r>
        <w:t xml:space="preserve">This implies that stakeholders which have much power over the </w:t>
      </w:r>
      <w:r w:rsidR="00DC54DE">
        <w:t>company</w:t>
      </w:r>
      <w:r>
        <w:t xml:space="preserve"> also have more influences on the company. </w:t>
      </w:r>
    </w:p>
    <w:p w:rsidR="00631FDC" w:rsidRDefault="00631FDC" w:rsidP="00452989">
      <w:pPr>
        <w:spacing w:line="360" w:lineRule="auto"/>
        <w:jc w:val="both"/>
      </w:pPr>
      <w:r>
        <w:t xml:space="preserve">In a recent study of Huang </w:t>
      </w:r>
      <w:r w:rsidR="0001438A">
        <w:t>et al.</w:t>
      </w:r>
      <w:r>
        <w:t xml:space="preserve"> (2010) the drivers for environmental disclosures are investigated in Taiwan. There is made a distinction into internal and external </w:t>
      </w:r>
      <w:r w:rsidR="006018CF">
        <w:t xml:space="preserve">stakeholders. </w:t>
      </w:r>
      <w:r>
        <w:rPr>
          <w:color w:val="FF0000"/>
        </w:rPr>
        <w:t xml:space="preserve"> </w:t>
      </w:r>
      <w:r>
        <w:t>There is</w:t>
      </w:r>
      <w:r w:rsidR="006018CF">
        <w:t xml:space="preserve"> found evidence that external stakehold</w:t>
      </w:r>
      <w:r>
        <w:t xml:space="preserve">ers have a larger power in environmental disclosures. Internal </w:t>
      </w:r>
      <w:r w:rsidR="005A5A7F">
        <w:t>stakeholders</w:t>
      </w:r>
      <w:r>
        <w:t xml:space="preserve"> provide additional pressure to the e</w:t>
      </w:r>
      <w:r w:rsidR="005A5A7F">
        <w:t>nvironmental disclosure</w:t>
      </w:r>
      <w:r>
        <w:t xml:space="preserve">. Huang </w:t>
      </w:r>
      <w:r w:rsidR="00D203EA">
        <w:t>and Kung</w:t>
      </w:r>
      <w:r>
        <w:t xml:space="preserve"> (2010) argue that larger companies and companies that in the past harmed the environment observe more pressure from government to disclose environmental information. They </w:t>
      </w:r>
      <w:r w:rsidR="00DC54DE">
        <w:t>suggest</w:t>
      </w:r>
      <w:r>
        <w:t xml:space="preserve"> companies that harmed the environment in the past, should improve their legitimacy.</w:t>
      </w:r>
      <w:r w:rsidR="005A5A7F">
        <w:t xml:space="preserve"> In this study is also claimed that l</w:t>
      </w:r>
      <w:r>
        <w:t xml:space="preserve">arger companies facing more impact of </w:t>
      </w:r>
      <w:r w:rsidR="005A5A7F">
        <w:t>stakeholder</w:t>
      </w:r>
      <w:r>
        <w:t xml:space="preserve">s, on environmental disclosures. </w:t>
      </w:r>
      <w:r w:rsidR="005A5A7F">
        <w:t xml:space="preserve">The final conclusion of this </w:t>
      </w:r>
      <w:r w:rsidR="00A6560A">
        <w:t>study is</w:t>
      </w:r>
      <w:r>
        <w:t xml:space="preserve"> that, stakeholders put an important pressure on management to disclose environmental related information.</w:t>
      </w:r>
    </w:p>
    <w:p w:rsidR="00631FDC" w:rsidRDefault="00631FDC" w:rsidP="00452989">
      <w:pPr>
        <w:pStyle w:val="Heading3"/>
        <w:spacing w:line="360" w:lineRule="auto"/>
        <w:jc w:val="both"/>
        <w:rPr>
          <w:color w:val="auto"/>
        </w:rPr>
      </w:pPr>
      <w:bookmarkStart w:id="33" w:name="_Toc299353376"/>
      <w:r>
        <w:rPr>
          <w:color w:val="auto"/>
        </w:rPr>
        <w:lastRenderedPageBreak/>
        <w:t>2.3</w:t>
      </w:r>
      <w:r w:rsidRPr="00C937E9">
        <w:rPr>
          <w:color w:val="auto"/>
        </w:rPr>
        <w:t>.</w:t>
      </w:r>
      <w:r>
        <w:rPr>
          <w:color w:val="auto"/>
        </w:rPr>
        <w:t>5</w:t>
      </w:r>
      <w:r w:rsidRPr="00C937E9">
        <w:rPr>
          <w:color w:val="auto"/>
        </w:rPr>
        <w:t xml:space="preserve"> Summary Voluntary Disclosures</w:t>
      </w:r>
      <w:r>
        <w:rPr>
          <w:color w:val="auto"/>
        </w:rPr>
        <w:t xml:space="preserve"> and Positive Accounting Theory</w:t>
      </w:r>
      <w:bookmarkEnd w:id="33"/>
    </w:p>
    <w:p w:rsidR="00631FDC" w:rsidRDefault="00631FDC" w:rsidP="00452989">
      <w:pPr>
        <w:spacing w:line="360" w:lineRule="auto"/>
        <w:jc w:val="both"/>
      </w:pPr>
      <w:r>
        <w:t>In this paragraph the positive accounting theory is explained. The positive accounting theory explains and predicts company’s behavior. The agency problem</w:t>
      </w:r>
      <w:r w:rsidR="00554D37">
        <w:t xml:space="preserve"> explains</w:t>
      </w:r>
      <w:r>
        <w:t xml:space="preserve"> that management and stakeholders behave out of t</w:t>
      </w:r>
      <w:r w:rsidR="00554D37">
        <w:t xml:space="preserve">heir self interest incentives. This problem predicts that managers and stakeholders make decisions in favor of their self interest. A </w:t>
      </w:r>
      <w:r w:rsidR="00AE28ED">
        <w:t xml:space="preserve">voluntary disclosure is a tool to </w:t>
      </w:r>
      <w:r w:rsidR="00DC54DE">
        <w:t>reduce</w:t>
      </w:r>
      <w:r>
        <w:t xml:space="preserve"> the agency problem. In the disclosed information, the behavior of management is visible</w:t>
      </w:r>
      <w:r w:rsidR="00AE28ED">
        <w:t xml:space="preserve">. </w:t>
      </w:r>
      <w:r w:rsidR="00554D37">
        <w:t>The information asymmetry is also redu</w:t>
      </w:r>
      <w:r w:rsidR="00AE28ED">
        <w:t>ced by voluntary disclosures</w:t>
      </w:r>
      <w:r w:rsidR="00590058">
        <w:t xml:space="preserve">. The level of information asymmetry reflects the gap between information of the company hold by managers and stakeholders. </w:t>
      </w:r>
      <w:r w:rsidR="00AE28ED">
        <w:t>After a disclosure</w:t>
      </w:r>
      <w:r w:rsidR="00A6560A">
        <w:t>,</w:t>
      </w:r>
      <w:r w:rsidR="00590058">
        <w:t xml:space="preserve"> more information becomes available to stakeholders, this reduces the information asymmetry.</w:t>
      </w:r>
    </w:p>
    <w:p w:rsidR="00631FDC" w:rsidRDefault="00631FDC" w:rsidP="00452989">
      <w:pPr>
        <w:spacing w:line="360" w:lineRule="auto"/>
        <w:jc w:val="both"/>
      </w:pPr>
      <w:r>
        <w:t xml:space="preserve">The legitimacy theory explains that company made </w:t>
      </w:r>
      <w:r w:rsidR="00A6560A">
        <w:t xml:space="preserve">decisions to favor </w:t>
      </w:r>
      <w:r>
        <w:t>society. Companies obtain power from society, when they abuse this they will lose power. So this implies the fact that companies made decision to legitimate each self. CSR di</w:t>
      </w:r>
      <w:r w:rsidR="00A6560A">
        <w:t xml:space="preserve">sclosure is used to achieve </w:t>
      </w:r>
      <w:r w:rsidR="00AE28ED">
        <w:t xml:space="preserve">legitimacy, </w:t>
      </w:r>
      <w:r>
        <w:t>a CSR report provides more ope</w:t>
      </w:r>
      <w:r w:rsidR="00590058">
        <w:t xml:space="preserve">nness in the CSR activities of the company. The society will judge the company in a positive way, when </w:t>
      </w:r>
      <w:r w:rsidR="00A6560A">
        <w:t xml:space="preserve">CSR information is provided. </w:t>
      </w:r>
    </w:p>
    <w:p w:rsidR="00631FDC" w:rsidRDefault="00631FDC" w:rsidP="00452989">
      <w:pPr>
        <w:spacing w:line="360" w:lineRule="auto"/>
        <w:jc w:val="both"/>
      </w:pPr>
      <w:r>
        <w:t>At least the stakeholder theory explains that company is influenced by some stakeholders.</w:t>
      </w:r>
      <w:r w:rsidR="00590058">
        <w:t xml:space="preserve"> Two types of branch of the stakeholder theory exist. The ethical branch explains that all stakeholders should be treated equal independent of their power. But the managerial branch explains that differences exist in the power of stakeholders to influence the company. </w:t>
      </w:r>
      <w:r w:rsidR="00970A62">
        <w:t xml:space="preserve">But the main message of the stakeholder theory is that different stakeholder groups have different demands. The company pays attention to all different demands of stakeholders. Every company has stakeholders which are interested in the CSR performances. The demand of </w:t>
      </w:r>
      <w:r w:rsidR="00DC54DE">
        <w:t>these stakeholders</w:t>
      </w:r>
      <w:r w:rsidR="00970A62">
        <w:t xml:space="preserve"> is met when, a CSR report is disclosed with information about CSR performances. </w:t>
      </w:r>
    </w:p>
    <w:p w:rsidR="00631FDC" w:rsidRDefault="00631FDC" w:rsidP="00452989">
      <w:pPr>
        <w:spacing w:line="360" w:lineRule="auto"/>
        <w:jc w:val="both"/>
      </w:pPr>
    </w:p>
    <w:p w:rsidR="00C27D1E" w:rsidRDefault="00C27D1E" w:rsidP="00452989">
      <w:pPr>
        <w:spacing w:line="360" w:lineRule="auto"/>
        <w:jc w:val="both"/>
      </w:pPr>
    </w:p>
    <w:p w:rsidR="00C27D1E" w:rsidRDefault="00C27D1E" w:rsidP="00452989">
      <w:pPr>
        <w:spacing w:line="360" w:lineRule="auto"/>
        <w:jc w:val="both"/>
      </w:pPr>
    </w:p>
    <w:p w:rsidR="00C27D1E" w:rsidRDefault="00C27D1E" w:rsidP="00452989">
      <w:pPr>
        <w:spacing w:line="360" w:lineRule="auto"/>
        <w:jc w:val="both"/>
      </w:pPr>
    </w:p>
    <w:p w:rsidR="00C27D1E" w:rsidRDefault="00C27D1E" w:rsidP="00452989">
      <w:pPr>
        <w:spacing w:line="360" w:lineRule="auto"/>
        <w:jc w:val="both"/>
      </w:pPr>
    </w:p>
    <w:p w:rsidR="00631FDC" w:rsidRDefault="00631FDC" w:rsidP="00452989">
      <w:pPr>
        <w:pStyle w:val="Heading1"/>
        <w:spacing w:line="360" w:lineRule="auto"/>
        <w:jc w:val="both"/>
        <w:rPr>
          <w:u w:val="single"/>
        </w:rPr>
      </w:pPr>
      <w:bookmarkStart w:id="34" w:name="_Toc299353377"/>
      <w:r>
        <w:rPr>
          <w:u w:val="single"/>
        </w:rPr>
        <w:lastRenderedPageBreak/>
        <w:t>Chapter 3 Literature Review</w:t>
      </w:r>
      <w:bookmarkEnd w:id="34"/>
    </w:p>
    <w:p w:rsidR="00631FDC" w:rsidRDefault="00A6560A" w:rsidP="00452989">
      <w:pPr>
        <w:spacing w:line="360" w:lineRule="auto"/>
        <w:jc w:val="both"/>
      </w:pPr>
      <w:r>
        <w:t>Before a CSR report is provided, managers first choose to implement a</w:t>
      </w:r>
      <w:r w:rsidR="00631FDC">
        <w:t xml:space="preserve"> CSR strategy in the company. When the strategy is operative, </w:t>
      </w:r>
      <w:r w:rsidR="00AE28ED">
        <w:t>the CSR performances</w:t>
      </w:r>
      <w:r>
        <w:t xml:space="preserve"> and other relevant CSR information </w:t>
      </w:r>
      <w:r w:rsidR="00631FDC">
        <w:t xml:space="preserve">can be summarized in a CSR report. </w:t>
      </w:r>
      <w:r>
        <w:t>By the provided</w:t>
      </w:r>
      <w:r w:rsidR="00631FDC">
        <w:t xml:space="preserve"> CSR report, stakeholders get an inside view of the rela</w:t>
      </w:r>
      <w:r w:rsidR="00AE28ED">
        <w:t>ted CSR activities and results.</w:t>
      </w:r>
      <w:r w:rsidR="00631FDC">
        <w:t xml:space="preserve"> </w:t>
      </w:r>
      <w:r w:rsidR="00970A62">
        <w:t xml:space="preserve">But why do managers choose to </w:t>
      </w:r>
      <w:r w:rsidR="002369A6">
        <w:t xml:space="preserve">implement a CSR strategy and to </w:t>
      </w:r>
      <w:r w:rsidR="00970A62">
        <w:t xml:space="preserve">disclose a CSR report? The </w:t>
      </w:r>
      <w:r w:rsidR="00DC54DE">
        <w:t>reasons of providing information about CSR activities and results are</w:t>
      </w:r>
      <w:r w:rsidR="00970A62">
        <w:t xml:space="preserve"> import</w:t>
      </w:r>
      <w:r w:rsidR="002369A6">
        <w:t xml:space="preserve">ant to know. Also the impact of CSR reporting is interesting. Using prior research, the incentives and impacts of CSR reporting is discussed in this chapter. </w:t>
      </w:r>
    </w:p>
    <w:p w:rsidR="00631FDC" w:rsidRDefault="00AE28ED" w:rsidP="00452989">
      <w:pPr>
        <w:spacing w:line="360" w:lineRule="auto"/>
        <w:jc w:val="both"/>
      </w:pPr>
      <w:r>
        <w:t xml:space="preserve">In the first paragraph </w:t>
      </w:r>
      <w:r w:rsidR="00631FDC">
        <w:t xml:space="preserve">the incentives of management to implement CSR in the </w:t>
      </w:r>
      <w:r w:rsidR="00DC54DE">
        <w:t>organization</w:t>
      </w:r>
      <w:r w:rsidR="00631FDC">
        <w:t xml:space="preserve"> are give</w:t>
      </w:r>
      <w:r>
        <w:t>n. The remainder of the chapter</w:t>
      </w:r>
      <w:r w:rsidR="00631FDC">
        <w:t xml:space="preserve"> provides an overview of existing literature, related to the impact of CSR disclosures. First the impact on the forecast error is discussed. Afterwards, literature related to the impact on the public sentimen</w:t>
      </w:r>
      <w:r>
        <w:t>t is described. Finally,</w:t>
      </w:r>
      <w:r w:rsidR="00631FDC">
        <w:t xml:space="preserve"> the influences on the financial performances are discussed.</w:t>
      </w:r>
    </w:p>
    <w:p w:rsidR="00631FDC" w:rsidRDefault="00631FDC" w:rsidP="00452989">
      <w:pPr>
        <w:spacing w:line="360" w:lineRule="auto"/>
        <w:jc w:val="both"/>
        <w:rPr>
          <w:color w:val="FF0000"/>
        </w:rPr>
      </w:pPr>
    </w:p>
    <w:p w:rsidR="00631FDC" w:rsidRPr="007E5E25" w:rsidRDefault="00631FDC" w:rsidP="00452989">
      <w:pPr>
        <w:pStyle w:val="Heading2"/>
        <w:spacing w:line="360" w:lineRule="auto"/>
        <w:jc w:val="both"/>
      </w:pPr>
      <w:bookmarkStart w:id="35" w:name="_Toc288201496"/>
      <w:bookmarkStart w:id="36" w:name="_Toc299353378"/>
      <w:r>
        <w:t xml:space="preserve">3.1 </w:t>
      </w:r>
      <w:r w:rsidRPr="00CD4BC7">
        <w:t>Incentives of Corporate Social Responsibility</w:t>
      </w:r>
      <w:r>
        <w:t xml:space="preserve"> strategy and report</w:t>
      </w:r>
      <w:bookmarkEnd w:id="35"/>
      <w:r w:rsidR="00467E1F">
        <w:t>ing</w:t>
      </w:r>
      <w:bookmarkEnd w:id="36"/>
    </w:p>
    <w:p w:rsidR="00631FDC" w:rsidRDefault="00631FDC" w:rsidP="00452989">
      <w:pPr>
        <w:spacing w:line="360" w:lineRule="auto"/>
        <w:jc w:val="both"/>
      </w:pPr>
      <w:r>
        <w:t xml:space="preserve">A </w:t>
      </w:r>
      <w:r w:rsidRPr="00185090">
        <w:t xml:space="preserve">CSR </w:t>
      </w:r>
      <w:r>
        <w:t xml:space="preserve">strategy </w:t>
      </w:r>
      <w:r w:rsidRPr="00185090">
        <w:t>leads to a</w:t>
      </w:r>
      <w:r>
        <w:t>nother focus of the company, the triple P-strategy has an important role in here.</w:t>
      </w:r>
      <w:r w:rsidRPr="00185090">
        <w:t xml:space="preserve"> </w:t>
      </w:r>
      <w:r>
        <w:t>CSR can be a way for implementing the triple P-strategy into the organization. Stakeholders are important parties for the implementation of</w:t>
      </w:r>
      <w:r w:rsidR="00467E1F">
        <w:t xml:space="preserve"> the CSR strategy, this is discussed in the part about the incentives of the CSR strategy implementation. The CSR reporting incentives are also discussed in this part. The final </w:t>
      </w:r>
      <w:r w:rsidR="00DC54DE">
        <w:t>part of this paragraph provides</w:t>
      </w:r>
      <w:r w:rsidR="00467E1F">
        <w:t xml:space="preserve"> a description of the implementation of the CSR strategy and the CSR report.</w:t>
      </w:r>
      <w:r w:rsidR="004C7AD8">
        <w:t xml:space="preserve"> </w:t>
      </w:r>
    </w:p>
    <w:p w:rsidR="00631FDC" w:rsidRDefault="00631FDC" w:rsidP="00452989">
      <w:pPr>
        <w:spacing w:line="360" w:lineRule="auto"/>
        <w:jc w:val="both"/>
      </w:pPr>
    </w:p>
    <w:p w:rsidR="00631FDC" w:rsidRDefault="009855E9" w:rsidP="00452989">
      <w:pPr>
        <w:pStyle w:val="Heading3"/>
        <w:spacing w:line="360" w:lineRule="auto"/>
        <w:jc w:val="both"/>
        <w:rPr>
          <w:color w:val="auto"/>
        </w:rPr>
      </w:pPr>
      <w:bookmarkStart w:id="37" w:name="_Toc299353379"/>
      <w:r>
        <w:rPr>
          <w:color w:val="auto"/>
        </w:rPr>
        <w:t>3.1.1</w:t>
      </w:r>
      <w:r w:rsidR="00631FDC" w:rsidRPr="00DF53CA">
        <w:rPr>
          <w:color w:val="auto"/>
        </w:rPr>
        <w:t xml:space="preserve"> Corporate Social Responsibility strategy and </w:t>
      </w:r>
      <w:bookmarkEnd w:id="37"/>
      <w:r w:rsidR="00DC54DE" w:rsidRPr="00DF53CA">
        <w:rPr>
          <w:color w:val="auto"/>
        </w:rPr>
        <w:t>report</w:t>
      </w:r>
      <w:r w:rsidR="00DC54DE">
        <w:rPr>
          <w:color w:val="auto"/>
        </w:rPr>
        <w:t xml:space="preserve">ing </w:t>
      </w:r>
      <w:r w:rsidR="00DC54DE" w:rsidRPr="00DF53CA">
        <w:rPr>
          <w:color w:val="auto"/>
        </w:rPr>
        <w:t>incentives</w:t>
      </w:r>
    </w:p>
    <w:p w:rsidR="009855E9" w:rsidRPr="009855E9" w:rsidRDefault="009855E9" w:rsidP="00452989">
      <w:pPr>
        <w:spacing w:line="360" w:lineRule="auto"/>
        <w:jc w:val="both"/>
      </w:pPr>
      <w:r w:rsidRPr="006425A1">
        <w:t>The triple P-st</w:t>
      </w:r>
      <w:r>
        <w:t>rategy is a strategy performed by commercial</w:t>
      </w:r>
      <w:r w:rsidRPr="006425A1">
        <w:t xml:space="preserve"> companies, to have more focus on the social and environmental sides of the firm.</w:t>
      </w:r>
      <w:r>
        <w:t xml:space="preserve"> This triple-P strategy is an aspect of CSR.</w:t>
      </w:r>
      <w:r w:rsidRPr="006425A1">
        <w:t xml:space="preserve"> The triple-P is coming from, People, Planet, Profit. </w:t>
      </w:r>
      <w:r>
        <w:t>Quaak et al. (200</w:t>
      </w:r>
      <w:r w:rsidR="00AE28ED">
        <w:t xml:space="preserve">6) </w:t>
      </w:r>
      <w:r>
        <w:t>argue</w:t>
      </w:r>
      <w:r w:rsidR="00AE28ED">
        <w:t>d</w:t>
      </w:r>
      <w:r>
        <w:t xml:space="preserve"> that this triple-P strategy is value creating by the company,</w:t>
      </w:r>
      <w:r w:rsidRPr="006425A1">
        <w:t xml:space="preserve"> not only value creating in terms of profit but value creating for society and environment too. </w:t>
      </w:r>
      <w:r>
        <w:t>This value creating comes from the possibility that, a cost reduction can occur when foc</w:t>
      </w:r>
      <w:r w:rsidRPr="006425A1">
        <w:t xml:space="preserve">using on the society and the environment, but this cost reduction is not necessary the case. Conceivable cost </w:t>
      </w:r>
      <w:r w:rsidR="00DC54DE" w:rsidRPr="006425A1">
        <w:lastRenderedPageBreak/>
        <w:t>reduction is</w:t>
      </w:r>
      <w:r w:rsidRPr="006425A1">
        <w:t xml:space="preserve"> decreases in potential litigation and</w:t>
      </w:r>
      <w:r>
        <w:t xml:space="preserve"> pollution costs. M</w:t>
      </w:r>
      <w:r w:rsidRPr="006425A1">
        <w:t xml:space="preserve">ore practical cost </w:t>
      </w:r>
      <w:r w:rsidR="00DC54DE" w:rsidRPr="006425A1">
        <w:t>reduction is</w:t>
      </w:r>
      <w:r w:rsidRPr="006425A1">
        <w:t xml:space="preserve"> savings due to efficient paper use. The view of the company how finally the triple P-strategy should be implemented in the organization is dependent on stakeholders. All stakeholders have different concerns with the company</w:t>
      </w:r>
      <w:r>
        <w:t xml:space="preserve"> (Quaak et al., 2006).</w:t>
      </w:r>
    </w:p>
    <w:p w:rsidR="00631FDC" w:rsidRDefault="00631FDC" w:rsidP="00452989">
      <w:pPr>
        <w:spacing w:line="360" w:lineRule="auto"/>
        <w:jc w:val="both"/>
      </w:pPr>
      <w:r>
        <w:t xml:space="preserve">For providing more transparency, companies should answer the demand </w:t>
      </w:r>
      <w:r w:rsidR="009855E9">
        <w:t xml:space="preserve">of CSR related information from </w:t>
      </w:r>
      <w:r>
        <w:t>stakeholders</w:t>
      </w:r>
      <w:r w:rsidR="009855E9">
        <w:t>.</w:t>
      </w:r>
      <w:r>
        <w:t xml:space="preserve"> Dawkins </w:t>
      </w:r>
      <w:r w:rsidR="009A53AB">
        <w:t>et al.</w:t>
      </w:r>
      <w:r w:rsidRPr="003761E1">
        <w:t xml:space="preserve"> (2003) suggest</w:t>
      </w:r>
      <w:r>
        <w:t xml:space="preserve"> that stakeholders are asking for more openness regarding CSR related performances. </w:t>
      </w:r>
      <w:r w:rsidR="009855E9">
        <w:t>The company is able</w:t>
      </w:r>
      <w:r>
        <w:t xml:space="preserve"> to inform </w:t>
      </w:r>
      <w:r w:rsidR="006F4DCC">
        <w:t>stakeholders o</w:t>
      </w:r>
      <w:r>
        <w:t>n different ways. The CSR report is one way</w:t>
      </w:r>
      <w:r w:rsidR="009855E9">
        <w:t>, to make CSR information</w:t>
      </w:r>
      <w:r>
        <w:t xml:space="preserve"> available for public</w:t>
      </w:r>
      <w:r w:rsidR="009855E9">
        <w:t>.</w:t>
      </w:r>
      <w:r>
        <w:t xml:space="preserve"> The CSR report improves the transparency of the company (Quaak et al., 2006). The CSR report </w:t>
      </w:r>
      <w:r w:rsidR="009855E9">
        <w:t>is part of the</w:t>
      </w:r>
      <w:r>
        <w:t xml:space="preserve"> CSR strategy.</w:t>
      </w:r>
      <w:r w:rsidR="009855E9">
        <w:t xml:space="preserve"> Determined on the CSR strategy</w:t>
      </w:r>
      <w:r w:rsidR="006F4DCC">
        <w:t>,</w:t>
      </w:r>
      <w:r w:rsidR="004C7AD8">
        <w:t xml:space="preserve"> management </w:t>
      </w:r>
      <w:r w:rsidR="00DC54DE">
        <w:t>decides</w:t>
      </w:r>
      <w:r w:rsidR="004C7AD8">
        <w:t xml:space="preserve"> whether or not to provide</w:t>
      </w:r>
      <w:r w:rsidR="009855E9">
        <w:t xml:space="preserve"> CSR information</w:t>
      </w:r>
      <w:r w:rsidR="006F4DCC">
        <w:t xml:space="preserve"> in a CSR report.</w:t>
      </w:r>
    </w:p>
    <w:p w:rsidR="00631FDC" w:rsidRDefault="00631FDC" w:rsidP="00452989">
      <w:pPr>
        <w:spacing w:line="360" w:lineRule="auto"/>
        <w:jc w:val="both"/>
      </w:pPr>
      <w:r>
        <w:t>As before already was mentioned</w:t>
      </w:r>
      <w:r w:rsidR="009855E9">
        <w:t xml:space="preserve">, </w:t>
      </w:r>
      <w:r>
        <w:t>stakeholders put pressure on the company</w:t>
      </w:r>
      <w:r w:rsidR="00DC5273">
        <w:t>. The CSR strategy (and thus the CSR reporting) is influenced by stakeholders.</w:t>
      </w:r>
      <w:r>
        <w:t xml:space="preserve"> But not only st</w:t>
      </w:r>
      <w:r w:rsidR="00DC5273">
        <w:t>akeholders have an impact on the CSR strategy</w:t>
      </w:r>
      <w:r w:rsidR="006F4DCC">
        <w:t xml:space="preserve">. </w:t>
      </w:r>
      <w:r>
        <w:t>In the st</w:t>
      </w:r>
      <w:r w:rsidR="002E5331">
        <w:t>udy of Quaak et al. (2006) different</w:t>
      </w:r>
      <w:r>
        <w:t xml:space="preserve"> influences</w:t>
      </w:r>
      <w:r w:rsidR="002E5331">
        <w:t xml:space="preserve"> on CSR strategy</w:t>
      </w:r>
      <w:r>
        <w:t xml:space="preserve"> are summarized. There is made a distinction between internal and external influences. Internal influences are </w:t>
      </w:r>
      <w:r w:rsidR="004C7AD8">
        <w:t>coming from inside the company.</w:t>
      </w:r>
      <w:r>
        <w:t xml:space="preserve"> Internal influences are further divided into actors and factors. Actors are person or </w:t>
      </w:r>
      <w:r w:rsidR="00DC54DE">
        <w:t>people which are</w:t>
      </w:r>
      <w:r>
        <w:t xml:space="preserve"> organized in groups within the company.</w:t>
      </w:r>
      <w:r w:rsidRPr="00602535">
        <w:t xml:space="preserve"> This persons</w:t>
      </w:r>
      <w:r>
        <w:t xml:space="preserve"> or groups</w:t>
      </w:r>
      <w:r w:rsidRPr="00602535">
        <w:t xml:space="preserve"> have the power to determine and influence th</w:t>
      </w:r>
      <w:r>
        <w:t xml:space="preserve">e CSR </w:t>
      </w:r>
      <w:r w:rsidR="002E5331">
        <w:t>strategy</w:t>
      </w:r>
      <w:r>
        <w:t xml:space="preserve">. </w:t>
      </w:r>
      <w:r w:rsidR="004C7AD8">
        <w:t>The internal factors</w:t>
      </w:r>
      <w:r>
        <w:t xml:space="preserve"> are not person or organized person, but are elements within the company and have an effect on the CSR </w:t>
      </w:r>
      <w:r w:rsidR="002E5331">
        <w:t>strategy</w:t>
      </w:r>
      <w:r>
        <w:t xml:space="preserve">. </w:t>
      </w:r>
      <w:r w:rsidRPr="008E7AFF">
        <w:t>Outside influences are only coming from people or organized people</w:t>
      </w:r>
      <w:r>
        <w:t xml:space="preserve">, no factors from outside influences the CSR </w:t>
      </w:r>
      <w:r w:rsidR="002E5331">
        <w:t>strategy</w:t>
      </w:r>
      <w:r w:rsidRPr="0039532E">
        <w:t>.</w:t>
      </w:r>
      <w:r>
        <w:rPr>
          <w:color w:val="FF0000"/>
        </w:rPr>
        <w:t xml:space="preserve"> </w:t>
      </w:r>
      <w:r w:rsidRPr="00602535">
        <w:t xml:space="preserve">These people can make use of their power to influence </w:t>
      </w:r>
      <w:r w:rsidR="002E5331">
        <w:t>managements’ decisions about CSR strategy</w:t>
      </w:r>
      <w:r w:rsidRPr="00602535">
        <w:t>.</w:t>
      </w:r>
      <w:r>
        <w:t xml:space="preserve"> </w:t>
      </w:r>
      <w:r w:rsidR="002E5331">
        <w:t xml:space="preserve">Since CSR </w:t>
      </w:r>
      <w:r w:rsidR="00DC54DE">
        <w:t>reporting is</w:t>
      </w:r>
      <w:r w:rsidR="002E5331">
        <w:t xml:space="preserve"> part of the CSR strategy, internal and external actors and </w:t>
      </w:r>
      <w:r w:rsidR="00A6354C">
        <w:t>internal factors are influencing CSR reporting. Below in table 1</w:t>
      </w:r>
      <w:r w:rsidRPr="00602535">
        <w:t xml:space="preserve"> the internal and external influences are stated</w:t>
      </w:r>
      <w:r w:rsidR="006F4DCC">
        <w:t xml:space="preserve">. </w:t>
      </w:r>
    </w:p>
    <w:p w:rsidR="00631FDC" w:rsidRDefault="00631FDC" w:rsidP="00452989">
      <w:pPr>
        <w:spacing w:line="360" w:lineRule="auto"/>
        <w:jc w:val="both"/>
        <w:rPr>
          <w:sz w:val="20"/>
          <w:szCs w:val="20"/>
        </w:rPr>
      </w:pPr>
    </w:p>
    <w:p w:rsidR="006F4DCC" w:rsidRDefault="006F4DCC" w:rsidP="00452989">
      <w:pPr>
        <w:spacing w:line="360" w:lineRule="auto"/>
        <w:jc w:val="both"/>
        <w:rPr>
          <w:sz w:val="20"/>
          <w:szCs w:val="20"/>
        </w:rPr>
      </w:pPr>
    </w:p>
    <w:p w:rsidR="006F4DCC" w:rsidRDefault="006F4DCC" w:rsidP="00452989">
      <w:pPr>
        <w:spacing w:line="360" w:lineRule="auto"/>
        <w:jc w:val="both"/>
        <w:rPr>
          <w:sz w:val="20"/>
          <w:szCs w:val="20"/>
        </w:rPr>
      </w:pPr>
    </w:p>
    <w:p w:rsidR="00A6354C" w:rsidRDefault="00A6354C" w:rsidP="00452989">
      <w:pPr>
        <w:spacing w:line="360" w:lineRule="auto"/>
        <w:jc w:val="both"/>
        <w:rPr>
          <w:sz w:val="20"/>
          <w:szCs w:val="20"/>
        </w:rPr>
      </w:pPr>
    </w:p>
    <w:p w:rsidR="00A6354C" w:rsidRDefault="00A6354C" w:rsidP="00452989">
      <w:pPr>
        <w:spacing w:line="360" w:lineRule="auto"/>
        <w:jc w:val="both"/>
        <w:rPr>
          <w:sz w:val="20"/>
          <w:szCs w:val="20"/>
        </w:rPr>
      </w:pPr>
    </w:p>
    <w:p w:rsidR="006F4DCC" w:rsidRDefault="006F4DCC" w:rsidP="00452989">
      <w:pPr>
        <w:spacing w:line="360" w:lineRule="auto"/>
        <w:jc w:val="both"/>
        <w:rPr>
          <w:sz w:val="20"/>
          <w:szCs w:val="20"/>
        </w:rPr>
      </w:pPr>
    </w:p>
    <w:p w:rsidR="00631FDC" w:rsidRDefault="00631FDC" w:rsidP="00452989">
      <w:pPr>
        <w:spacing w:line="360" w:lineRule="auto"/>
        <w:jc w:val="both"/>
        <w:rPr>
          <w:sz w:val="20"/>
          <w:szCs w:val="20"/>
        </w:rPr>
      </w:pPr>
      <w:r>
        <w:rPr>
          <w:sz w:val="20"/>
          <w:szCs w:val="20"/>
        </w:rPr>
        <w:lastRenderedPageBreak/>
        <w:t xml:space="preserve">Table 1: </w:t>
      </w:r>
      <w:r w:rsidR="00A6354C">
        <w:rPr>
          <w:sz w:val="20"/>
          <w:szCs w:val="20"/>
        </w:rPr>
        <w:t>Internal and external influences on CSR strategy</w:t>
      </w:r>
    </w:p>
    <w:tbl>
      <w:tblPr>
        <w:tblW w:w="5920" w:type="dxa"/>
        <w:tblInd w:w="89" w:type="dxa"/>
        <w:tblLook w:val="04A0"/>
      </w:tblPr>
      <w:tblGrid>
        <w:gridCol w:w="960"/>
        <w:gridCol w:w="1418"/>
        <w:gridCol w:w="460"/>
        <w:gridCol w:w="3160"/>
      </w:tblGrid>
      <w:tr w:rsidR="00DC5273" w:rsidRPr="00DC5273" w:rsidTr="00DC5273">
        <w:trPr>
          <w:trHeight w:val="300"/>
        </w:trPr>
        <w:tc>
          <w:tcPr>
            <w:tcW w:w="960" w:type="dxa"/>
            <w:tcBorders>
              <w:top w:val="nil"/>
              <w:left w:val="nil"/>
              <w:bottom w:val="single" w:sz="4" w:space="0" w:color="auto"/>
              <w:right w:val="single" w:sz="4" w:space="0" w:color="auto"/>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 </w:t>
            </w:r>
          </w:p>
        </w:tc>
        <w:tc>
          <w:tcPr>
            <w:tcW w:w="1340" w:type="dxa"/>
            <w:tcBorders>
              <w:top w:val="nil"/>
              <w:left w:val="nil"/>
              <w:bottom w:val="single" w:sz="4" w:space="0" w:color="auto"/>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b/>
                <w:bCs/>
                <w:color w:val="000000"/>
              </w:rPr>
            </w:pPr>
            <w:r w:rsidRPr="00DC5273">
              <w:rPr>
                <w:rFonts w:ascii="Calibri" w:eastAsia="Times New Roman" w:hAnsi="Calibri" w:cs="Calibri"/>
                <w:b/>
                <w:bCs/>
                <w:color w:val="000000"/>
              </w:rPr>
              <w:t xml:space="preserve">Internal </w:t>
            </w:r>
          </w:p>
        </w:tc>
        <w:tc>
          <w:tcPr>
            <w:tcW w:w="460" w:type="dxa"/>
            <w:tcBorders>
              <w:top w:val="nil"/>
              <w:left w:val="nil"/>
              <w:bottom w:val="single" w:sz="4" w:space="0" w:color="auto"/>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b/>
                <w:bCs/>
                <w:color w:val="000000"/>
              </w:rPr>
            </w:pPr>
            <w:r w:rsidRPr="00DC5273">
              <w:rPr>
                <w:rFonts w:ascii="Calibri" w:eastAsia="Times New Roman" w:hAnsi="Calibri" w:cs="Calibri"/>
                <w:b/>
                <w:bCs/>
                <w:color w:val="000000"/>
              </w:rPr>
              <w:t> </w:t>
            </w:r>
          </w:p>
        </w:tc>
        <w:tc>
          <w:tcPr>
            <w:tcW w:w="3160" w:type="dxa"/>
            <w:tcBorders>
              <w:top w:val="nil"/>
              <w:left w:val="nil"/>
              <w:bottom w:val="single" w:sz="4" w:space="0" w:color="auto"/>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b/>
                <w:bCs/>
                <w:color w:val="000000"/>
              </w:rPr>
            </w:pPr>
            <w:r>
              <w:rPr>
                <w:rFonts w:ascii="Calibri" w:eastAsia="Times New Roman" w:hAnsi="Calibri" w:cs="Calibri"/>
                <w:b/>
                <w:bCs/>
                <w:color w:val="000000"/>
              </w:rPr>
              <w:t>E</w:t>
            </w:r>
            <w:r w:rsidRPr="00DC5273">
              <w:rPr>
                <w:rFonts w:ascii="Calibri" w:eastAsia="Times New Roman" w:hAnsi="Calibri" w:cs="Calibri"/>
                <w:b/>
                <w:bCs/>
                <w:color w:val="000000"/>
              </w:rPr>
              <w:t>xternal</w:t>
            </w:r>
          </w:p>
        </w:tc>
      </w:tr>
      <w:tr w:rsidR="00DC5273" w:rsidRPr="00DC5273" w:rsidTr="00DC5273">
        <w:trPr>
          <w:trHeight w:val="300"/>
        </w:trPr>
        <w:tc>
          <w:tcPr>
            <w:tcW w:w="960" w:type="dxa"/>
            <w:vMerge w:val="restart"/>
            <w:tcBorders>
              <w:top w:val="nil"/>
              <w:left w:val="nil"/>
              <w:bottom w:val="nil"/>
              <w:right w:val="single" w:sz="4" w:space="0" w:color="auto"/>
            </w:tcBorders>
            <w:shd w:val="clear" w:color="auto" w:fill="auto"/>
            <w:noWrap/>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r w:rsidRPr="00DC5273">
              <w:rPr>
                <w:rFonts w:ascii="Calibri" w:eastAsia="Times New Roman" w:hAnsi="Calibri" w:cs="Calibri"/>
                <w:b/>
                <w:bCs/>
                <w:color w:val="000000"/>
              </w:rPr>
              <w:t>Actors</w:t>
            </w: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Investors</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Shareholders</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Consumers / Citizens</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Customer</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Management</w:t>
            </w: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Suppliers</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Employees</w:t>
            </w: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Non- government Organizations</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Neighborhood</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Media</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Government</w:t>
            </w: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Competition</w:t>
            </w:r>
          </w:p>
        </w:tc>
      </w:tr>
      <w:tr w:rsidR="00DC5273" w:rsidRPr="00DC5273" w:rsidTr="00DC5273">
        <w:trPr>
          <w:trHeight w:val="300"/>
        </w:trPr>
        <w:tc>
          <w:tcPr>
            <w:tcW w:w="960" w:type="dxa"/>
            <w:tcBorders>
              <w:top w:val="nil"/>
              <w:left w:val="nil"/>
              <w:bottom w:val="nil"/>
              <w:right w:val="single" w:sz="4" w:space="0" w:color="auto"/>
            </w:tcBorders>
            <w:shd w:val="clear" w:color="auto" w:fill="auto"/>
            <w:noWrap/>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r w:rsidRPr="00DC5273">
              <w:rPr>
                <w:rFonts w:ascii="Calibri" w:eastAsia="Times New Roman" w:hAnsi="Calibri" w:cs="Calibri"/>
                <w:b/>
                <w:bCs/>
                <w:color w:val="000000"/>
              </w:rPr>
              <w:t> </w:t>
            </w: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r>
      <w:tr w:rsidR="00DC5273" w:rsidRPr="00DC5273" w:rsidTr="00DC5273">
        <w:trPr>
          <w:trHeight w:val="300"/>
        </w:trPr>
        <w:tc>
          <w:tcPr>
            <w:tcW w:w="960" w:type="dxa"/>
            <w:vMerge w:val="restart"/>
            <w:tcBorders>
              <w:top w:val="nil"/>
              <w:left w:val="nil"/>
              <w:bottom w:val="nil"/>
              <w:right w:val="single" w:sz="4" w:space="0" w:color="auto"/>
            </w:tcBorders>
            <w:shd w:val="clear" w:color="auto" w:fill="auto"/>
            <w:noWrap/>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r w:rsidRPr="00DC5273">
              <w:rPr>
                <w:rFonts w:ascii="Calibri" w:eastAsia="Times New Roman" w:hAnsi="Calibri" w:cs="Calibri"/>
                <w:b/>
                <w:bCs/>
                <w:color w:val="000000"/>
              </w:rPr>
              <w:t>Factors</w:t>
            </w: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Costs</w:t>
            </w: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Complexity</w:t>
            </w: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r>
      <w:tr w:rsidR="00DC5273" w:rsidRPr="00DC5273" w:rsidTr="00DC5273">
        <w:trPr>
          <w:trHeight w:val="300"/>
        </w:trPr>
        <w:tc>
          <w:tcPr>
            <w:tcW w:w="960" w:type="dxa"/>
            <w:vMerge/>
            <w:tcBorders>
              <w:top w:val="nil"/>
              <w:left w:val="nil"/>
              <w:bottom w:val="nil"/>
              <w:right w:val="single" w:sz="4" w:space="0" w:color="auto"/>
            </w:tcBorders>
            <w:vAlign w:val="center"/>
            <w:hideMark/>
          </w:tcPr>
          <w:p w:rsidR="00DC5273" w:rsidRPr="00DC5273" w:rsidRDefault="00DC5273" w:rsidP="00452989">
            <w:pPr>
              <w:spacing w:after="0" w:line="240" w:lineRule="auto"/>
              <w:jc w:val="both"/>
              <w:rPr>
                <w:rFonts w:ascii="Calibri" w:eastAsia="Times New Roman" w:hAnsi="Calibri" w:cs="Calibri"/>
                <w:b/>
                <w:bCs/>
                <w:color w:val="000000"/>
              </w:rPr>
            </w:pPr>
          </w:p>
        </w:tc>
        <w:tc>
          <w:tcPr>
            <w:tcW w:w="134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r w:rsidRPr="00DC5273">
              <w:rPr>
                <w:rFonts w:ascii="Calibri" w:eastAsia="Times New Roman" w:hAnsi="Calibri" w:cs="Calibri"/>
                <w:color w:val="000000"/>
              </w:rPr>
              <w:t>Knowledge</w:t>
            </w:r>
          </w:p>
        </w:tc>
        <w:tc>
          <w:tcPr>
            <w:tcW w:w="4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c>
          <w:tcPr>
            <w:tcW w:w="3160" w:type="dxa"/>
            <w:tcBorders>
              <w:top w:val="nil"/>
              <w:left w:val="nil"/>
              <w:bottom w:val="nil"/>
              <w:right w:val="nil"/>
            </w:tcBorders>
            <w:shd w:val="clear" w:color="auto" w:fill="auto"/>
            <w:noWrap/>
            <w:vAlign w:val="bottom"/>
            <w:hideMark/>
          </w:tcPr>
          <w:p w:rsidR="00DC5273" w:rsidRPr="00DC5273" w:rsidRDefault="00DC5273" w:rsidP="00452989">
            <w:pPr>
              <w:spacing w:after="0" w:line="240" w:lineRule="auto"/>
              <w:jc w:val="both"/>
              <w:rPr>
                <w:rFonts w:ascii="Calibri" w:eastAsia="Times New Roman" w:hAnsi="Calibri" w:cs="Calibri"/>
                <w:color w:val="000000"/>
              </w:rPr>
            </w:pPr>
          </w:p>
        </w:tc>
      </w:tr>
    </w:tbl>
    <w:p w:rsidR="00631FDC" w:rsidRDefault="00631FDC" w:rsidP="00452989">
      <w:pPr>
        <w:spacing w:line="360" w:lineRule="auto"/>
        <w:jc w:val="both"/>
        <w:rPr>
          <w:sz w:val="20"/>
          <w:szCs w:val="20"/>
        </w:rPr>
      </w:pPr>
    </w:p>
    <w:p w:rsidR="00B34975" w:rsidRDefault="00631FDC" w:rsidP="00452989">
      <w:pPr>
        <w:spacing w:line="360" w:lineRule="auto"/>
        <w:jc w:val="both"/>
      </w:pPr>
      <w:r>
        <w:t>The level of influences of actors and factors can</w:t>
      </w:r>
      <w:r w:rsidR="00B34975">
        <w:t xml:space="preserve"> be different for each company, </w:t>
      </w:r>
      <w:r>
        <w:t xml:space="preserve">the level of power of the actors and factors are different. </w:t>
      </w:r>
      <w:r w:rsidR="00DC54DE">
        <w:t>Companies which operate</w:t>
      </w:r>
      <w:r>
        <w:t xml:space="preserve"> in rural areas are facing a lower level of neighborhood power, compared to companies in urban areas. Expected from the stakeholder theory, com</w:t>
      </w:r>
      <w:r w:rsidR="004C7AD8">
        <w:t>panies benefit if they satisfy CSR reporting demands of</w:t>
      </w:r>
      <w:r>
        <w:t xml:space="preserve"> stakeholders. Stakeholders have the opp</w:t>
      </w:r>
      <w:r w:rsidR="004C7AD8">
        <w:t>ortunity to misuse their power,</w:t>
      </w:r>
      <w:r>
        <w:t xml:space="preserve"> stakeholders are able to put pressure on their demands. </w:t>
      </w:r>
    </w:p>
    <w:p w:rsidR="00FD06F9" w:rsidRDefault="00FD06F9" w:rsidP="00452989">
      <w:pPr>
        <w:spacing w:line="360" w:lineRule="auto"/>
        <w:jc w:val="both"/>
      </w:pPr>
      <w:r>
        <w:t xml:space="preserve">Companies are part of the society, the society and companies are affecting each other. Decision made by the society has an influence on the company and also decision made by companies influence the society. This implies society and companies are dependent of each other. The implemented CSR strategy influences the society as well. Porter and Kramer (2006) called that society and companies should make decisions based on the shared value. If they taken the shared value into account, the decision adds value for both parties. Porter </w:t>
      </w:r>
      <w:r w:rsidR="0001438A">
        <w:t>et al.</w:t>
      </w:r>
      <w:r>
        <w:t xml:space="preserve"> (2006) separate out the two types of linkages: inside-out linkages and the outside-in linkage. The inside-out linkage represent the influence of the company on the society, an example is the pollution effects of the producing. The outside-in </w:t>
      </w:r>
      <w:r w:rsidR="00DC54DE">
        <w:t>linkage</w:t>
      </w:r>
      <w:r>
        <w:t xml:space="preserve"> represents the effect of the society on the company. </w:t>
      </w:r>
      <w:r w:rsidR="00DC54DE">
        <w:t>An example of the outside-in linkage is</w:t>
      </w:r>
      <w:r>
        <w:t xml:space="preserve"> incentives provided by government to invest in social projects. For developing a CSR strategy into the company, the company should implement the inside-out and outside-in linkages in the CSR strategy. Porter </w:t>
      </w:r>
      <w:r w:rsidR="0001438A">
        <w:t>et al.</w:t>
      </w:r>
      <w:r>
        <w:t xml:space="preserve"> (2006) claim that the implementation of inside-out and outside-in linkages supports the shared value. When allow for the </w:t>
      </w:r>
      <w:r>
        <w:lastRenderedPageBreak/>
        <w:t xml:space="preserve">dependences of company and society, the company is able to design a CSR strategy with benefits for both parties. </w:t>
      </w:r>
    </w:p>
    <w:p w:rsidR="00631FDC" w:rsidRPr="007575B0" w:rsidRDefault="00631FDC" w:rsidP="00452989">
      <w:pPr>
        <w:spacing w:line="360" w:lineRule="auto"/>
        <w:jc w:val="both"/>
      </w:pPr>
      <w:r>
        <w:t>When the CSR strategy is implemented in the company, the company can decide to provide a CSR report. In the CSR report the CSR performances are showed</w:t>
      </w:r>
      <w:r w:rsidR="00B34975">
        <w:t>,</w:t>
      </w:r>
      <w:r>
        <w:t xml:space="preserve"> also future CSR related information can be incorporated in the CSR report. Since companies are free to choose for communicating CSR information, the CSR report is a voluntary disclosure. The incentives based on agency </w:t>
      </w:r>
      <w:r w:rsidR="00B34975">
        <w:t>theory</w:t>
      </w:r>
      <w:r>
        <w:t xml:space="preserve"> and information asymmetry, legitimacy theory and stakeholder theory are capable to explain the incentives of a CSR report.</w:t>
      </w:r>
      <w:r w:rsidR="00B34975">
        <w:t xml:space="preserve"> In paragraph 2.3 the agency theory, information asymmetry, legitimacy theory and stakeholder theory are explained, in this explanation is already described that these theories are in conformity with voluntary disclosures.</w:t>
      </w:r>
    </w:p>
    <w:p w:rsidR="00631FDC" w:rsidRDefault="00631FDC" w:rsidP="00452989">
      <w:pPr>
        <w:spacing w:line="360" w:lineRule="auto"/>
        <w:jc w:val="both"/>
      </w:pPr>
      <w:r>
        <w:t xml:space="preserve">Healy </w:t>
      </w:r>
      <w:r w:rsidR="0001438A">
        <w:t>and Palepu</w:t>
      </w:r>
      <w:r>
        <w:t xml:space="preserve"> </w:t>
      </w:r>
      <w:r w:rsidR="00E252BD">
        <w:t xml:space="preserve">(2001) described incentives to </w:t>
      </w:r>
      <w:r>
        <w:t>provide voluntary disclosures, based on the</w:t>
      </w:r>
      <w:r w:rsidR="00B34975">
        <w:t xml:space="preserve"> positive accounting theory. These</w:t>
      </w:r>
      <w:r>
        <w:t xml:space="preserve"> incentives are also applicable for CSR</w:t>
      </w:r>
      <w:r w:rsidR="00A757D9">
        <w:t xml:space="preserve"> reporting</w:t>
      </w:r>
      <w:r>
        <w:t>. The capital market incentive can be linked to a CSR report. The capital market incentive explains that due to the disclosure the information as</w:t>
      </w:r>
      <w:r w:rsidR="00B34975">
        <w:t>ymmetry is reduced and this</w:t>
      </w:r>
      <w:r>
        <w:t xml:space="preserve"> result</w:t>
      </w:r>
      <w:r w:rsidR="00B34975">
        <w:t>s</w:t>
      </w:r>
      <w:r>
        <w:t xml:space="preserve"> in a reduction of</w:t>
      </w:r>
      <w:r w:rsidR="00A757D9">
        <w:t xml:space="preserve"> costs. Managers which decide to dis</w:t>
      </w:r>
      <w:r w:rsidR="00B34975">
        <w:t>close a CSR report, can base this</w:t>
      </w:r>
      <w:r w:rsidR="00A757D9">
        <w:t xml:space="preserve"> decision </w:t>
      </w:r>
      <w:r>
        <w:t xml:space="preserve">on the capital market incentive. For example, in the provided CSR performances, information is given about the investments in sustainable production. </w:t>
      </w:r>
      <w:r w:rsidR="00DC54DE">
        <w:t>This reduces</w:t>
      </w:r>
      <w:r>
        <w:t xml:space="preserve"> the information gap between s</w:t>
      </w:r>
      <w:r w:rsidR="00E252BD">
        <w:t>takeholders and management and reduces</w:t>
      </w:r>
      <w:r w:rsidR="00B34975">
        <w:t xml:space="preserve"> the agency costs.</w:t>
      </w:r>
      <w:r>
        <w:t xml:space="preserve"> </w:t>
      </w:r>
      <w:r w:rsidR="00B34975">
        <w:t xml:space="preserve">The cost of equity </w:t>
      </w:r>
      <w:r>
        <w:t>decrease</w:t>
      </w:r>
      <w:r w:rsidR="00B34975">
        <w:t>s</w:t>
      </w:r>
      <w:r>
        <w:t xml:space="preserve">, investors are more able to expect future pollution and litigation costs. </w:t>
      </w:r>
    </w:p>
    <w:p w:rsidR="00631FDC" w:rsidRDefault="00B34975" w:rsidP="00452989">
      <w:pPr>
        <w:spacing w:line="360" w:lineRule="auto"/>
        <w:jc w:val="both"/>
      </w:pPr>
      <w:r>
        <w:t>If a threat undervaluation of the company occurs, managers</w:t>
      </w:r>
      <w:r w:rsidR="00631FDC">
        <w:t xml:space="preserve"> put more focus on the </w:t>
      </w:r>
      <w:r w:rsidR="00E252BD">
        <w:t xml:space="preserve">CSR performances. The </w:t>
      </w:r>
      <w:r w:rsidR="00DC54DE">
        <w:t>focus on CSR performances reduces</w:t>
      </w:r>
      <w:r w:rsidR="00631FDC">
        <w:t xml:space="preserve"> the risk of undervaluation. It is imaginable</w:t>
      </w:r>
      <w:r w:rsidR="00A757D9">
        <w:t xml:space="preserve"> that</w:t>
      </w:r>
      <w:r w:rsidR="00631FDC">
        <w:t xml:space="preserve"> a company has bad financial performances due</w:t>
      </w:r>
      <w:r>
        <w:t xml:space="preserve"> to an economical downturn, but has invested</w:t>
      </w:r>
      <w:r w:rsidR="00631FDC">
        <w:t xml:space="preserve"> in social education projects. Social projects are beneficial for the society as a whole, stakeholders value these projects positive. When company put</w:t>
      </w:r>
      <w:r>
        <w:t>s</w:t>
      </w:r>
      <w:r w:rsidR="00631FDC">
        <w:t xml:space="preserve"> attention on the CSR report</w:t>
      </w:r>
      <w:r>
        <w:t xml:space="preserve"> and</w:t>
      </w:r>
      <w:r w:rsidR="00631FDC">
        <w:t xml:space="preserve"> if good projects are performed, the magnitude of the undervaluation </w:t>
      </w:r>
      <w:r>
        <w:t>is</w:t>
      </w:r>
      <w:r w:rsidR="00631FDC">
        <w:t xml:space="preserve"> reduced. This is in conformity with the corporate control incentive of voluntary disclosures of Healy </w:t>
      </w:r>
      <w:r w:rsidR="009A53AB">
        <w:t>et al.</w:t>
      </w:r>
      <w:r w:rsidR="00631FDC">
        <w:t xml:space="preserve"> (2000). The legitimacy theory is the driver of this corporate control incentive. The company wants to receive legitimacy from the society when communicating CSR performances. The corporate control contest is observed in the findings of Lightstone </w:t>
      </w:r>
      <w:r w:rsidR="0001438A">
        <w:t>et al.</w:t>
      </w:r>
      <w:r w:rsidR="00631FDC">
        <w:t xml:space="preserve"> (2008) they found that companies communicate bad information together with positive information. </w:t>
      </w:r>
    </w:p>
    <w:p w:rsidR="00631FDC" w:rsidRDefault="00631FDC" w:rsidP="00452989">
      <w:pPr>
        <w:spacing w:line="360" w:lineRule="auto"/>
        <w:jc w:val="both"/>
      </w:pPr>
      <w:r>
        <w:t>Managers are affected by the performances of the stock prices. CSR performances are quite well judged by (potential) investors, there is less risk involved when investing in CSR reporting compan</w:t>
      </w:r>
      <w:r w:rsidR="00A757D9">
        <w:t>ies</w:t>
      </w:r>
      <w:r w:rsidR="00E252BD">
        <w:t xml:space="preserve">, then in </w:t>
      </w:r>
      <w:r w:rsidR="00E252BD">
        <w:lastRenderedPageBreak/>
        <w:t>comparison with not CSR reporting companies</w:t>
      </w:r>
      <w:r>
        <w:t>. T</w:t>
      </w:r>
      <w:r w:rsidR="00E252BD">
        <w:t>he litigation costs are reduced</w:t>
      </w:r>
      <w:r>
        <w:t>, the company faces a more open view to investors</w:t>
      </w:r>
      <w:r w:rsidR="000C5258">
        <w:t>, due to the reduction in information asymmetry</w:t>
      </w:r>
      <w:r>
        <w:t>. The</w:t>
      </w:r>
      <w:r w:rsidR="000C5258">
        <w:t xml:space="preserve">re is a better view of the possibility if </w:t>
      </w:r>
      <w:r>
        <w:t xml:space="preserve">a third party </w:t>
      </w:r>
      <w:r w:rsidR="00E252BD">
        <w:t>will litigate</w:t>
      </w:r>
      <w:r>
        <w:t xml:space="preserve"> the company, </w:t>
      </w:r>
      <w:r w:rsidR="00A757D9">
        <w:t>when</w:t>
      </w:r>
      <w:r>
        <w:t xml:space="preserve"> the company harms the society or environment. This decrease of litigation </w:t>
      </w:r>
      <w:r w:rsidR="00DC54DE">
        <w:t>costs</w:t>
      </w:r>
      <w:r>
        <w:t xml:space="preserve"> implies an increase in the future cashflow</w:t>
      </w:r>
      <w:r w:rsidR="00B34975">
        <w:t>s</w:t>
      </w:r>
      <w:r>
        <w:t>, which finally result</w:t>
      </w:r>
      <w:r w:rsidR="00B34975">
        <w:t>s</w:t>
      </w:r>
      <w:r>
        <w:t xml:space="preserve"> in a</w:t>
      </w:r>
      <w:r w:rsidR="00E252BD">
        <w:t>n increase of the stock prices.</w:t>
      </w:r>
      <w:r>
        <w:t xml:space="preserve"> This described stock compensation incentive of Healy </w:t>
      </w:r>
      <w:r w:rsidR="009A53AB">
        <w:t>et al.</w:t>
      </w:r>
      <w:r>
        <w:t xml:space="preserve"> (2001) is also applicable for the CSR reporting incentives. Similar to the control contest incentive,</w:t>
      </w:r>
      <w:r w:rsidR="00B34975">
        <w:t xml:space="preserve"> the stock compensation is </w:t>
      </w:r>
      <w:r>
        <w:t>based on the legitimacy theory. The stock compensation incentive is not based on the stakeholder theory because, the demand of providing CSR informat</w:t>
      </w:r>
      <w:r w:rsidR="00212F01">
        <w:t xml:space="preserve">ion comes not from the demand of </w:t>
      </w:r>
      <w:r>
        <w:t>stakeholder</w:t>
      </w:r>
      <w:r w:rsidR="00212F01">
        <w:t>s</w:t>
      </w:r>
      <w:r>
        <w:t xml:space="preserve">. </w:t>
      </w:r>
      <w:r w:rsidR="000C5258">
        <w:t xml:space="preserve">But the stock compensation incentive for CSR reporting is also a result of the agency problem and the information asymmetry. </w:t>
      </w:r>
    </w:p>
    <w:p w:rsidR="00631FDC" w:rsidRDefault="00212F01" w:rsidP="00452989">
      <w:pPr>
        <w:spacing w:line="360" w:lineRule="auto"/>
        <w:jc w:val="both"/>
      </w:pPr>
      <w:r>
        <w:t xml:space="preserve">Also the standalone threat that </w:t>
      </w:r>
      <w:r w:rsidR="00BB2A00">
        <w:t>stakeholder</w:t>
      </w:r>
      <w:r>
        <w:t>s</w:t>
      </w:r>
      <w:r w:rsidR="00631FDC">
        <w:t xml:space="preserve"> litigate </w:t>
      </w:r>
      <w:r w:rsidR="00DC54DE">
        <w:t>managers</w:t>
      </w:r>
      <w:r w:rsidR="00631FDC">
        <w:t xml:space="preserve"> is an incentive for the decision </w:t>
      </w:r>
      <w:r w:rsidR="00DC54DE">
        <w:t>of providing</w:t>
      </w:r>
      <w:r w:rsidR="00631FDC">
        <w:t xml:space="preserve"> a CSR report. When </w:t>
      </w:r>
      <w:r w:rsidR="00DC54DE">
        <w:t>companies announce</w:t>
      </w:r>
      <w:r w:rsidR="00631FDC">
        <w:t xml:space="preserve"> more information about the influences on the environment, stakeholders are more informed about the impact of the company</w:t>
      </w:r>
      <w:r w:rsidR="000C5258">
        <w:t xml:space="preserve">. </w:t>
      </w:r>
      <w:r w:rsidR="00DC54DE">
        <w:t>These CSR performances</w:t>
      </w:r>
      <w:r w:rsidR="000C5258">
        <w:t xml:space="preserve"> can be positive or</w:t>
      </w:r>
      <w:r w:rsidR="00631FDC">
        <w:t xml:space="preserve"> negative </w:t>
      </w:r>
      <w:r w:rsidR="000C5258">
        <w:t xml:space="preserve">judged by the </w:t>
      </w:r>
      <w:r w:rsidR="00DC54DE">
        <w:t>stakeholder (</w:t>
      </w:r>
      <w:r w:rsidR="00631FDC">
        <w:t xml:space="preserve">also dependent on the stakeholder interest). So managers should be very careful in the decision of providing certain information in a CSR report, or even providing a CSR report. This is in conformity with the litigation cost incentive of Healy </w:t>
      </w:r>
      <w:r w:rsidR="009A53AB">
        <w:t>et al.</w:t>
      </w:r>
      <w:r w:rsidR="00631FDC">
        <w:t xml:space="preserve"> (20</w:t>
      </w:r>
      <w:r w:rsidR="000C5258">
        <w:t xml:space="preserve">00). This incentive is based on the legitimacy and stakeholder theory. And also the agency problem is taken into account when CSR reporting decisions are based on the litigation cost incentive. </w:t>
      </w:r>
    </w:p>
    <w:p w:rsidR="00631FDC" w:rsidRDefault="00631FDC" w:rsidP="00452989">
      <w:pPr>
        <w:spacing w:line="360" w:lineRule="auto"/>
        <w:jc w:val="both"/>
      </w:pPr>
      <w:r>
        <w:t xml:space="preserve">The management talent signaling incentive of Healy </w:t>
      </w:r>
      <w:r w:rsidR="009A53AB">
        <w:t>et al.</w:t>
      </w:r>
      <w:r>
        <w:t xml:space="preserve"> (2000</w:t>
      </w:r>
      <w:r w:rsidR="00DC54DE">
        <w:t>)</w:t>
      </w:r>
      <w:r>
        <w:t xml:space="preserve"> argues that managers are better judged if they provided more information. When voluntary CSR performances are announced, it is expectable that managers are better judged due to the more provided information. This incentive is based on the incentive that the manager wants to achieve a license to operate.</w:t>
      </w:r>
      <w:r w:rsidR="000C5258">
        <w:t xml:space="preserve"> Also when managers disclose a CSR rep</w:t>
      </w:r>
      <w:r w:rsidR="00A53668">
        <w:t xml:space="preserve">ort based on signaling. They take the agency theory into consideration, the management makes the CSR reporting decision based on their own interest. </w:t>
      </w:r>
    </w:p>
    <w:p w:rsidR="00631FDC" w:rsidRDefault="00631FDC" w:rsidP="00452989">
      <w:pPr>
        <w:spacing w:line="360" w:lineRule="auto"/>
        <w:jc w:val="both"/>
      </w:pPr>
      <w:r>
        <w:t xml:space="preserve">The sixth incentive of Healy </w:t>
      </w:r>
      <w:r w:rsidR="009A53AB">
        <w:t>et al.</w:t>
      </w:r>
      <w:r>
        <w:t xml:space="preserve"> (2000), implies a reduction in provided information, </w:t>
      </w:r>
      <w:r w:rsidR="00E252BD">
        <w:t>this is also applicable to CSR reporting</w:t>
      </w:r>
      <w:r>
        <w:t>. For e</w:t>
      </w:r>
      <w:r w:rsidR="00A53668">
        <w:t xml:space="preserve">xample, </w:t>
      </w:r>
      <w:r w:rsidR="00DC54DE">
        <w:t>a company implements</w:t>
      </w:r>
      <w:r w:rsidR="00A53668">
        <w:t xml:space="preserve"> a specific</w:t>
      </w:r>
      <w:r>
        <w:t xml:space="preserve"> project to improve the health of employees.</w:t>
      </w:r>
      <w:r w:rsidR="00A53668">
        <w:t xml:space="preserve"> The designed health project is unique and no other companies have a comparable project.</w:t>
      </w:r>
      <w:r>
        <w:t xml:space="preserve"> This project influences in the first place the quality of work provided by the employees. But also talented employees are attracted to the company due to the good second working conditions. For th</w:t>
      </w:r>
      <w:r w:rsidR="00212F01">
        <w:t>e company its beneficial to do no</w:t>
      </w:r>
      <w:r>
        <w:t xml:space="preserve">t communicate specific project information </w:t>
      </w:r>
      <w:r w:rsidR="00A53668">
        <w:t xml:space="preserve">about the content, </w:t>
      </w:r>
      <w:r>
        <w:t>to stakeholder</w:t>
      </w:r>
      <w:r w:rsidR="00A53668">
        <w:t>s</w:t>
      </w:r>
      <w:r>
        <w:t xml:space="preserve">, it can decrease the competitive position of the company. This proprietary cost </w:t>
      </w:r>
      <w:r w:rsidR="00DC54DE">
        <w:t>incentive</w:t>
      </w:r>
      <w:r>
        <w:t xml:space="preserve"> </w:t>
      </w:r>
      <w:r>
        <w:lastRenderedPageBreak/>
        <w:t>should also be taken into account when managers decide to provide CSR information. The stakeholder theory is relevant for this proprietary cost incentive, because the decision</w:t>
      </w:r>
      <w:r w:rsidR="00A53668">
        <w:t xml:space="preserve"> whether or not </w:t>
      </w:r>
      <w:r>
        <w:t>to disclose certain information</w:t>
      </w:r>
      <w:r w:rsidR="00A53668">
        <w:t xml:space="preserve">, </w:t>
      </w:r>
      <w:r w:rsidR="00212F01">
        <w:t xml:space="preserve">is based on the power of </w:t>
      </w:r>
      <w:r>
        <w:t>stakeholder group</w:t>
      </w:r>
      <w:r w:rsidR="00212F01">
        <w:t>s</w:t>
      </w:r>
      <w:r>
        <w:t xml:space="preserve">. </w:t>
      </w:r>
      <w:r w:rsidR="00A53668">
        <w:t xml:space="preserve">And also the agency problem </w:t>
      </w:r>
      <w:r w:rsidR="00E252BD">
        <w:t>is important in this incentive,</w:t>
      </w:r>
      <w:r w:rsidR="00A53668">
        <w:t xml:space="preserve"> the self interest of managers to keep the informatio</w:t>
      </w:r>
      <w:r w:rsidR="00E252BD">
        <w:t>n inside the company should</w:t>
      </w:r>
      <w:r w:rsidR="00A53668">
        <w:t xml:space="preserve"> be noticed.</w:t>
      </w:r>
    </w:p>
    <w:p w:rsidR="00631FDC" w:rsidRDefault="00A53668" w:rsidP="00452989">
      <w:pPr>
        <w:spacing w:line="360" w:lineRule="auto"/>
        <w:jc w:val="both"/>
      </w:pPr>
      <w:r>
        <w:t>CSR report</w:t>
      </w:r>
      <w:r w:rsidR="00E252BD">
        <w:t xml:space="preserve">ing is a voluntary disclosure, </w:t>
      </w:r>
      <w:r>
        <w:t>companies are not obligated to disclose CSR information.</w:t>
      </w:r>
      <w:r w:rsidR="005064ED">
        <w:t xml:space="preserve"> The above described incentives </w:t>
      </w:r>
      <w:r w:rsidR="00DC54DE">
        <w:t>argue</w:t>
      </w:r>
      <w:r w:rsidR="005064ED">
        <w:t xml:space="preserve"> a disclosure of a CSR report. But when incentives exist to provide </w:t>
      </w:r>
      <w:r w:rsidR="00B96CFF">
        <w:t xml:space="preserve">a </w:t>
      </w:r>
      <w:r w:rsidR="005064ED">
        <w:t>CSR report,</w:t>
      </w:r>
      <w:r w:rsidR="00B96CFF">
        <w:t xml:space="preserve"> the question rises,</w:t>
      </w:r>
      <w:r w:rsidR="005064ED">
        <w:t xml:space="preserve"> </w:t>
      </w:r>
      <w:r w:rsidR="00B96CFF">
        <w:t>why CSR reporting is not mandatory</w:t>
      </w:r>
      <w:r w:rsidR="007947E1">
        <w:t>.</w:t>
      </w:r>
      <w:r w:rsidR="005064ED">
        <w:t xml:space="preserve"> In the study of Rodriquez and LeMaster (2007) this question is answered.</w:t>
      </w:r>
      <w:r w:rsidR="00631FDC">
        <w:t xml:space="preserve"> </w:t>
      </w:r>
      <w:r w:rsidR="00E252BD">
        <w:t>Rodriguez et al.</w:t>
      </w:r>
      <w:r w:rsidR="005064ED">
        <w:t xml:space="preserve"> (2007) claimed that CSR reporting</w:t>
      </w:r>
      <w:r w:rsidR="00631FDC">
        <w:t xml:space="preserve"> should stay voluntary disclosures. The </w:t>
      </w:r>
      <w:r w:rsidR="007947E1">
        <w:t>Security and Exchange Commission (</w:t>
      </w:r>
      <w:r w:rsidR="00DC54DE">
        <w:t>SEC) should</w:t>
      </w:r>
      <w:r w:rsidR="00631FDC">
        <w:t xml:space="preserve"> not require companies to d</w:t>
      </w:r>
      <w:r w:rsidR="00B96CFF">
        <w:t>isclose CSR reports,</w:t>
      </w:r>
      <w:r w:rsidR="007947E1">
        <w:t xml:space="preserve"> CSR reporting i</w:t>
      </w:r>
      <w:r w:rsidR="00631FDC">
        <w:t xml:space="preserve">ncreases creditability and transparency (Rodriguez </w:t>
      </w:r>
      <w:r w:rsidR="00E252BD">
        <w:t>et al.</w:t>
      </w:r>
      <w:r w:rsidR="00631FDC">
        <w:t xml:space="preserve">, 2007). When CSR disclosures become required, few gains are reached but this outweighed not the cost of the requirement. </w:t>
      </w:r>
    </w:p>
    <w:p w:rsidR="00631FDC" w:rsidRDefault="00631FDC" w:rsidP="00452989">
      <w:pPr>
        <w:spacing w:line="360" w:lineRule="auto"/>
        <w:jc w:val="both"/>
      </w:pPr>
    </w:p>
    <w:p w:rsidR="00631FDC" w:rsidRDefault="005064ED" w:rsidP="00452989">
      <w:pPr>
        <w:pStyle w:val="Heading3"/>
        <w:spacing w:line="360" w:lineRule="auto"/>
        <w:jc w:val="both"/>
        <w:rPr>
          <w:color w:val="auto"/>
        </w:rPr>
      </w:pPr>
      <w:bookmarkStart w:id="38" w:name="_Toc299353380"/>
      <w:r>
        <w:rPr>
          <w:color w:val="auto"/>
        </w:rPr>
        <w:t>3.1.2</w:t>
      </w:r>
      <w:r w:rsidR="00631FDC" w:rsidRPr="004666AF">
        <w:rPr>
          <w:color w:val="auto"/>
        </w:rPr>
        <w:t xml:space="preserve"> Implementing C</w:t>
      </w:r>
      <w:r w:rsidR="00FF5235">
        <w:rPr>
          <w:color w:val="auto"/>
        </w:rPr>
        <w:t xml:space="preserve">orporate Social Responsibility </w:t>
      </w:r>
      <w:r w:rsidR="00631FDC" w:rsidRPr="004666AF">
        <w:rPr>
          <w:color w:val="auto"/>
        </w:rPr>
        <w:t>strategy and report</w:t>
      </w:r>
      <w:bookmarkEnd w:id="38"/>
    </w:p>
    <w:p w:rsidR="00631FDC" w:rsidRDefault="00BD3EFF" w:rsidP="00452989">
      <w:pPr>
        <w:spacing w:line="360" w:lineRule="auto"/>
        <w:jc w:val="both"/>
      </w:pPr>
      <w:r>
        <w:t>The development of a CSR strategy is very important, when the strategy is well developed and implemented,</w:t>
      </w:r>
      <w:r w:rsidR="00E252BD">
        <w:t xml:space="preserve"> the company achieves benefits.</w:t>
      </w:r>
      <w:r>
        <w:t xml:space="preserve"> </w:t>
      </w:r>
      <w:r w:rsidR="00631FDC">
        <w:t xml:space="preserve">Porter </w:t>
      </w:r>
      <w:r w:rsidR="0001438A">
        <w:t>et al.</w:t>
      </w:r>
      <w:r w:rsidR="00631FDC">
        <w:t xml:space="preserve"> (2006) argue that a chosen CSR strategy incorporate</w:t>
      </w:r>
      <w:r w:rsidR="005064ED">
        <w:t>s</w:t>
      </w:r>
      <w:r w:rsidR="00631FDC">
        <w:t xml:space="preserve"> environmental, social and economical aspects. The environmental, social and economical </w:t>
      </w:r>
      <w:r w:rsidR="005064ED">
        <w:t xml:space="preserve">aspects are comparable with </w:t>
      </w:r>
      <w:r w:rsidR="00631FDC">
        <w:t>triple-P strategy. With the chosen strategy the company is able to differentiat</w:t>
      </w:r>
      <w:r w:rsidR="00F46F6B">
        <w:t>e</w:t>
      </w:r>
      <w:r>
        <w:t xml:space="preserve"> from competitors. An</w:t>
      </w:r>
      <w:r w:rsidR="00F46F6B">
        <w:t xml:space="preserve"> example where the strategy differentiation results in </w:t>
      </w:r>
      <w:r w:rsidR="00DC54DE">
        <w:t>many benefits</w:t>
      </w:r>
      <w:r w:rsidR="00F46F6B">
        <w:t xml:space="preserve"> </w:t>
      </w:r>
      <w:r w:rsidR="00DC54DE">
        <w:t>is provided</w:t>
      </w:r>
      <w:r w:rsidR="00631FDC">
        <w:t xml:space="preserve"> by Porter </w:t>
      </w:r>
      <w:r w:rsidR="0001438A">
        <w:t>et al.</w:t>
      </w:r>
      <w:r w:rsidR="00631FDC">
        <w:t xml:space="preserve"> (2006)</w:t>
      </w:r>
      <w:r>
        <w:t xml:space="preserve"> this </w:t>
      </w:r>
      <w:r w:rsidR="00DC54DE">
        <w:t>is the</w:t>
      </w:r>
      <w:r w:rsidR="00631FDC">
        <w:t xml:space="preserve"> strategy of the Prius </w:t>
      </w:r>
      <w:r>
        <w:t xml:space="preserve">produced by Toyota. </w:t>
      </w:r>
      <w:r w:rsidR="00631FDC">
        <w:t>Toyota designed a strategy for the hy</w:t>
      </w:r>
      <w:r w:rsidR="00F46F6B">
        <w:t xml:space="preserve">brid Prius and </w:t>
      </w:r>
      <w:r w:rsidR="00DC54DE">
        <w:t>these results</w:t>
      </w:r>
      <w:r w:rsidR="00F46F6B">
        <w:t xml:space="preserve"> in a</w:t>
      </w:r>
      <w:r w:rsidR="00631FDC">
        <w:t xml:space="preserve"> competitive advantage and in well environmental performance.</w:t>
      </w:r>
    </w:p>
    <w:p w:rsidR="00631FDC" w:rsidRDefault="00631FDC" w:rsidP="00452989">
      <w:pPr>
        <w:spacing w:line="360" w:lineRule="auto"/>
        <w:jc w:val="both"/>
      </w:pPr>
      <w:r>
        <w:t>T</w:t>
      </w:r>
      <w:r w:rsidR="00F46F6B">
        <w:t xml:space="preserve">o implement a CSR strategy, </w:t>
      </w:r>
      <w:r w:rsidR="00E252BD">
        <w:t>the company should go</w:t>
      </w:r>
      <w:r>
        <w:t xml:space="preserve"> through different phases. The whole company is effected by the CSR strategy, therefore the company should take different phases into account when implementation a CSR strategy. </w:t>
      </w:r>
      <w:r w:rsidR="00DC54DE">
        <w:t>These different phases</w:t>
      </w:r>
      <w:r>
        <w:t xml:space="preserve"> are developed by Kabadse</w:t>
      </w:r>
      <w:r w:rsidR="00E252BD">
        <w:t xml:space="preserve"> </w:t>
      </w:r>
      <w:r w:rsidR="0001438A">
        <w:t>et al.</w:t>
      </w:r>
      <w:r>
        <w:t xml:space="preserve"> (2006). The first phase is the decision phase, in this phase the knowledge</w:t>
      </w:r>
      <w:r w:rsidR="00BD3EFF">
        <w:t xml:space="preserve"> about CSR is important and</w:t>
      </w:r>
      <w:r>
        <w:t xml:space="preserve"> different stakeholders concerns. The outcomes of the decision phase are the designed CSR strategy goals. When the decision for implementing a CSR strategy is completed, the adoption phase will follow. CSR is a structure that should be implemented in the whole organization. This implies the aim of the adoption </w:t>
      </w:r>
      <w:r>
        <w:lastRenderedPageBreak/>
        <w:t>phase, all employees should have the same incentives for the CSR strategy. Kakabadse et al. (2006) argues that, to make the adoption phase successful there shou</w:t>
      </w:r>
      <w:r w:rsidR="00BD3EFF">
        <w:t>ld be a persuasive sub stage included</w:t>
      </w:r>
      <w:r>
        <w:t>.</w:t>
      </w:r>
      <w:r w:rsidR="00FD06F9">
        <w:t xml:space="preserve"> The possibility exist, that two or more contrasting incentives are conflicting with each other. </w:t>
      </w:r>
      <w:r>
        <w:t>To handle these conflicts</w:t>
      </w:r>
      <w:r w:rsidR="00DC54DE">
        <w:t>, paradoxes</w:t>
      </w:r>
      <w:r>
        <w:t xml:space="preserve"> and conflicting priorities should be prepared. Also it</w:t>
      </w:r>
      <w:r w:rsidR="00FD06F9">
        <w:t xml:space="preserve"> is</w:t>
      </w:r>
      <w:r>
        <w:t xml:space="preserve"> important that through the company’s activities the CSR message is consistent implemented. Monitoring has the aim to justify if the CSR message is consistent implemented. This monitoring will give accountability to the CSR performance.  The third phase of implementing CSR strategy in the company is the commitment phase. Following Kakabadse et al. (2006), all employees should have enough discipline and passion for results to follow the CSR from initiative to application. This phase suggest there is a will to act. This last phase has the aim to continuing the CSR strategy in the company. Below in table </w:t>
      </w:r>
      <w:r w:rsidR="00FD06F9">
        <w:t>2</w:t>
      </w:r>
      <w:r>
        <w:t>, the different stages are presented.</w:t>
      </w:r>
      <w:r w:rsidRPr="004666AF">
        <w:t xml:space="preserve"> </w:t>
      </w:r>
    </w:p>
    <w:p w:rsidR="00FD06F9" w:rsidRDefault="00FD06F9" w:rsidP="00452989">
      <w:pPr>
        <w:spacing w:line="360" w:lineRule="auto"/>
        <w:jc w:val="both"/>
      </w:pPr>
    </w:p>
    <w:p w:rsidR="00631FDC" w:rsidRPr="00E85ECD" w:rsidRDefault="00631FDC" w:rsidP="00452989">
      <w:pPr>
        <w:spacing w:line="360" w:lineRule="auto"/>
        <w:jc w:val="both"/>
        <w:rPr>
          <w:sz w:val="20"/>
          <w:szCs w:val="20"/>
        </w:rPr>
      </w:pPr>
      <w:r>
        <w:rPr>
          <w:sz w:val="20"/>
          <w:szCs w:val="20"/>
        </w:rPr>
        <w:t xml:space="preserve">Table </w:t>
      </w:r>
      <w:r w:rsidR="00FD06F9">
        <w:rPr>
          <w:sz w:val="20"/>
          <w:szCs w:val="20"/>
        </w:rPr>
        <w:t>2</w:t>
      </w:r>
      <w:r>
        <w:rPr>
          <w:sz w:val="20"/>
          <w:szCs w:val="20"/>
        </w:rPr>
        <w:t xml:space="preserve">: </w:t>
      </w:r>
      <w:r w:rsidR="00DC54DE">
        <w:rPr>
          <w:sz w:val="20"/>
          <w:szCs w:val="20"/>
        </w:rPr>
        <w:t>Different phases that lead</w:t>
      </w:r>
      <w:r>
        <w:rPr>
          <w:sz w:val="20"/>
          <w:szCs w:val="20"/>
        </w:rPr>
        <w:t xml:space="preserve"> to the CSR strategy (Kakabadse et al. 2006)</w:t>
      </w:r>
    </w:p>
    <w:p w:rsidR="00631FDC" w:rsidRPr="00DD5518" w:rsidRDefault="00B148CF" w:rsidP="00452989">
      <w:pPr>
        <w:spacing w:line="360" w:lineRule="auto"/>
        <w:jc w:val="both"/>
      </w:pPr>
      <w:r>
        <w:rPr>
          <w:noProof/>
        </w:rPr>
        <w:drawing>
          <wp:inline distT="0" distB="0" distL="0" distR="0">
            <wp:extent cx="5486400" cy="3194812"/>
            <wp:effectExtent l="0" t="0" r="0" b="5588"/>
            <wp:docPr id="1" name="Diagram 2"/>
            <wp:cNvGraphicFramePr>
              <a:graphicFrameLocks xmlns:a="http://schemas.openxmlformats.org/drawingml/2006/main"/>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8" r:lo="rId9" r:qs="rId10" r:cs="rId11"/>
              </a:graphicData>
            </a:graphic>
          </wp:inline>
        </w:drawing>
      </w:r>
    </w:p>
    <w:p w:rsidR="00C27D1E" w:rsidRDefault="00C27D1E" w:rsidP="00452989">
      <w:pPr>
        <w:pStyle w:val="Heading3"/>
        <w:spacing w:line="360" w:lineRule="auto"/>
        <w:jc w:val="both"/>
        <w:rPr>
          <w:color w:val="auto"/>
        </w:rPr>
      </w:pPr>
      <w:bookmarkStart w:id="39" w:name="_Toc299353381"/>
    </w:p>
    <w:p w:rsidR="008D7978" w:rsidRPr="008D7978" w:rsidRDefault="008D7978" w:rsidP="008D7978"/>
    <w:p w:rsidR="00631FDC" w:rsidRDefault="00631FDC" w:rsidP="00452989">
      <w:pPr>
        <w:pStyle w:val="Heading3"/>
        <w:spacing w:line="360" w:lineRule="auto"/>
        <w:jc w:val="both"/>
        <w:rPr>
          <w:color w:val="auto"/>
        </w:rPr>
      </w:pPr>
      <w:r w:rsidRPr="00DD5518">
        <w:rPr>
          <w:color w:val="auto"/>
        </w:rPr>
        <w:lastRenderedPageBreak/>
        <w:t>3.1.5 Summary incentives Corporate Social Responsibility strategy and report</w:t>
      </w:r>
      <w:bookmarkEnd w:id="39"/>
    </w:p>
    <w:p w:rsidR="00631FDC" w:rsidRDefault="00AF0A84" w:rsidP="00452989">
      <w:pPr>
        <w:spacing w:line="360" w:lineRule="auto"/>
        <w:jc w:val="both"/>
      </w:pPr>
      <w:r>
        <w:t xml:space="preserve">Outside and inside factors and actors have an influence on the implementation of </w:t>
      </w:r>
      <w:r w:rsidR="00631FDC">
        <w:t>CSR into the organization.</w:t>
      </w:r>
      <w:r>
        <w:t xml:space="preserve"> The power of stakeholder influences the impact. T</w:t>
      </w:r>
      <w:r w:rsidR="00631FDC">
        <w:t xml:space="preserve">he capital market, corporate </w:t>
      </w:r>
      <w:r w:rsidR="00DC54DE">
        <w:t>control,</w:t>
      </w:r>
      <w:r w:rsidR="00631FDC">
        <w:t xml:space="preserve"> stock compensation, litigation cost, managers talent signaling and proprietary cost incentive</w:t>
      </w:r>
      <w:r>
        <w:t xml:space="preserve"> which are</w:t>
      </w:r>
      <w:r w:rsidR="00631FDC">
        <w:t xml:space="preserve"> based on the general v</w:t>
      </w:r>
      <w:r>
        <w:t>oluntary disclosures, are useful to explain CSR report incentives. The incentives to provide a CSR report are</w:t>
      </w:r>
      <w:r w:rsidR="00631FDC">
        <w:t xml:space="preserve"> based on the agency theory, legitimacy theory an</w:t>
      </w:r>
      <w:r w:rsidR="00B96CFF">
        <w:t>d the stakeholder theory.</w:t>
      </w:r>
      <w:r w:rsidR="00DA63B8">
        <w:t xml:space="preserve"> </w:t>
      </w:r>
    </w:p>
    <w:p w:rsidR="00631FDC" w:rsidRDefault="00631FDC" w:rsidP="00452989">
      <w:pPr>
        <w:spacing w:line="360" w:lineRule="auto"/>
        <w:jc w:val="both"/>
      </w:pPr>
      <w:r>
        <w:t xml:space="preserve">The decision, adoption and commitment phase are important phases for implementing CSR. The decision and adoption phase influence the implementation of CSR. The commitment </w:t>
      </w:r>
      <w:r w:rsidR="00DC54DE">
        <w:t>phase influences</w:t>
      </w:r>
      <w:r>
        <w:t xml:space="preserve"> the going concern of CSR. </w:t>
      </w:r>
    </w:p>
    <w:p w:rsidR="00631FDC" w:rsidRDefault="00631FDC" w:rsidP="00452989">
      <w:pPr>
        <w:pStyle w:val="Heading2"/>
        <w:spacing w:line="360" w:lineRule="auto"/>
        <w:jc w:val="both"/>
      </w:pPr>
    </w:p>
    <w:p w:rsidR="00631FDC" w:rsidRDefault="00631FDC" w:rsidP="00452989">
      <w:pPr>
        <w:pStyle w:val="Heading2"/>
        <w:spacing w:line="360" w:lineRule="auto"/>
        <w:jc w:val="both"/>
      </w:pPr>
      <w:bookmarkStart w:id="40" w:name="_Toc299353382"/>
      <w:r>
        <w:t>3.2 Impacts of Corporate Social Responsibility Report</w:t>
      </w:r>
      <w:bookmarkEnd w:id="40"/>
      <w:r>
        <w:t xml:space="preserve"> </w:t>
      </w:r>
    </w:p>
    <w:p w:rsidR="00631FDC" w:rsidRDefault="00B96CFF" w:rsidP="00452989">
      <w:pPr>
        <w:spacing w:line="360" w:lineRule="auto"/>
        <w:jc w:val="both"/>
      </w:pPr>
      <w:r>
        <w:t xml:space="preserve">Companies implement CSR because benefits are expectable from the CSR strategy. This benefits or incentives of CSR are described in previous paragraph. When CSR </w:t>
      </w:r>
      <w:r w:rsidR="00631FDC">
        <w:t>perf</w:t>
      </w:r>
      <w:r>
        <w:t xml:space="preserve">ormances are disclosed, a reaction from stakeholders is expectable. </w:t>
      </w:r>
      <w:r w:rsidR="00DC54DE">
        <w:t>Stakeholders’</w:t>
      </w:r>
      <w:r w:rsidR="00631FDC">
        <w:t xml:space="preserve"> </w:t>
      </w:r>
      <w:r>
        <w:t>value providing of additional information.</w:t>
      </w:r>
      <w:r w:rsidR="00631FDC">
        <w:t xml:space="preserve"> In this paragraph the impact</w:t>
      </w:r>
      <w:r w:rsidR="00BC5BAA">
        <w:t>s of CSR reporting</w:t>
      </w:r>
      <w:r w:rsidR="00631FDC">
        <w:t xml:space="preserve"> are discussed, based on existing literature. The </w:t>
      </w:r>
      <w:r w:rsidR="00DC54DE">
        <w:t>impacts on the forecast accuracy are</w:t>
      </w:r>
      <w:r>
        <w:t xml:space="preserve"> </w:t>
      </w:r>
      <w:r w:rsidR="00631FDC">
        <w:t>first discussed. The public sentiment or the reputation will be influenced too, this is described in the second subparagraph. At the end of this paragraph the financial impacts are discus</w:t>
      </w:r>
      <w:r w:rsidR="005F4851">
        <w:t>sed. In the summary a table is provided, which summarize the results of impacts from the used literature.</w:t>
      </w:r>
    </w:p>
    <w:p w:rsidR="00631FDC" w:rsidRPr="00883E98" w:rsidRDefault="00631FDC" w:rsidP="00452989">
      <w:pPr>
        <w:spacing w:line="360" w:lineRule="auto"/>
        <w:jc w:val="both"/>
      </w:pPr>
      <w:r>
        <w:t xml:space="preserve"> </w:t>
      </w:r>
    </w:p>
    <w:p w:rsidR="00631FDC" w:rsidRDefault="00631FDC" w:rsidP="00452989">
      <w:pPr>
        <w:pStyle w:val="Heading3"/>
        <w:spacing w:line="360" w:lineRule="auto"/>
        <w:jc w:val="both"/>
        <w:rPr>
          <w:color w:val="auto"/>
        </w:rPr>
      </w:pPr>
      <w:bookmarkStart w:id="41" w:name="_Toc299353383"/>
      <w:r w:rsidRPr="00AA06E2">
        <w:rPr>
          <w:color w:val="auto"/>
        </w:rPr>
        <w:t>3.2.1Forecast accuracy</w:t>
      </w:r>
      <w:bookmarkEnd w:id="41"/>
    </w:p>
    <w:p w:rsidR="00631FDC" w:rsidRDefault="00DA63B8" w:rsidP="00452989">
      <w:pPr>
        <w:spacing w:line="360" w:lineRule="auto"/>
        <w:jc w:val="both"/>
      </w:pPr>
      <w:r>
        <w:t xml:space="preserve">When </w:t>
      </w:r>
      <w:r w:rsidR="00631FDC">
        <w:t>CSR information becomes available</w:t>
      </w:r>
      <w:r>
        <w:t>,</w:t>
      </w:r>
      <w:r w:rsidR="005F4851">
        <w:t xml:space="preserve"> stake</w:t>
      </w:r>
      <w:r w:rsidR="00631FDC">
        <w:t xml:space="preserve">holders are provided with more information </w:t>
      </w:r>
      <w:r>
        <w:t>(Dhaliwal, Radhakrishnan, Tsang and Yang 2010</w:t>
      </w:r>
      <w:r w:rsidR="009A53AB">
        <w:t>, A</w:t>
      </w:r>
      <w:r>
        <w:t>)</w:t>
      </w:r>
      <w:r w:rsidR="00631FDC">
        <w:t xml:space="preserve">. This additional information </w:t>
      </w:r>
      <w:r w:rsidR="00DC54DE">
        <w:t>produces</w:t>
      </w:r>
      <w:r w:rsidR="00631FDC">
        <w:t xml:space="preserve"> different effects. The forecast accuracy is one of the variables that are affected by CSR disclosures. First a describing will follow about expectations of the impact on the forecast accuracy. Thereafter studies are described which provide evidence on the impact of the forecast accuracy. </w:t>
      </w:r>
    </w:p>
    <w:p w:rsidR="00631FDC" w:rsidRDefault="00631FDC" w:rsidP="00452989">
      <w:pPr>
        <w:spacing w:line="360" w:lineRule="auto"/>
        <w:jc w:val="both"/>
      </w:pPr>
      <w:r>
        <w:t>CSR disclosures wh</w:t>
      </w:r>
      <w:r w:rsidR="005F4851">
        <w:t>ich are provided by management include relevant information for</w:t>
      </w:r>
      <w:r>
        <w:t xml:space="preserve"> stakeholders. This additional information adds value to the stakeholders based on the information asymmetry and the </w:t>
      </w:r>
      <w:r>
        <w:lastRenderedPageBreak/>
        <w:t xml:space="preserve">agency problem (Healy </w:t>
      </w:r>
      <w:r w:rsidR="009A53AB">
        <w:t>et al.</w:t>
      </w:r>
      <w:r>
        <w:t>, 2010). The information asymmetry will be reduced after disclosing CSR performances. The distinction in information hold by m</w:t>
      </w:r>
      <w:r w:rsidR="005F4851">
        <w:t xml:space="preserve">anagement and stakeholders </w:t>
      </w:r>
      <w:r>
        <w:t>decrease</w:t>
      </w:r>
      <w:r w:rsidR="005F4851">
        <w:t>s</w:t>
      </w:r>
      <w:r>
        <w:t>. The increase in level of inform</w:t>
      </w:r>
      <w:r w:rsidR="005F4851">
        <w:t xml:space="preserve">ation hold by stakeholders </w:t>
      </w:r>
      <w:r>
        <w:t>result</w:t>
      </w:r>
      <w:r w:rsidR="005F4851">
        <w:t>s in a reduction of information asymmetry</w:t>
      </w:r>
      <w:r>
        <w:t xml:space="preserve">. </w:t>
      </w:r>
    </w:p>
    <w:p w:rsidR="00631FDC" w:rsidRDefault="005F4851" w:rsidP="00452989">
      <w:pPr>
        <w:spacing w:line="360" w:lineRule="auto"/>
        <w:jc w:val="both"/>
      </w:pPr>
      <w:r>
        <w:t xml:space="preserve">CSR reporting is provided to all stakeholders, also analysts achieve this </w:t>
      </w:r>
      <w:r w:rsidR="00631FDC">
        <w:t>CSR inf</w:t>
      </w:r>
      <w:r>
        <w:t>ormation.</w:t>
      </w:r>
      <w:r w:rsidR="00631FDC">
        <w:t xml:space="preserve"> In </w:t>
      </w:r>
      <w:r>
        <w:t>CSR reports, relevant information is stored, which influences</w:t>
      </w:r>
      <w:r w:rsidR="00631FDC">
        <w:t xml:space="preserve"> future financial performances. Anal</w:t>
      </w:r>
      <w:r w:rsidR="00C832F1">
        <w:t xml:space="preserve">ysts make forecast based on observed </w:t>
      </w:r>
      <w:r w:rsidR="00631FDC">
        <w:t>information</w:t>
      </w:r>
      <w:r w:rsidR="00C832F1">
        <w:t xml:space="preserve">. </w:t>
      </w:r>
      <w:r w:rsidR="00631FDC">
        <w:t xml:space="preserve">When more information is disclosed, analysts achieve more information, this result in more accurate forecasts. Due to the more provided information, analysts are able to make </w:t>
      </w:r>
      <w:r w:rsidR="00DC54DE">
        <w:t>fewer errors</w:t>
      </w:r>
      <w:r w:rsidR="00631FDC">
        <w:t xml:space="preserve"> in the predictions. Therefore there can b</w:t>
      </w:r>
      <w:r w:rsidR="00C832F1">
        <w:t>e expect the forecast error</w:t>
      </w:r>
      <w:r w:rsidR="00631FDC">
        <w:t xml:space="preserve"> decrease</w:t>
      </w:r>
      <w:r w:rsidR="00C832F1">
        <w:t>s</w:t>
      </w:r>
      <w:r w:rsidR="00DC54DE">
        <w:t>. (</w:t>
      </w:r>
      <w:r w:rsidR="00631FDC">
        <w:t>Dhaliwal et al. 2010</w:t>
      </w:r>
      <w:r w:rsidR="00DA63B8">
        <w:t>, A</w:t>
      </w:r>
      <w:r w:rsidR="00631FDC">
        <w:t>)</w:t>
      </w:r>
    </w:p>
    <w:p w:rsidR="00631FDC" w:rsidRPr="008F6024" w:rsidRDefault="00631FDC" w:rsidP="00452989">
      <w:pPr>
        <w:spacing w:line="360" w:lineRule="auto"/>
        <w:jc w:val="both"/>
      </w:pPr>
      <w:r>
        <w:t xml:space="preserve">CSR information is not directly related to financial performances </w:t>
      </w:r>
      <w:r w:rsidR="00BC5BAA">
        <w:t>of the company, but although it</w:t>
      </w:r>
      <w:r>
        <w:t xml:space="preserve"> is valuable information for investors and other stakeholders. CSR information is environmental</w:t>
      </w:r>
      <w:r w:rsidR="00BC5BAA">
        <w:t>ly</w:t>
      </w:r>
      <w:r>
        <w:t xml:space="preserve"> and social</w:t>
      </w:r>
      <w:r w:rsidR="00BC5BAA">
        <w:t>ly</w:t>
      </w:r>
      <w:r w:rsidR="00C832F1">
        <w:t xml:space="preserve"> related</w:t>
      </w:r>
      <w:r w:rsidR="00DA63B8">
        <w:t xml:space="preserve"> and does n</w:t>
      </w:r>
      <w:r w:rsidR="00BC5BAA">
        <w:t>ot</w:t>
      </w:r>
      <w:r>
        <w:t xml:space="preserve"> provide </w:t>
      </w:r>
      <w:r w:rsidR="00DA63B8">
        <w:t xml:space="preserve">direct </w:t>
      </w:r>
      <w:r>
        <w:t>information about financial performances</w:t>
      </w:r>
      <w:r w:rsidR="00C832F1">
        <w:t xml:space="preserve">. The provided information gives </w:t>
      </w:r>
      <w:r w:rsidR="00DC54DE">
        <w:t>a</w:t>
      </w:r>
      <w:r w:rsidR="00C832F1">
        <w:t xml:space="preserve"> view</w:t>
      </w:r>
      <w:r>
        <w:t xml:space="preserve"> in the contribution of the company activities on the society and environment. The provided information </w:t>
      </w:r>
      <w:r w:rsidR="00C832F1">
        <w:t xml:space="preserve">is useful to make expectations about </w:t>
      </w:r>
      <w:r>
        <w:t>futu</w:t>
      </w:r>
      <w:r w:rsidR="00C832F1">
        <w:t>re financial performances. The CSR report</w:t>
      </w:r>
      <w:r>
        <w:t xml:space="preserve"> provide</w:t>
      </w:r>
      <w:r w:rsidR="00C832F1">
        <w:t>s</w:t>
      </w:r>
      <w:r>
        <w:t xml:space="preserve"> information about future costs (pollution and litigat</w:t>
      </w:r>
      <w:r w:rsidR="00C832F1">
        <w:t>ion). Analysts are</w:t>
      </w:r>
      <w:r w:rsidR="00BC5BAA">
        <w:t xml:space="preserve"> able</w:t>
      </w:r>
      <w:r w:rsidR="00C832F1">
        <w:t xml:space="preserve"> after th</w:t>
      </w:r>
      <w:r w:rsidR="00BC5BAA">
        <w:t>e disclosure of the CSR report,</w:t>
      </w:r>
      <w:r>
        <w:t xml:space="preserve"> to analyze th</w:t>
      </w:r>
      <w:r w:rsidR="00C832F1">
        <w:t xml:space="preserve">e company in a more certain way. </w:t>
      </w:r>
      <w:r w:rsidR="00DC54DE">
        <w:t xml:space="preserve">When less risk is involved in an analyze, more accurate forecasts results. </w:t>
      </w:r>
      <w:r>
        <w:t>(Dhaliwal et al, 2010</w:t>
      </w:r>
      <w:r w:rsidR="00DA63B8">
        <w:t>, A</w:t>
      </w:r>
      <w:r>
        <w:t>)</w:t>
      </w:r>
    </w:p>
    <w:p w:rsidR="00631FDC" w:rsidRPr="00281154" w:rsidRDefault="00631FDC" w:rsidP="00452989">
      <w:pPr>
        <w:spacing w:line="360" w:lineRule="auto"/>
        <w:jc w:val="both"/>
      </w:pPr>
      <w:r>
        <w:t xml:space="preserve">The more accurate forecasts will </w:t>
      </w:r>
      <w:r w:rsidR="00DC54DE">
        <w:t>influence</w:t>
      </w:r>
      <w:r>
        <w:t xml:space="preserve"> the society. Almost all society behavior faces partly influences of forecasts. Management and citizens are making decisions based on expectations. </w:t>
      </w:r>
      <w:r w:rsidR="00DC54DE">
        <w:t>Forecasts are</w:t>
      </w:r>
      <w:r w:rsidR="00C832F1">
        <w:t xml:space="preserve"> expectations about</w:t>
      </w:r>
      <w:r>
        <w:t xml:space="preserve"> future financial performances of a company. Many issues are dependent on expected financial performances. </w:t>
      </w:r>
      <w:r w:rsidR="00C832F1">
        <w:t>A practical examples is</w:t>
      </w:r>
      <w:r w:rsidR="00BC5BAA">
        <w:t>,</w:t>
      </w:r>
      <w:r w:rsidR="00C832F1">
        <w:t xml:space="preserve"> the </w:t>
      </w:r>
      <w:r>
        <w:t>extension of company (social) activities, this affect</w:t>
      </w:r>
      <w:r w:rsidR="00C832F1">
        <w:t>s</w:t>
      </w:r>
      <w:r>
        <w:t xml:space="preserve"> working employees and potential employees.  </w:t>
      </w:r>
    </w:p>
    <w:p w:rsidR="00631FDC" w:rsidRDefault="00631FDC" w:rsidP="00452989">
      <w:pPr>
        <w:spacing w:line="360" w:lineRule="auto"/>
        <w:jc w:val="both"/>
      </w:pPr>
      <w:r>
        <w:t>In the study of Dhaliwal</w:t>
      </w:r>
      <w:r w:rsidR="00931108">
        <w:t xml:space="preserve"> </w:t>
      </w:r>
      <w:r>
        <w:t>(2010</w:t>
      </w:r>
      <w:r w:rsidR="00931108">
        <w:t>, A</w:t>
      </w:r>
      <w:r>
        <w:t xml:space="preserve">) the relation between CSR disclosures and analyst forecast accuracy </w:t>
      </w:r>
      <w:r w:rsidR="00C832F1">
        <w:t>is</w:t>
      </w:r>
      <w:r>
        <w:t xml:space="preserve"> studied. </w:t>
      </w:r>
      <w:r w:rsidR="00C832F1">
        <w:t>Evidence is found</w:t>
      </w:r>
      <w:r>
        <w:t xml:space="preserve"> that disclosing a CSR report leads to a significant lower level of analyst forecast error. This means</w:t>
      </w:r>
      <w:r w:rsidR="00AB4870">
        <w:t>,</w:t>
      </w:r>
      <w:r>
        <w:t xml:space="preserve"> forecasts are of better quality (more accurate) when a CSR report is disclosed. When a company provide</w:t>
      </w:r>
      <w:r w:rsidR="00AB4870">
        <w:t>s</w:t>
      </w:r>
      <w:r>
        <w:t xml:space="preserve"> CSR performances, more company’</w:t>
      </w:r>
      <w:r w:rsidR="00AB4870">
        <w:t xml:space="preserve">s information becomes available. Analyst inserts this </w:t>
      </w:r>
      <w:r>
        <w:t xml:space="preserve">information in </w:t>
      </w:r>
      <w:r w:rsidR="00DC54DE">
        <w:t>the</w:t>
      </w:r>
      <w:r w:rsidR="00AB4870">
        <w:t xml:space="preserve"> forecasts, which</w:t>
      </w:r>
      <w:r w:rsidR="00931108">
        <w:t xml:space="preserve"> results in more accuracy of</w:t>
      </w:r>
      <w:r>
        <w:t xml:space="preserve"> the forecasts.</w:t>
      </w:r>
    </w:p>
    <w:p w:rsidR="00631FDC" w:rsidRDefault="00631FDC" w:rsidP="00452989">
      <w:pPr>
        <w:spacing w:line="360" w:lineRule="auto"/>
        <w:jc w:val="both"/>
      </w:pPr>
      <w:r>
        <w:t>This positive relation</w:t>
      </w:r>
      <w:r w:rsidR="00915FF4">
        <w:t xml:space="preserve"> observed in the study of Dhaliwal et al. (2010, A)</w:t>
      </w:r>
      <w:r>
        <w:t xml:space="preserve"> between CSR </w:t>
      </w:r>
      <w:r w:rsidR="00915FF4">
        <w:t>reporting</w:t>
      </w:r>
      <w:r>
        <w:t xml:space="preserve"> and forecast accuracy is stronger for countries with a higher level of stakeholder orientation</w:t>
      </w:r>
      <w:r w:rsidR="00915FF4">
        <w:t>.</w:t>
      </w:r>
      <w:r>
        <w:t xml:space="preserve"> </w:t>
      </w:r>
      <w:r w:rsidR="00915FF4">
        <w:t xml:space="preserve">In countries </w:t>
      </w:r>
      <w:r w:rsidR="00915FF4">
        <w:lastRenderedPageBreak/>
        <w:t xml:space="preserve">with a high level of stakeholder orientation, </w:t>
      </w:r>
      <w:r w:rsidR="00DC54DE">
        <w:t>companies’</w:t>
      </w:r>
      <w:r w:rsidR="00915FF4">
        <w:t xml:space="preserve"> social performances are important. In countries with a high level of stakeholder orientation, </w:t>
      </w:r>
      <w:r w:rsidR="00DC54DE">
        <w:t>fewer errors</w:t>
      </w:r>
      <w:r w:rsidR="00915FF4">
        <w:t xml:space="preserve"> are made in the forecasts. The</w:t>
      </w:r>
      <w:r>
        <w:t xml:space="preserve"> evidence</w:t>
      </w:r>
      <w:r w:rsidR="00915FF4">
        <w:t xml:space="preserve"> in the study of Dhaliwal et al. (2010, A) is found by analyzing CSR reports and forecast accuracy data, </w:t>
      </w:r>
      <w:r>
        <w:t>out of 24 countries. The</w:t>
      </w:r>
      <w:r w:rsidR="00915FF4">
        <w:t xml:space="preserve"> result that </w:t>
      </w:r>
      <w:r>
        <w:t>c</w:t>
      </w:r>
      <w:r w:rsidR="00915FF4">
        <w:t>ircumstances of countries influencing the impact of a CSR report is also observed in other studies.</w:t>
      </w:r>
      <w:r>
        <w:t xml:space="preserve"> Williams and Aguilera (2008) argue</w:t>
      </w:r>
      <w:r w:rsidR="00915FF4">
        <w:t xml:space="preserve"> that differences exist in </w:t>
      </w:r>
      <w:r w:rsidR="00050537">
        <w:t>importance of social performances of companies.</w:t>
      </w:r>
      <w:r>
        <w:t xml:space="preserve"> </w:t>
      </w:r>
      <w:r w:rsidR="00DC54DE">
        <w:t>This importance of social issues is</w:t>
      </w:r>
      <w:r>
        <w:t xml:space="preserve"> related to forcing norms. Countries which put more attention to </w:t>
      </w:r>
      <w:r w:rsidR="00DC54DE">
        <w:t>stakeholders’</w:t>
      </w:r>
      <w:r>
        <w:t xml:space="preserve"> issues, are more dealing with </w:t>
      </w:r>
      <w:r w:rsidR="00DC54DE">
        <w:t>stakeholder influences</w:t>
      </w:r>
      <w:r>
        <w:t xml:space="preserve"> on decision </w:t>
      </w:r>
      <w:r w:rsidR="00050537">
        <w:t>making</w:t>
      </w:r>
      <w:r>
        <w:t xml:space="preserve">. </w:t>
      </w:r>
      <w:r w:rsidR="00DC54DE">
        <w:t>Companies which operate</w:t>
      </w:r>
      <w:r>
        <w:t xml:space="preserve"> in countries with lower levels of natural resources are more concerned with the impacts of using these resources. This scarcity of natural </w:t>
      </w:r>
      <w:r w:rsidR="00DC54DE">
        <w:t>resources</w:t>
      </w:r>
      <w:r>
        <w:t xml:space="preserve"> will result i</w:t>
      </w:r>
      <w:r w:rsidR="00050537">
        <w:t>n more stakeholder orientation.</w:t>
      </w:r>
    </w:p>
    <w:p w:rsidR="00631FDC" w:rsidRDefault="00631FDC" w:rsidP="00452989">
      <w:pPr>
        <w:spacing w:line="360" w:lineRule="auto"/>
        <w:jc w:val="both"/>
      </w:pPr>
      <w:r w:rsidRPr="00342D93">
        <w:t xml:space="preserve">In the study of Dhaliwal et al. </w:t>
      </w:r>
      <w:r>
        <w:t xml:space="preserve">(2010, A) evidence is found that the relationship between CSR disclosing and forecast accuracy is stronger for companies with less transparency. This implies if companies with a low level of transparency, which provide CSR information face a bigger impact on the forecast accuracy. These lower level companies have a bigger positive </w:t>
      </w:r>
      <w:r w:rsidR="00931108">
        <w:t>change in forecast accuracy compared with</w:t>
      </w:r>
      <w:r w:rsidR="00594183">
        <w:t xml:space="preserve"> companies which are</w:t>
      </w:r>
      <w:r>
        <w:t xml:space="preserve"> more transparent. Obviously companies which are already open (more transparency), will achiev</w:t>
      </w:r>
      <w:r w:rsidR="00931108">
        <w:t>e less additional transparency</w:t>
      </w:r>
      <w:r>
        <w:t xml:space="preserve"> compared to less open companies. Dhaliwal et al. (2010, A) argue</w:t>
      </w:r>
      <w:r w:rsidR="00BC5BAA">
        <w:t>d</w:t>
      </w:r>
      <w:r>
        <w:t xml:space="preserve"> that due to providing CSR information, analysts made fewer errors in their forecast, this is the result of a more transparent view. Inves</w:t>
      </w:r>
      <w:r w:rsidR="00594183">
        <w:t>tors and other stakeholders</w:t>
      </w:r>
      <w:r>
        <w:t xml:space="preserve"> benefit</w:t>
      </w:r>
      <w:r w:rsidR="00594183">
        <w:t>s</w:t>
      </w:r>
      <w:r>
        <w:t xml:space="preserve"> from this transparent view.</w:t>
      </w:r>
    </w:p>
    <w:p w:rsidR="004D0B70" w:rsidRDefault="00594183" w:rsidP="00452989">
      <w:pPr>
        <w:spacing w:line="360" w:lineRule="auto"/>
        <w:jc w:val="both"/>
      </w:pPr>
      <w:r>
        <w:t xml:space="preserve">The increased transparency due to providing a CSR report, is observed in the study of Dhaliwal et al. (2010, A) but also in the study of </w:t>
      </w:r>
      <w:r w:rsidR="00631FDC" w:rsidRPr="000C267C">
        <w:t>Lang and Lundholm (1996).</w:t>
      </w:r>
      <w:r>
        <w:t xml:space="preserve"> The </w:t>
      </w:r>
      <w:r w:rsidR="00631FDC">
        <w:t>study</w:t>
      </w:r>
      <w:r>
        <w:t xml:space="preserve"> of Lang </w:t>
      </w:r>
      <w:r w:rsidR="0001438A">
        <w:t>et al.</w:t>
      </w:r>
      <w:r>
        <w:t xml:space="preserve"> (1996)</w:t>
      </w:r>
      <w:r w:rsidR="00631FDC">
        <w:t xml:space="preserve"> is based on older data out of 1980</w:t>
      </w:r>
      <w:r w:rsidR="00931108">
        <w:t>. T</w:t>
      </w:r>
      <w:r w:rsidR="00631FDC">
        <w:t>he older study</w:t>
      </w:r>
      <w:r w:rsidR="00931108">
        <w:t xml:space="preserve"> also</w:t>
      </w:r>
      <w:r w:rsidR="00631FDC">
        <w:t xml:space="preserve"> includes financial disclosures. They argue that ratings made by analysts, based on</w:t>
      </w:r>
      <w:r>
        <w:t xml:space="preserve"> financial and non financial disclosures</w:t>
      </w:r>
      <w:r w:rsidR="00631FDC">
        <w:t xml:space="preserve">, are positively related to forecast accuracy. They found evidence that companies which have more informative disclosure policies (so disclosing more information), are followed by more analysts, </w:t>
      </w:r>
      <w:r w:rsidR="00931108">
        <w:t xml:space="preserve">this analysts providing </w:t>
      </w:r>
      <w:r>
        <w:t xml:space="preserve">more accurate earnings forecast. The accurate earnings forecast </w:t>
      </w:r>
      <w:r w:rsidR="00DC54DE">
        <w:t>are</w:t>
      </w:r>
      <w:r>
        <w:t xml:space="preserve"> observed from less distribution among</w:t>
      </w:r>
      <w:r w:rsidR="00631FDC">
        <w:t xml:space="preserve"> individual forecasts and l</w:t>
      </w:r>
      <w:r w:rsidR="001F622A">
        <w:t>ess volatility in the forecasts. The level of information in</w:t>
      </w:r>
      <w:r w:rsidR="00631FDC">
        <w:t xml:space="preserve"> disclosures is determined by Financial Analyst Federation (FAF) ratings. These ratings are based on annual and quarterly published information, other published information and </w:t>
      </w:r>
      <w:r w:rsidR="00DC54DE">
        <w:t>investors’</w:t>
      </w:r>
      <w:r w:rsidR="00631FDC">
        <w:t xml:space="preserve"> relations. The </w:t>
      </w:r>
      <w:r w:rsidR="00DC54DE">
        <w:t>level of followed analysts is</w:t>
      </w:r>
      <w:r w:rsidR="00631FDC">
        <w:t xml:space="preserve"> measured by the actual amount of followed analysts. The </w:t>
      </w:r>
      <w:r w:rsidR="00DC54DE">
        <w:t>error in forecasts is</w:t>
      </w:r>
      <w:r w:rsidR="00631FDC">
        <w:t xml:space="preserve"> measured by the difference in actual earnings per share and the median of forecasts divided by the price per share.</w:t>
      </w:r>
      <w:r w:rsidR="00631FDC" w:rsidRPr="00342D93">
        <w:rPr>
          <w:color w:val="FF0000"/>
        </w:rPr>
        <w:t xml:space="preserve"> </w:t>
      </w:r>
      <w:r w:rsidR="00631FDC" w:rsidRPr="00043FAA">
        <w:t xml:space="preserve">Hope </w:t>
      </w:r>
      <w:r w:rsidR="00631FDC" w:rsidRPr="00043FAA">
        <w:lastRenderedPageBreak/>
        <w:t>(</w:t>
      </w:r>
      <w:r w:rsidR="001F622A">
        <w:t>2003) studied the influence of disclosures on forecast accuracy</w:t>
      </w:r>
      <w:r w:rsidR="00631FDC" w:rsidRPr="00043FAA">
        <w:t xml:space="preserve">. </w:t>
      </w:r>
      <w:r w:rsidR="001F622A">
        <w:t>P</w:t>
      </w:r>
      <w:r w:rsidR="00631FDC">
        <w:t>ositive</w:t>
      </w:r>
      <w:r w:rsidR="00631FDC" w:rsidRPr="00B2657B">
        <w:t xml:space="preserve"> evidence </w:t>
      </w:r>
      <w:r w:rsidR="001F622A">
        <w:t>on this</w:t>
      </w:r>
      <w:r w:rsidR="00631FDC">
        <w:t xml:space="preserve"> relationship</w:t>
      </w:r>
      <w:r w:rsidR="001F622A">
        <w:t xml:space="preserve"> was found</w:t>
      </w:r>
      <w:r w:rsidR="00631FDC">
        <w:t xml:space="preserve">, </w:t>
      </w:r>
      <w:r w:rsidR="001F622A">
        <w:t xml:space="preserve">based on a sample out of </w:t>
      </w:r>
      <w:r w:rsidR="00631FDC" w:rsidRPr="00B2657B">
        <w:t>22 countries</w:t>
      </w:r>
      <w:r w:rsidR="001F622A">
        <w:t xml:space="preserve">. To measure the information contained in an annual report, the CIFAR disclosure score is used. This CIFAR score incorporates </w:t>
      </w:r>
      <w:r w:rsidR="00631FDC">
        <w:t xml:space="preserve">85 annual reports variables. The forecast error is based on the difference between actual earnings per share and forecasted earnings per share, divided by the stock price at the beginning of the fiscal year. </w:t>
      </w:r>
    </w:p>
    <w:p w:rsidR="00631FDC" w:rsidRDefault="00631FDC" w:rsidP="00452989">
      <w:pPr>
        <w:spacing w:line="360" w:lineRule="auto"/>
        <w:jc w:val="both"/>
      </w:pPr>
      <w:r>
        <w:t xml:space="preserve">The described studies of Lang </w:t>
      </w:r>
      <w:r w:rsidR="0001438A">
        <w:t>et al.</w:t>
      </w:r>
      <w:r w:rsidR="001F622A">
        <w:t xml:space="preserve"> (1996) and Hope (2003) takes the financial disclosures also into consideration when measuring the impact on the forecast error.</w:t>
      </w:r>
      <w:r>
        <w:t xml:space="preserve"> But the study of Dhaliwal et al. (2010, A) focus on the voluntary CSR disclosures and the forecast accuracy effect. </w:t>
      </w:r>
    </w:p>
    <w:p w:rsidR="00631FDC" w:rsidRPr="00B2657B" w:rsidRDefault="00631FDC" w:rsidP="00452989">
      <w:pPr>
        <w:spacing w:line="360" w:lineRule="auto"/>
        <w:jc w:val="both"/>
      </w:pPr>
    </w:p>
    <w:p w:rsidR="00631FDC" w:rsidRDefault="00631FDC" w:rsidP="00452989">
      <w:pPr>
        <w:pStyle w:val="Heading3"/>
        <w:spacing w:line="360" w:lineRule="auto"/>
        <w:jc w:val="both"/>
        <w:rPr>
          <w:color w:val="auto"/>
        </w:rPr>
      </w:pPr>
      <w:bookmarkStart w:id="42" w:name="_Toc299353384"/>
      <w:r w:rsidRPr="00AA06E2">
        <w:rPr>
          <w:color w:val="auto"/>
        </w:rPr>
        <w:t xml:space="preserve">3.2.2 Public </w:t>
      </w:r>
      <w:r w:rsidR="005E2F3B">
        <w:rPr>
          <w:color w:val="auto"/>
        </w:rPr>
        <w:t>s</w:t>
      </w:r>
      <w:r w:rsidRPr="00AA06E2">
        <w:rPr>
          <w:color w:val="auto"/>
        </w:rPr>
        <w:t>entiment</w:t>
      </w:r>
      <w:bookmarkEnd w:id="42"/>
    </w:p>
    <w:p w:rsidR="00631FDC" w:rsidRDefault="00631FDC" w:rsidP="00452989">
      <w:pPr>
        <w:spacing w:line="360" w:lineRule="auto"/>
        <w:jc w:val="both"/>
      </w:pPr>
      <w:r>
        <w:t>Stakeholders pu</w:t>
      </w:r>
      <w:r w:rsidR="00BC5BAA">
        <w:t xml:space="preserve">t pressure to implement </w:t>
      </w:r>
      <w:r>
        <w:t xml:space="preserve">more social activities into the organization. This implies </w:t>
      </w:r>
      <w:r w:rsidR="00370C66">
        <w:t>the support of stakeholder for a CSR strategy</w:t>
      </w:r>
      <w:r>
        <w:t xml:space="preserve"> (Quaak et al., 2006). If a company implement</w:t>
      </w:r>
      <w:r w:rsidR="00370C66">
        <w:t>s</w:t>
      </w:r>
      <w:r>
        <w:t xml:space="preserve"> the stakeholders demand in the organiza</w:t>
      </w:r>
      <w:r w:rsidR="008035F4">
        <w:t xml:space="preserve">tion, </w:t>
      </w:r>
      <w:r w:rsidR="00370C66">
        <w:t xml:space="preserve">stakeholders are </w:t>
      </w:r>
      <w:r>
        <w:t>satisfied.</w:t>
      </w:r>
      <w:r w:rsidR="00370C66">
        <w:t xml:space="preserve"> </w:t>
      </w:r>
      <w:r w:rsidR="00DC54DE">
        <w:t>Stakeholders’</w:t>
      </w:r>
      <w:r w:rsidR="00370C66">
        <w:t xml:space="preserve"> satisfaction has an impact on</w:t>
      </w:r>
      <w:r>
        <w:t xml:space="preserve"> company’s </w:t>
      </w:r>
      <w:r w:rsidR="00370C66">
        <w:t>sales, which is dependent on</w:t>
      </w:r>
      <w:r>
        <w:t xml:space="preserve"> stakeho</w:t>
      </w:r>
      <w:r w:rsidR="00370C66">
        <w:t>lder power. (Chen, 2009) In the</w:t>
      </w:r>
      <w:r>
        <w:t xml:space="preserve"> study</w:t>
      </w:r>
      <w:r w:rsidR="00370C66">
        <w:t xml:space="preserve"> of Chen</w:t>
      </w:r>
      <w:r w:rsidR="008035F4">
        <w:t xml:space="preserve"> multi</w:t>
      </w:r>
      <w:r>
        <w:t xml:space="preserve"> stakeholder satisfaction data</w:t>
      </w:r>
      <w:r w:rsidR="00370C66">
        <w:t xml:space="preserve"> is used</w:t>
      </w:r>
      <w:r>
        <w:t xml:space="preserve"> for proving the positive relation. Stakeholder satisfaction influences the future revenues. The influences </w:t>
      </w:r>
      <w:r w:rsidR="004D0B70">
        <w:t xml:space="preserve">of stakeholders </w:t>
      </w:r>
      <w:r>
        <w:t>on the fu</w:t>
      </w:r>
      <w:r w:rsidR="00370C66">
        <w:t xml:space="preserve">ture revenues are dependent on </w:t>
      </w:r>
      <w:r>
        <w:t xml:space="preserve">stakeholder power. </w:t>
      </w:r>
      <w:r w:rsidR="004D0B70">
        <w:t xml:space="preserve">This pressure of stakeholders to provide a CSR report is in conformity with the legitimacy theory and the stakeholder theory. </w:t>
      </w:r>
      <w:r>
        <w:t xml:space="preserve">In this subparagraph the effect of CSR on the satisfied stakeholders or </w:t>
      </w:r>
      <w:r w:rsidR="00370C66">
        <w:t xml:space="preserve">on the public sentiment is </w:t>
      </w:r>
      <w:r>
        <w:t xml:space="preserve">discussed. </w:t>
      </w:r>
      <w:r w:rsidR="004D0B70">
        <w:t xml:space="preserve">The effect on the satisfied stakeholders has also an impact on financials, this will be discussed in next part. </w:t>
      </w:r>
    </w:p>
    <w:p w:rsidR="00631FDC" w:rsidRDefault="00631FDC" w:rsidP="00452989">
      <w:pPr>
        <w:spacing w:line="360" w:lineRule="auto"/>
        <w:jc w:val="both"/>
      </w:pPr>
      <w:r>
        <w:t>Not only the fact that stakeholders are asking for a CSR strategy</w:t>
      </w:r>
      <w:r w:rsidR="007A2AF4">
        <w:t xml:space="preserve"> (stakeholder theory)</w:t>
      </w:r>
      <w:r>
        <w:t>, have influences on the public sentiment. But also the reduction in information asymmetry and agency problem is a re</w:t>
      </w:r>
      <w:r w:rsidR="00370C66">
        <w:t xml:space="preserve">sult too </w:t>
      </w:r>
      <w:r>
        <w:t>and influences the public sentiment. As already b</w:t>
      </w:r>
      <w:r w:rsidR="00370C66">
        <w:t>een mentioned in describing the impact o</w:t>
      </w:r>
      <w:r w:rsidR="009114A6">
        <w:t xml:space="preserve">f </w:t>
      </w:r>
      <w:r w:rsidR="00370C66">
        <w:t>forecast accuracy</w:t>
      </w:r>
      <w:r>
        <w:t xml:space="preserve">, CSR disclosure results in </w:t>
      </w:r>
      <w:r w:rsidR="00370C66">
        <w:t xml:space="preserve">a </w:t>
      </w:r>
      <w:r>
        <w:t>reduction of information asymmetry. Stakeholders are satisfied with this reduction, they hold more company information,</w:t>
      </w:r>
      <w:r w:rsidR="00370C66">
        <w:t xml:space="preserve"> after the disclosure. This</w:t>
      </w:r>
      <w:r w:rsidR="009114A6">
        <w:t xml:space="preserve"> results in</w:t>
      </w:r>
      <w:r>
        <w:t xml:space="preserve"> more certainty abo</w:t>
      </w:r>
      <w:r w:rsidR="009114A6">
        <w:t>ut</w:t>
      </w:r>
      <w:r>
        <w:t xml:space="preserve"> future performances of the company.</w:t>
      </w:r>
      <w:r w:rsidR="00370C66">
        <w:t xml:space="preserve"> Also the agency problem is</w:t>
      </w:r>
      <w:r>
        <w:t xml:space="preserve"> reduced after a CSR disclosure. Due to the provided information stakeholders are able to monitor management. Now stakeholders have the possibility to control management on the performed activities. This more transparent view and</w:t>
      </w:r>
      <w:r w:rsidR="00370C66">
        <w:t xml:space="preserve"> way to monitor management </w:t>
      </w:r>
      <w:r w:rsidR="00DC54DE">
        <w:t>improve</w:t>
      </w:r>
      <w:r w:rsidR="00370C66">
        <w:t xml:space="preserve"> public sentiment</w:t>
      </w:r>
      <w:r>
        <w:t xml:space="preserve">. </w:t>
      </w:r>
      <w:r w:rsidR="00370C66">
        <w:t xml:space="preserve">This </w:t>
      </w:r>
      <w:r w:rsidR="007A2AF4">
        <w:t xml:space="preserve">improved sentiment is also reflected in the </w:t>
      </w:r>
      <w:r w:rsidR="007A2AF4">
        <w:lastRenderedPageBreak/>
        <w:t>legit</w:t>
      </w:r>
      <w:r w:rsidR="009114A6">
        <w:t>imacy theory, companies wants to achieve a ‘license’ to operate. With a CSR report this ‘license’ can be obtained.</w:t>
      </w:r>
    </w:p>
    <w:p w:rsidR="00631FDC" w:rsidRDefault="009A53AB" w:rsidP="00452989">
      <w:pPr>
        <w:spacing w:line="360" w:lineRule="auto"/>
        <w:jc w:val="both"/>
      </w:pPr>
      <w:r>
        <w:t xml:space="preserve">In the study of Clarkson et al. </w:t>
      </w:r>
      <w:r w:rsidR="00631FDC">
        <w:t xml:space="preserve">(2010) </w:t>
      </w:r>
      <w:r w:rsidR="009114A6">
        <w:t>different relationship were tested. One</w:t>
      </w:r>
      <w:r w:rsidR="00631FDC">
        <w:t xml:space="preserve"> of </w:t>
      </w:r>
      <w:r w:rsidR="009114A6">
        <w:t>tested relationship</w:t>
      </w:r>
      <w:r w:rsidR="00631FDC">
        <w:t xml:space="preserve"> was between stakeholder perception and environmental voluntary disclo</w:t>
      </w:r>
      <w:r w:rsidR="009114A6">
        <w:t xml:space="preserve">sures. In </w:t>
      </w:r>
      <w:r w:rsidR="00DC54DE">
        <w:t>this study</w:t>
      </w:r>
      <w:r w:rsidR="009114A6">
        <w:t xml:space="preserve"> the economical impact of environmental disclosures was also investigated. T</w:t>
      </w:r>
      <w:r w:rsidR="007A2AF4">
        <w:t xml:space="preserve">he CSR report </w:t>
      </w:r>
      <w:r w:rsidR="00631FDC">
        <w:t>was a proxy for environmental voluntary disclosures. The Janis-Fadner coefficient was used as proxy to measure the stakeholder perception. This coefficient is build on the relationship between positive and negative environmental related articles. This study was based on the years 2003 and 2006. The sample was based on companies from the five most polluting industries of the US. For measuring the voluntary environmental disclosures, they made use of CSR reports and the quality of these reports was measured with a self constructed index. In this study an important control variable was included the Toxic Release Inventory (TRI) emissions. Emissions are mainly negative for the environment. There can be</w:t>
      </w:r>
      <w:r w:rsidR="009114A6">
        <w:t xml:space="preserve"> expected, the public judges</w:t>
      </w:r>
      <w:r w:rsidR="00631FDC">
        <w:t xml:space="preserve"> thi</w:t>
      </w:r>
      <w:r w:rsidR="009114A6">
        <w:t>s emissions in a negatively,</w:t>
      </w:r>
      <w:r w:rsidR="00631FDC">
        <w:t xml:space="preserve"> when making related information available. The overall conclusion of</w:t>
      </w:r>
      <w:r w:rsidR="009114A6">
        <w:t xml:space="preserve"> this study was, CSR reports</w:t>
      </w:r>
      <w:r w:rsidR="00631FDC">
        <w:t xml:space="preserve"> have a positive influences on the p</w:t>
      </w:r>
      <w:r w:rsidR="009114A6">
        <w:t>ublic sentiment CSR reports increased the</w:t>
      </w:r>
      <w:r w:rsidR="00631FDC">
        <w:t xml:space="preserve"> Janis-Fadner coefficient. </w:t>
      </w:r>
    </w:p>
    <w:p w:rsidR="00631FDC" w:rsidRDefault="00631FDC" w:rsidP="00452989">
      <w:pPr>
        <w:spacing w:line="360" w:lineRule="auto"/>
        <w:jc w:val="both"/>
      </w:pPr>
      <w:r>
        <w:t>In the study of Brown and</w:t>
      </w:r>
      <w:r w:rsidR="005F0D4C">
        <w:t xml:space="preserve"> Dacin (1997) is argued that </w:t>
      </w:r>
      <w:r>
        <w:t xml:space="preserve">knowledge about a </w:t>
      </w:r>
      <w:r w:rsidR="005F0D4C">
        <w:t xml:space="preserve">company, hold by consumers, </w:t>
      </w:r>
      <w:r w:rsidR="00DC54DE">
        <w:t>and affects</w:t>
      </w:r>
      <w:r>
        <w:t xml:space="preserve"> the attitude and behavior towards the company. This affects was m</w:t>
      </w:r>
      <w:r w:rsidR="005F0D4C">
        <w:t xml:space="preserve">easured with a field study, </w:t>
      </w:r>
      <w:r>
        <w:t>potential consumers w</w:t>
      </w:r>
      <w:r w:rsidR="008035F4">
        <w:t>ere asked to evaluate products.</w:t>
      </w:r>
      <w:r>
        <w:t xml:space="preserve"> </w:t>
      </w:r>
      <w:r w:rsidR="00DC54DE">
        <w:t>CSR disclosures give</w:t>
      </w:r>
      <w:r>
        <w:t xml:space="preserve"> consumers insight knowledge about the social activities of </w:t>
      </w:r>
      <w:r w:rsidR="008035F4">
        <w:t xml:space="preserve">the company. </w:t>
      </w:r>
      <w:r>
        <w:t xml:space="preserve">This knowledge will affect the consumer’s attitude and behavior towards the company. </w:t>
      </w:r>
      <w:r w:rsidR="005F0D4C">
        <w:t>A positive relation was observed</w:t>
      </w:r>
      <w:r w:rsidR="00A72848">
        <w:t xml:space="preserve">, CSR disclosures influence </w:t>
      </w:r>
      <w:r>
        <w:t>reputation. Especially a</w:t>
      </w:r>
      <w:r w:rsidR="00A72848">
        <w:t>n improvement of reputation takes</w:t>
      </w:r>
      <w:r>
        <w:t xml:space="preserve"> place in countries where consumers have a high level of awareness on social issues. Following the study of Lev, Petrovits and Radhakr</w:t>
      </w:r>
      <w:r w:rsidR="00A72848">
        <w:t>ishnan (2010) this effect is</w:t>
      </w:r>
      <w:r>
        <w:t xml:space="preserve"> extended to higher sales. In this study is argued that companies with better </w:t>
      </w:r>
      <w:r w:rsidR="00DC54DE">
        <w:t>reputation</w:t>
      </w:r>
      <w:r>
        <w:t xml:space="preserve"> face an improvement in sales. This relation is stronger for companies who operate in the consumer market, these companies have to deal with high levels of </w:t>
      </w:r>
      <w:r w:rsidR="00DC54DE">
        <w:t>consumer’s</w:t>
      </w:r>
      <w:r>
        <w:t xml:space="preserve"> sensitivity.</w:t>
      </w:r>
    </w:p>
    <w:p w:rsidR="00631FDC" w:rsidRDefault="00631FDC" w:rsidP="00452989">
      <w:pPr>
        <w:spacing w:line="360" w:lineRule="auto"/>
        <w:jc w:val="both"/>
      </w:pPr>
      <w:r>
        <w:t xml:space="preserve">Ittner and Larcker (1998) found a positive association between </w:t>
      </w:r>
      <w:r w:rsidR="00DC54DE">
        <w:t>consumers’</w:t>
      </w:r>
      <w:r>
        <w:t xml:space="preserve"> satisfaction and company’s financial performances. Ittner </w:t>
      </w:r>
      <w:r w:rsidR="0001438A">
        <w:t>et al.</w:t>
      </w:r>
      <w:r>
        <w:t xml:space="preserve"> (1998) studied if financial performances are dependent on non-financial measurements. Customer satisfaction is a proxy for measuring</w:t>
      </w:r>
      <w:r w:rsidR="008035F4">
        <w:t xml:space="preserve"> the non-financial performance.</w:t>
      </w:r>
      <w:r>
        <w:t xml:space="preserve"> </w:t>
      </w:r>
      <w:r w:rsidR="008035F4">
        <w:t>The used customer satisfaction is highly dependent on CSR. In this study of Ittner et al. (1998) a positive relation between CSR and customer satisfaction is concluded.</w:t>
      </w:r>
    </w:p>
    <w:p w:rsidR="00631FDC" w:rsidRPr="00AA06E2" w:rsidRDefault="00631FDC" w:rsidP="00452989">
      <w:pPr>
        <w:pStyle w:val="Heading3"/>
        <w:spacing w:line="360" w:lineRule="auto"/>
        <w:jc w:val="both"/>
        <w:rPr>
          <w:color w:val="auto"/>
        </w:rPr>
      </w:pPr>
      <w:bookmarkStart w:id="43" w:name="_Toc299353385"/>
      <w:r w:rsidRPr="00AA06E2">
        <w:rPr>
          <w:color w:val="auto"/>
        </w:rPr>
        <w:lastRenderedPageBreak/>
        <w:t xml:space="preserve">3.2.3 Financial </w:t>
      </w:r>
      <w:r w:rsidR="005E2F3B">
        <w:rPr>
          <w:color w:val="auto"/>
        </w:rPr>
        <w:t>i</w:t>
      </w:r>
      <w:r w:rsidRPr="00AA06E2">
        <w:rPr>
          <w:color w:val="auto"/>
        </w:rPr>
        <w:t>mpacts</w:t>
      </w:r>
      <w:bookmarkEnd w:id="43"/>
    </w:p>
    <w:p w:rsidR="00631FDC" w:rsidRDefault="008B7F16" w:rsidP="00452989">
      <w:pPr>
        <w:spacing w:line="360" w:lineRule="auto"/>
        <w:jc w:val="both"/>
      </w:pPr>
      <w:r>
        <w:t xml:space="preserve">CSR information provides information about future company’s </w:t>
      </w:r>
      <w:r w:rsidR="00DC54DE">
        <w:t xml:space="preserve">performances. </w:t>
      </w:r>
      <w:r>
        <w:t xml:space="preserve">Expectations about future performances have a financial impact. </w:t>
      </w:r>
      <w:r w:rsidR="00631FDC">
        <w:t xml:space="preserve"> Financi</w:t>
      </w:r>
      <w:r>
        <w:t xml:space="preserve">al performances are affected </w:t>
      </w:r>
      <w:r w:rsidR="00631FDC">
        <w:t>by</w:t>
      </w:r>
      <w:r>
        <w:t xml:space="preserve"> a</w:t>
      </w:r>
      <w:r w:rsidR="00631FDC">
        <w:t xml:space="preserve"> CSR r</w:t>
      </w:r>
      <w:r>
        <w:t>eport. The</w:t>
      </w:r>
      <w:r w:rsidR="00631FDC">
        <w:t xml:space="preserve"> </w:t>
      </w:r>
      <w:r w:rsidR="00DC54DE">
        <w:t>reduction in information asymmetry and agency problem is</w:t>
      </w:r>
      <w:r w:rsidR="00631FDC">
        <w:t xml:space="preserve"> influencing financial performances. </w:t>
      </w:r>
      <w:r>
        <w:t xml:space="preserve">This has an influence on the public sentiment. Before already is described that the impact on the public sentiment is </w:t>
      </w:r>
      <w:r w:rsidR="00DC54DE">
        <w:t>affected</w:t>
      </w:r>
      <w:r>
        <w:t xml:space="preserve"> by the agency theory, information asymmetry, legitimacy theory and stakeholder theory. </w:t>
      </w:r>
      <w:r w:rsidR="00631FDC">
        <w:t xml:space="preserve"> Due to improve</w:t>
      </w:r>
      <w:r>
        <w:t>ments in public sentiment</w:t>
      </w:r>
      <w:r w:rsidR="00DC54DE">
        <w:t>, total sales improve</w:t>
      </w:r>
      <w:r w:rsidR="00631FDC">
        <w:t xml:space="preserve">. Total costs </w:t>
      </w:r>
      <w:r>
        <w:t xml:space="preserve">can be reduced by a decrease of pollution and </w:t>
      </w:r>
      <w:r w:rsidR="00631FDC">
        <w:t>litigation risks. Info</w:t>
      </w:r>
      <w:r>
        <w:t xml:space="preserve">rmation </w:t>
      </w:r>
      <w:r w:rsidR="00DC54DE">
        <w:t>holds</w:t>
      </w:r>
      <w:r>
        <w:t xml:space="preserve"> by </w:t>
      </w:r>
      <w:r w:rsidR="00DC54DE">
        <w:t>stakeholders increase</w:t>
      </w:r>
      <w:r w:rsidR="00631FDC">
        <w:t>, this will lower the information asymmetry. Due</w:t>
      </w:r>
      <w:r w:rsidR="00FA34D7">
        <w:t xml:space="preserve"> to,</w:t>
      </w:r>
      <w:r w:rsidR="00631FDC">
        <w:t xml:space="preserve"> the provided information, stakeholders </w:t>
      </w:r>
      <w:r w:rsidR="00FA34D7">
        <w:t>are able to control management on</w:t>
      </w:r>
      <w:r w:rsidR="00631FDC">
        <w:t xml:space="preserve"> environmental and social behavior. There will </w:t>
      </w:r>
      <w:r>
        <w:t xml:space="preserve">be expected that this shall face </w:t>
      </w:r>
      <w:r w:rsidR="00631FDC">
        <w:t>a reduction in cost of equity and</w:t>
      </w:r>
      <w:r>
        <w:t xml:space="preserve"> cost of</w:t>
      </w:r>
      <w:r w:rsidR="00631FDC">
        <w:t xml:space="preserve"> debt. Investors receiving more certainty about the company’s performances. </w:t>
      </w:r>
      <w:r w:rsidR="00E20E3A">
        <w:t>In the</w:t>
      </w:r>
      <w:r w:rsidR="00FA34D7">
        <w:t xml:space="preserve"> study of Lev et al. (2010) is argued that the improvement in public sentiment is reflected in the increase of sales. </w:t>
      </w:r>
      <w:r w:rsidR="00592F3B">
        <w:t xml:space="preserve">The </w:t>
      </w:r>
      <w:r w:rsidR="00DC54DE">
        <w:t>increase in sales has</w:t>
      </w:r>
      <w:r w:rsidR="00FA34D7">
        <w:t xml:space="preserve"> an influence on the financial performances of the company. </w:t>
      </w:r>
    </w:p>
    <w:p w:rsidR="00631FDC" w:rsidRDefault="00FA34D7" w:rsidP="00452989">
      <w:pPr>
        <w:spacing w:line="360" w:lineRule="auto"/>
        <w:jc w:val="both"/>
      </w:pPr>
      <w:r>
        <w:t xml:space="preserve">In the study of Dhaliwal, Li, Tsang and </w:t>
      </w:r>
      <w:r w:rsidR="00DC54DE">
        <w:t>Yang (</w:t>
      </w:r>
      <w:r w:rsidR="00631FDC">
        <w:t xml:space="preserve">2010, B) the relation between voluntary nonfinancial disclosure and the cost of equity capital is researched. In this study there is made use of CSR reporting as an indicator for voluntary nonfinancial disclosures. They only incorporate standalone CSR reports, coming from U.S. companies. The level of the reports are ranked, this is based on the KLD social performance ranking. If no standalone report is disclosed, the indicator variable will have a value of zero.  The used cost of </w:t>
      </w:r>
      <w:r w:rsidR="00DC54DE">
        <w:t>equity</w:t>
      </w:r>
      <w:r w:rsidR="00631FDC">
        <w:t xml:space="preserve"> is calculated by three different models, the </w:t>
      </w:r>
      <w:r>
        <w:t>mean of these models is used to indicate the cost of equity. The founded var</w:t>
      </w:r>
      <w:r w:rsidR="00631FDC">
        <w:t xml:space="preserve">iables are incorporated in two different regression models. The cost of equity plays in important role in financing the company, this financing finally faces results in the operational activities. </w:t>
      </w:r>
    </w:p>
    <w:p w:rsidR="00631FDC" w:rsidRPr="000C5A6C" w:rsidRDefault="00631FDC" w:rsidP="00452989">
      <w:pPr>
        <w:spacing w:line="360" w:lineRule="auto"/>
        <w:jc w:val="both"/>
      </w:pPr>
      <w:r>
        <w:t>The first regression model</w:t>
      </w:r>
      <w:r w:rsidR="00FA34D7">
        <w:t xml:space="preserve"> of Dhaliwal et al. (2010, B) </w:t>
      </w:r>
      <w:r>
        <w:t xml:space="preserve"> test if companies with high cost of equity are more likely to disclose </w:t>
      </w:r>
      <w:r w:rsidR="00592F3B">
        <w:t>CSR information</w:t>
      </w:r>
      <w:r>
        <w:t xml:space="preserve">.  This is researched by including all first-time reporting company variables. The second </w:t>
      </w:r>
      <w:r w:rsidR="00DC54DE">
        <w:t>model tests</w:t>
      </w:r>
      <w:r>
        <w:t xml:space="preserve"> the negative relation between cost of equity and </w:t>
      </w:r>
      <w:r w:rsidR="00592F3B">
        <w:t>CSR reporting. In the study of Dhaliwal et al. (2010, B) a negative relation between cost of equity and CSR reporting was observed.</w:t>
      </w:r>
      <w:r>
        <w:t xml:space="preserve"> </w:t>
      </w:r>
      <w:r w:rsidR="00F95437">
        <w:t>C</w:t>
      </w:r>
      <w:r>
        <w:t xml:space="preserve">ost of equity is reduced after the implementation of the first CSR report. For </w:t>
      </w:r>
      <w:r w:rsidR="00F95437">
        <w:t xml:space="preserve">well CSR </w:t>
      </w:r>
      <w:r>
        <w:t>performing companies, this association is stronger.</w:t>
      </w:r>
      <w:r w:rsidR="00F95437">
        <w:t xml:space="preserve"> Companies which disclose better financial CSR performances are more attractive for investors.</w:t>
      </w:r>
      <w:r>
        <w:t xml:space="preserve"> </w:t>
      </w:r>
      <w:r w:rsidRPr="000C5A6C">
        <w:t>(Dhaliwal et al., 2010, B)</w:t>
      </w:r>
    </w:p>
    <w:p w:rsidR="00631FDC" w:rsidRPr="00DF6205" w:rsidRDefault="00631FDC" w:rsidP="00452989">
      <w:pPr>
        <w:spacing w:line="360" w:lineRule="auto"/>
        <w:jc w:val="both"/>
        <w:rPr>
          <w:color w:val="FF0000"/>
        </w:rPr>
      </w:pPr>
      <w:r w:rsidRPr="000C5A6C">
        <w:lastRenderedPageBreak/>
        <w:t xml:space="preserve"> </w:t>
      </w:r>
      <w:r>
        <w:t xml:space="preserve">The founding’s of Dhaliwal et al. (2010, B) are in </w:t>
      </w:r>
      <w:r w:rsidR="00DC54DE">
        <w:t xml:space="preserve">conformity </w:t>
      </w:r>
      <w:r w:rsidR="00DC54DE" w:rsidRPr="00AA319F">
        <w:t>with</w:t>
      </w:r>
      <w:r w:rsidRPr="00AA319F">
        <w:t xml:space="preserve"> the findings of Franke</w:t>
      </w:r>
      <w:r>
        <w:t xml:space="preserve">l, McNichols and Wilson (1995). In their study they investigated the reason of providing voluntary disclosures. They argue that companies which disclose voluntary information, wants to raise capital in the future. If companies are providing more information than required, they will be followed by more investors. When providing more information the cost of future raised capital will decrease. In this study also evidences is found about the negative relationship between </w:t>
      </w:r>
      <w:r w:rsidR="00F95437">
        <w:t>voluntary disclosures</w:t>
      </w:r>
      <w:r>
        <w:t xml:space="preserve"> and cost of equity. </w:t>
      </w:r>
      <w:r w:rsidR="00DC54DE">
        <w:t>These findings</w:t>
      </w:r>
      <w:r>
        <w:t xml:space="preserve"> are based </w:t>
      </w:r>
      <w:r w:rsidR="00DC54DE">
        <w:t>on 1880</w:t>
      </w:r>
      <w:r>
        <w:t xml:space="preserve"> companies, from the New </w:t>
      </w:r>
      <w:r w:rsidR="00F95437">
        <w:t>York Stock Exchange. Since CSR reports are</w:t>
      </w:r>
      <w:r>
        <w:t xml:space="preserve"> voluntary disclosures,</w:t>
      </w:r>
      <w:r w:rsidR="00F95437">
        <w:t xml:space="preserve"> this results are applicable to CSR reporting.</w:t>
      </w:r>
    </w:p>
    <w:p w:rsidR="00631FDC" w:rsidRPr="00B955E5" w:rsidRDefault="00631FDC" w:rsidP="00452989">
      <w:pPr>
        <w:spacing w:line="360" w:lineRule="auto"/>
        <w:jc w:val="both"/>
      </w:pPr>
      <w:r w:rsidRPr="00B955E5">
        <w:t xml:space="preserve">Richardson and Welker (2001) investigated in their study the relation between cost of equity and financial and </w:t>
      </w:r>
      <w:r>
        <w:t xml:space="preserve">social disclosures. </w:t>
      </w:r>
      <w:r w:rsidR="00DC54DE">
        <w:t>In t</w:t>
      </w:r>
      <w:r>
        <w:t xml:space="preserve">his sample </w:t>
      </w:r>
      <w:r w:rsidR="00F95437">
        <w:t>C</w:t>
      </w:r>
      <w:r>
        <w:t>anadian companies</w:t>
      </w:r>
      <w:r w:rsidR="00F95437">
        <w:t xml:space="preserve"> are included</w:t>
      </w:r>
      <w:r>
        <w:t xml:space="preserve">, in the period 1990 till 1992. For measuring the financial and social disclosures there is made use of a score, which ranks the quality and quantity of the reports. A negative </w:t>
      </w:r>
      <w:r w:rsidR="00F95437">
        <w:t>relation</w:t>
      </w:r>
      <w:r>
        <w:t xml:space="preserve"> between cost of equity and financial disclosures has been found. But surp</w:t>
      </w:r>
      <w:r w:rsidR="00F95437">
        <w:t xml:space="preserve">risingly a positive relation </w:t>
      </w:r>
      <w:r>
        <w:t xml:space="preserve">between cost of equity and the quality and quantity of social disclosures. This positive relation </w:t>
      </w:r>
      <w:r w:rsidR="00F95437">
        <w:t xml:space="preserve">faces </w:t>
      </w:r>
      <w:r>
        <w:t>a reduction, when company has good financial performances. There is argued that this sur</w:t>
      </w:r>
      <w:r w:rsidR="00AB1203">
        <w:t xml:space="preserve">prising </w:t>
      </w:r>
      <w:r w:rsidR="00DC54DE">
        <w:t>result</w:t>
      </w:r>
      <w:r w:rsidR="00AB1203">
        <w:t xml:space="preserve"> is coming from</w:t>
      </w:r>
      <w:r>
        <w:t xml:space="preserve"> bias in the social disclosures. They claim, </w:t>
      </w:r>
      <w:r w:rsidR="00DC54DE">
        <w:t>social disclosures add</w:t>
      </w:r>
      <w:r>
        <w:t xml:space="preserve"> value to the company, not only the cost </w:t>
      </w:r>
      <w:r w:rsidR="00DC54DE">
        <w:t>reduction is</w:t>
      </w:r>
      <w:r>
        <w:t xml:space="preserve"> of importance</w:t>
      </w:r>
      <w:r w:rsidR="00AB1203">
        <w:t xml:space="preserve"> but also other benefits exist</w:t>
      </w:r>
      <w:r>
        <w:t xml:space="preserve">. Financial investors are not the only </w:t>
      </w:r>
      <w:r w:rsidR="00DC54DE">
        <w:t>party which is</w:t>
      </w:r>
      <w:r>
        <w:t xml:space="preserve"> affected by the </w:t>
      </w:r>
      <w:r w:rsidR="00DC54DE">
        <w:t>social disclosure</w:t>
      </w:r>
      <w:r>
        <w:t xml:space="preserve">, but also other stakeholders, for example consumers, are affected. The improvements in </w:t>
      </w:r>
      <w:r w:rsidR="00DC54DE">
        <w:t>customers’</w:t>
      </w:r>
      <w:r>
        <w:t xml:space="preserve"> satisfaction also play a role in CSR reporting. </w:t>
      </w:r>
    </w:p>
    <w:p w:rsidR="00631FDC" w:rsidRPr="0095543D" w:rsidRDefault="00631FDC" w:rsidP="00452989">
      <w:pPr>
        <w:spacing w:line="360" w:lineRule="auto"/>
        <w:jc w:val="both"/>
        <w:rPr>
          <w:color w:val="FF0000"/>
        </w:rPr>
      </w:pPr>
      <w:r w:rsidRPr="009B37E5">
        <w:t xml:space="preserve">The relation between firm value and voluntary environmental </w:t>
      </w:r>
      <w:r w:rsidR="00DC54DE" w:rsidRPr="009B37E5">
        <w:t>disclosures is</w:t>
      </w:r>
      <w:r w:rsidRPr="009B37E5">
        <w:t xml:space="preserve"> examined in the study of Plumlee, Brown and Marhshall</w:t>
      </w:r>
      <w:r>
        <w:t xml:space="preserve"> (2008)</w:t>
      </w:r>
      <w:r w:rsidRPr="009B37E5">
        <w:t>.</w:t>
      </w:r>
      <w:r>
        <w:t xml:space="preserve"> The firm value is composed out of the cost of equity and the future expected cashflows. The </w:t>
      </w:r>
      <w:r w:rsidR="00DC54DE">
        <w:t>sample of this study includes</w:t>
      </w:r>
      <w:r>
        <w:t xml:space="preserve"> 5 industry types (oil &amp; gas, chemical, food &amp; beverage, pharmaceutical and electric utilities</w:t>
      </w:r>
      <w:r w:rsidR="00DC54DE">
        <w:t>) from</w:t>
      </w:r>
      <w:r>
        <w:t xml:space="preserve"> the United States. To measure the quality of the environmental disclosures, they use a self constructed index</w:t>
      </w:r>
      <w:r w:rsidR="00F95437">
        <w:t>,</w:t>
      </w:r>
      <w:r>
        <w:t xml:space="preserve"> based on the GRI </w:t>
      </w:r>
      <w:r w:rsidR="00F95437">
        <w:t>Report List</w:t>
      </w:r>
      <w:r>
        <w:t xml:space="preserve">. </w:t>
      </w:r>
      <w:r w:rsidRPr="009B37E5">
        <w:t xml:space="preserve"> </w:t>
      </w:r>
      <w:r>
        <w:t xml:space="preserve">In this study environmental announcement </w:t>
      </w:r>
      <w:r w:rsidR="00F95437">
        <w:t>provided i</w:t>
      </w:r>
      <w:r>
        <w:t xml:space="preserve">n the annual report are incorporated as well. The findings were </w:t>
      </w:r>
      <w:r w:rsidR="005B3516">
        <w:t xml:space="preserve">consistent with a </w:t>
      </w:r>
      <w:r w:rsidR="00F95437">
        <w:t xml:space="preserve">positive relation </w:t>
      </w:r>
      <w:r>
        <w:t>between environmental disclosures and firm value. This impli</w:t>
      </w:r>
      <w:r w:rsidR="005B3516">
        <w:t xml:space="preserve">es a negative relation between </w:t>
      </w:r>
      <w:r>
        <w:t xml:space="preserve">cost of equity and the quantity of environmental disclosures. More information provided for the investors implies a reduction in the cost of equity. But the association between future expected cashflows and environmental disclosures is positive, found in the study of Plumlee et al. (2008). The present quality of the environmental performances, represent high financial performances in the future. </w:t>
      </w:r>
    </w:p>
    <w:p w:rsidR="00631FDC" w:rsidRDefault="00AB1203" w:rsidP="00452989">
      <w:pPr>
        <w:spacing w:line="360" w:lineRule="auto"/>
        <w:jc w:val="both"/>
      </w:pPr>
      <w:r>
        <w:lastRenderedPageBreak/>
        <w:t xml:space="preserve">The </w:t>
      </w:r>
      <w:r w:rsidR="00631FDC">
        <w:t>recent study of</w:t>
      </w:r>
      <w:r w:rsidR="00631FDC" w:rsidRPr="0028618E">
        <w:t xml:space="preserve"> Clarkson</w:t>
      </w:r>
      <w:r w:rsidR="00631FDC">
        <w:t xml:space="preserve"> et al.</w:t>
      </w:r>
      <w:r w:rsidR="00631FDC" w:rsidRPr="0028618E">
        <w:t xml:space="preserve"> (2010)</w:t>
      </w:r>
      <w:r w:rsidR="00631FDC">
        <w:t xml:space="preserve"> takes the economical and the social impact of voluntary environmental disclosures into considerations. This study is based on the previous discussed studies of Dhaliwal et al. (2010, B), Richardson </w:t>
      </w:r>
      <w:r w:rsidR="0001438A">
        <w:t>et al.</w:t>
      </w:r>
      <w:r w:rsidR="00631FDC">
        <w:t xml:space="preserve"> (2001) and Plumlee et al. (2008). Again in the study of Clarkson et al. (2010)</w:t>
      </w:r>
      <w:r>
        <w:t xml:space="preserve">, </w:t>
      </w:r>
      <w:r w:rsidR="00631FDC">
        <w:t xml:space="preserve">the CSR </w:t>
      </w:r>
      <w:r w:rsidR="00DC54DE">
        <w:t>disclosures are</w:t>
      </w:r>
      <w:r>
        <w:t xml:space="preserve"> taken </w:t>
      </w:r>
      <w:r w:rsidR="00631FDC">
        <w:t>as measurement for volu</w:t>
      </w:r>
      <w:r>
        <w:t>ntary environmental disclosure</w:t>
      </w:r>
      <w:r w:rsidR="00631FDC">
        <w:t xml:space="preserve">.  The used sample in this </w:t>
      </w:r>
      <w:r w:rsidR="00DC54DE">
        <w:t>study</w:t>
      </w:r>
      <w:r w:rsidR="00631FDC">
        <w:t xml:space="preserve"> covers companies from the most polluting industries in the U.S. The impacts of CSR disclosure on cost of equity, firm value and public perception are researched. The researchers choose to investigate the effects of pollution industries, because </w:t>
      </w:r>
      <w:r w:rsidR="00DC54DE">
        <w:t>these companies</w:t>
      </w:r>
      <w:r w:rsidR="00631FDC">
        <w:t xml:space="preserve"> have relatively high environmental expenditures. </w:t>
      </w:r>
      <w:r w:rsidR="00DC54DE">
        <w:t>These high expenditures</w:t>
      </w:r>
      <w:r w:rsidR="00631FDC">
        <w:t xml:space="preserve"> possibly </w:t>
      </w:r>
      <w:r w:rsidR="00DC54DE">
        <w:t>affect</w:t>
      </w:r>
      <w:r w:rsidR="00631FDC">
        <w:t xml:space="preserve"> firm value. In this study also the environmental performances </w:t>
      </w:r>
      <w:r w:rsidR="00DC54DE">
        <w:t>are taken</w:t>
      </w:r>
      <w:r w:rsidR="00631FDC">
        <w:t xml:space="preserve"> in consideration. For measuring this, there is made use of the Toxics Release Inventory (TRI) emissions.  For measuring the impact of CSR quality, the CSR report quality is based on a self constructed index of Clarkson, Li, Richardson and Vasvari (2008). The firm value is measured by the stock prices at the end of the fiscal year.  The cost of equity is based on the average of two different models.</w:t>
      </w:r>
      <w:r>
        <w:t xml:space="preserve"> </w:t>
      </w:r>
      <w:r w:rsidR="00631FDC">
        <w:t xml:space="preserve">In the study of Clarkson et al. (2010) there is found evidence about the </w:t>
      </w:r>
      <w:r w:rsidR="00DC54DE">
        <w:t>positive relationship</w:t>
      </w:r>
      <w:r w:rsidR="00631FDC">
        <w:t xml:space="preserve"> between CSR disclosures and firm value.  The provided information adds incremental information</w:t>
      </w:r>
      <w:r w:rsidR="005B3516">
        <w:t xml:space="preserve"> for investors, </w:t>
      </w:r>
      <w:r w:rsidR="00DC54DE">
        <w:t>these results</w:t>
      </w:r>
      <w:r w:rsidR="005B3516">
        <w:t xml:space="preserve"> from</w:t>
      </w:r>
      <w:r w:rsidR="00631FDC">
        <w:t xml:space="preserve"> the changes in stock prices. The control variable toxic </w:t>
      </w:r>
      <w:r w:rsidR="00DC54DE">
        <w:t>emissions have</w:t>
      </w:r>
      <w:r w:rsidR="00631FDC">
        <w:t xml:space="preserve"> a negative influence on the stock price. This is obviously, more toxic emissions </w:t>
      </w:r>
      <w:r w:rsidR="00DC54DE">
        <w:t>have</w:t>
      </w:r>
      <w:r w:rsidR="00631FDC">
        <w:t xml:space="preserve"> a negative influence on the environmental performances of the company and this is reflected in the stock price. The toxic emission data provides insight to the risk and future environmental liabilities of the company.</w:t>
      </w:r>
    </w:p>
    <w:p w:rsidR="00631FDC" w:rsidRDefault="00631FDC" w:rsidP="00452989">
      <w:pPr>
        <w:spacing w:line="360" w:lineRule="auto"/>
        <w:jc w:val="both"/>
      </w:pPr>
      <w:r w:rsidRPr="0028618E">
        <w:t xml:space="preserve"> </w:t>
      </w:r>
      <w:r>
        <w:t>In contrast with the study of Dhaliwal et al.</w:t>
      </w:r>
      <w:r w:rsidRPr="00DB7FEB">
        <w:t xml:space="preserve"> (2010</w:t>
      </w:r>
      <w:r>
        <w:t>, B) the study of Clarkson et al. (2010) fou</w:t>
      </w:r>
      <w:r w:rsidRPr="00DB7FEB">
        <w:t>nd no evidence for a reduction in cost of equity. This difference can be explained by the differences in studies, the study of Clarkson</w:t>
      </w:r>
      <w:r>
        <w:t xml:space="preserve"> et al. (2010) studied the most polluting companies</w:t>
      </w:r>
      <w:r w:rsidRPr="003070A2">
        <w:t>.</w:t>
      </w:r>
      <w:r w:rsidR="005B3516">
        <w:t xml:space="preserve">  Polluting</w:t>
      </w:r>
      <w:r>
        <w:t xml:space="preserve"> companies are more involved with r</w:t>
      </w:r>
      <w:r w:rsidR="005B3516">
        <w:t>isk related due to the pollution</w:t>
      </w:r>
      <w:r>
        <w:t>. This risk</w:t>
      </w:r>
      <w:r w:rsidR="00917810">
        <w:t xml:space="preserve"> will increase the cost of equity of polluting companies.</w:t>
      </w:r>
      <w:r>
        <w:t xml:space="preserve"> </w:t>
      </w:r>
      <w:r w:rsidRPr="00DB7FEB">
        <w:t xml:space="preserve"> </w:t>
      </w:r>
    </w:p>
    <w:p w:rsidR="00631FDC" w:rsidRDefault="00631FDC" w:rsidP="00452989">
      <w:pPr>
        <w:spacing w:line="360" w:lineRule="auto"/>
        <w:jc w:val="both"/>
      </w:pPr>
      <w:r>
        <w:t xml:space="preserve">Carbon emissions are an important factor in the environmental performances of companies. Providing information about this variable </w:t>
      </w:r>
      <w:r w:rsidR="00EE70B2">
        <w:t xml:space="preserve">can </w:t>
      </w:r>
      <w:r w:rsidR="005B3516">
        <w:t xml:space="preserve">be done </w:t>
      </w:r>
      <w:r w:rsidR="00DC54DE">
        <w:t>with a</w:t>
      </w:r>
      <w:r>
        <w:t xml:space="preserve"> CSR report. The influences of carbon emissions are studied in the research of Matsumura, Prakash and Vera-Munoz (2010). In this study there is investigated whether carbon emissions is associated with firm value and cost of equity </w:t>
      </w:r>
      <w:r w:rsidR="00DC54DE">
        <w:t>and cost</w:t>
      </w:r>
      <w:r w:rsidR="00917810">
        <w:t xml:space="preserve"> of </w:t>
      </w:r>
      <w:r>
        <w:t xml:space="preserve">debt. The researched studied if </w:t>
      </w:r>
      <w:r w:rsidR="00DC54DE">
        <w:t>disclosures of carbon emission have</w:t>
      </w:r>
      <w:r>
        <w:t xml:space="preserve"> an impact on the firm value, cost of equity and debt. </w:t>
      </w:r>
      <w:r w:rsidRPr="00917810">
        <w:t xml:space="preserve">Carbon emission is an important </w:t>
      </w:r>
      <w:r w:rsidR="00917810" w:rsidRPr="00917810">
        <w:t>environmental performance</w:t>
      </w:r>
      <w:r w:rsidR="00DC54DE" w:rsidRPr="00917810">
        <w:t>, carbon</w:t>
      </w:r>
      <w:r w:rsidR="00917810" w:rsidRPr="00917810">
        <w:t xml:space="preserve"> emissions is a measurement for th</w:t>
      </w:r>
      <w:r w:rsidR="00917810">
        <w:t>e pollution of a company. Th</w:t>
      </w:r>
      <w:r>
        <w:t xml:space="preserve">is pollution amount is furthermore related to the </w:t>
      </w:r>
      <w:r>
        <w:lastRenderedPageBreak/>
        <w:t>amount of future claims. When st</w:t>
      </w:r>
      <w:r w:rsidR="00917810">
        <w:t>akeholders are provided with</w:t>
      </w:r>
      <w:r>
        <w:t xml:space="preserve"> carbon </w:t>
      </w:r>
      <w:r w:rsidR="00917810">
        <w:t xml:space="preserve">emission </w:t>
      </w:r>
      <w:r>
        <w:t>information, a</w:t>
      </w:r>
      <w:r w:rsidR="00917810">
        <w:t>n</w:t>
      </w:r>
      <w:r>
        <w:t xml:space="preserve"> effect </w:t>
      </w:r>
      <w:r w:rsidR="00917810">
        <w:t>on financial variables is expectable.</w:t>
      </w:r>
      <w:r>
        <w:t xml:space="preserve"> </w:t>
      </w:r>
    </w:p>
    <w:p w:rsidR="00631FDC" w:rsidRDefault="00631FDC" w:rsidP="00452989">
      <w:pPr>
        <w:spacing w:line="360" w:lineRule="auto"/>
        <w:jc w:val="both"/>
      </w:pPr>
      <w:r>
        <w:t>For investigating the relationship</w:t>
      </w:r>
      <w:r w:rsidR="00917810">
        <w:t xml:space="preserve"> between carbon emission on firm value, cost of equity and cost of debt</w:t>
      </w:r>
      <w:r w:rsidR="00DC54DE">
        <w:t>, Matsumura</w:t>
      </w:r>
      <w:r>
        <w:t xml:space="preserve"> et al. (2010) made use of S&amp;P 500 companies for the period 2006-2008. The data about carbon emissions are observed from the Carbon Disclosure Project (CDP) database. CDP is an organization which holds the climate c</w:t>
      </w:r>
      <w:r w:rsidR="00917810">
        <w:t>hange information of</w:t>
      </w:r>
      <w:r>
        <w:t xml:space="preserve"> companies.  In this study also </w:t>
      </w:r>
      <w:r w:rsidR="00DC54DE">
        <w:t>a</w:t>
      </w:r>
      <w:r>
        <w:t xml:space="preserve"> separation is made between high and low carbon emitters. The highly carbon emitters are mainly the chemical, utilities and computer and electronic product manufacturers. For testing the influences there is made use of a regression,</w:t>
      </w:r>
      <w:r w:rsidR="00EE70B2">
        <w:t xml:space="preserve"> in this regression</w:t>
      </w:r>
      <w:r>
        <w:t xml:space="preserve"> several control variables are implemented. </w:t>
      </w:r>
    </w:p>
    <w:p w:rsidR="009666A8" w:rsidRDefault="00631FDC" w:rsidP="00452989">
      <w:pPr>
        <w:spacing w:line="360" w:lineRule="auto"/>
        <w:jc w:val="both"/>
      </w:pPr>
      <w:r>
        <w:t xml:space="preserve">The results show a negative relation between firm value and carbon emissions. Companies with a higher level of carbon </w:t>
      </w:r>
      <w:r w:rsidR="00DC54DE">
        <w:t>pollution</w:t>
      </w:r>
      <w:r>
        <w:t xml:space="preserve"> will face a lower level of firm value. This relationship is showed for the high carbon emitters, but no negative relationship was found for the low carbon emitters. This conforms the expectation, that carbon emission is more a concern of high carbon intensive industries.  The negative </w:t>
      </w:r>
      <w:r w:rsidR="00DC54DE">
        <w:t>effect of carbon emission is</w:t>
      </w:r>
      <w:r>
        <w:t xml:space="preserve"> reflected in lower level of firm value. Surprisingly a negative relation is observed between carbon emission and the cost of equity. This relation is significant for the highly carbon emitters and not significant for the low carbon emitters. At beforehand a positive relation was expected, </w:t>
      </w:r>
      <w:r w:rsidR="00917810">
        <w:t xml:space="preserve">because </w:t>
      </w:r>
      <w:r>
        <w:t xml:space="preserve">the negative effect </w:t>
      </w:r>
      <w:r w:rsidR="00917810">
        <w:t>of</w:t>
      </w:r>
      <w:r>
        <w:t xml:space="preserve"> carbon emissions </w:t>
      </w:r>
      <w:r w:rsidR="00917810">
        <w:t xml:space="preserve">should compensate </w:t>
      </w:r>
      <w:r w:rsidR="00DC54DE">
        <w:t>investors. Therefore</w:t>
      </w:r>
      <w:r w:rsidR="00EE70B2">
        <w:t xml:space="preserve"> a</w:t>
      </w:r>
      <w:r>
        <w:t xml:space="preserve"> higher level of cost of equity due to an increase in carbon emissions</w:t>
      </w:r>
      <w:r w:rsidR="00EE70B2">
        <w:t xml:space="preserve"> was at beforehand expected. The surprisingly </w:t>
      </w:r>
      <w:r w:rsidR="009666A8">
        <w:t>negative relationship is showed for high and low carbon emission companies.</w:t>
      </w:r>
    </w:p>
    <w:p w:rsidR="00631FDC" w:rsidRDefault="00631FDC" w:rsidP="00452989">
      <w:pPr>
        <w:spacing w:line="360" w:lineRule="auto"/>
        <w:jc w:val="both"/>
      </w:pPr>
      <w:r>
        <w:t>Some studies also investigate the financial impact of</w:t>
      </w:r>
      <w:r w:rsidR="009666A8">
        <w:t xml:space="preserve"> CSP</w:t>
      </w:r>
      <w:r>
        <w:t>. CSP is more focused on the performances and the outcomes of the corporate social activities. Wood (2010) uses CSP to examine the impact of the</w:t>
      </w:r>
      <w:r w:rsidR="009666A8">
        <w:t xml:space="preserve"> business-society relationships with financial results.</w:t>
      </w:r>
      <w:r>
        <w:t xml:space="preserve"> The study of Wood (2010) is defined as a </w:t>
      </w:r>
      <w:r w:rsidR="00DC54DE">
        <w:t>Meta</w:t>
      </w:r>
      <w:r>
        <w:t xml:space="preserve"> analyses, based on the findings of other studies the financial impact of business-society relationships is investigated. The financial impact of CSP contains the impact of the content of a CSR report.  The studies of Orlitzky, Schmidt and Rynes (2003) and Margolis, Elfenbein and Walsh (2007) studied the impact of CSP on financial performances. They both used a </w:t>
      </w:r>
      <w:r w:rsidR="00DC54DE">
        <w:t>Meta</w:t>
      </w:r>
      <w:r>
        <w:t xml:space="preserve"> analysis to examine the relationship. Orlizkey et al. (2003) takes 52 studies with 33.878 results into account and fo</w:t>
      </w:r>
      <w:r w:rsidR="009666A8">
        <w:t>und a positive relationship</w:t>
      </w:r>
      <w:r w:rsidR="00F62571">
        <w:t xml:space="preserve">. </w:t>
      </w:r>
      <w:r>
        <w:t>Margolis et al. (2007) also found a positive relationsh</w:t>
      </w:r>
      <w:r w:rsidR="009666A8">
        <w:t>ip, based on 167 studies. But the</w:t>
      </w:r>
      <w:r>
        <w:t xml:space="preserve"> writers</w:t>
      </w:r>
      <w:r w:rsidR="009666A8">
        <w:t xml:space="preserve"> of this study</w:t>
      </w:r>
      <w:r>
        <w:t xml:space="preserve"> claim that the founded relationship was </w:t>
      </w:r>
      <w:r w:rsidR="00DC54DE">
        <w:t>a ‘mildly</w:t>
      </w:r>
      <w:r>
        <w:t xml:space="preserve"> positive relationship’. </w:t>
      </w:r>
    </w:p>
    <w:p w:rsidR="00631FDC" w:rsidRDefault="00631FDC" w:rsidP="00452989">
      <w:pPr>
        <w:spacing w:line="360" w:lineRule="auto"/>
        <w:jc w:val="both"/>
      </w:pPr>
      <w:r>
        <w:lastRenderedPageBreak/>
        <w:t xml:space="preserve">Wood (2010) judged prior research on the relationship between CSP and financial performances. She concluded that the research on this relationship is already well established. Wood (2010) concludes that the research on CSP should be more relevant for stakeholders and society. She observed a limitation in present studies, that they are now more focused on the company’s itself. This limitation can be found in the study of Orlitzky et al. (2003) in this study the CSP are measured by 4 company’s components, the CSR disclosure, the reputation ratings, the social audits, CSP processes and observable outcomes and the managerial CSP principles and values. </w:t>
      </w:r>
      <w:r w:rsidR="00DC54DE">
        <w:t>These components</w:t>
      </w:r>
      <w:r>
        <w:t xml:space="preserve"> don’t include measurements of stakeholders and society. At least Wood (2010) </w:t>
      </w:r>
      <w:r w:rsidR="00DC54DE">
        <w:t>concludes</w:t>
      </w:r>
      <w:r>
        <w:t xml:space="preserve"> that the research in CSP should be more linked to other research fields, for example, human resources, sociology and business ethics. </w:t>
      </w:r>
    </w:p>
    <w:p w:rsidR="00631FDC" w:rsidRPr="00D1185C" w:rsidRDefault="00631FDC" w:rsidP="00452989">
      <w:pPr>
        <w:spacing w:line="360" w:lineRule="auto"/>
        <w:jc w:val="both"/>
      </w:pPr>
    </w:p>
    <w:p w:rsidR="00631FDC" w:rsidRDefault="00631FDC" w:rsidP="00452989">
      <w:pPr>
        <w:pStyle w:val="Heading3"/>
        <w:spacing w:line="360" w:lineRule="auto"/>
        <w:jc w:val="both"/>
        <w:rPr>
          <w:color w:val="auto"/>
        </w:rPr>
      </w:pPr>
      <w:bookmarkStart w:id="44" w:name="_Toc299353386"/>
      <w:r w:rsidRPr="00D1185C">
        <w:rPr>
          <w:color w:val="auto"/>
        </w:rPr>
        <w:t xml:space="preserve">3.2.4 Summary </w:t>
      </w:r>
      <w:r w:rsidR="005E2F3B">
        <w:rPr>
          <w:color w:val="auto"/>
        </w:rPr>
        <w:t>i</w:t>
      </w:r>
      <w:r w:rsidRPr="00D1185C">
        <w:rPr>
          <w:color w:val="auto"/>
        </w:rPr>
        <w:t>mpacts</w:t>
      </w:r>
      <w:bookmarkEnd w:id="44"/>
    </w:p>
    <w:p w:rsidR="005B3516" w:rsidRDefault="00631FDC" w:rsidP="00452989">
      <w:pPr>
        <w:spacing w:line="360" w:lineRule="auto"/>
        <w:jc w:val="both"/>
        <w:rPr>
          <w:sz w:val="20"/>
          <w:szCs w:val="20"/>
        </w:rPr>
      </w:pPr>
      <w:r>
        <w:t>In previous parts the results of previous literat</w:t>
      </w:r>
      <w:r w:rsidR="00F62571">
        <w:t xml:space="preserve">ure are discussed. The tested </w:t>
      </w:r>
      <w:r w:rsidR="00DC54DE">
        <w:t>relationship is</w:t>
      </w:r>
      <w:r w:rsidR="00F62571">
        <w:t xml:space="preserve"> between CSR reporting </w:t>
      </w:r>
      <w:r w:rsidR="00DC54DE">
        <w:t>and forecast</w:t>
      </w:r>
      <w:r>
        <w:t xml:space="preserve"> accuracy,</w:t>
      </w:r>
      <w:r w:rsidR="00F62571">
        <w:t xml:space="preserve"> CSR reporting and public sentiment </w:t>
      </w:r>
      <w:r w:rsidR="00DC54DE">
        <w:t>and between</w:t>
      </w:r>
      <w:r w:rsidR="00F62571">
        <w:t xml:space="preserve"> CSR reporting </w:t>
      </w:r>
      <w:r w:rsidR="00DC54DE">
        <w:t>and financial</w:t>
      </w:r>
      <w:r>
        <w:t xml:space="preserve"> performances.  For providing an overview the results of </w:t>
      </w:r>
      <w:r w:rsidR="00DC54DE">
        <w:t>these studies</w:t>
      </w:r>
      <w:r>
        <w:t xml:space="preserve"> are summarized in the tables below.</w:t>
      </w:r>
    </w:p>
    <w:p w:rsidR="005B3516" w:rsidRDefault="005B3516" w:rsidP="00631FDC">
      <w:pPr>
        <w:spacing w:line="360" w:lineRule="auto"/>
        <w:rPr>
          <w:sz w:val="20"/>
          <w:szCs w:val="20"/>
        </w:rPr>
      </w:pPr>
    </w:p>
    <w:p w:rsidR="00631FDC" w:rsidRDefault="00DC54DE" w:rsidP="00631FDC">
      <w:pPr>
        <w:spacing w:line="360" w:lineRule="auto"/>
        <w:rPr>
          <w:sz w:val="20"/>
          <w:szCs w:val="20"/>
        </w:rPr>
      </w:pPr>
      <w:r>
        <w:rPr>
          <w:sz w:val="20"/>
          <w:szCs w:val="20"/>
        </w:rPr>
        <w:t>Table:</w:t>
      </w:r>
      <w:r w:rsidR="00631FDC">
        <w:rPr>
          <w:sz w:val="20"/>
          <w:szCs w:val="20"/>
        </w:rPr>
        <w:t xml:space="preserve"> Summarization of prior research of impact on forecast accuracy</w:t>
      </w:r>
    </w:p>
    <w:tbl>
      <w:tblPr>
        <w:tblW w:w="9796" w:type="dxa"/>
        <w:tblInd w:w="93" w:type="dxa"/>
        <w:tblLook w:val="04A0"/>
      </w:tblPr>
      <w:tblGrid>
        <w:gridCol w:w="2250"/>
        <w:gridCol w:w="2608"/>
        <w:gridCol w:w="2374"/>
        <w:gridCol w:w="971"/>
        <w:gridCol w:w="1593"/>
      </w:tblGrid>
      <w:tr w:rsidR="00631FDC" w:rsidRPr="0079101E" w:rsidTr="00631FDC">
        <w:trPr>
          <w:trHeight w:val="315"/>
        </w:trPr>
        <w:tc>
          <w:tcPr>
            <w:tcW w:w="2250"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631FDC" w:rsidRPr="0079101E" w:rsidRDefault="00631FDC" w:rsidP="00631FDC">
            <w:pPr>
              <w:spacing w:after="0" w:line="240" w:lineRule="auto"/>
              <w:jc w:val="center"/>
              <w:rPr>
                <w:rFonts w:ascii="Calibri" w:eastAsia="Times New Roman" w:hAnsi="Calibri" w:cs="Calibri"/>
                <w:b/>
                <w:color w:val="000000"/>
              </w:rPr>
            </w:pPr>
            <w:r w:rsidRPr="0079101E">
              <w:rPr>
                <w:rFonts w:ascii="Calibri" w:eastAsia="Times New Roman" w:hAnsi="Calibri" w:cs="Calibri"/>
                <w:b/>
                <w:color w:val="000000"/>
              </w:rPr>
              <w:t>Study</w:t>
            </w:r>
          </w:p>
        </w:tc>
        <w:tc>
          <w:tcPr>
            <w:tcW w:w="2608" w:type="dxa"/>
            <w:tcBorders>
              <w:top w:val="single" w:sz="8" w:space="0" w:color="auto"/>
              <w:left w:val="nil"/>
              <w:bottom w:val="single" w:sz="8" w:space="0" w:color="auto"/>
              <w:right w:val="single" w:sz="4" w:space="0" w:color="auto"/>
            </w:tcBorders>
            <w:shd w:val="clear" w:color="auto" w:fill="auto"/>
            <w:noWrap/>
            <w:vAlign w:val="center"/>
            <w:hideMark/>
          </w:tcPr>
          <w:p w:rsidR="00631FDC" w:rsidRPr="0079101E" w:rsidRDefault="00631FDC" w:rsidP="00631FDC">
            <w:pPr>
              <w:spacing w:after="0" w:line="240" w:lineRule="auto"/>
              <w:jc w:val="center"/>
              <w:rPr>
                <w:rFonts w:ascii="Calibri" w:eastAsia="Times New Roman" w:hAnsi="Calibri" w:cs="Calibri"/>
                <w:b/>
                <w:color w:val="000000"/>
              </w:rPr>
            </w:pPr>
            <w:r w:rsidRPr="0079101E">
              <w:rPr>
                <w:rFonts w:ascii="Calibri" w:eastAsia="Times New Roman" w:hAnsi="Calibri" w:cs="Calibri"/>
                <w:b/>
                <w:color w:val="000000"/>
              </w:rPr>
              <w:t>Tested relationship</w:t>
            </w:r>
          </w:p>
        </w:tc>
        <w:tc>
          <w:tcPr>
            <w:tcW w:w="2374" w:type="dxa"/>
            <w:tcBorders>
              <w:top w:val="single" w:sz="8" w:space="0" w:color="auto"/>
              <w:left w:val="nil"/>
              <w:bottom w:val="single" w:sz="8" w:space="0" w:color="auto"/>
              <w:right w:val="single" w:sz="4" w:space="0" w:color="auto"/>
            </w:tcBorders>
            <w:shd w:val="clear" w:color="auto" w:fill="auto"/>
            <w:noWrap/>
            <w:vAlign w:val="center"/>
            <w:hideMark/>
          </w:tcPr>
          <w:p w:rsidR="00631FDC" w:rsidRPr="0079101E" w:rsidRDefault="00631FDC" w:rsidP="00631FDC">
            <w:pPr>
              <w:spacing w:after="0" w:line="240" w:lineRule="auto"/>
              <w:jc w:val="center"/>
              <w:rPr>
                <w:rFonts w:ascii="Calibri" w:eastAsia="Times New Roman" w:hAnsi="Calibri" w:cs="Calibri"/>
                <w:b/>
                <w:color w:val="000000"/>
              </w:rPr>
            </w:pPr>
            <w:r w:rsidRPr="0079101E">
              <w:rPr>
                <w:rFonts w:ascii="Calibri" w:eastAsia="Times New Roman" w:hAnsi="Calibri" w:cs="Calibri"/>
                <w:b/>
                <w:color w:val="000000"/>
              </w:rPr>
              <w:t>Used prox</w:t>
            </w:r>
            <w:r>
              <w:rPr>
                <w:rFonts w:ascii="Calibri" w:eastAsia="Times New Roman" w:hAnsi="Calibri" w:cs="Calibri"/>
                <w:b/>
                <w:color w:val="000000"/>
              </w:rPr>
              <w:t>ies</w:t>
            </w:r>
          </w:p>
        </w:tc>
        <w:tc>
          <w:tcPr>
            <w:tcW w:w="971" w:type="dxa"/>
            <w:tcBorders>
              <w:top w:val="single" w:sz="8" w:space="0" w:color="auto"/>
              <w:left w:val="nil"/>
              <w:bottom w:val="single" w:sz="8" w:space="0" w:color="auto"/>
              <w:right w:val="single" w:sz="4" w:space="0" w:color="auto"/>
            </w:tcBorders>
            <w:shd w:val="clear" w:color="auto" w:fill="auto"/>
            <w:noWrap/>
            <w:vAlign w:val="center"/>
            <w:hideMark/>
          </w:tcPr>
          <w:p w:rsidR="00631FDC" w:rsidRPr="0079101E" w:rsidRDefault="00631FDC" w:rsidP="00631FDC">
            <w:pPr>
              <w:spacing w:after="0" w:line="240" w:lineRule="auto"/>
              <w:jc w:val="center"/>
              <w:rPr>
                <w:rFonts w:ascii="Calibri" w:eastAsia="Times New Roman" w:hAnsi="Calibri" w:cs="Calibri"/>
                <w:b/>
                <w:color w:val="000000"/>
              </w:rPr>
            </w:pPr>
            <w:r w:rsidRPr="0079101E">
              <w:rPr>
                <w:rFonts w:ascii="Calibri" w:eastAsia="Times New Roman" w:hAnsi="Calibri" w:cs="Calibri"/>
                <w:b/>
                <w:color w:val="000000"/>
              </w:rPr>
              <w:t>Time period</w:t>
            </w:r>
          </w:p>
        </w:tc>
        <w:tc>
          <w:tcPr>
            <w:tcW w:w="1593" w:type="dxa"/>
            <w:tcBorders>
              <w:top w:val="single" w:sz="8" w:space="0" w:color="auto"/>
              <w:left w:val="nil"/>
              <w:bottom w:val="single" w:sz="8" w:space="0" w:color="auto"/>
              <w:right w:val="single" w:sz="8" w:space="0" w:color="auto"/>
            </w:tcBorders>
            <w:shd w:val="clear" w:color="auto" w:fill="auto"/>
            <w:noWrap/>
            <w:vAlign w:val="center"/>
            <w:hideMark/>
          </w:tcPr>
          <w:p w:rsidR="00631FDC" w:rsidRPr="0079101E" w:rsidRDefault="00631FDC" w:rsidP="00631FDC">
            <w:pPr>
              <w:spacing w:after="0" w:line="240" w:lineRule="auto"/>
              <w:jc w:val="center"/>
              <w:rPr>
                <w:rFonts w:ascii="Calibri" w:eastAsia="Times New Roman" w:hAnsi="Calibri" w:cs="Calibri"/>
                <w:b/>
                <w:color w:val="000000"/>
              </w:rPr>
            </w:pPr>
            <w:r w:rsidRPr="0079101E">
              <w:rPr>
                <w:rFonts w:ascii="Calibri" w:eastAsia="Times New Roman" w:hAnsi="Calibri" w:cs="Calibri"/>
                <w:b/>
                <w:color w:val="000000"/>
              </w:rPr>
              <w:t>Founded relationship</w:t>
            </w:r>
          </w:p>
        </w:tc>
      </w:tr>
      <w:tr w:rsidR="00631FDC" w:rsidRPr="0079101E" w:rsidTr="00631FDC">
        <w:trPr>
          <w:trHeight w:val="645"/>
        </w:trPr>
        <w:tc>
          <w:tcPr>
            <w:tcW w:w="2250" w:type="dxa"/>
            <w:tcBorders>
              <w:top w:val="nil"/>
              <w:left w:val="single" w:sz="4" w:space="0" w:color="auto"/>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 xml:space="preserve">Dhaliwal, Radhakrishnan, Tsang and Yang(2010) </w:t>
            </w:r>
          </w:p>
        </w:tc>
        <w:tc>
          <w:tcPr>
            <w:tcW w:w="2608"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CSR disclosures related to the forecast accuracy (among countries)</w:t>
            </w:r>
          </w:p>
        </w:tc>
        <w:tc>
          <w:tcPr>
            <w:tcW w:w="2374"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S</w:t>
            </w:r>
            <w:r w:rsidRPr="0079101E">
              <w:rPr>
                <w:rFonts w:ascii="Calibri" w:eastAsia="Times New Roman" w:hAnsi="Calibri" w:cs="Calibri"/>
                <w:color w:val="000000"/>
              </w:rPr>
              <w:t>tandalone CSR report</w:t>
            </w:r>
            <w:r>
              <w:rPr>
                <w:rFonts w:ascii="Calibri" w:eastAsia="Times New Roman" w:hAnsi="Calibri" w:cs="Calibri"/>
                <w:color w:val="000000"/>
              </w:rPr>
              <w:t xml:space="preserve"> and actual forecast error</w:t>
            </w:r>
          </w:p>
        </w:tc>
        <w:tc>
          <w:tcPr>
            <w:tcW w:w="971"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1990-2007</w:t>
            </w:r>
          </w:p>
        </w:tc>
        <w:tc>
          <w:tcPr>
            <w:tcW w:w="1593"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Positive</w:t>
            </w:r>
          </w:p>
        </w:tc>
      </w:tr>
      <w:tr w:rsidR="00631FDC" w:rsidRPr="0079101E" w:rsidTr="00631FDC">
        <w:trPr>
          <w:trHeight w:val="630"/>
        </w:trPr>
        <w:tc>
          <w:tcPr>
            <w:tcW w:w="2250" w:type="dxa"/>
            <w:tcBorders>
              <w:top w:val="nil"/>
              <w:left w:val="single" w:sz="4" w:space="0" w:color="auto"/>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Lang and Lundholm (1996)</w:t>
            </w:r>
          </w:p>
        </w:tc>
        <w:tc>
          <w:tcPr>
            <w:tcW w:w="2608"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Disclosures related to forecast accuracy</w:t>
            </w:r>
          </w:p>
        </w:tc>
        <w:tc>
          <w:tcPr>
            <w:tcW w:w="2374"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Financial and non financial disclosures, rated to FAF rating</w:t>
            </w:r>
            <w:r>
              <w:rPr>
                <w:rFonts w:ascii="Calibri" w:eastAsia="Times New Roman" w:hAnsi="Calibri" w:cs="Calibri"/>
                <w:color w:val="000000"/>
              </w:rPr>
              <w:t xml:space="preserve"> and actual forecast error</w:t>
            </w:r>
          </w:p>
        </w:tc>
        <w:tc>
          <w:tcPr>
            <w:tcW w:w="971"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1985-1989</w:t>
            </w:r>
          </w:p>
        </w:tc>
        <w:tc>
          <w:tcPr>
            <w:tcW w:w="1593"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Positive</w:t>
            </w:r>
          </w:p>
        </w:tc>
      </w:tr>
      <w:tr w:rsidR="00631FDC" w:rsidRPr="0079101E" w:rsidTr="00631FDC">
        <w:trPr>
          <w:trHeight w:val="600"/>
        </w:trPr>
        <w:tc>
          <w:tcPr>
            <w:tcW w:w="2250" w:type="dxa"/>
            <w:tcBorders>
              <w:top w:val="nil"/>
              <w:left w:val="single" w:sz="4" w:space="0" w:color="auto"/>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Hope (2003)</w:t>
            </w:r>
          </w:p>
        </w:tc>
        <w:tc>
          <w:tcPr>
            <w:tcW w:w="2608"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Disclosures related to forecast accuracy</w:t>
            </w:r>
          </w:p>
        </w:tc>
        <w:tc>
          <w:tcPr>
            <w:tcW w:w="2374"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Financial and non financial disclosures, rated to CIFAR score</w:t>
            </w:r>
            <w:r>
              <w:rPr>
                <w:rFonts w:ascii="Calibri" w:eastAsia="Times New Roman" w:hAnsi="Calibri" w:cs="Calibri"/>
                <w:color w:val="000000"/>
              </w:rPr>
              <w:t xml:space="preserve"> and actual forecast error</w:t>
            </w:r>
          </w:p>
        </w:tc>
        <w:tc>
          <w:tcPr>
            <w:tcW w:w="971"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1991 and 1993</w:t>
            </w:r>
          </w:p>
        </w:tc>
        <w:tc>
          <w:tcPr>
            <w:tcW w:w="1593" w:type="dxa"/>
            <w:tcBorders>
              <w:top w:val="nil"/>
              <w:left w:val="nil"/>
              <w:bottom w:val="single" w:sz="4" w:space="0" w:color="auto"/>
              <w:right w:val="single" w:sz="4" w:space="0" w:color="auto"/>
            </w:tcBorders>
            <w:shd w:val="clear" w:color="auto" w:fill="auto"/>
            <w:noWrap/>
            <w:vAlign w:val="center"/>
            <w:hideMark/>
          </w:tcPr>
          <w:p w:rsidR="00631FDC" w:rsidRPr="0079101E" w:rsidRDefault="00631FDC" w:rsidP="00631FDC">
            <w:pPr>
              <w:spacing w:after="0" w:line="240" w:lineRule="auto"/>
              <w:rPr>
                <w:rFonts w:ascii="Calibri" w:eastAsia="Times New Roman" w:hAnsi="Calibri" w:cs="Calibri"/>
                <w:color w:val="000000"/>
              </w:rPr>
            </w:pPr>
            <w:r w:rsidRPr="0079101E">
              <w:rPr>
                <w:rFonts w:ascii="Calibri" w:eastAsia="Times New Roman" w:hAnsi="Calibri" w:cs="Calibri"/>
                <w:color w:val="000000"/>
              </w:rPr>
              <w:t>Positive</w:t>
            </w:r>
          </w:p>
        </w:tc>
      </w:tr>
    </w:tbl>
    <w:p w:rsidR="00631FDC" w:rsidRPr="0079101E" w:rsidRDefault="00631FDC" w:rsidP="00631FDC">
      <w:pPr>
        <w:spacing w:line="360" w:lineRule="auto"/>
        <w:rPr>
          <w:sz w:val="20"/>
          <w:szCs w:val="20"/>
        </w:rPr>
      </w:pPr>
    </w:p>
    <w:p w:rsidR="00631FDC" w:rsidRDefault="00631FDC" w:rsidP="00631FDC">
      <w:pPr>
        <w:spacing w:line="360" w:lineRule="auto"/>
      </w:pPr>
    </w:p>
    <w:p w:rsidR="00631FDC" w:rsidRDefault="00631FDC" w:rsidP="00631FDC">
      <w:pPr>
        <w:spacing w:line="360" w:lineRule="auto"/>
        <w:rPr>
          <w:sz w:val="20"/>
          <w:szCs w:val="20"/>
        </w:rPr>
      </w:pPr>
      <w:r>
        <w:rPr>
          <w:sz w:val="20"/>
          <w:szCs w:val="20"/>
        </w:rPr>
        <w:lastRenderedPageBreak/>
        <w:t>Table 4: Summarization of prior research of impact on public sentiment</w:t>
      </w:r>
    </w:p>
    <w:tbl>
      <w:tblPr>
        <w:tblW w:w="9796" w:type="dxa"/>
        <w:tblInd w:w="93" w:type="dxa"/>
        <w:tblLook w:val="04A0"/>
      </w:tblPr>
      <w:tblGrid>
        <w:gridCol w:w="2222"/>
        <w:gridCol w:w="2560"/>
        <w:gridCol w:w="2408"/>
        <w:gridCol w:w="989"/>
        <w:gridCol w:w="1617"/>
      </w:tblGrid>
      <w:tr w:rsidR="00631FDC" w:rsidRPr="00FD7E14" w:rsidTr="00631FDC">
        <w:trPr>
          <w:trHeight w:val="315"/>
        </w:trPr>
        <w:tc>
          <w:tcPr>
            <w:tcW w:w="2222"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Study</w:t>
            </w:r>
          </w:p>
        </w:tc>
        <w:tc>
          <w:tcPr>
            <w:tcW w:w="2560" w:type="dxa"/>
            <w:tcBorders>
              <w:top w:val="single" w:sz="8" w:space="0" w:color="auto"/>
              <w:left w:val="nil"/>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Tested relationship</w:t>
            </w:r>
          </w:p>
        </w:tc>
        <w:tc>
          <w:tcPr>
            <w:tcW w:w="2408" w:type="dxa"/>
            <w:tcBorders>
              <w:top w:val="single" w:sz="8" w:space="0" w:color="auto"/>
              <w:left w:val="nil"/>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Used proxies</w:t>
            </w:r>
          </w:p>
        </w:tc>
        <w:tc>
          <w:tcPr>
            <w:tcW w:w="989" w:type="dxa"/>
            <w:tcBorders>
              <w:top w:val="single" w:sz="8" w:space="0" w:color="auto"/>
              <w:left w:val="nil"/>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Time period</w:t>
            </w:r>
          </w:p>
        </w:tc>
        <w:tc>
          <w:tcPr>
            <w:tcW w:w="1617" w:type="dxa"/>
            <w:tcBorders>
              <w:top w:val="single" w:sz="8" w:space="0" w:color="auto"/>
              <w:left w:val="nil"/>
              <w:bottom w:val="single" w:sz="8" w:space="0" w:color="auto"/>
              <w:right w:val="single" w:sz="8"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Founded relationship</w:t>
            </w:r>
          </w:p>
        </w:tc>
      </w:tr>
      <w:tr w:rsidR="00631FDC" w:rsidRPr="00FD7E14" w:rsidTr="00631FDC">
        <w:trPr>
          <w:trHeight w:val="300"/>
        </w:trPr>
        <w:tc>
          <w:tcPr>
            <w:tcW w:w="2222"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Clarkson, Hua Fang, Li and Richardson (2010</w:t>
            </w:r>
            <w:r>
              <w:rPr>
                <w:rFonts w:ascii="Calibri" w:eastAsia="Times New Roman" w:hAnsi="Calibri" w:cs="Calibri"/>
                <w:color w:val="000000"/>
              </w:rPr>
              <w:t>)</w:t>
            </w:r>
          </w:p>
        </w:tc>
        <w:tc>
          <w:tcPr>
            <w:tcW w:w="2560"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E</w:t>
            </w:r>
            <w:r w:rsidRPr="00FD7E14">
              <w:rPr>
                <w:rFonts w:ascii="Calibri" w:eastAsia="Times New Roman" w:hAnsi="Calibri" w:cs="Calibri"/>
                <w:color w:val="000000"/>
              </w:rPr>
              <w:t>nvironmental voluntary disclosures related to social (public perception) and financial impact</w:t>
            </w:r>
          </w:p>
        </w:tc>
        <w:tc>
          <w:tcPr>
            <w:tcW w:w="2408"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 xml:space="preserve">CSR report, quality is based on index and Janis </w:t>
            </w:r>
            <w:r>
              <w:rPr>
                <w:rFonts w:ascii="Calibri" w:eastAsia="Times New Roman" w:hAnsi="Calibri" w:cs="Calibri"/>
                <w:color w:val="000000"/>
              </w:rPr>
              <w:t>Fadner coefficient</w:t>
            </w:r>
          </w:p>
        </w:tc>
        <w:tc>
          <w:tcPr>
            <w:tcW w:w="98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2003 and 2006</w:t>
            </w:r>
          </w:p>
        </w:tc>
        <w:tc>
          <w:tcPr>
            <w:tcW w:w="1617"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P</w:t>
            </w:r>
            <w:r w:rsidRPr="00FD7E14">
              <w:rPr>
                <w:rFonts w:ascii="Calibri" w:eastAsia="Times New Roman" w:hAnsi="Calibri" w:cs="Calibri"/>
                <w:color w:val="000000"/>
              </w:rPr>
              <w:t>ositive</w:t>
            </w:r>
          </w:p>
        </w:tc>
      </w:tr>
      <w:tr w:rsidR="00631FDC" w:rsidRPr="00FD7E14" w:rsidTr="00631FDC">
        <w:trPr>
          <w:trHeight w:val="300"/>
        </w:trPr>
        <w:tc>
          <w:tcPr>
            <w:tcW w:w="2222"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Brown and Dacin (1997)</w:t>
            </w:r>
          </w:p>
        </w:tc>
        <w:tc>
          <w:tcPr>
            <w:tcW w:w="2560"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K</w:t>
            </w:r>
            <w:r w:rsidRPr="00FD7E14">
              <w:rPr>
                <w:rFonts w:ascii="Calibri" w:eastAsia="Times New Roman" w:hAnsi="Calibri" w:cs="Calibri"/>
                <w:color w:val="000000"/>
              </w:rPr>
              <w:t>nowledge of company related to consumers behavior and attitude</w:t>
            </w:r>
          </w:p>
        </w:tc>
        <w:tc>
          <w:tcPr>
            <w:tcW w:w="2408"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Field study, evaluation of products</w:t>
            </w:r>
          </w:p>
        </w:tc>
        <w:tc>
          <w:tcPr>
            <w:tcW w:w="98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1996</w:t>
            </w:r>
          </w:p>
        </w:tc>
        <w:tc>
          <w:tcPr>
            <w:tcW w:w="1617"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P</w:t>
            </w:r>
            <w:r w:rsidRPr="00FD7E14">
              <w:rPr>
                <w:rFonts w:ascii="Calibri" w:eastAsia="Times New Roman" w:hAnsi="Calibri" w:cs="Calibri"/>
                <w:color w:val="000000"/>
              </w:rPr>
              <w:t>ositive</w:t>
            </w:r>
          </w:p>
        </w:tc>
      </w:tr>
      <w:tr w:rsidR="00631FDC" w:rsidRPr="00FD7E14" w:rsidTr="00631FDC">
        <w:trPr>
          <w:trHeight w:val="300"/>
        </w:trPr>
        <w:tc>
          <w:tcPr>
            <w:tcW w:w="2222"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 xml:space="preserve">Ittner and Larcker (1998) </w:t>
            </w:r>
          </w:p>
        </w:tc>
        <w:tc>
          <w:tcPr>
            <w:tcW w:w="2560"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N</w:t>
            </w:r>
            <w:r w:rsidRPr="00FD7E14">
              <w:rPr>
                <w:rFonts w:ascii="Calibri" w:eastAsia="Times New Roman" w:hAnsi="Calibri" w:cs="Calibri"/>
                <w:color w:val="000000"/>
              </w:rPr>
              <w:t>on-financial performances and financial performances</w:t>
            </w:r>
          </w:p>
        </w:tc>
        <w:tc>
          <w:tcPr>
            <w:tcW w:w="2408"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 xml:space="preserve">Customer satisfaction (costumer, business unit and firm level data) </w:t>
            </w:r>
          </w:p>
        </w:tc>
        <w:tc>
          <w:tcPr>
            <w:tcW w:w="98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1994 and 1995</w:t>
            </w:r>
          </w:p>
        </w:tc>
        <w:tc>
          <w:tcPr>
            <w:tcW w:w="1617"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Positive</w:t>
            </w:r>
          </w:p>
        </w:tc>
      </w:tr>
    </w:tbl>
    <w:p w:rsidR="00631FDC" w:rsidRDefault="00631FDC" w:rsidP="00631FDC">
      <w:pPr>
        <w:spacing w:line="360" w:lineRule="auto"/>
        <w:rPr>
          <w:sz w:val="20"/>
          <w:szCs w:val="20"/>
        </w:rPr>
      </w:pPr>
    </w:p>
    <w:p w:rsidR="00631FDC" w:rsidRDefault="00631FDC" w:rsidP="00631FDC">
      <w:pPr>
        <w:spacing w:line="360" w:lineRule="auto"/>
        <w:rPr>
          <w:sz w:val="20"/>
          <w:szCs w:val="20"/>
        </w:rPr>
      </w:pPr>
      <w:r>
        <w:rPr>
          <w:sz w:val="20"/>
          <w:szCs w:val="20"/>
        </w:rPr>
        <w:t>Table 5: Summarization of prior research of impact on financial performances</w:t>
      </w:r>
    </w:p>
    <w:tbl>
      <w:tblPr>
        <w:tblW w:w="9886" w:type="dxa"/>
        <w:tblInd w:w="93" w:type="dxa"/>
        <w:tblLook w:val="04A0"/>
      </w:tblPr>
      <w:tblGrid>
        <w:gridCol w:w="1927"/>
        <w:gridCol w:w="2419"/>
        <w:gridCol w:w="2966"/>
        <w:gridCol w:w="1001"/>
        <w:gridCol w:w="1573"/>
      </w:tblGrid>
      <w:tr w:rsidR="00631FDC" w:rsidRPr="00FD7E14" w:rsidTr="00631FDC">
        <w:trPr>
          <w:trHeight w:val="316"/>
        </w:trPr>
        <w:tc>
          <w:tcPr>
            <w:tcW w:w="1927" w:type="dxa"/>
            <w:tcBorders>
              <w:top w:val="single" w:sz="8" w:space="0" w:color="auto"/>
              <w:left w:val="single" w:sz="8" w:space="0" w:color="auto"/>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Study</w:t>
            </w:r>
          </w:p>
        </w:tc>
        <w:tc>
          <w:tcPr>
            <w:tcW w:w="2419" w:type="dxa"/>
            <w:tcBorders>
              <w:top w:val="single" w:sz="8" w:space="0" w:color="auto"/>
              <w:left w:val="nil"/>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Tested relationship</w:t>
            </w:r>
          </w:p>
        </w:tc>
        <w:tc>
          <w:tcPr>
            <w:tcW w:w="2966" w:type="dxa"/>
            <w:tcBorders>
              <w:top w:val="single" w:sz="8" w:space="0" w:color="auto"/>
              <w:left w:val="nil"/>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Used proxies</w:t>
            </w:r>
          </w:p>
        </w:tc>
        <w:tc>
          <w:tcPr>
            <w:tcW w:w="1001" w:type="dxa"/>
            <w:tcBorders>
              <w:top w:val="single" w:sz="8" w:space="0" w:color="auto"/>
              <w:left w:val="nil"/>
              <w:bottom w:val="single" w:sz="8" w:space="0" w:color="auto"/>
              <w:right w:val="single" w:sz="4"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Time period</w:t>
            </w:r>
          </w:p>
        </w:tc>
        <w:tc>
          <w:tcPr>
            <w:tcW w:w="1573" w:type="dxa"/>
            <w:tcBorders>
              <w:top w:val="single" w:sz="8" w:space="0" w:color="auto"/>
              <w:left w:val="nil"/>
              <w:bottom w:val="single" w:sz="8" w:space="0" w:color="auto"/>
              <w:right w:val="single" w:sz="8" w:space="0" w:color="auto"/>
            </w:tcBorders>
            <w:shd w:val="clear" w:color="auto" w:fill="auto"/>
            <w:noWrap/>
            <w:vAlign w:val="center"/>
            <w:hideMark/>
          </w:tcPr>
          <w:p w:rsidR="00631FDC" w:rsidRPr="00FD7E14" w:rsidRDefault="00631FDC" w:rsidP="00631FDC">
            <w:pPr>
              <w:spacing w:after="0" w:line="240" w:lineRule="auto"/>
              <w:jc w:val="center"/>
              <w:rPr>
                <w:rFonts w:ascii="Calibri" w:eastAsia="Times New Roman" w:hAnsi="Calibri" w:cs="Calibri"/>
                <w:b/>
                <w:color w:val="000000"/>
              </w:rPr>
            </w:pPr>
            <w:r w:rsidRPr="00FD7E14">
              <w:rPr>
                <w:rFonts w:ascii="Calibri" w:eastAsia="Times New Roman" w:hAnsi="Calibri" w:cs="Calibri"/>
                <w:b/>
                <w:color w:val="000000"/>
              </w:rPr>
              <w:t>Founded relationship</w:t>
            </w:r>
          </w:p>
        </w:tc>
      </w:tr>
      <w:tr w:rsidR="00631FDC" w:rsidRPr="00FD7E14" w:rsidTr="00631FDC">
        <w:trPr>
          <w:trHeight w:val="301"/>
        </w:trPr>
        <w:tc>
          <w:tcPr>
            <w:tcW w:w="1927"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 xml:space="preserve">Margolis and Walsh (2003) </w:t>
            </w:r>
          </w:p>
        </w:tc>
        <w:tc>
          <w:tcPr>
            <w:tcW w:w="241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C</w:t>
            </w:r>
            <w:r w:rsidRPr="00FD7E14">
              <w:rPr>
                <w:rFonts w:ascii="Calibri" w:eastAsia="Times New Roman" w:hAnsi="Calibri" w:cs="Calibri"/>
                <w:color w:val="000000"/>
              </w:rPr>
              <w:t>orporate social performances related to</w:t>
            </w:r>
            <w:r>
              <w:rPr>
                <w:rFonts w:ascii="Calibri" w:eastAsia="Times New Roman" w:hAnsi="Calibri" w:cs="Calibri"/>
                <w:color w:val="000000"/>
              </w:rPr>
              <w:t xml:space="preserve"> </w:t>
            </w:r>
            <w:r w:rsidRPr="00FD7E14">
              <w:rPr>
                <w:rFonts w:ascii="Calibri" w:eastAsia="Times New Roman" w:hAnsi="Calibri" w:cs="Calibri"/>
                <w:color w:val="000000"/>
              </w:rPr>
              <w:t>cost of equity</w:t>
            </w:r>
          </w:p>
        </w:tc>
        <w:tc>
          <w:tcPr>
            <w:tcW w:w="2966"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R</w:t>
            </w:r>
            <w:r w:rsidRPr="00FD7E14">
              <w:rPr>
                <w:rFonts w:ascii="Calibri" w:eastAsia="Times New Roman" w:hAnsi="Calibri" w:cs="Calibri"/>
                <w:color w:val="000000"/>
              </w:rPr>
              <w:t>esults of prior studies</w:t>
            </w:r>
          </w:p>
        </w:tc>
        <w:tc>
          <w:tcPr>
            <w:tcW w:w="1001"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1972-2003</w:t>
            </w:r>
          </w:p>
        </w:tc>
        <w:tc>
          <w:tcPr>
            <w:tcW w:w="1573"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Positive</w:t>
            </w:r>
          </w:p>
        </w:tc>
      </w:tr>
      <w:tr w:rsidR="00631FDC" w:rsidRPr="00FD7E14" w:rsidTr="00631FDC">
        <w:trPr>
          <w:trHeight w:val="301"/>
        </w:trPr>
        <w:tc>
          <w:tcPr>
            <w:tcW w:w="1927"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Dhaliwal, Li Tsang and Yang (2010</w:t>
            </w:r>
          </w:p>
        </w:tc>
        <w:tc>
          <w:tcPr>
            <w:tcW w:w="241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E</w:t>
            </w:r>
            <w:r w:rsidRPr="00FD7E14">
              <w:rPr>
                <w:rFonts w:ascii="Calibri" w:eastAsia="Times New Roman" w:hAnsi="Calibri" w:cs="Calibri"/>
                <w:color w:val="000000"/>
              </w:rPr>
              <w:t>nvironmental voluntary disclosures related to cost of equity</w:t>
            </w:r>
          </w:p>
        </w:tc>
        <w:tc>
          <w:tcPr>
            <w:tcW w:w="2966"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S</w:t>
            </w:r>
            <w:r w:rsidRPr="00FD7E14">
              <w:rPr>
                <w:rFonts w:ascii="Calibri" w:eastAsia="Times New Roman" w:hAnsi="Calibri" w:cs="Calibri"/>
                <w:color w:val="000000"/>
              </w:rPr>
              <w:t>tandalone CSR report, rated on KLD ratings and cost of equity</w:t>
            </w:r>
          </w:p>
        </w:tc>
        <w:tc>
          <w:tcPr>
            <w:tcW w:w="1001"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1993-2007</w:t>
            </w:r>
          </w:p>
        </w:tc>
        <w:tc>
          <w:tcPr>
            <w:tcW w:w="1573"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Negative</w:t>
            </w:r>
          </w:p>
        </w:tc>
      </w:tr>
      <w:tr w:rsidR="00631FDC" w:rsidRPr="00FD7E14" w:rsidTr="00631FDC">
        <w:trPr>
          <w:trHeight w:val="301"/>
        </w:trPr>
        <w:tc>
          <w:tcPr>
            <w:tcW w:w="1927"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 xml:space="preserve">Richardson and Welker (2001) </w:t>
            </w:r>
          </w:p>
        </w:tc>
        <w:tc>
          <w:tcPr>
            <w:tcW w:w="241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Social and financial disclosures, related to cost of equity</w:t>
            </w:r>
          </w:p>
        </w:tc>
        <w:tc>
          <w:tcPr>
            <w:tcW w:w="2966"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S</w:t>
            </w:r>
            <w:r w:rsidRPr="00FD7E14">
              <w:rPr>
                <w:rFonts w:ascii="Calibri" w:eastAsia="Times New Roman" w:hAnsi="Calibri" w:cs="Calibri"/>
                <w:color w:val="000000"/>
              </w:rPr>
              <w:t>ocial and financial reports ranked with a quantity and quality score and cost of equity</w:t>
            </w:r>
          </w:p>
        </w:tc>
        <w:tc>
          <w:tcPr>
            <w:tcW w:w="1001"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1990-1992</w:t>
            </w:r>
          </w:p>
        </w:tc>
        <w:tc>
          <w:tcPr>
            <w:tcW w:w="1573"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Negative (financial disclosures) Positive (social disclosures)</w:t>
            </w:r>
          </w:p>
        </w:tc>
      </w:tr>
      <w:tr w:rsidR="00631FDC" w:rsidRPr="00FD7E14" w:rsidTr="00631FDC">
        <w:trPr>
          <w:trHeight w:val="301"/>
        </w:trPr>
        <w:tc>
          <w:tcPr>
            <w:tcW w:w="1927"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Plumlee, Brown and Marhshall (2008</w:t>
            </w:r>
          </w:p>
        </w:tc>
        <w:tc>
          <w:tcPr>
            <w:tcW w:w="241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E</w:t>
            </w:r>
            <w:r w:rsidRPr="00FD7E14">
              <w:rPr>
                <w:rFonts w:ascii="Calibri" w:eastAsia="Times New Roman" w:hAnsi="Calibri" w:cs="Calibri"/>
                <w:color w:val="000000"/>
              </w:rPr>
              <w:t>nvironmental voluntary disclosures related to firm value</w:t>
            </w:r>
          </w:p>
        </w:tc>
        <w:tc>
          <w:tcPr>
            <w:tcW w:w="2966"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CSR report, ranked on GRI score and cost of equity and future expected cashflows</w:t>
            </w:r>
          </w:p>
        </w:tc>
        <w:tc>
          <w:tcPr>
            <w:tcW w:w="1001"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p>
        </w:tc>
        <w:tc>
          <w:tcPr>
            <w:tcW w:w="1573"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n</w:t>
            </w:r>
            <w:r w:rsidRPr="00FD7E14">
              <w:rPr>
                <w:rFonts w:ascii="Calibri" w:eastAsia="Times New Roman" w:hAnsi="Calibri" w:cs="Calibri"/>
                <w:color w:val="000000"/>
              </w:rPr>
              <w:t>egative</w:t>
            </w:r>
          </w:p>
        </w:tc>
      </w:tr>
      <w:tr w:rsidR="00631FDC" w:rsidRPr="00FD7E14" w:rsidTr="00631FDC">
        <w:trPr>
          <w:trHeight w:val="301"/>
        </w:trPr>
        <w:tc>
          <w:tcPr>
            <w:tcW w:w="1927"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Clarkson, Hua Fang, Li and Richardson (2010</w:t>
            </w:r>
          </w:p>
        </w:tc>
        <w:tc>
          <w:tcPr>
            <w:tcW w:w="241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E</w:t>
            </w:r>
            <w:r w:rsidRPr="00FD7E14">
              <w:rPr>
                <w:rFonts w:ascii="Calibri" w:eastAsia="Times New Roman" w:hAnsi="Calibri" w:cs="Calibri"/>
                <w:color w:val="000000"/>
              </w:rPr>
              <w:t>nvironmental voluntary disclosures related to social and financial impact</w:t>
            </w:r>
          </w:p>
        </w:tc>
        <w:tc>
          <w:tcPr>
            <w:tcW w:w="2966"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CSR report, quantity is based on index, cost of equity and firm value and TRI emissions</w:t>
            </w:r>
          </w:p>
        </w:tc>
        <w:tc>
          <w:tcPr>
            <w:tcW w:w="1001"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2003 and 2006</w:t>
            </w:r>
          </w:p>
        </w:tc>
        <w:tc>
          <w:tcPr>
            <w:tcW w:w="1573"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N</w:t>
            </w:r>
            <w:r w:rsidRPr="00FD7E14">
              <w:rPr>
                <w:rFonts w:ascii="Calibri" w:eastAsia="Times New Roman" w:hAnsi="Calibri" w:cs="Calibri"/>
                <w:color w:val="000000"/>
              </w:rPr>
              <w:t>o re</w:t>
            </w:r>
            <w:r>
              <w:rPr>
                <w:rFonts w:ascii="Calibri" w:eastAsia="Times New Roman" w:hAnsi="Calibri" w:cs="Calibri"/>
                <w:color w:val="000000"/>
              </w:rPr>
              <w:t>lationship (cost of equity) and P</w:t>
            </w:r>
            <w:r w:rsidRPr="00FD7E14">
              <w:rPr>
                <w:rFonts w:ascii="Calibri" w:eastAsia="Times New Roman" w:hAnsi="Calibri" w:cs="Calibri"/>
                <w:color w:val="000000"/>
              </w:rPr>
              <w:t>ositive (firm value)</w:t>
            </w:r>
          </w:p>
        </w:tc>
      </w:tr>
      <w:tr w:rsidR="00631FDC" w:rsidRPr="00FD7E14" w:rsidTr="00631FDC">
        <w:trPr>
          <w:trHeight w:val="301"/>
        </w:trPr>
        <w:tc>
          <w:tcPr>
            <w:tcW w:w="1927" w:type="dxa"/>
            <w:tcBorders>
              <w:top w:val="nil"/>
              <w:left w:val="single" w:sz="4" w:space="0" w:color="auto"/>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 xml:space="preserve">Matsumura, Prakash and Vera-Munoz (2010). </w:t>
            </w:r>
          </w:p>
        </w:tc>
        <w:tc>
          <w:tcPr>
            <w:tcW w:w="2419"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C</w:t>
            </w:r>
            <w:r w:rsidRPr="00FD7E14">
              <w:rPr>
                <w:rFonts w:ascii="Calibri" w:eastAsia="Times New Roman" w:hAnsi="Calibri" w:cs="Calibri"/>
                <w:color w:val="000000"/>
              </w:rPr>
              <w:t>arbon emissions related to environmental performances</w:t>
            </w:r>
          </w:p>
        </w:tc>
        <w:tc>
          <w:tcPr>
            <w:tcW w:w="2966"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D</w:t>
            </w:r>
            <w:r w:rsidRPr="00FD7E14">
              <w:rPr>
                <w:rFonts w:ascii="Calibri" w:eastAsia="Times New Roman" w:hAnsi="Calibri" w:cs="Calibri"/>
                <w:color w:val="000000"/>
              </w:rPr>
              <w:t>isclosed carbon emission data, firm value and cost of debt and equity</w:t>
            </w:r>
          </w:p>
        </w:tc>
        <w:tc>
          <w:tcPr>
            <w:tcW w:w="1001"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sidRPr="00FD7E14">
              <w:rPr>
                <w:rFonts w:ascii="Calibri" w:eastAsia="Times New Roman" w:hAnsi="Calibri" w:cs="Calibri"/>
                <w:color w:val="000000"/>
              </w:rPr>
              <w:t>2006-2008</w:t>
            </w:r>
          </w:p>
        </w:tc>
        <w:tc>
          <w:tcPr>
            <w:tcW w:w="1573" w:type="dxa"/>
            <w:tcBorders>
              <w:top w:val="nil"/>
              <w:left w:val="nil"/>
              <w:bottom w:val="single" w:sz="4" w:space="0" w:color="auto"/>
              <w:right w:val="single" w:sz="4" w:space="0" w:color="auto"/>
            </w:tcBorders>
            <w:shd w:val="clear" w:color="auto" w:fill="auto"/>
            <w:noWrap/>
            <w:vAlign w:val="center"/>
            <w:hideMark/>
          </w:tcPr>
          <w:p w:rsidR="00631FDC" w:rsidRPr="00FD7E14" w:rsidRDefault="00631FDC" w:rsidP="00631FDC">
            <w:pPr>
              <w:spacing w:after="0" w:line="240" w:lineRule="auto"/>
              <w:rPr>
                <w:rFonts w:ascii="Calibri" w:eastAsia="Times New Roman" w:hAnsi="Calibri" w:cs="Calibri"/>
                <w:color w:val="000000"/>
              </w:rPr>
            </w:pPr>
            <w:r>
              <w:rPr>
                <w:rFonts w:ascii="Calibri" w:eastAsia="Times New Roman" w:hAnsi="Calibri" w:cs="Calibri"/>
                <w:color w:val="000000"/>
              </w:rPr>
              <w:t>Negative (firm value), Negative (cost of equity) and P</w:t>
            </w:r>
            <w:r w:rsidRPr="00FD7E14">
              <w:rPr>
                <w:rFonts w:ascii="Calibri" w:eastAsia="Times New Roman" w:hAnsi="Calibri" w:cs="Calibri"/>
                <w:color w:val="000000"/>
              </w:rPr>
              <w:t>ositive (cost of debt)</w:t>
            </w:r>
          </w:p>
        </w:tc>
      </w:tr>
    </w:tbl>
    <w:p w:rsidR="00DB5E96" w:rsidRDefault="00DB5E96" w:rsidP="00DB5E96">
      <w:pPr>
        <w:pStyle w:val="Heading1"/>
        <w:spacing w:line="360" w:lineRule="auto"/>
        <w:jc w:val="both"/>
        <w:rPr>
          <w:u w:val="single"/>
        </w:rPr>
      </w:pPr>
      <w:bookmarkStart w:id="45" w:name="_Toc299353387"/>
      <w:r w:rsidRPr="009B3911">
        <w:rPr>
          <w:u w:val="single"/>
        </w:rPr>
        <w:lastRenderedPageBreak/>
        <w:t>Chapter 4 Hypotheses development</w:t>
      </w:r>
      <w:bookmarkEnd w:id="45"/>
    </w:p>
    <w:p w:rsidR="00DB5E96" w:rsidRDefault="00DB5E96" w:rsidP="00DB5E96">
      <w:pPr>
        <w:spacing w:line="360" w:lineRule="auto"/>
      </w:pPr>
      <w:r>
        <w:t>In chapter 3</w:t>
      </w:r>
      <w:r w:rsidR="00DC54DE">
        <w:t>, the</w:t>
      </w:r>
      <w:r>
        <w:t xml:space="preserve"> incentives and implementation of a CSR strategy are described. The CSR report is seen as the last step in the implementation of a CSR strategy. In a CSR report the CSR performances are disclosed. The third chapter also described the impacts of CSR reporting. Financial impacts can be observed as a result </w:t>
      </w:r>
      <w:r w:rsidR="00DC54DE">
        <w:t>of a</w:t>
      </w:r>
      <w:r>
        <w:t xml:space="preserve"> CSR disclosure, but impacts on the forecast and the public sentiment are also observable. This paper focuses on the impact on the reputation. The terms reputation and public sentiment are used interchangeably in this paper. In previous research the term public sentiment is often used</w:t>
      </w:r>
      <w:r w:rsidR="00DC54DE">
        <w:t>, but</w:t>
      </w:r>
      <w:r>
        <w:t xml:space="preserve"> stakeholders’ impression is more directly reflected with reputation. In </w:t>
      </w:r>
      <w:r w:rsidR="00691A7B">
        <w:t>this paper</w:t>
      </w:r>
      <w:r>
        <w:t xml:space="preserve"> the impact of CSR reporting on reputation is examined.</w:t>
      </w:r>
    </w:p>
    <w:p w:rsidR="00DB5E96" w:rsidRDefault="00DB5E96" w:rsidP="00DB5E96">
      <w:pPr>
        <w:spacing w:line="360" w:lineRule="auto"/>
        <w:jc w:val="both"/>
      </w:pPr>
      <w:r>
        <w:t xml:space="preserve">This chapter describes the development of the hypothesis. The hypothesis is based on the impact of the reputation, the effect on the reputation was already investigated in prior research. But additional research should be done to test the impact of CSR reporting on </w:t>
      </w:r>
      <w:r w:rsidR="00DC54DE">
        <w:t>reputation</w:t>
      </w:r>
      <w:r>
        <w:t>. To test the relation between CSR reporting and reputation, five sub hypotheses are formulated. The first paragraph of this chapter describes the development of the main hypothesis. In paragraph two, the differences between the developed hypothesis and the existing literature are described. In the third paragraph a description is provided about the sub hypotheses.</w:t>
      </w:r>
    </w:p>
    <w:p w:rsidR="00DB5E96" w:rsidRDefault="00DB5E96" w:rsidP="00DB5E96">
      <w:pPr>
        <w:pStyle w:val="Heading2"/>
        <w:spacing w:line="360" w:lineRule="auto"/>
        <w:jc w:val="both"/>
      </w:pPr>
    </w:p>
    <w:p w:rsidR="00DB5E96" w:rsidRPr="00713D09" w:rsidRDefault="00DB5E96" w:rsidP="00DB5E96">
      <w:pPr>
        <w:pStyle w:val="Heading2"/>
        <w:spacing w:line="360" w:lineRule="auto"/>
        <w:jc w:val="both"/>
      </w:pPr>
      <w:bookmarkStart w:id="46" w:name="_Toc299353388"/>
      <w:r w:rsidRPr="00713D09">
        <w:t>4.1 De</w:t>
      </w:r>
      <w:r>
        <w:t>velopment</w:t>
      </w:r>
      <w:r w:rsidRPr="00713D09">
        <w:t xml:space="preserve"> </w:t>
      </w:r>
      <w:r>
        <w:t xml:space="preserve">of the main </w:t>
      </w:r>
      <w:r w:rsidRPr="00713D09">
        <w:t>hypothesis</w:t>
      </w:r>
      <w:bookmarkEnd w:id="46"/>
    </w:p>
    <w:p w:rsidR="00DB5E96" w:rsidRDefault="00DB5E96" w:rsidP="00DB5E96">
      <w:pPr>
        <w:spacing w:line="360" w:lineRule="auto"/>
        <w:jc w:val="both"/>
      </w:pPr>
      <w:r w:rsidRPr="00A6323A">
        <w:t xml:space="preserve"> </w:t>
      </w:r>
      <w:r>
        <w:t xml:space="preserve">Changes in financial performances can be observable after disclosing a CSR report. Information which is disclosed in a CSR </w:t>
      </w:r>
      <w:r w:rsidR="00DC54DE">
        <w:t>report</w:t>
      </w:r>
      <w:r>
        <w:t xml:space="preserve"> provides an overview of the past CSR performances of the company, a reaction on the financial side is expectable. The financial impacts of a CSR report are already well investigated in existing literature. In this thesis, the focus is not on the financial impacts but more on the social side of the company, the reputation.</w:t>
      </w:r>
    </w:p>
    <w:p w:rsidR="00DB5E96" w:rsidRDefault="00DB5E96" w:rsidP="00DB5E96">
      <w:pPr>
        <w:spacing w:line="360" w:lineRule="auto"/>
        <w:jc w:val="both"/>
      </w:pPr>
      <w:r>
        <w:t>In a CSR report, the performances related to the CSR strategy are described. When making CSR performances publically available, all stakeholders will be influenced. If a CSR strategy is implemented in the company, the company is aware of the social and environmental consequences of production. The performances related to the CSR strategy influence the investors’ perception of the company, but also the perception by customers and environmental foundations are influenced (Clarkson et al., 2010).  CSR strategy is a social concept</w:t>
      </w:r>
      <w:r w:rsidR="00DC54DE">
        <w:t>, which</w:t>
      </w:r>
      <w:r>
        <w:t xml:space="preserve"> incorporates different stakeholders. The whole society is indirectly </w:t>
      </w:r>
      <w:r>
        <w:lastRenderedPageBreak/>
        <w:t>affected by the CSR performances of the company.  The impact contains the whole society, this makes it interesting to investigate the impact of CSR reporting.</w:t>
      </w:r>
    </w:p>
    <w:p w:rsidR="00DB5E96" w:rsidRDefault="00DB5E96" w:rsidP="00DB5E96">
      <w:pPr>
        <w:spacing w:line="360" w:lineRule="auto"/>
        <w:jc w:val="both"/>
      </w:pPr>
      <w:r>
        <w:t xml:space="preserve">Prior studies examined the </w:t>
      </w:r>
      <w:r w:rsidRPr="004A3A00">
        <w:t>environmental</w:t>
      </w:r>
      <w:r>
        <w:t xml:space="preserve"> and social </w:t>
      </w:r>
      <w:r w:rsidRPr="004A3A00">
        <w:t>performances of</w:t>
      </w:r>
      <w:r>
        <w:t xml:space="preserve"> companies</w:t>
      </w:r>
      <w:r w:rsidRPr="004A3A00">
        <w:t>, for example the study of Clarkson, Li and Richa</w:t>
      </w:r>
      <w:r>
        <w:t>rdson (2004). This study distinguished</w:t>
      </w:r>
      <w:r w:rsidRPr="004A3A00">
        <w:t xml:space="preserve"> two typ</w:t>
      </w:r>
      <w:r>
        <w:t>es of environmental performers</w:t>
      </w:r>
      <w:r w:rsidRPr="004A3A00">
        <w:t xml:space="preserve">: good environmental performers and poor environmental performers. Companies </w:t>
      </w:r>
      <w:r>
        <w:t>that</w:t>
      </w:r>
      <w:r w:rsidRPr="004A3A00">
        <w:t xml:space="preserve"> can be considered as good environmental</w:t>
      </w:r>
      <w:r>
        <w:t xml:space="preserve"> performers are exceeding </w:t>
      </w:r>
      <w:r w:rsidRPr="004A3A00">
        <w:t>current environmental regulations. On the other hand</w:t>
      </w:r>
      <w:r>
        <w:t>,</w:t>
      </w:r>
      <w:r w:rsidRPr="004A3A00">
        <w:t xml:space="preserve"> poor environmental performers are companies </w:t>
      </w:r>
      <w:r>
        <w:t>that</w:t>
      </w:r>
      <w:r w:rsidRPr="004A3A00">
        <w:t xml:space="preserve"> </w:t>
      </w:r>
      <w:r>
        <w:t>are meeting the minimum level of environmental regulations. Clarkson et al. (2004) argue that c</w:t>
      </w:r>
      <w:r w:rsidRPr="004A3A00">
        <w:t xml:space="preserve">ompanies </w:t>
      </w:r>
      <w:r>
        <w:t>that</w:t>
      </w:r>
      <w:r w:rsidRPr="004A3A00">
        <w:t xml:space="preserve"> are good performers benefit from the </w:t>
      </w:r>
      <w:r>
        <w:t xml:space="preserve">exceeding. But poor performers do not </w:t>
      </w:r>
      <w:r w:rsidRPr="004A3A00">
        <w:t>receive benefits</w:t>
      </w:r>
      <w:r>
        <w:t xml:space="preserve"> related to environmental regulations</w:t>
      </w:r>
      <w:r w:rsidRPr="004A3A00">
        <w:t>, but instead face obligations to incur future expenditures</w:t>
      </w:r>
      <w:r>
        <w:t>. When a company reaches a minimum level of environmental regulations, it can be expected that future pollution and litigation costs increases.</w:t>
      </w:r>
      <w:r w:rsidRPr="004A3A00">
        <w:t xml:space="preserve"> </w:t>
      </w:r>
      <w:r>
        <w:t>Clarkson et al. (2004) described, that p</w:t>
      </w:r>
      <w:r w:rsidRPr="004A3A00">
        <w:t xml:space="preserve">oor </w:t>
      </w:r>
      <w:r>
        <w:t xml:space="preserve">environmental </w:t>
      </w:r>
      <w:r w:rsidRPr="004A3A00">
        <w:t>performan</w:t>
      </w:r>
      <w:r>
        <w:t xml:space="preserve">ce companies have lower environmental benefits. But due to the lower level of regulations they also have lower costs. Clarkson et al. (2004) described only the financial effects of good and poor environmental performances, but social effects are also expectable. The disclosure of a CSR report, which incorporates environmental and social performances, provides insight in the distinction between good and poor performances. The good and poor CSR reporting performers are observable by the quality of the CSR report. When a company provides a high quality CSR report, CSR reporting guidelines are followed in a proper way. CSR reports that meet lower levels of CSR </w:t>
      </w:r>
      <w:r w:rsidR="00DC54DE">
        <w:t>quality</w:t>
      </w:r>
      <w:r>
        <w:t xml:space="preserve"> are to a lesser degree in conformity with CSR reporting guidelines. In the remainder of this chapter the above described expectation of CSR reporting quality on reputation is discussed.</w:t>
      </w:r>
    </w:p>
    <w:p w:rsidR="00DB5E96" w:rsidRPr="00A62CAE" w:rsidRDefault="00DB5E96" w:rsidP="00DB5E96">
      <w:pPr>
        <w:spacing w:line="360" w:lineRule="auto"/>
        <w:jc w:val="both"/>
        <w:rPr>
          <w:color w:val="FF0000"/>
        </w:rPr>
      </w:pPr>
      <w:r>
        <w:t xml:space="preserve">The agency problem will be reduced after the CSR report disclosure. When a CSR report is of higher quality, the report takes more guidelines into consideration. Guidelines of reporting increase the transparency, so it can be expected that higher quality CSR reports result in a lower agency problem. </w:t>
      </w:r>
      <w:r w:rsidR="00DC54DE">
        <w:t>Stakeholders observe</w:t>
      </w:r>
      <w:r>
        <w:t xml:space="preserve"> more transparent information, to monitor management’s CSR behavior. The information asymmetry reduces. (Healy et al., 2000) The company makes decisions in favor of society, to obtain power from society (Rodriguez and LeMaster, 2007). Communicating CSR information, is in conformity with the legitimacy theory (Lightstone et al. </w:t>
      </w:r>
      <w:r w:rsidRPr="00FF5235">
        <w:rPr>
          <w:lang w:val="fr-FR"/>
        </w:rPr>
        <w:t>(2008) and Lui et al. (2008), Cho et al.  (2007) and Dowling et al</w:t>
      </w:r>
      <w:r>
        <w:rPr>
          <w:lang w:val="fr-FR"/>
        </w:rPr>
        <w:t xml:space="preserve">. </w:t>
      </w:r>
      <w:r w:rsidRPr="00452989">
        <w:t xml:space="preserve">(1975). </w:t>
      </w:r>
      <w:r>
        <w:t xml:space="preserve">The public is more satisfied when it is provided with more reliable information. The quality of the CSR information is represented by the quality of the CSR report. Based on the legitimacy theory it can be expected that managers wants to develop a high quality CSR report, to </w:t>
      </w:r>
      <w:r>
        <w:lastRenderedPageBreak/>
        <w:t xml:space="preserve">obtain more legitimacy from the public. The stakeholder theory implies that companies disclose a CSR report based on the pressure of stakeholders (Rodriguez and LeMaster (2007) and Huang </w:t>
      </w:r>
      <w:r w:rsidR="00D203EA">
        <w:t xml:space="preserve">et al. </w:t>
      </w:r>
      <w:r>
        <w:t>(2010). The public will benefit from this, when management acts more in conformity with the CSR desires of the public. The public will value this in a positive way, which leads to an increase of the reputation (Clarkson et al., 2010)</w:t>
      </w:r>
      <w:r w:rsidR="00DC54DE">
        <w:t>.</w:t>
      </w:r>
      <w:r>
        <w:t xml:space="preserve"> The public values CSR positively (Formbrund and Shanley, 1990). This implies that the quality of the information provided in a CSR report will also increase the reputation. The agency problem, information asymmetry, the legitimacy theory and the stakeholder theory expects that from CSR reporting the reputation increases. This expectation results in the following hypothesis: </w:t>
      </w:r>
    </w:p>
    <w:p w:rsidR="00DB5E96" w:rsidRDefault="00DB5E96" w:rsidP="00DB5E96">
      <w:pPr>
        <w:spacing w:line="360" w:lineRule="auto"/>
        <w:ind w:firstLine="708"/>
        <w:jc w:val="both"/>
        <w:rPr>
          <w:b/>
          <w:i/>
        </w:rPr>
      </w:pPr>
      <w:r>
        <w:rPr>
          <w:b/>
          <w:i/>
        </w:rPr>
        <w:t xml:space="preserve">CSR reporting </w:t>
      </w:r>
      <w:r w:rsidR="00DC54DE">
        <w:rPr>
          <w:b/>
          <w:i/>
        </w:rPr>
        <w:t>quality increases</w:t>
      </w:r>
      <w:r>
        <w:rPr>
          <w:b/>
          <w:i/>
        </w:rPr>
        <w:t xml:space="preserve"> the </w:t>
      </w:r>
      <w:r w:rsidR="00DC54DE">
        <w:rPr>
          <w:b/>
          <w:i/>
        </w:rPr>
        <w:t>reputation of</w:t>
      </w:r>
      <w:r>
        <w:rPr>
          <w:b/>
          <w:i/>
        </w:rPr>
        <w:t xml:space="preserve"> a company</w:t>
      </w:r>
      <w:r w:rsidRPr="004A3A00">
        <w:rPr>
          <w:b/>
          <w:i/>
        </w:rPr>
        <w:t>.</w:t>
      </w:r>
    </w:p>
    <w:p w:rsidR="00DB5E96" w:rsidRDefault="00DB5E96" w:rsidP="00DB5E96">
      <w:pPr>
        <w:spacing w:line="360" w:lineRule="auto"/>
        <w:jc w:val="both"/>
      </w:pPr>
      <w:r w:rsidRPr="004A3A00">
        <w:t xml:space="preserve"> </w:t>
      </w:r>
      <w:r>
        <w:t>Reputation</w:t>
      </w:r>
      <w:r w:rsidRPr="004A3A00">
        <w:t xml:space="preserve"> is the impression </w:t>
      </w:r>
      <w:r>
        <w:t xml:space="preserve">the public has about the company. CSR reporting has an impact on the reputation, this impact </w:t>
      </w:r>
      <w:r w:rsidRPr="004A3A00">
        <w:t>can be positive or negative</w:t>
      </w:r>
      <w:r>
        <w:t>,</w:t>
      </w:r>
      <w:r w:rsidRPr="004A3A00">
        <w:t xml:space="preserve"> dependent on the published information</w:t>
      </w:r>
      <w:r>
        <w:t>. Since CSR reports provide information about past CSR performances, an influence on reputation is expected</w:t>
      </w:r>
      <w:r w:rsidRPr="004A3A00">
        <w:t>.</w:t>
      </w:r>
      <w:r>
        <w:t xml:space="preserve"> </w:t>
      </w:r>
      <w:r w:rsidRPr="004A3A00">
        <w:t xml:space="preserve"> </w:t>
      </w:r>
      <w:r>
        <w:t xml:space="preserve">Argued by Clarkson et al. (2004) and Patten (2002) public sentiment can be influenced in a positive way due to environmental performances. </w:t>
      </w:r>
    </w:p>
    <w:p w:rsidR="00DB5E96" w:rsidRDefault="00DB5E96" w:rsidP="00DB5E96">
      <w:pPr>
        <w:spacing w:line="360" w:lineRule="auto"/>
        <w:jc w:val="both"/>
        <w:rPr>
          <w:b/>
          <w:i/>
        </w:rPr>
      </w:pPr>
    </w:p>
    <w:p w:rsidR="00DB5E96" w:rsidRPr="00713D09" w:rsidRDefault="00DB5E96" w:rsidP="00DB5E96">
      <w:pPr>
        <w:pStyle w:val="Heading2"/>
        <w:spacing w:line="360" w:lineRule="auto"/>
        <w:jc w:val="both"/>
      </w:pPr>
      <w:bookmarkStart w:id="47" w:name="_Toc299353389"/>
      <w:r w:rsidRPr="00713D09">
        <w:t xml:space="preserve">4.2 Difference </w:t>
      </w:r>
      <w:r>
        <w:t>compared to previous</w:t>
      </w:r>
      <w:r w:rsidRPr="00713D09">
        <w:t xml:space="preserve"> studies</w:t>
      </w:r>
      <w:bookmarkEnd w:id="47"/>
    </w:p>
    <w:p w:rsidR="00DB5E96" w:rsidRDefault="00DB5E96" w:rsidP="00DB5E96">
      <w:pPr>
        <w:spacing w:line="360" w:lineRule="auto"/>
        <w:jc w:val="both"/>
      </w:pPr>
      <w:r>
        <w:t xml:space="preserve">The public sentiment in relation to CSR has already been investigated in the studies of Brown et al. (1997), Ittner et al. (1998) and Clarkson et al. (2010). They all found a positive relation between CSR disclosure and the public sentiment. But there are several differences between the design of these prior studies and the design of </w:t>
      </w:r>
      <w:r w:rsidR="00691A7B">
        <w:t>this paper</w:t>
      </w:r>
      <w:r>
        <w:t xml:space="preserve">. One of the differences is located in the used proxies of measuring reputation. Clarkson (2010) used the Janis-Fadner coefficient. This coefficient uses positive and negative environmentally related </w:t>
      </w:r>
      <w:r w:rsidR="00DC54DE">
        <w:t>articles that</w:t>
      </w:r>
      <w:r>
        <w:t xml:space="preserve"> are published about the company. This is not the most accurate tool for measuring public sentiment. These environmentally related articles are published by different media and read by a different public. Clarkson et al. (2004) suggest that, to formalize a judgment the public will use the positively and negatively related articles. The judgment of the whole </w:t>
      </w:r>
      <w:r w:rsidR="00DC54DE">
        <w:t>public together</w:t>
      </w:r>
      <w:r>
        <w:t xml:space="preserve"> is reflected in the public sentiment.  Clarkson et al. (2004) measure this public sentiment by a formula that incorporates the number of negatively and positively related articles. So they suggest that companies, which have exactly the same number of positive and negative environmental articles </w:t>
      </w:r>
      <w:r w:rsidR="00DC54DE">
        <w:t>also,</w:t>
      </w:r>
      <w:r>
        <w:t xml:space="preserve"> have the same public sentiment. With this formula it is suggested that all articles have the same impact on public sentiment. This is not an accurate representation, since articles face different levels of impact </w:t>
      </w:r>
      <w:r>
        <w:lastRenderedPageBreak/>
        <w:t xml:space="preserve">on the public sentiment. For instance, if a negative environmental article is published in countries most popular newspaper, a bigger influence on public sentiment is expected, in comparison with the article being published in a small local newspaper. Therefore it is not accurate to suggest that all negative (or positive) </w:t>
      </w:r>
      <w:r w:rsidR="00DC54DE">
        <w:t>articles have</w:t>
      </w:r>
      <w:r>
        <w:t xml:space="preserve"> the same influence on public sentiment.</w:t>
      </w:r>
    </w:p>
    <w:p w:rsidR="00DB5E96" w:rsidRDefault="00DB5E96" w:rsidP="00DB5E96">
      <w:pPr>
        <w:spacing w:line="360" w:lineRule="auto"/>
        <w:jc w:val="both"/>
      </w:pPr>
      <w:r>
        <w:t xml:space="preserve">In the study of Brown et al. (1997) a field study is used for analyzing the public sentiment. In this field study, potential consumers are asked to evaluate products on the CSR performances. The products are </w:t>
      </w:r>
      <w:r w:rsidR="00DC54DE">
        <w:t>separate</w:t>
      </w:r>
      <w:r>
        <w:t xml:space="preserve"> analyzed. It is very difficult to evaluate all existing single products. When companies provide a service, not a real tangible product </w:t>
      </w:r>
      <w:r w:rsidR="00DC54DE">
        <w:t>is delivered</w:t>
      </w:r>
      <w:r>
        <w:t>, analyzing an intangible product is more difficult. Also it can be expected that companies that deliver products or services to specific industries and not to consumers, are not well evaluated by public. The public does not own enough detailed information to evaluate the products or services in an accurate way. When the public is evaluating these unknown companies, the evaluation is based more on the image of the company. For example, when the public only knows the logo of the company, the evaluation is mainly based on the associations with this logo. The study of Brown et al. (1997) focuses more on the marketing side. The evaluating of products by the public will be based on all information held by the public of the particular product. This information can be influenced by marketing. Marketing is an important tool, it has the purpose to influence the information known by the public about products in a positive way.  Therefore evaluating products to observe the impact of CSR is not a right method. Consumers are not able to evaluate correctly the companies CSR performances based on product evaluation.</w:t>
      </w:r>
    </w:p>
    <w:p w:rsidR="00DB5E96" w:rsidRPr="00A4347E" w:rsidRDefault="00DB5E96" w:rsidP="00DB5E96">
      <w:pPr>
        <w:spacing w:line="360" w:lineRule="auto"/>
        <w:jc w:val="both"/>
      </w:pPr>
      <w:r>
        <w:t xml:space="preserve">Ittner et al. (1998) used the proxy customer satisfaction as a tool for measuring the non financial performances of the company. In their study the relation between financial performance and non financial performances are investigated. When customer satisfaction is taken as a proxy for non financial performances, they assume a perfect relation between customer satisfaction and non financial performances. In this study the level of customers’ satisfaction is build upon three different variables, the customer, business unit and firm level data.  It cannot be assumed that </w:t>
      </w:r>
      <w:r w:rsidR="00DC54DE">
        <w:t>customers’</w:t>
      </w:r>
      <w:r>
        <w:t xml:space="preserve"> satisfaction has a perfect relationship with non financial performances. Because customers satisfaction is dependent on many criteria. Therefore, the study of Ittner et al. does not make the right assumption about the perfect relation between customer satisfaction and non financial performances. </w:t>
      </w:r>
    </w:p>
    <w:p w:rsidR="00DB5E96" w:rsidRDefault="00DB5E96" w:rsidP="00DB5E96">
      <w:pPr>
        <w:spacing w:line="360" w:lineRule="auto"/>
        <w:jc w:val="both"/>
      </w:pPr>
      <w:r>
        <w:t xml:space="preserve">The used proxies in previous studies are not the only reason for developing this paper for examining the relationship between reputation and CSR reporting.  Also the focus of the studies differs. In the study of Clarkson et al. (2010) it is </w:t>
      </w:r>
      <w:r w:rsidRPr="004A3A00">
        <w:t xml:space="preserve">investigated </w:t>
      </w:r>
      <w:r w:rsidR="00DC54DE" w:rsidRPr="004A3A00">
        <w:t xml:space="preserve">whether </w:t>
      </w:r>
      <w:r w:rsidR="00DC54DE">
        <w:t>a</w:t>
      </w:r>
      <w:r>
        <w:t xml:space="preserve"> positive relation between public </w:t>
      </w:r>
      <w:r w:rsidRPr="004A3A00">
        <w:t xml:space="preserve">sentiment and </w:t>
      </w:r>
      <w:r w:rsidRPr="004A3A00">
        <w:lastRenderedPageBreak/>
        <w:t>environmental disclosures</w:t>
      </w:r>
      <w:r>
        <w:t xml:space="preserve"> exists</w:t>
      </w:r>
      <w:r w:rsidRPr="004A3A00">
        <w:t xml:space="preserve">. </w:t>
      </w:r>
      <w:r>
        <w:t xml:space="preserve">For this study they researched companies that are operating in the five most polluting industries in the US. The outcome was a positive relation between the Janis-Fadner coefficient and the CSR disclosures. The polluting industries do not represent all companies, so the outcomes are only useful for the polluting industries. In the developed hypothesis no restriction of companies or industries has been made, so the outcomes will be representative for all companies and industries. </w:t>
      </w:r>
    </w:p>
    <w:p w:rsidR="00DB5E96" w:rsidRPr="00E1451E" w:rsidRDefault="00DB5E96" w:rsidP="00DB5E96">
      <w:pPr>
        <w:spacing w:line="360" w:lineRule="auto"/>
        <w:jc w:val="both"/>
      </w:pPr>
    </w:p>
    <w:p w:rsidR="00DB5E96" w:rsidRDefault="00DB5E96" w:rsidP="00DB5E96">
      <w:pPr>
        <w:pStyle w:val="Heading2"/>
        <w:spacing w:line="360" w:lineRule="auto"/>
        <w:jc w:val="both"/>
      </w:pPr>
      <w:bookmarkStart w:id="48" w:name="_Toc299353390"/>
      <w:r>
        <w:t>4.3 Development of</w:t>
      </w:r>
      <w:r w:rsidRPr="00E1451E">
        <w:t xml:space="preserve"> sub hypotheses</w:t>
      </w:r>
      <w:bookmarkEnd w:id="48"/>
    </w:p>
    <w:p w:rsidR="00DB5E96" w:rsidRDefault="00DB5E96" w:rsidP="00DB5E96">
      <w:pPr>
        <w:spacing w:line="360" w:lineRule="auto"/>
        <w:jc w:val="both"/>
      </w:pPr>
      <w:r>
        <w:t>The relation between the reputation and CSR reporting is influenced by many factors. A selection of the expected influencing criteria has been made. In this paragraph the criteria are described and the expected influences are provided.</w:t>
      </w:r>
    </w:p>
    <w:p w:rsidR="00DB5E96" w:rsidRDefault="00DB5E96" w:rsidP="00DB5E96">
      <w:pPr>
        <w:spacing w:line="360" w:lineRule="auto"/>
        <w:jc w:val="both"/>
      </w:pPr>
      <w:r>
        <w:t xml:space="preserve">The size of a company is a factor that has an impact on the reputation and the CSR report. Larger companies face more public attention, through their larger size they are well known. More stakeholders are involved in the processes of the company, the company reaches a larger public. When more stakeholders are involved in the company, the company is facing more pressure to pursue a good reputation. If the </w:t>
      </w:r>
      <w:r w:rsidR="00DC54DE">
        <w:t>company implements</w:t>
      </w:r>
      <w:r>
        <w:t xml:space="preserve"> a CSR strategy, the company is aware of negative environmental and social influences of their production. A CSR report provides more transparency in the CSR performances of a company. From the agency theory and information asymmetry it can be expected that public values the CSR reporting positively. This results in the expectation that CSR reporting improves reputation. The public is more aware of the impact of larger companies</w:t>
      </w:r>
      <w:r>
        <w:rPr>
          <w:color w:val="FF0000"/>
        </w:rPr>
        <w:t xml:space="preserve"> </w:t>
      </w:r>
      <w:r>
        <w:t xml:space="preserve">(Huang et al., 2010) these larger companies have more incentives to provide a complete and high quality CSR report. Besides the role that size influences company’s public attention, size also plays an impact on the financial resources. In the study of Dhaliwal et al. (2010, A) it is argued that larger companies have more financial resources available to develop a CSR report. This implies that larger companies are more willing to invest in CSR activities and disclose </w:t>
      </w:r>
      <w:r w:rsidR="00DC54DE">
        <w:t>these performances</w:t>
      </w:r>
      <w:r>
        <w:t xml:space="preserve"> in a CSR report. So larger companies will achieve a reduction in information asymmetry and the agency problem which results in </w:t>
      </w:r>
      <w:r w:rsidR="00DC54DE">
        <w:t>an</w:t>
      </w:r>
      <w:r>
        <w:t xml:space="preserve"> increase of the reputation. The following sub hypothesis can be inferred. </w:t>
      </w:r>
    </w:p>
    <w:p w:rsidR="00DB5E96" w:rsidRDefault="00DB5E96" w:rsidP="00DB5E96">
      <w:pPr>
        <w:spacing w:line="360" w:lineRule="auto"/>
        <w:ind w:left="705"/>
        <w:jc w:val="both"/>
        <w:rPr>
          <w:b/>
          <w:i/>
        </w:rPr>
      </w:pPr>
      <w:r>
        <w:rPr>
          <w:b/>
          <w:i/>
        </w:rPr>
        <w:t>The relationship between CSR reporting quality and the reputation is positively influenced by larger companies.</w:t>
      </w:r>
    </w:p>
    <w:p w:rsidR="00DB5E96" w:rsidRDefault="00DB5E96" w:rsidP="00DB5E96">
      <w:pPr>
        <w:spacing w:line="360" w:lineRule="auto"/>
        <w:jc w:val="both"/>
      </w:pPr>
      <w:r>
        <w:lastRenderedPageBreak/>
        <w:t>Financial performances of companies are also an important element in the relation between CSR reporting and the reputation. Argued by Dhaliwal et al. (2010, A) companies with better financial performances have more financial resources available to implement a CSR strategy and disclose a CSR report. In the study of Dhaliwal et al. (2010, A) the impact of the cost of equity on CSR reporting was studied. In this study evidence is found that cost of equity decreased after the first CSR disclosure. So a financial advantage due to the CSR disclosure was observable, investors valued the CSR disclosure positively. The CSR disclosing companies face a higher amount of new equity, then in comparison with not disclosing CSR companies. Also it can be expected when companies have a good financial performances, they have an improved influences on the society. Good financial performers provide benefits for the society. For example, the companies pay more taxes and also have more employees. This leads to an increase in reputation. The effect of financial performances on CSR reporting and reputation is incorporated in the following sub hypothesis:</w:t>
      </w:r>
    </w:p>
    <w:p w:rsidR="00DB5E96" w:rsidRDefault="00DB5E96" w:rsidP="00DB5E96">
      <w:pPr>
        <w:spacing w:line="360" w:lineRule="auto"/>
        <w:ind w:left="705"/>
        <w:jc w:val="both"/>
        <w:rPr>
          <w:b/>
          <w:i/>
        </w:rPr>
      </w:pPr>
      <w:r>
        <w:rPr>
          <w:b/>
          <w:i/>
        </w:rPr>
        <w:t>The relationship between CSR reporting quality and the reputation is positively influenced by better financial performances.</w:t>
      </w:r>
    </w:p>
    <w:p w:rsidR="00DB5E96" w:rsidRDefault="00DB5E96" w:rsidP="00DB5E96">
      <w:pPr>
        <w:spacing w:line="360" w:lineRule="auto"/>
        <w:jc w:val="both"/>
      </w:pPr>
      <w:r>
        <w:t>The reputation of companies is dependent on the level of customer satisfaction. Companies are able to influence the satisfaction levels. Companies have the opportunity to provide additional services when selling products or services. When these products or services are delivered with additional services, customers appreciate this, resulting in a higher customer satisfaction.  An improved reputation follows due to the provided additional services. A company can differentiate from other companies when building a good reputation. If a furniture shop provides a well structured delivery service, the reputation of the company improves. Due to this delivery service the company can differentiate from other furniture shops. The expenses that represent the services which are provided to the sold products and services are the selling general and administrative (SG&amp;A) expenses. Argued by Palepu, Healy and Peek, (2010) the amount of the SG&amp;A expenses will represent the level of services which lead to customer satisfaction. When a bigger amount of SG&amp;A expenses are provided per amount of sales, reputation faces an improvement. This expectation is expressed in the following sub hypothesis:</w:t>
      </w:r>
    </w:p>
    <w:p w:rsidR="00DB5E96" w:rsidRDefault="00DB5E96" w:rsidP="00DB5E96">
      <w:pPr>
        <w:spacing w:line="360" w:lineRule="auto"/>
        <w:ind w:left="705"/>
        <w:jc w:val="both"/>
        <w:rPr>
          <w:b/>
          <w:i/>
        </w:rPr>
      </w:pPr>
      <w:r>
        <w:rPr>
          <w:b/>
          <w:i/>
        </w:rPr>
        <w:t>The relationship between CSR reporting quality and the reputation is positively influenced by higher general selling and administrative expenses to sales.</w:t>
      </w:r>
    </w:p>
    <w:p w:rsidR="00DB5E96" w:rsidRDefault="00DB5E96" w:rsidP="00DB5E96">
      <w:pPr>
        <w:spacing w:line="360" w:lineRule="auto"/>
        <w:jc w:val="both"/>
      </w:pPr>
      <w:r>
        <w:t xml:space="preserve">Awareness of social and environmental issues is dependent on many circumstances. For example, the economical situation of countries is important for CSR related activities. When in countries a good </w:t>
      </w:r>
      <w:r>
        <w:lastRenderedPageBreak/>
        <w:t xml:space="preserve">economical environment exist, more financial resources are available to invest in CSR strategy. This will influence the reputation. Also many other country specific circumstances are influencing the decision making process, from choosing a CSR strategy to disclosing a CSR report.  When the government stimulates companies to implement CSR strategy and to provide information about the CSR performances in a CSR report, more companies have incentives for the implementation of CSR strategy and the disclosure of a CSR report. This country specific circumstance is observed in the study of Dhaliwal et al. (2010, A). In this study evidence is found that the power of the relation between CSR disclosures and forecast accuracy is different among countries. Countries with more stakeholder orientation are facing a stronger relation. Countries can have a </w:t>
      </w:r>
      <w:r w:rsidR="00DC54DE">
        <w:t>hidden information</w:t>
      </w:r>
      <w:r>
        <w:t xml:space="preserve"> culture, in these countries significantly less information is provided to stakeholders. These country specific factors will influence the CSR report disclosure behavior, which finally have an influence on the public reputation. The following sub hypothesis will show this expectation:</w:t>
      </w:r>
    </w:p>
    <w:p w:rsidR="00DB5E96" w:rsidRDefault="00DB5E96" w:rsidP="00DB5E96">
      <w:pPr>
        <w:spacing w:line="360" w:lineRule="auto"/>
        <w:ind w:left="705"/>
        <w:jc w:val="both"/>
        <w:rPr>
          <w:b/>
          <w:i/>
        </w:rPr>
      </w:pPr>
      <w:r>
        <w:rPr>
          <w:b/>
          <w:i/>
        </w:rPr>
        <w:t>The relationship between CSR reporting quality and the reputation is influenced by regions of companies.</w:t>
      </w:r>
    </w:p>
    <w:p w:rsidR="00DB5E96" w:rsidRDefault="00DB5E96" w:rsidP="00DB5E96">
      <w:pPr>
        <w:spacing w:line="360" w:lineRule="auto"/>
        <w:jc w:val="both"/>
      </w:pPr>
      <w:r>
        <w:t xml:space="preserve">Not only country specific circumstances have influences on the CSR reporting behavior, but also industry circumstances have influences on the CSR report behavior. In the study of Richardson et al. (2010) the control variable Toxic Release Inventory (TRI) emissions is included. The study investigates companies from the five most polluting industries. This TRI variable is seen as a measurement for relative environmental performance and is used to rank the companies within an industry. Evidence is found that the TRI emission has a negative impact on firm value and a positive impact on the cost of equity. These findings are explained by the possible future liability claims, which lower the firm value.  It can be assumed that TRI emissions differ among industries. For example, financial services companies face a lower level of toxic emissions than industrial companies. Companies that operate in an industry with high levels of TRI </w:t>
      </w:r>
      <w:r w:rsidR="00DC54DE">
        <w:t>emissions</w:t>
      </w:r>
      <w:r>
        <w:t xml:space="preserve"> are harming the environment. This is valued in a negative way by the public and results in a lower reputation. From the legitimacy theory it is expected, that companies operating in high emissions industries have a high awareness of social and environmental issues. The expected effect on reputation and the awareness of CSR reporting among </w:t>
      </w:r>
      <w:r w:rsidR="00DC54DE">
        <w:t>industries</w:t>
      </w:r>
      <w:r>
        <w:t xml:space="preserve"> implies that the investigated relationship will differ. This </w:t>
      </w:r>
      <w:r w:rsidR="00DC54DE">
        <w:t>expectation</w:t>
      </w:r>
      <w:r>
        <w:t xml:space="preserve"> is implied in the following sub hypothesis:</w:t>
      </w:r>
    </w:p>
    <w:p w:rsidR="00DB5E96" w:rsidRDefault="00DB5E96" w:rsidP="00DB5E96">
      <w:pPr>
        <w:spacing w:line="360" w:lineRule="auto"/>
        <w:ind w:left="705"/>
        <w:jc w:val="both"/>
        <w:rPr>
          <w:b/>
          <w:i/>
        </w:rPr>
      </w:pPr>
      <w:r>
        <w:rPr>
          <w:b/>
          <w:i/>
        </w:rPr>
        <w:t>The relationship between CSR reporting quality and reputation is influenced by industries of companies.</w:t>
      </w:r>
    </w:p>
    <w:p w:rsidR="00DB5E96" w:rsidRPr="00912C0E" w:rsidRDefault="00DB5E96" w:rsidP="00DB5E96">
      <w:pPr>
        <w:pStyle w:val="Heading2"/>
        <w:spacing w:line="360" w:lineRule="auto"/>
        <w:jc w:val="both"/>
      </w:pPr>
      <w:bookmarkStart w:id="49" w:name="_Toc299353391"/>
      <w:r w:rsidRPr="00912C0E">
        <w:lastRenderedPageBreak/>
        <w:t>4.4 Summary hypothesis development</w:t>
      </w:r>
      <w:bookmarkEnd w:id="49"/>
    </w:p>
    <w:p w:rsidR="00DB5E96" w:rsidRDefault="00DB5E96" w:rsidP="00DB5E96">
      <w:pPr>
        <w:spacing w:line="360" w:lineRule="auto"/>
        <w:jc w:val="both"/>
      </w:pPr>
      <w:r w:rsidRPr="00713D09">
        <w:t xml:space="preserve">This chapter introduced the </w:t>
      </w:r>
      <w:r>
        <w:t xml:space="preserve">main </w:t>
      </w:r>
      <w:r w:rsidRPr="00713D09">
        <w:t xml:space="preserve">hypothesis of </w:t>
      </w:r>
      <w:r w:rsidR="00691A7B">
        <w:t>this paper</w:t>
      </w:r>
      <w:r w:rsidRPr="00713D09">
        <w:t>.</w:t>
      </w:r>
      <w:r>
        <w:t xml:space="preserve"> The expectation is that a CSR report positively influences reputation. This reputation is dependent on the available information of the company. Due to a CSR report more information becomes available and this improves the reputation. Some previous studies already observed a positive relation between these two variables, but used a less accurate proxy for the reputation or measured the impact of only particular industries.</w:t>
      </w:r>
    </w:p>
    <w:p w:rsidR="00DB5E96" w:rsidRDefault="00DB5E96" w:rsidP="00615883">
      <w:pPr>
        <w:pStyle w:val="Heading1"/>
        <w:spacing w:line="360" w:lineRule="auto"/>
        <w:jc w:val="both"/>
        <w:rPr>
          <w:u w:val="single"/>
        </w:rPr>
      </w:pPr>
    </w:p>
    <w:p w:rsidR="00631FDC" w:rsidRDefault="00631FDC" w:rsidP="00615883">
      <w:pPr>
        <w:jc w:val="both"/>
      </w:pPr>
    </w:p>
    <w:p w:rsidR="005E2F3B" w:rsidRDefault="005E2F3B" w:rsidP="00615883">
      <w:pPr>
        <w:jc w:val="both"/>
      </w:pPr>
    </w:p>
    <w:p w:rsidR="00A25F9A" w:rsidRDefault="00A25F9A" w:rsidP="00615883">
      <w:pPr>
        <w:pStyle w:val="Heading1"/>
        <w:spacing w:line="360" w:lineRule="auto"/>
        <w:jc w:val="both"/>
        <w:rPr>
          <w:u w:val="single"/>
        </w:rPr>
      </w:pPr>
    </w:p>
    <w:p w:rsidR="00DB5E96" w:rsidRDefault="00DB5E96" w:rsidP="00DB5E96"/>
    <w:p w:rsidR="00DB5E96" w:rsidRDefault="00DB5E96" w:rsidP="00DB5E96"/>
    <w:p w:rsidR="00DB5E96" w:rsidRDefault="00DB5E96" w:rsidP="00DB5E96"/>
    <w:p w:rsidR="00DB5E96" w:rsidRDefault="00DB5E96" w:rsidP="00DB5E96"/>
    <w:p w:rsidR="00DB5E96" w:rsidRDefault="00DB5E96" w:rsidP="00DB5E96"/>
    <w:p w:rsidR="00DB5E96" w:rsidRDefault="00DB5E96" w:rsidP="00DB5E96"/>
    <w:p w:rsidR="00DB5E96" w:rsidRDefault="00DB5E96" w:rsidP="00DB5E96"/>
    <w:p w:rsidR="00DB5E96" w:rsidRDefault="00DB5E96" w:rsidP="00DB5E96"/>
    <w:p w:rsidR="00DB5E96" w:rsidRDefault="00DB5E96" w:rsidP="00DB5E96"/>
    <w:p w:rsidR="00DB5E96" w:rsidRDefault="00DB5E96" w:rsidP="00DB5E96"/>
    <w:p w:rsidR="00DB5E96" w:rsidRPr="00DB5E96" w:rsidRDefault="00DB5E96" w:rsidP="00DB5E96"/>
    <w:p w:rsidR="009A361F" w:rsidRPr="009A361F" w:rsidRDefault="009A361F" w:rsidP="00615883">
      <w:pPr>
        <w:jc w:val="both"/>
      </w:pPr>
    </w:p>
    <w:p w:rsidR="00A25F9A" w:rsidRPr="00A25F9A" w:rsidRDefault="00A25F9A" w:rsidP="00615883">
      <w:pPr>
        <w:jc w:val="both"/>
      </w:pPr>
    </w:p>
    <w:p w:rsidR="00631FDC" w:rsidRPr="005D2B03" w:rsidRDefault="00631FDC" w:rsidP="00615883">
      <w:pPr>
        <w:pStyle w:val="Heading1"/>
        <w:spacing w:line="360" w:lineRule="auto"/>
        <w:jc w:val="both"/>
        <w:rPr>
          <w:u w:val="single"/>
        </w:rPr>
      </w:pPr>
      <w:bookmarkStart w:id="50" w:name="_Toc299353392"/>
      <w:r w:rsidRPr="005D2B03">
        <w:rPr>
          <w:u w:val="single"/>
        </w:rPr>
        <w:lastRenderedPageBreak/>
        <w:t xml:space="preserve">Chapter 5 </w:t>
      </w:r>
      <w:r>
        <w:rPr>
          <w:u w:val="single"/>
        </w:rPr>
        <w:t>Methodology</w:t>
      </w:r>
      <w:bookmarkEnd w:id="50"/>
    </w:p>
    <w:p w:rsidR="00631FDC" w:rsidRDefault="00631FDC" w:rsidP="00615883">
      <w:pPr>
        <w:spacing w:line="360" w:lineRule="auto"/>
        <w:jc w:val="both"/>
      </w:pPr>
      <w:r>
        <w:t xml:space="preserve">In </w:t>
      </w:r>
      <w:r w:rsidR="001F4B48">
        <w:t xml:space="preserve">the </w:t>
      </w:r>
      <w:r>
        <w:t>previous chapter th</w:t>
      </w:r>
      <w:r w:rsidR="00E043D6">
        <w:t>e hypotheses are developed, these</w:t>
      </w:r>
      <w:r>
        <w:t xml:space="preserve"> </w:t>
      </w:r>
      <w:r w:rsidR="006A5B57">
        <w:t xml:space="preserve">developed </w:t>
      </w:r>
      <w:r>
        <w:t xml:space="preserve">hypotheses are tested in the empirical research. In this chapter the design of the empirical research is </w:t>
      </w:r>
      <w:r w:rsidR="00E043D6">
        <w:t>described</w:t>
      </w:r>
      <w:r>
        <w:t>.</w:t>
      </w:r>
      <w:r w:rsidR="00A247B7">
        <w:t xml:space="preserve"> In the first paragraph the development of the sample is </w:t>
      </w:r>
      <w:r w:rsidR="006A5B57">
        <w:t>provided</w:t>
      </w:r>
      <w:r w:rsidR="00A247B7">
        <w:t>. In the second paragraph</w:t>
      </w:r>
      <w:r>
        <w:t xml:space="preserve"> the methodology for investigating the relationship between </w:t>
      </w:r>
      <w:r w:rsidR="00C86669">
        <w:t>reputation</w:t>
      </w:r>
      <w:r w:rsidR="00E043D6">
        <w:t xml:space="preserve"> and CSR report disclosure</w:t>
      </w:r>
      <w:r w:rsidR="00A247B7">
        <w:t xml:space="preserve"> follows. The third paragraph provides an explanation of the used data.</w:t>
      </w:r>
    </w:p>
    <w:p w:rsidR="00A247B7" w:rsidRPr="004E6068" w:rsidRDefault="00A247B7" w:rsidP="00615883">
      <w:pPr>
        <w:spacing w:line="360" w:lineRule="auto"/>
        <w:jc w:val="both"/>
        <w:rPr>
          <w:color w:val="FF0000"/>
        </w:rPr>
      </w:pPr>
    </w:p>
    <w:p w:rsidR="00631FDC" w:rsidRDefault="00631FDC" w:rsidP="00615883">
      <w:pPr>
        <w:pStyle w:val="Heading2"/>
        <w:spacing w:line="360" w:lineRule="auto"/>
        <w:jc w:val="both"/>
      </w:pPr>
      <w:bookmarkStart w:id="51" w:name="_Toc299353393"/>
      <w:r>
        <w:t>5.1 Sample</w:t>
      </w:r>
      <w:bookmarkEnd w:id="51"/>
      <w:r>
        <w:t xml:space="preserve"> </w:t>
      </w:r>
    </w:p>
    <w:p w:rsidR="00631FDC" w:rsidRDefault="00E043D6" w:rsidP="00615883">
      <w:pPr>
        <w:spacing w:line="360" w:lineRule="auto"/>
        <w:jc w:val="both"/>
      </w:pPr>
      <w:r>
        <w:t xml:space="preserve">In </w:t>
      </w:r>
      <w:r w:rsidR="00691A7B">
        <w:t>this paper</w:t>
      </w:r>
      <w:r>
        <w:t xml:space="preserve"> the </w:t>
      </w:r>
      <w:r w:rsidR="00631FDC">
        <w:t xml:space="preserve">impact </w:t>
      </w:r>
      <w:r>
        <w:t xml:space="preserve">of a </w:t>
      </w:r>
      <w:r w:rsidR="00631FDC">
        <w:t>CSR report on the</w:t>
      </w:r>
      <w:r>
        <w:t xml:space="preserve"> </w:t>
      </w:r>
      <w:r w:rsidR="00C86669">
        <w:t>reputation</w:t>
      </w:r>
      <w:r w:rsidR="00631FDC">
        <w:t xml:space="preserve"> of companies</w:t>
      </w:r>
      <w:r>
        <w:t xml:space="preserve"> is tested</w:t>
      </w:r>
      <w:r w:rsidR="00631FDC">
        <w:t>, related data</w:t>
      </w:r>
      <w:r>
        <w:t xml:space="preserve"> about the reputation and CSR reporting</w:t>
      </w:r>
      <w:r w:rsidR="00A247B7">
        <w:t xml:space="preserve"> </w:t>
      </w:r>
      <w:r w:rsidR="00B76A0E">
        <w:t>is</w:t>
      </w:r>
      <w:r w:rsidR="00A247B7">
        <w:t xml:space="preserve"> used.</w:t>
      </w:r>
      <w:r w:rsidR="00631FDC">
        <w:t xml:space="preserve"> Two important databases are used to obtain the relevant data of the reputation and the CSR report.</w:t>
      </w:r>
      <w:r w:rsidR="00B76A0E">
        <w:t xml:space="preserve"> In this paragraph, f</w:t>
      </w:r>
      <w:r w:rsidR="00631FDC">
        <w:t xml:space="preserve">irst the used databases </w:t>
      </w:r>
      <w:r>
        <w:t>are</w:t>
      </w:r>
      <w:r w:rsidR="00631FDC">
        <w:t xml:space="preserve"> discussed and thereafter the relation with the ob</w:t>
      </w:r>
      <w:r w:rsidR="00A247B7">
        <w:t>served data is explained</w:t>
      </w:r>
      <w:r w:rsidR="007C59F2">
        <w:t xml:space="preserve">. </w:t>
      </w:r>
      <w:r w:rsidR="00631FDC">
        <w:t xml:space="preserve">The final part of this paragraph explains the sample size and the time period.  </w:t>
      </w:r>
    </w:p>
    <w:p w:rsidR="00DA73FC" w:rsidRDefault="00DA73FC" w:rsidP="00615883">
      <w:pPr>
        <w:spacing w:line="360" w:lineRule="auto"/>
        <w:jc w:val="both"/>
      </w:pPr>
    </w:p>
    <w:p w:rsidR="00631FDC" w:rsidRPr="00C60022" w:rsidRDefault="005E2F3B" w:rsidP="00615883">
      <w:pPr>
        <w:pStyle w:val="Heading3"/>
        <w:spacing w:line="360" w:lineRule="auto"/>
        <w:jc w:val="both"/>
        <w:rPr>
          <w:color w:val="auto"/>
        </w:rPr>
      </w:pPr>
      <w:bookmarkStart w:id="52" w:name="_Toc299353394"/>
      <w:r>
        <w:rPr>
          <w:color w:val="auto"/>
        </w:rPr>
        <w:t>5.1.1 Used d</w:t>
      </w:r>
      <w:r w:rsidR="00631FDC" w:rsidRPr="00C60022">
        <w:rPr>
          <w:color w:val="auto"/>
        </w:rPr>
        <w:t>atabases</w:t>
      </w:r>
      <w:bookmarkEnd w:id="52"/>
    </w:p>
    <w:p w:rsidR="00631FDC" w:rsidRDefault="00631FDC" w:rsidP="00615883">
      <w:pPr>
        <w:spacing w:line="360" w:lineRule="auto"/>
        <w:jc w:val="both"/>
      </w:pPr>
      <w:r>
        <w:t>For observing</w:t>
      </w:r>
      <w:r w:rsidR="00DA73FC">
        <w:t xml:space="preserve"> the </w:t>
      </w:r>
      <w:r w:rsidR="00C86669">
        <w:t>reputation</w:t>
      </w:r>
      <w:r>
        <w:t>, the reputation index is used. The reputation index ranks companies based on their reputation. The reputation index formulates public attitude to companies. For obtaining this reputation i</w:t>
      </w:r>
      <w:r w:rsidR="00B76A0E">
        <w:t>ndex, the Fortune 500 database is</w:t>
      </w:r>
      <w:r>
        <w:t xml:space="preserve"> used. </w:t>
      </w:r>
      <w:r w:rsidR="00B76A0E">
        <w:t xml:space="preserve">The </w:t>
      </w:r>
      <w:r>
        <w:t xml:space="preserve">reputation index and components of the reputation index of </w:t>
      </w:r>
      <w:r w:rsidR="00E043D6">
        <w:t xml:space="preserve">the Fortune 500 </w:t>
      </w:r>
      <w:r w:rsidR="00B76A0E">
        <w:t>are used</w:t>
      </w:r>
      <w:r w:rsidR="00E043D6">
        <w:t xml:space="preserve"> </w:t>
      </w:r>
      <w:r>
        <w:t>in</w:t>
      </w:r>
      <w:r w:rsidR="00E043D6">
        <w:t xml:space="preserve"> the studies of Griffin and Mah</w:t>
      </w:r>
      <w:r>
        <w:t xml:space="preserve">on (1997), Brown and Perry (1995) Conine and Madden (1987), </w:t>
      </w:r>
      <w:r w:rsidR="00DC54DE">
        <w:t>Formbrund</w:t>
      </w:r>
      <w:r>
        <w:t xml:space="preserve"> and Shanley (1990) and Mc Guire, Schneeweis and Branch (1998). The Fortune 500 database is a service provided by CNN Fortune &amp; Money. Each year, the Fortune data</w:t>
      </w:r>
      <w:r w:rsidR="00A247B7">
        <w:t xml:space="preserve">base ranks companies on </w:t>
      </w:r>
      <w:r>
        <w:t xml:space="preserve">reputation. </w:t>
      </w:r>
      <w:r w:rsidR="001F4B48">
        <w:t xml:space="preserve">CNN Fortune &amp; Money formulate a </w:t>
      </w:r>
      <w:r>
        <w:t>ranking list</w:t>
      </w:r>
      <w:r w:rsidR="001F4B48">
        <w:t xml:space="preserve"> which</w:t>
      </w:r>
      <w:r>
        <w:t xml:space="preserve"> is called Most Admired Companies</w:t>
      </w:r>
      <w:r w:rsidR="00567B6D">
        <w:t xml:space="preserve"> and is based on the reputation index. The reputation index is composed </w:t>
      </w:r>
      <w:r w:rsidR="00472061">
        <w:t>on nine</w:t>
      </w:r>
      <w:r>
        <w:t xml:space="preserve"> key components which influence the reputation index</w:t>
      </w:r>
      <w:r>
        <w:rPr>
          <w:rStyle w:val="FootnoteReference"/>
        </w:rPr>
        <w:footnoteReference w:id="5"/>
      </w:r>
      <w:r>
        <w:t>. Directors, security analysts and executives de</w:t>
      </w:r>
      <w:r w:rsidR="00E043D6">
        <w:t>fine</w:t>
      </w:r>
      <w:r>
        <w:t xml:space="preserve"> the r</w:t>
      </w:r>
      <w:r w:rsidR="00A247B7">
        <w:t>eputation of companies on the nine different components. R</w:t>
      </w:r>
      <w:r>
        <w:t>esults of respondents are taken together, which leads to the final reputation index of the Fortune 500.</w:t>
      </w:r>
    </w:p>
    <w:p w:rsidR="00631FDC" w:rsidRPr="00F11360" w:rsidRDefault="00631FDC" w:rsidP="00615883">
      <w:pPr>
        <w:spacing w:line="360" w:lineRule="auto"/>
        <w:jc w:val="both"/>
        <w:rPr>
          <w:color w:val="C00000"/>
        </w:rPr>
      </w:pPr>
      <w:r>
        <w:lastRenderedPageBreak/>
        <w:t xml:space="preserve">The second important database is the </w:t>
      </w:r>
      <w:r w:rsidR="00E043D6">
        <w:t>Global Reporting Initiative (</w:t>
      </w:r>
      <w:r>
        <w:t>GRI</w:t>
      </w:r>
      <w:r w:rsidR="00E043D6">
        <w:t>)</w:t>
      </w:r>
      <w:r>
        <w:t xml:space="preserve"> Report L</w:t>
      </w:r>
      <w:r w:rsidR="00E043D6">
        <w:t xml:space="preserve">ist. This database </w:t>
      </w:r>
      <w:r w:rsidR="00546D16">
        <w:t xml:space="preserve">asses </w:t>
      </w:r>
      <w:r w:rsidR="00E043D6">
        <w:t>the level</w:t>
      </w:r>
      <w:r>
        <w:t xml:space="preserve"> of a CSR report. The GRI Report List is provided by the </w:t>
      </w:r>
      <w:r w:rsidR="00575DBA">
        <w:t>GRI</w:t>
      </w:r>
      <w:r>
        <w:t xml:space="preserve">. In this list the </w:t>
      </w:r>
      <w:r w:rsidR="00575DBA">
        <w:t xml:space="preserve">level of CSR reports are provided, this level is based on the degree of </w:t>
      </w:r>
      <w:r w:rsidR="00546D16">
        <w:t xml:space="preserve">applying </w:t>
      </w:r>
      <w:r w:rsidR="00575DBA">
        <w:t>the guidelines of the GRI</w:t>
      </w:r>
      <w:r>
        <w:t>.</w:t>
      </w:r>
      <w:r w:rsidR="00575DBA">
        <w:t xml:space="preserve"> The GRI calls this level the application level</w:t>
      </w:r>
      <w:r w:rsidR="00546D16">
        <w:t>.</w:t>
      </w:r>
      <w:r w:rsidR="00575DBA">
        <w:t xml:space="preserve"> </w:t>
      </w:r>
      <w:r w:rsidR="00546D16">
        <w:t>I</w:t>
      </w:r>
      <w:r>
        <w:t xml:space="preserve">n the application level, no </w:t>
      </w:r>
      <w:r w:rsidR="00DC54DE">
        <w:t>judgments about the CSR performances are</w:t>
      </w:r>
      <w:r w:rsidR="00472061">
        <w:t xml:space="preserve"> included. Companies are free to decide if their CSR report is included in the GRI Report List.</w:t>
      </w:r>
      <w:r>
        <w:t xml:space="preserve"> This implies that </w:t>
      </w:r>
      <w:r w:rsidR="00DA73FC">
        <w:t xml:space="preserve">it is not certain that </w:t>
      </w:r>
      <w:r>
        <w:t xml:space="preserve">companies which are not included in the GRI Report </w:t>
      </w:r>
      <w:r w:rsidR="00DC54DE">
        <w:t>List</w:t>
      </w:r>
      <w:r>
        <w:t xml:space="preserve"> are</w:t>
      </w:r>
      <w:r w:rsidR="00DA73FC">
        <w:t xml:space="preserve"> not disclosing a</w:t>
      </w:r>
      <w:r>
        <w:t xml:space="preserve"> CSR report.  </w:t>
      </w:r>
    </w:p>
    <w:p w:rsidR="00DA73FC" w:rsidRPr="00DA73FC" w:rsidRDefault="00DA73FC" w:rsidP="00615883">
      <w:pPr>
        <w:spacing w:line="360" w:lineRule="auto"/>
        <w:jc w:val="both"/>
      </w:pPr>
    </w:p>
    <w:p w:rsidR="00631FDC" w:rsidRPr="00803D38" w:rsidRDefault="005E2F3B" w:rsidP="00615883">
      <w:pPr>
        <w:pStyle w:val="Heading3"/>
        <w:spacing w:line="360" w:lineRule="auto"/>
        <w:jc w:val="both"/>
        <w:rPr>
          <w:color w:val="auto"/>
        </w:rPr>
      </w:pPr>
      <w:bookmarkStart w:id="53" w:name="_Toc299353395"/>
      <w:r>
        <w:rPr>
          <w:color w:val="auto"/>
        </w:rPr>
        <w:t>5.1.2 Development s</w:t>
      </w:r>
      <w:r w:rsidR="00631FDC" w:rsidRPr="00803D38">
        <w:rPr>
          <w:color w:val="auto"/>
        </w:rPr>
        <w:t>ample</w:t>
      </w:r>
      <w:r w:rsidR="00631FDC">
        <w:rPr>
          <w:color w:val="auto"/>
        </w:rPr>
        <w:t xml:space="preserve"> and </w:t>
      </w:r>
      <w:r>
        <w:rPr>
          <w:color w:val="auto"/>
        </w:rPr>
        <w:t>t</w:t>
      </w:r>
      <w:r w:rsidR="00DA73FC">
        <w:rPr>
          <w:color w:val="auto"/>
        </w:rPr>
        <w:t>ime period</w:t>
      </w:r>
      <w:bookmarkEnd w:id="53"/>
    </w:p>
    <w:p w:rsidR="008D7978" w:rsidRDefault="00631FDC" w:rsidP="00615883">
      <w:pPr>
        <w:spacing w:line="360" w:lineRule="auto"/>
        <w:jc w:val="both"/>
      </w:pPr>
      <w:r w:rsidRPr="00803D38">
        <w:t xml:space="preserve"> In the Fortune database</w:t>
      </w:r>
      <w:r w:rsidR="00472061">
        <w:t>, reputation indexes</w:t>
      </w:r>
      <w:r w:rsidRPr="00803D38">
        <w:t xml:space="preserve"> of more than 700 companies over the time period 2006 </w:t>
      </w:r>
      <w:r w:rsidR="00B76A0E">
        <w:t>up till and including</w:t>
      </w:r>
      <w:r w:rsidRPr="00803D38">
        <w:t xml:space="preserve"> 2011 are incorporated. </w:t>
      </w:r>
      <w:r w:rsidR="00546D16">
        <w:t>T</w:t>
      </w:r>
      <w:r w:rsidRPr="00803D38">
        <w:t xml:space="preserve">he GRI </w:t>
      </w:r>
      <w:r w:rsidR="00472061">
        <w:t>Report List</w:t>
      </w:r>
      <w:r w:rsidRPr="00803D38">
        <w:t xml:space="preserve"> include</w:t>
      </w:r>
      <w:r w:rsidR="00546D16">
        <w:t>s</w:t>
      </w:r>
      <w:r w:rsidRPr="00803D38">
        <w:t xml:space="preserve"> more than 2700 </w:t>
      </w:r>
      <w:r w:rsidR="00575DBA">
        <w:t xml:space="preserve">disclosed CSR reports, </w:t>
      </w:r>
      <w:r w:rsidRPr="00803D38">
        <w:t xml:space="preserve">in the timeframe from 1999 </w:t>
      </w:r>
      <w:r w:rsidR="00B76A0E">
        <w:t xml:space="preserve">up </w:t>
      </w:r>
      <w:r w:rsidRPr="00803D38">
        <w:t>till</w:t>
      </w:r>
      <w:r w:rsidR="00B76A0E">
        <w:t xml:space="preserve"> and including</w:t>
      </w:r>
      <w:r w:rsidRPr="00803D38">
        <w:t xml:space="preserve"> 201</w:t>
      </w:r>
      <w:r w:rsidR="00546D16">
        <w:t>0</w:t>
      </w:r>
      <w:r w:rsidRPr="00803D38">
        <w:t xml:space="preserve">. </w:t>
      </w:r>
      <w:r w:rsidR="00546D16">
        <w:t>Of c</w:t>
      </w:r>
      <w:r w:rsidR="00472061">
        <w:t xml:space="preserve">ompanies which are included in the sample, </w:t>
      </w:r>
      <w:r w:rsidR="00575DBA">
        <w:t>the</w:t>
      </w:r>
      <w:r w:rsidRPr="00803D38">
        <w:t xml:space="preserve"> two core variables reputation index and </w:t>
      </w:r>
      <w:r w:rsidR="00472061">
        <w:t>level of</w:t>
      </w:r>
      <w:r w:rsidRPr="00803D38">
        <w:t xml:space="preserve"> CSR report</w:t>
      </w:r>
      <w:r>
        <w:t xml:space="preserve"> should be known. Therefore the </w:t>
      </w:r>
      <w:r w:rsidR="00575DBA">
        <w:t xml:space="preserve">companies, which </w:t>
      </w:r>
      <w:r>
        <w:t xml:space="preserve">occurred in both </w:t>
      </w:r>
      <w:r w:rsidR="00DC54DE">
        <w:t>databases,</w:t>
      </w:r>
      <w:r>
        <w:t xml:space="preserve"> are included in the sample. But also the data should be matched with the </w:t>
      </w:r>
      <w:r w:rsidR="00575DBA">
        <w:t xml:space="preserve">expected </w:t>
      </w:r>
      <w:r>
        <w:t>time lag of th</w:t>
      </w:r>
      <w:r w:rsidR="00B76A0E">
        <w:t>e reaction of the CSR reporting</w:t>
      </w:r>
      <w:r>
        <w:t xml:space="preserve"> on the reputation index. </w:t>
      </w:r>
      <w:r w:rsidR="00546D16">
        <w:t>T</w:t>
      </w:r>
      <w:r>
        <w:t>his implies that the</w:t>
      </w:r>
      <w:r w:rsidR="00DA73FC">
        <w:t xml:space="preserve"> </w:t>
      </w:r>
      <w:r w:rsidR="00C86669">
        <w:t>reputation</w:t>
      </w:r>
      <w:r>
        <w:t xml:space="preserve"> of next year is affected </w:t>
      </w:r>
      <w:r w:rsidR="00546D16">
        <w:t>by</w:t>
      </w:r>
      <w:r>
        <w:t xml:space="preserve"> the CSR report</w:t>
      </w:r>
      <w:r w:rsidR="00472061">
        <w:t xml:space="preserve"> of prior year</w:t>
      </w:r>
      <w:r>
        <w:t xml:space="preserve">. </w:t>
      </w:r>
      <w:r w:rsidR="00546D16">
        <w:t>As</w:t>
      </w:r>
      <w:r>
        <w:t xml:space="preserve"> </w:t>
      </w:r>
      <w:r w:rsidR="00546D16">
        <w:t xml:space="preserve">a </w:t>
      </w:r>
      <w:r>
        <w:t>consequence the reputation index of 200</w:t>
      </w:r>
      <w:r w:rsidR="00B76A0E">
        <w:t>6</w:t>
      </w:r>
      <w:r>
        <w:t xml:space="preserve"> should</w:t>
      </w:r>
      <w:r w:rsidR="00575DBA">
        <w:t xml:space="preserve"> be matched with the CSR report information</w:t>
      </w:r>
      <w:r w:rsidR="00B76A0E">
        <w:t xml:space="preserve"> of 2005</w:t>
      </w:r>
      <w:r>
        <w:t xml:space="preserve">. The Fortune database starts in 2006, </w:t>
      </w:r>
      <w:r w:rsidR="00DA73FC">
        <w:t xml:space="preserve">which </w:t>
      </w:r>
      <w:r w:rsidR="00546D16">
        <w:t>matches</w:t>
      </w:r>
      <w:r w:rsidR="00DA73FC">
        <w:t xml:space="preserve"> with the CSR reporting</w:t>
      </w:r>
      <w:r>
        <w:t xml:space="preserve"> quality of year 2005. Because </w:t>
      </w:r>
      <w:r w:rsidR="00546D16">
        <w:t>a</w:t>
      </w:r>
      <w:r>
        <w:t xml:space="preserve"> very limited </w:t>
      </w:r>
      <w:r w:rsidR="00546D16">
        <w:t xml:space="preserve">amount of </w:t>
      </w:r>
      <w:r>
        <w:t xml:space="preserve">companies </w:t>
      </w:r>
      <w:r w:rsidR="00546D16">
        <w:t xml:space="preserve">have </w:t>
      </w:r>
      <w:r>
        <w:t>register</w:t>
      </w:r>
      <w:r w:rsidR="00546D16">
        <w:t>ed</w:t>
      </w:r>
      <w:r>
        <w:t xml:space="preserve"> their</w:t>
      </w:r>
      <w:r w:rsidR="0003573A">
        <w:t xml:space="preserve"> CSR report of 2010 on the GRI R</w:t>
      </w:r>
      <w:r>
        <w:t>epor</w:t>
      </w:r>
      <w:r w:rsidR="0003573A">
        <w:t>t L</w:t>
      </w:r>
      <w:r>
        <w:t xml:space="preserve">ist, year 2010 is not incorporated in the time period. </w:t>
      </w:r>
      <w:r w:rsidR="00ED56EC">
        <w:t>F</w:t>
      </w:r>
      <w:r>
        <w:t xml:space="preserve">inally </w:t>
      </w:r>
      <w:r w:rsidR="00ED56EC">
        <w:t xml:space="preserve">this </w:t>
      </w:r>
      <w:r>
        <w:t xml:space="preserve">leads to studying the relation between CSR </w:t>
      </w:r>
      <w:r w:rsidR="00B76A0E">
        <w:t>reporting</w:t>
      </w:r>
      <w:r>
        <w:t xml:space="preserve"> quality and </w:t>
      </w:r>
      <w:r w:rsidR="00C86669">
        <w:t>reputation</w:t>
      </w:r>
      <w:r>
        <w:t xml:space="preserve"> between 2005 and 2009.</w:t>
      </w:r>
    </w:p>
    <w:p w:rsidR="00631FDC" w:rsidRDefault="00631FDC" w:rsidP="00615883">
      <w:pPr>
        <w:spacing w:line="360" w:lineRule="auto"/>
        <w:jc w:val="both"/>
      </w:pPr>
      <w:r>
        <w:t>After finding</w:t>
      </w:r>
      <w:r w:rsidR="00DA73FC">
        <w:t xml:space="preserve"> common companies of</w:t>
      </w:r>
      <w:r>
        <w:t xml:space="preserve"> the Fortune database and the GRI Report List, the sample included almost 300 companies. </w:t>
      </w:r>
      <w:r w:rsidR="00ED56EC">
        <w:t>I</w:t>
      </w:r>
      <w:r>
        <w:t xml:space="preserve">n the sample only companies should </w:t>
      </w:r>
      <w:r w:rsidR="00ED56EC">
        <w:t xml:space="preserve">be </w:t>
      </w:r>
      <w:r>
        <w:t>include</w:t>
      </w:r>
      <w:r w:rsidR="00ED56EC">
        <w:t>d</w:t>
      </w:r>
      <w:r>
        <w:t xml:space="preserve"> </w:t>
      </w:r>
      <w:r w:rsidR="00ED56EC">
        <w:t>which</w:t>
      </w:r>
      <w:r>
        <w:t xml:space="preserve"> </w:t>
      </w:r>
      <w:r w:rsidR="00DC54DE">
        <w:t>match the</w:t>
      </w:r>
      <w:r>
        <w:t xml:space="preserve"> CSR report </w:t>
      </w:r>
      <w:r w:rsidR="00DC54DE">
        <w:t>level</w:t>
      </w:r>
      <w:r w:rsidR="00ED56EC">
        <w:t xml:space="preserve"> </w:t>
      </w:r>
      <w:r>
        <w:t xml:space="preserve">and next year reputation index, </w:t>
      </w:r>
      <w:r w:rsidR="00ED56EC">
        <w:t xml:space="preserve">there for </w:t>
      </w:r>
      <w:r>
        <w:t xml:space="preserve">only 250 companies </w:t>
      </w:r>
      <w:r w:rsidR="00ED56EC">
        <w:t>were</w:t>
      </w:r>
      <w:r>
        <w:t xml:space="preserve"> </w:t>
      </w:r>
      <w:r w:rsidR="00ED56EC">
        <w:t xml:space="preserve">finally </w:t>
      </w:r>
      <w:r>
        <w:t xml:space="preserve">incorporated. This sample is further declined by companies </w:t>
      </w:r>
      <w:r w:rsidR="00ED56EC">
        <w:t xml:space="preserve">of which </w:t>
      </w:r>
      <w:r>
        <w:t xml:space="preserve">the control variables are not observable, for example, due to the acquisition of Air France-KLM the financial control variables of this company are not observable in the selected time period. For a limited amount of companies (32) data about </w:t>
      </w:r>
      <w:r w:rsidR="00472061">
        <w:t>level</w:t>
      </w:r>
      <w:r>
        <w:t xml:space="preserve"> of CSR report and reputation index are known for the whole selected time period, but all companies are incorporated in the sample. For the years 2005</w:t>
      </w:r>
      <w:r w:rsidR="00B76A0E">
        <w:t xml:space="preserve"> up</w:t>
      </w:r>
      <w:r>
        <w:t xml:space="preserve"> till</w:t>
      </w:r>
      <w:r w:rsidR="00B76A0E">
        <w:t xml:space="preserve"> and including</w:t>
      </w:r>
      <w:r>
        <w:t xml:space="preserve"> 2009, 85, 106, 138, 167 and 175 respectively data</w:t>
      </w:r>
      <w:r w:rsidR="0003573A">
        <w:t xml:space="preserve"> points</w:t>
      </w:r>
      <w:r>
        <w:t xml:space="preserve"> are included, which have a </w:t>
      </w:r>
      <w:r w:rsidR="00575DBA">
        <w:t>total sample size of 671 data points</w:t>
      </w:r>
      <w:r>
        <w:t>.</w:t>
      </w:r>
      <w:r>
        <w:rPr>
          <w:color w:val="FF0000"/>
        </w:rPr>
        <w:t xml:space="preserve"> </w:t>
      </w:r>
      <w:r>
        <w:t>Th</w:t>
      </w:r>
      <w:r w:rsidR="00575DBA">
        <w:t>ese</w:t>
      </w:r>
      <w:r>
        <w:t xml:space="preserve"> dat</w:t>
      </w:r>
      <w:r w:rsidR="00575DBA">
        <w:t xml:space="preserve">a </w:t>
      </w:r>
      <w:r w:rsidR="00575DBA">
        <w:lastRenderedPageBreak/>
        <w:t xml:space="preserve">points </w:t>
      </w:r>
      <w:r>
        <w:t xml:space="preserve">are companies </w:t>
      </w:r>
      <w:r w:rsidR="00ED56EC">
        <w:t xml:space="preserve">of </w:t>
      </w:r>
      <w:r>
        <w:t>which all variables are known</w:t>
      </w:r>
      <w:r w:rsidR="00ED56EC">
        <w:t>,</w:t>
      </w:r>
      <w:r>
        <w:t xml:space="preserve"> including the control variables. In appendix </w:t>
      </w:r>
      <w:r w:rsidR="00BB2A00">
        <w:t>A</w:t>
      </w:r>
      <w:r>
        <w:t xml:space="preserve"> the total sample is showed. </w:t>
      </w:r>
    </w:p>
    <w:p w:rsidR="00B76A0E" w:rsidRDefault="00B76A0E" w:rsidP="00615883">
      <w:pPr>
        <w:spacing w:line="360" w:lineRule="auto"/>
        <w:jc w:val="both"/>
      </w:pPr>
    </w:p>
    <w:p w:rsidR="00631FDC" w:rsidRDefault="00631FDC" w:rsidP="00615883">
      <w:pPr>
        <w:pStyle w:val="Heading2"/>
        <w:spacing w:line="360" w:lineRule="auto"/>
        <w:jc w:val="both"/>
      </w:pPr>
      <w:bookmarkStart w:id="54" w:name="_Toc299353396"/>
      <w:r>
        <w:t>5.2 Methodology of statistical research</w:t>
      </w:r>
      <w:bookmarkEnd w:id="54"/>
    </w:p>
    <w:p w:rsidR="00631FDC" w:rsidRDefault="00AF0563" w:rsidP="00615883">
      <w:pPr>
        <w:spacing w:line="360" w:lineRule="auto"/>
        <w:jc w:val="both"/>
      </w:pPr>
      <w:r>
        <w:t xml:space="preserve">To investigate the </w:t>
      </w:r>
      <w:r w:rsidR="00631FDC">
        <w:t xml:space="preserve">relation between CSR reporting </w:t>
      </w:r>
      <w:r w:rsidR="00DA73FC">
        <w:t xml:space="preserve">quality </w:t>
      </w:r>
      <w:r w:rsidR="00631FDC">
        <w:t xml:space="preserve">and the </w:t>
      </w:r>
      <w:r w:rsidR="00C86669">
        <w:t>reputation</w:t>
      </w:r>
      <w:r w:rsidR="00631FDC">
        <w:t xml:space="preserve"> </w:t>
      </w:r>
      <w:r>
        <w:t>linear regression analysis</w:t>
      </w:r>
      <w:r w:rsidR="00631FDC">
        <w:t xml:space="preserve"> </w:t>
      </w:r>
      <w:r w:rsidR="00472061">
        <w:t>is</w:t>
      </w:r>
      <w:r w:rsidR="00631FDC">
        <w:t xml:space="preserve"> used. When making use of a regression formula, the existence of a relationship is observable. In the hypothesis</w:t>
      </w:r>
      <w:r>
        <w:t xml:space="preserve"> </w:t>
      </w:r>
      <w:r w:rsidR="0003573A">
        <w:t>is predict</w:t>
      </w:r>
      <w:r w:rsidR="00ED56EC">
        <w:t>ed</w:t>
      </w:r>
      <w:r w:rsidR="0003573A">
        <w:t>, that</w:t>
      </w:r>
      <w:r>
        <w:t xml:space="preserve"> </w:t>
      </w:r>
      <w:r w:rsidR="00631FDC">
        <w:t xml:space="preserve">CSR reporting </w:t>
      </w:r>
      <w:r w:rsidR="00DA73FC">
        <w:t xml:space="preserve">quality </w:t>
      </w:r>
      <w:r w:rsidR="0003573A">
        <w:t>i</w:t>
      </w:r>
      <w:r w:rsidR="00631FDC">
        <w:t>nfluence</w:t>
      </w:r>
      <w:r w:rsidR="0003573A">
        <w:t>s</w:t>
      </w:r>
      <w:r w:rsidR="00631FDC">
        <w:t xml:space="preserve"> the </w:t>
      </w:r>
      <w:r w:rsidR="00C86669">
        <w:t>reputation</w:t>
      </w:r>
      <w:r w:rsidR="00631FDC">
        <w:t xml:space="preserve">. Therefore in the developed regression model, the </w:t>
      </w:r>
      <w:r w:rsidR="00C86669">
        <w:t>reputation</w:t>
      </w:r>
      <w:r w:rsidR="00631FDC">
        <w:t xml:space="preserve"> </w:t>
      </w:r>
      <w:r w:rsidR="0003573A">
        <w:t xml:space="preserve">is predicted </w:t>
      </w:r>
      <w:r w:rsidR="00631FDC">
        <w:t>by the CSR</w:t>
      </w:r>
      <w:r w:rsidR="00ED56EC">
        <w:t xml:space="preserve"> reporting</w:t>
      </w:r>
      <w:r w:rsidR="00631FDC">
        <w:t xml:space="preserve"> level. This is</w:t>
      </w:r>
      <w:r w:rsidR="0003573A">
        <w:t xml:space="preserve"> called</w:t>
      </w:r>
      <w:r w:rsidR="00631FDC">
        <w:t xml:space="preserve"> the basic model. This basic model </w:t>
      </w:r>
      <w:r w:rsidR="00ED56EC">
        <w:t>is shown below</w:t>
      </w:r>
      <w:r w:rsidR="00631FDC">
        <w:t>:</w:t>
      </w:r>
    </w:p>
    <w:p w:rsidR="00631FDC" w:rsidRPr="006A7ABB" w:rsidRDefault="001937E3" w:rsidP="00615883">
      <w:pPr>
        <w:spacing w:line="360" w:lineRule="auto"/>
        <w:jc w:val="both"/>
      </w:pPr>
      <w:r>
        <w:tab/>
        <w:t xml:space="preserve"> REP</w:t>
      </w:r>
      <w:r w:rsidR="00631FDC" w:rsidRPr="00B44DA4">
        <w:rPr>
          <w:vertAlign w:val="subscript"/>
        </w:rPr>
        <w:t>t</w:t>
      </w:r>
      <w:r w:rsidR="00631FDC" w:rsidRPr="00B44DA4">
        <w:t xml:space="preserve"> = α +</w:t>
      </w:r>
      <w:r w:rsidR="008D7978">
        <w:t xml:space="preserve"> </w:t>
      </w:r>
      <w:r w:rsidR="00631FDC" w:rsidRPr="0019591E">
        <w:t>β</w:t>
      </w:r>
      <w:r w:rsidR="00631FDC" w:rsidRPr="0019591E">
        <w:rPr>
          <w:vertAlign w:val="subscript"/>
        </w:rPr>
        <w:t>1</w:t>
      </w:r>
      <w:r w:rsidR="00631FDC" w:rsidRPr="0019591E">
        <w:t>CSR</w:t>
      </w:r>
      <w:r w:rsidR="00631FDC" w:rsidRPr="0019591E">
        <w:rPr>
          <w:vertAlign w:val="subscript"/>
        </w:rPr>
        <w:t>t-1</w:t>
      </w:r>
      <w:r w:rsidR="00631FDC">
        <w:t xml:space="preserve"> +</w:t>
      </w:r>
      <w:r w:rsidR="00631FDC" w:rsidRPr="0019591E">
        <w:t xml:space="preserve"> ε</w:t>
      </w:r>
    </w:p>
    <w:p w:rsidR="00631FDC" w:rsidRDefault="00631FDC" w:rsidP="00615883">
      <w:pPr>
        <w:spacing w:line="360" w:lineRule="auto"/>
        <w:jc w:val="both"/>
      </w:pPr>
      <w:r>
        <w:t>For providing more evidence on the regression, control variables should be included.</w:t>
      </w:r>
      <w:r w:rsidR="00DA73FC">
        <w:t xml:space="preserve"> The control variables represent the sub hypotheses. </w:t>
      </w:r>
      <w:r>
        <w:t>The use of control varia</w:t>
      </w:r>
      <w:r w:rsidR="0003573A">
        <w:t xml:space="preserve">bles is important, because it is </w:t>
      </w:r>
      <w:r>
        <w:t xml:space="preserve">not plausible that CSR </w:t>
      </w:r>
      <w:r w:rsidR="0003573A">
        <w:t>reporting</w:t>
      </w:r>
      <w:r>
        <w:t xml:space="preserve"> is the single variable that </w:t>
      </w:r>
      <w:r w:rsidR="00ED56EC">
        <w:t xml:space="preserve">has </w:t>
      </w:r>
      <w:r>
        <w:t xml:space="preserve">influence on the relation between CSR reporting and </w:t>
      </w:r>
      <w:r w:rsidR="00C86669">
        <w:t>reputation</w:t>
      </w:r>
      <w:r w:rsidR="00B76A0E">
        <w:t>. When</w:t>
      </w:r>
      <w:r>
        <w:t xml:space="preserve"> a single control variable is included in the basic model the influence of the control variable is tested. Finally all control variables are inc</w:t>
      </w:r>
      <w:r w:rsidR="00B76A0E">
        <w:t xml:space="preserve">luded in the regression model. </w:t>
      </w:r>
      <w:r>
        <w:t xml:space="preserve">This leads to the following regression model: </w:t>
      </w:r>
    </w:p>
    <w:p w:rsidR="00631FDC" w:rsidRDefault="001937E3" w:rsidP="00631FDC">
      <w:pPr>
        <w:spacing w:line="360" w:lineRule="auto"/>
      </w:pPr>
      <w:r>
        <w:tab/>
        <w:t>REP</w:t>
      </w:r>
      <w:r w:rsidR="00631FDC" w:rsidRPr="00B44DA4">
        <w:rPr>
          <w:vertAlign w:val="subscript"/>
        </w:rPr>
        <w:t>t</w:t>
      </w:r>
      <w:r w:rsidR="008D7978">
        <w:t xml:space="preserve"> = α + </w:t>
      </w:r>
      <w:r w:rsidR="00631FDC" w:rsidRPr="0019591E">
        <w:t>β</w:t>
      </w:r>
      <w:r w:rsidR="00631FDC" w:rsidRPr="0019591E">
        <w:rPr>
          <w:vertAlign w:val="subscript"/>
        </w:rPr>
        <w:t>1</w:t>
      </w:r>
      <w:r w:rsidR="00631FDC" w:rsidRPr="0019591E">
        <w:t>CSR</w:t>
      </w:r>
      <w:r w:rsidR="00631FDC" w:rsidRPr="0019591E">
        <w:rPr>
          <w:vertAlign w:val="subscript"/>
        </w:rPr>
        <w:t>t-1</w:t>
      </w:r>
      <w:r w:rsidR="00631FDC" w:rsidRPr="0019591E">
        <w:t xml:space="preserve"> </w:t>
      </w:r>
      <w:r w:rsidR="00631FDC" w:rsidRPr="00B44DA4">
        <w:t>+ β</w:t>
      </w:r>
      <w:r w:rsidR="00631FDC" w:rsidRPr="00B44DA4">
        <w:rPr>
          <w:vertAlign w:val="subscript"/>
        </w:rPr>
        <w:t>2</w:t>
      </w:r>
      <w:r w:rsidR="00631FDC" w:rsidRPr="00B44DA4">
        <w:t>SIZE</w:t>
      </w:r>
      <w:r w:rsidR="00631FDC" w:rsidRPr="00B44DA4">
        <w:rPr>
          <w:vertAlign w:val="subscript"/>
        </w:rPr>
        <w:t>t-1</w:t>
      </w:r>
      <w:r w:rsidR="00631FDC" w:rsidRPr="00B44DA4">
        <w:t xml:space="preserve"> + β</w:t>
      </w:r>
      <w:r w:rsidR="00631FDC">
        <w:rPr>
          <w:vertAlign w:val="subscript"/>
        </w:rPr>
        <w:t>3</w:t>
      </w:r>
      <w:r w:rsidR="00631FDC" w:rsidRPr="00B44DA4">
        <w:t>FPER</w:t>
      </w:r>
      <w:r w:rsidR="00631FDC" w:rsidRPr="00B44DA4">
        <w:rPr>
          <w:vertAlign w:val="subscript"/>
        </w:rPr>
        <w:t>t-1</w:t>
      </w:r>
      <w:r w:rsidR="00631FDC" w:rsidRPr="00B44DA4">
        <w:t xml:space="preserve"> + β</w:t>
      </w:r>
      <w:r w:rsidR="00631FDC">
        <w:rPr>
          <w:vertAlign w:val="subscript"/>
        </w:rPr>
        <w:t>4</w:t>
      </w:r>
      <w:r w:rsidR="00631FDC">
        <w:t>SGAS</w:t>
      </w:r>
      <w:r w:rsidR="00631FDC" w:rsidRPr="00B44DA4">
        <w:rPr>
          <w:vertAlign w:val="subscript"/>
        </w:rPr>
        <w:t>t-1</w:t>
      </w:r>
      <w:r w:rsidR="008D7978">
        <w:rPr>
          <w:vertAlign w:val="subscript"/>
        </w:rPr>
        <w:t xml:space="preserve"> </w:t>
      </w:r>
      <w:r w:rsidR="00631FDC" w:rsidRPr="0019591E">
        <w:t>+ β</w:t>
      </w:r>
      <w:r w:rsidR="00631FDC">
        <w:rPr>
          <w:vertAlign w:val="subscript"/>
        </w:rPr>
        <w:t>5</w:t>
      </w:r>
      <w:r w:rsidR="00AF0563">
        <w:t>REG</w:t>
      </w:r>
      <w:r w:rsidR="00631FDC" w:rsidRPr="0019591E">
        <w:t xml:space="preserve"> +</w:t>
      </w:r>
      <w:r w:rsidR="00631FDC">
        <w:t xml:space="preserve"> </w:t>
      </w:r>
      <w:r w:rsidR="00631FDC" w:rsidRPr="0019591E">
        <w:t>β</w:t>
      </w:r>
      <w:r w:rsidR="00631FDC">
        <w:rPr>
          <w:vertAlign w:val="subscript"/>
        </w:rPr>
        <w:t>6</w:t>
      </w:r>
      <w:r w:rsidR="00631FDC">
        <w:t xml:space="preserve">IND + </w:t>
      </w:r>
      <w:r w:rsidR="00631FDC" w:rsidRPr="0019591E">
        <w:t>ε</w:t>
      </w:r>
    </w:p>
    <w:p w:rsidR="00AF0563" w:rsidRDefault="001937E3" w:rsidP="002B5236">
      <w:pPr>
        <w:spacing w:after="0" w:line="360" w:lineRule="auto"/>
        <w:ind w:left="720" w:hanging="720"/>
      </w:pPr>
      <w:r>
        <w:t>REP</w:t>
      </w:r>
      <w:r w:rsidR="00AF0563">
        <w:t xml:space="preserve"> </w:t>
      </w:r>
      <w:r w:rsidR="00AF0563">
        <w:tab/>
      </w:r>
      <w:r w:rsidR="00C86669">
        <w:t>Reputation</w:t>
      </w:r>
      <w:r w:rsidR="00AF0563">
        <w:t xml:space="preserve"> of companies (observed from the reputation index provided by the Fortune 500)</w:t>
      </w:r>
    </w:p>
    <w:p w:rsidR="00AF0563" w:rsidRDefault="00AF0563" w:rsidP="002B5236">
      <w:pPr>
        <w:spacing w:after="0" w:line="360" w:lineRule="auto"/>
      </w:pPr>
      <w:r>
        <w:t>CSR</w:t>
      </w:r>
      <w:r>
        <w:tab/>
        <w:t>CSR report level (observed from the application level provided by the GRI Report List)</w:t>
      </w:r>
    </w:p>
    <w:p w:rsidR="00AF0563" w:rsidRDefault="00AF0563" w:rsidP="002B5236">
      <w:pPr>
        <w:spacing w:after="0" w:line="360" w:lineRule="auto"/>
      </w:pPr>
      <w:r>
        <w:t>SIZE</w:t>
      </w:r>
      <w:r>
        <w:tab/>
        <w:t>Size of the company, based on the total sales (observed from Thomson One Banker)</w:t>
      </w:r>
    </w:p>
    <w:p w:rsidR="00AF0563" w:rsidRDefault="00AF0563" w:rsidP="002B5236">
      <w:pPr>
        <w:spacing w:after="0" w:line="360" w:lineRule="auto"/>
      </w:pPr>
      <w:r>
        <w:t>FPER</w:t>
      </w:r>
      <w:r>
        <w:tab/>
        <w:t>Financial performances, based on the return of assets (observed from Thomson One Banker)</w:t>
      </w:r>
    </w:p>
    <w:p w:rsidR="00AF0563" w:rsidRDefault="00DC54DE" w:rsidP="002B5236">
      <w:pPr>
        <w:spacing w:after="0" w:line="360" w:lineRule="auto"/>
        <w:ind w:left="720" w:hanging="720"/>
      </w:pPr>
      <w:r>
        <w:t>SGAS</w:t>
      </w:r>
      <w:r>
        <w:tab/>
        <w:t>Selling general and administrative expenses related to sales (observed from Thomson One Banker)</w:t>
      </w:r>
    </w:p>
    <w:p w:rsidR="00AF0563" w:rsidRDefault="00AF0563" w:rsidP="002B5236">
      <w:pPr>
        <w:spacing w:after="0" w:line="360" w:lineRule="auto"/>
        <w:ind w:left="720" w:hanging="720"/>
      </w:pPr>
      <w:r>
        <w:t>REG</w:t>
      </w:r>
      <w:r>
        <w:tab/>
        <w:t>Region where the com</w:t>
      </w:r>
      <w:r w:rsidR="002B5236">
        <w:t>pany is from (observed from the GRI Report List)</w:t>
      </w:r>
    </w:p>
    <w:p w:rsidR="002B5236" w:rsidRDefault="002B5236" w:rsidP="002B5236">
      <w:pPr>
        <w:spacing w:after="0" w:line="360" w:lineRule="auto"/>
        <w:ind w:left="720" w:hanging="720"/>
      </w:pPr>
      <w:r>
        <w:t>IND</w:t>
      </w:r>
      <w:r>
        <w:tab/>
        <w:t>Industry wherein the company operates (observed from Thomson One Banker)</w:t>
      </w:r>
    </w:p>
    <w:p w:rsidR="002B5236" w:rsidRDefault="002B5236" w:rsidP="002B5236">
      <w:pPr>
        <w:spacing w:after="0" w:line="360" w:lineRule="auto"/>
        <w:ind w:left="720" w:hanging="720"/>
      </w:pPr>
    </w:p>
    <w:p w:rsidR="00631FDC" w:rsidRDefault="00631FDC" w:rsidP="001937E3">
      <w:pPr>
        <w:spacing w:line="360" w:lineRule="auto"/>
        <w:jc w:val="both"/>
      </w:pPr>
      <w:r>
        <w:t xml:space="preserve">A linear regression </w:t>
      </w:r>
      <w:r w:rsidR="002B5236">
        <w:t>is</w:t>
      </w:r>
      <w:r>
        <w:t xml:space="preserve"> used to test the expected relationships. The depe</w:t>
      </w:r>
      <w:r w:rsidR="001937E3">
        <w:t>ndent variable REP</w:t>
      </w:r>
      <w:r w:rsidR="002B5236">
        <w:t>, is predicted</w:t>
      </w:r>
      <w:r w:rsidR="00877007">
        <w:t xml:space="preserve"> on basis of</w:t>
      </w:r>
      <w:r>
        <w:t xml:space="preserve"> the independent variables. In the regression model qualitative variables are included. The influence of the qualitative variables i</w:t>
      </w:r>
      <w:r w:rsidR="0003573A">
        <w:t xml:space="preserve">n general </w:t>
      </w:r>
      <w:r w:rsidR="00ED56EC">
        <w:t>are</w:t>
      </w:r>
      <w:r w:rsidR="002B5236">
        <w:t xml:space="preserve"> measured by</w:t>
      </w:r>
      <w:r>
        <w:t xml:space="preserve"> making use of the above described </w:t>
      </w:r>
      <w:r>
        <w:lastRenderedPageBreak/>
        <w:t xml:space="preserve">method, this method is called Method 1. The variable CSR </w:t>
      </w:r>
      <w:r w:rsidR="0003573A">
        <w:t>reporting level i</w:t>
      </w:r>
      <w:r>
        <w:t>s a qua</w:t>
      </w:r>
      <w:r w:rsidR="004D06F7">
        <w:t>l</w:t>
      </w:r>
      <w:r>
        <w:t>itative variable</w:t>
      </w:r>
      <w:r w:rsidR="00ED56EC">
        <w:t>.</w:t>
      </w:r>
      <w:r>
        <w:t xml:space="preserve"> </w:t>
      </w:r>
      <w:r w:rsidR="00ED56EC">
        <w:t>I</w:t>
      </w:r>
      <w:r>
        <w:t>n method 1 is measure</w:t>
      </w:r>
      <w:r w:rsidR="002B5236">
        <w:t>d</w:t>
      </w:r>
      <w:r w:rsidR="0003573A">
        <w:t xml:space="preserve"> if CSR reporting</w:t>
      </w:r>
      <w:r>
        <w:t xml:space="preserve"> level has an influence on the </w:t>
      </w:r>
      <w:r w:rsidR="00C86669">
        <w:t>reputation</w:t>
      </w:r>
      <w:r>
        <w:t xml:space="preserve">. </w:t>
      </w:r>
    </w:p>
    <w:p w:rsidR="00631FDC" w:rsidRDefault="00631FDC" w:rsidP="001937E3">
      <w:pPr>
        <w:spacing w:line="360" w:lineRule="auto"/>
        <w:jc w:val="both"/>
      </w:pPr>
      <w:r>
        <w:t>Besides the general influence of the qua</w:t>
      </w:r>
      <w:r w:rsidR="004D06F7">
        <w:t>li</w:t>
      </w:r>
      <w:r>
        <w:t xml:space="preserve">tative variables, it is also interesting to investigate if a specific </w:t>
      </w:r>
      <w:r w:rsidR="00877007">
        <w:t xml:space="preserve">CSR </w:t>
      </w:r>
      <w:r w:rsidR="0003573A">
        <w:t xml:space="preserve">report </w:t>
      </w:r>
      <w:r w:rsidR="00B76A0E">
        <w:t xml:space="preserve">level has an influence on the </w:t>
      </w:r>
      <w:r w:rsidR="00C86669">
        <w:t>reputation</w:t>
      </w:r>
      <w:r>
        <w:t>. Th</w:t>
      </w:r>
      <w:r w:rsidR="00C9001D">
        <w:t>ese</w:t>
      </w:r>
      <w:r>
        <w:t xml:space="preserve"> influences of the specific categories in a </w:t>
      </w:r>
      <w:r w:rsidR="004D06F7">
        <w:t>qual</w:t>
      </w:r>
      <w:r>
        <w:t xml:space="preserve">itative variable are measured with method 2. </w:t>
      </w:r>
      <w:r w:rsidR="00C9001D">
        <w:t>In m</w:t>
      </w:r>
      <w:r>
        <w:t>ethod 2</w:t>
      </w:r>
      <w:r w:rsidR="00B76A0E">
        <w:t xml:space="preserve"> dummy variables</w:t>
      </w:r>
      <w:r w:rsidR="00C9001D">
        <w:t xml:space="preserve"> are used</w:t>
      </w:r>
      <w:r w:rsidR="00B76A0E">
        <w:t xml:space="preserve">. </w:t>
      </w:r>
      <w:r>
        <w:t xml:space="preserve">The amount of </w:t>
      </w:r>
      <w:r w:rsidR="004D06F7">
        <w:t>dummies which represent the qualitative</w:t>
      </w:r>
      <w:r>
        <w:t xml:space="preserve"> variable is always one less the amount of categories in the qua</w:t>
      </w:r>
      <w:r w:rsidR="004D06F7">
        <w:t>li</w:t>
      </w:r>
      <w:r>
        <w:t xml:space="preserve">tative variable. </w:t>
      </w:r>
      <w:r w:rsidR="00877007">
        <w:t xml:space="preserve">The coefficient of the dummy variables reflects the difference in impact with the reference variable. This </w:t>
      </w:r>
      <w:r w:rsidR="00B47A27">
        <w:t xml:space="preserve">reference variable is the variable which is excluded in a dummy variable. </w:t>
      </w:r>
      <w:r>
        <w:t xml:space="preserve">The influence of the category wherefore no dummy is developed, contains the constant variable. </w:t>
      </w:r>
    </w:p>
    <w:p w:rsidR="00631FDC" w:rsidRDefault="00631FDC" w:rsidP="001937E3">
      <w:pPr>
        <w:spacing w:line="360" w:lineRule="auto"/>
        <w:jc w:val="both"/>
      </w:pPr>
      <w:r>
        <w:t xml:space="preserve">Besides a regression a correlation is used to investigate the </w:t>
      </w:r>
      <w:r w:rsidR="00C9001D">
        <w:t xml:space="preserve">relation </w:t>
      </w:r>
      <w:r w:rsidR="00B47A27">
        <w:t>between</w:t>
      </w:r>
      <w:r>
        <w:t xml:space="preserve"> two variables. The correlation represent</w:t>
      </w:r>
      <w:r w:rsidR="00C9001D">
        <w:t>s</w:t>
      </w:r>
      <w:r w:rsidR="005B190F">
        <w:t xml:space="preserve"> the relation</w:t>
      </w:r>
      <w:r>
        <w:t xml:space="preserve"> between two variables in both ways. Th</w:t>
      </w:r>
      <w:r w:rsidR="00C9001D">
        <w:t>ese</w:t>
      </w:r>
      <w:r>
        <w:t xml:space="preserve"> both ways </w:t>
      </w:r>
      <w:r w:rsidR="00B65605">
        <w:t>implies</w:t>
      </w:r>
      <w:r>
        <w:t xml:space="preserve"> that the influence of the dependent variable is also investigated on the independent variables. The outcome of the correlation, examine</w:t>
      </w:r>
      <w:r w:rsidR="00C9001D">
        <w:t>s</w:t>
      </w:r>
      <w:r>
        <w:t xml:space="preserve"> if two variables can predict each other. A correlation with a categorical variable is impossible, therefore the One Way Anova test w</w:t>
      </w:r>
      <w:r w:rsidR="00B47A27">
        <w:t>ill be used to investigate the relation</w:t>
      </w:r>
      <w:r>
        <w:t xml:space="preserve">. </w:t>
      </w:r>
    </w:p>
    <w:p w:rsidR="00631FDC" w:rsidRDefault="00631FDC" w:rsidP="001937E3">
      <w:pPr>
        <w:spacing w:line="360" w:lineRule="auto"/>
        <w:jc w:val="both"/>
      </w:pPr>
    </w:p>
    <w:p w:rsidR="00631FDC" w:rsidRDefault="00631FDC" w:rsidP="001937E3">
      <w:pPr>
        <w:pStyle w:val="Heading2"/>
        <w:spacing w:line="360" w:lineRule="auto"/>
        <w:jc w:val="both"/>
      </w:pPr>
      <w:bookmarkStart w:id="55" w:name="_Toc299353397"/>
      <w:r>
        <w:t>5.3 Data</w:t>
      </w:r>
      <w:bookmarkEnd w:id="55"/>
    </w:p>
    <w:p w:rsidR="00631FDC" w:rsidRPr="003469F7" w:rsidRDefault="00631FDC" w:rsidP="001937E3">
      <w:pPr>
        <w:spacing w:line="360" w:lineRule="auto"/>
        <w:jc w:val="both"/>
      </w:pPr>
      <w:r>
        <w:t xml:space="preserve">In </w:t>
      </w:r>
      <w:r w:rsidR="00C9001D">
        <w:t xml:space="preserve">the </w:t>
      </w:r>
      <w:r>
        <w:t xml:space="preserve">previous paragraph the regression formula </w:t>
      </w:r>
      <w:r w:rsidR="00C9001D">
        <w:t>was</w:t>
      </w:r>
      <w:r>
        <w:t xml:space="preserve"> introduced. In this paragraph the developed variables are introduced. Also the expectations about the influences of these variables in the regression formula are described. </w:t>
      </w:r>
    </w:p>
    <w:p w:rsidR="00631FDC" w:rsidRDefault="001937E3" w:rsidP="001937E3">
      <w:pPr>
        <w:spacing w:line="360" w:lineRule="auto"/>
        <w:jc w:val="both"/>
      </w:pPr>
      <w:r>
        <w:t>The REP</w:t>
      </w:r>
      <w:r w:rsidR="00631FDC">
        <w:t xml:space="preserve"> is stated for the </w:t>
      </w:r>
      <w:r w:rsidR="00C86669">
        <w:t>reputation</w:t>
      </w:r>
      <w:r w:rsidR="00631FDC">
        <w:t xml:space="preserve">, this is the dependent variable </w:t>
      </w:r>
      <w:r w:rsidR="00DC54DE">
        <w:t>of the</w:t>
      </w:r>
      <w:r w:rsidR="00631FDC">
        <w:t xml:space="preserve"> model. The reputation index is</w:t>
      </w:r>
      <w:r w:rsidR="00B47A27">
        <w:t xml:space="preserve"> used</w:t>
      </w:r>
      <w:r w:rsidR="00631FDC">
        <w:t xml:space="preserve"> </w:t>
      </w:r>
      <w:r w:rsidR="00B47A27">
        <w:t>as a proxy for</w:t>
      </w:r>
      <w:r w:rsidR="00631FDC">
        <w:t xml:space="preserve"> </w:t>
      </w:r>
      <w:r w:rsidR="00C86669">
        <w:t>reputation</w:t>
      </w:r>
      <w:r w:rsidR="00631FDC">
        <w:t xml:space="preserve">. In the first paragraph of this chapter already a description </w:t>
      </w:r>
      <w:r w:rsidR="00C9001D">
        <w:t>has been</w:t>
      </w:r>
      <w:r w:rsidR="00631FDC">
        <w:t xml:space="preserve"> given about database and the development of this reputation index. The taken </w:t>
      </w:r>
      <w:r w:rsidR="00C86669">
        <w:t>reputation</w:t>
      </w:r>
      <w:r w:rsidR="00631FDC">
        <w:t xml:space="preserve"> which is corresponding with the CSR </w:t>
      </w:r>
      <w:r w:rsidR="00DC54DE">
        <w:t>disclosure</w:t>
      </w:r>
      <w:r w:rsidR="00631FDC">
        <w:t xml:space="preserve"> is one year later than the CSR </w:t>
      </w:r>
      <w:r w:rsidR="00E043D6">
        <w:t>disclosure</w:t>
      </w:r>
      <w:r w:rsidR="00631FDC">
        <w:t xml:space="preserve">. </w:t>
      </w:r>
    </w:p>
    <w:p w:rsidR="00631FDC" w:rsidRDefault="00631FDC" w:rsidP="001937E3">
      <w:pPr>
        <w:spacing w:line="360" w:lineRule="auto"/>
        <w:jc w:val="both"/>
      </w:pPr>
      <w:r w:rsidRPr="003469F7">
        <w:t xml:space="preserve">The variable CSR is stated for the quality level of a CSR report. </w:t>
      </w:r>
      <w:r>
        <w:t xml:space="preserve">As </w:t>
      </w:r>
      <w:r w:rsidR="00C9001D">
        <w:t xml:space="preserve">has </w:t>
      </w:r>
      <w:r>
        <w:t>already been discussed, this level is observable in the G</w:t>
      </w:r>
      <w:r w:rsidR="009A2CDE">
        <w:t>RI Report List. Nine different application</w:t>
      </w:r>
      <w:r>
        <w:t xml:space="preserve"> levels exist in the GRI Report List, the A+, A, B+, B, C+, C, U, IA</w:t>
      </w:r>
      <w:r w:rsidRPr="00E17C8F">
        <w:t xml:space="preserve"> </w:t>
      </w:r>
      <w:r>
        <w:t xml:space="preserve">and CI. The levels A+, A, B+, B, C+, C and U are </w:t>
      </w:r>
      <w:r w:rsidR="00DC54DE">
        <w:t>application levels</w:t>
      </w:r>
      <w:r>
        <w:t xml:space="preserve"> for reports that conform the GRI G3 Guidelines, which were launched in 2006. The A+ rating is the highest rating and the C is the lowest rating. CSR reports obtain the U rating when the quality of a CSR report is </w:t>
      </w:r>
      <w:r w:rsidR="00C9001D">
        <w:t xml:space="preserve">not </w:t>
      </w:r>
      <w:r>
        <w:t xml:space="preserve">defined. The quality levels IA and CI are based on the GRI G2 Guidelines from 2002. The IA level is for CSR reports </w:t>
      </w:r>
      <w:r w:rsidR="00C9001D">
        <w:lastRenderedPageBreak/>
        <w:t xml:space="preserve">which </w:t>
      </w:r>
      <w:r>
        <w:t xml:space="preserve">are ‘In Accordance’. The CI level is applicable for CSR reports which </w:t>
      </w:r>
      <w:r w:rsidR="00C9001D">
        <w:t xml:space="preserve">are </w:t>
      </w:r>
      <w:r>
        <w:t xml:space="preserve">‘Content Index Only’ checked. Since the </w:t>
      </w:r>
      <w:r w:rsidR="005B190F">
        <w:t>level</w:t>
      </w:r>
      <w:r>
        <w:t xml:space="preserve"> of a CSR report is a qualitative variable, the CSR variable in the regression formula is tested with a dummy variable. </w:t>
      </w:r>
    </w:p>
    <w:p w:rsidR="00631FDC" w:rsidRPr="00B23957" w:rsidRDefault="00B47A27" w:rsidP="001937E3">
      <w:pPr>
        <w:spacing w:line="360" w:lineRule="auto"/>
        <w:jc w:val="both"/>
      </w:pPr>
      <w:r>
        <w:t xml:space="preserve">The control variable SIZE is </w:t>
      </w:r>
      <w:r w:rsidR="00631FDC">
        <w:t>stated for the size of the company. The size of a company is measured with the logarithm of the total sales. Total sales of a particular year ha</w:t>
      </w:r>
      <w:r w:rsidR="009A2CDE">
        <w:t>ve</w:t>
      </w:r>
      <w:r w:rsidR="00631FDC">
        <w:t xml:space="preserve"> an influence on the </w:t>
      </w:r>
      <w:r w:rsidR="00C86669">
        <w:t>reputation</w:t>
      </w:r>
      <w:r w:rsidR="00631FDC">
        <w:t xml:space="preserve"> of the following year. </w:t>
      </w:r>
      <w:r w:rsidR="000E1670">
        <w:t>I</w:t>
      </w:r>
      <w:r w:rsidR="00631FDC">
        <w:t xml:space="preserve">n the study of Dhaliwal et al. (2010, A) </w:t>
      </w:r>
      <w:r w:rsidR="000E1670">
        <w:t xml:space="preserve">the total sales are also used </w:t>
      </w:r>
      <w:r w:rsidR="00631FDC">
        <w:t xml:space="preserve">to measure the size of a company. The logarithm has the result that the total sales are normal distributed, which is an </w:t>
      </w:r>
      <w:r w:rsidR="000E1670">
        <w:t>important condition</w:t>
      </w:r>
      <w:r w:rsidR="00631FDC">
        <w:t xml:space="preserve"> of regression. The total sales are observed from the financial database Thomson One Banker.  In the hypotheses development </w:t>
      </w:r>
      <w:r w:rsidR="000E1670">
        <w:t xml:space="preserve">is </w:t>
      </w:r>
      <w:r w:rsidR="00631FDC">
        <w:t xml:space="preserve">already stated that larger companies are facing more public attention. This will result in more pressure to disclose a well qualified CSR report. </w:t>
      </w:r>
      <w:r w:rsidR="004D06F7">
        <w:t xml:space="preserve">Therefore a positive sign of the size coefficient is expected. </w:t>
      </w:r>
    </w:p>
    <w:p w:rsidR="00631FDC" w:rsidRPr="004224A2" w:rsidRDefault="00631FDC" w:rsidP="001937E3">
      <w:pPr>
        <w:spacing w:line="360" w:lineRule="auto"/>
        <w:jc w:val="both"/>
        <w:rPr>
          <w:color w:val="FF0000"/>
        </w:rPr>
      </w:pPr>
      <w:r>
        <w:t xml:space="preserve">Financial performances are also included in the regression, </w:t>
      </w:r>
      <w:r w:rsidR="000E1670">
        <w:t>this</w:t>
      </w:r>
      <w:r>
        <w:t xml:space="preserve"> is represented by the FPER variable. </w:t>
      </w:r>
      <w:r w:rsidR="009A2CDE">
        <w:t>To measure</w:t>
      </w:r>
      <w:r>
        <w:t xml:space="preserve"> the financial </w:t>
      </w:r>
      <w:r w:rsidR="00DC54DE">
        <w:t>performances return</w:t>
      </w:r>
      <w:r>
        <w:t xml:space="preserve"> on assets (ROA)</w:t>
      </w:r>
      <w:r w:rsidR="000E1670">
        <w:t xml:space="preserve"> is used as a proxy</w:t>
      </w:r>
      <w:r>
        <w:t xml:space="preserve">. This variable reflects the financial performances compared with an item to reflect the company size. The financial performances should be controlled for size, because larger companies have better absolute financial performances. The ROA is a </w:t>
      </w:r>
      <w:r w:rsidR="009A2CDE">
        <w:t>relative financial performance m</w:t>
      </w:r>
      <w:r>
        <w:t>easurement, it measures how beneficial the assets of the company are. The financial perfor</w:t>
      </w:r>
      <w:r w:rsidR="00B47A27">
        <w:t xml:space="preserve">mances of a particular year </w:t>
      </w:r>
      <w:r>
        <w:t xml:space="preserve">influence the </w:t>
      </w:r>
      <w:r w:rsidR="00C86669">
        <w:t>reputation</w:t>
      </w:r>
      <w:r>
        <w:t xml:space="preserve"> of the next following year. The ROA is observed from Thomso</w:t>
      </w:r>
      <w:r w:rsidR="009A2CDE">
        <w:t xml:space="preserve">n One Banker. </w:t>
      </w:r>
      <w:r w:rsidR="000E1670">
        <w:t xml:space="preserve">It is to be </w:t>
      </w:r>
      <w:r w:rsidR="009A2CDE">
        <w:t>Expected</w:t>
      </w:r>
      <w:r w:rsidR="000E1670">
        <w:t xml:space="preserve"> </w:t>
      </w:r>
      <w:r w:rsidR="00DC54DE">
        <w:t>that good</w:t>
      </w:r>
      <w:r w:rsidR="00B47A27">
        <w:t xml:space="preserve"> financial performance</w:t>
      </w:r>
      <w:r w:rsidR="000E1670">
        <w:t>s</w:t>
      </w:r>
      <w:r w:rsidR="00B47A27">
        <w:t xml:space="preserve"> ha</w:t>
      </w:r>
      <w:r w:rsidR="000E1670">
        <w:t>ve</w:t>
      </w:r>
      <w:r w:rsidR="00B47A27">
        <w:t xml:space="preserve"> a positive influence</w:t>
      </w:r>
      <w:r w:rsidRPr="00501DD3">
        <w:t xml:space="preserve"> on the </w:t>
      </w:r>
      <w:r w:rsidR="00C86669">
        <w:t>reputation</w:t>
      </w:r>
      <w:r w:rsidRPr="00501DD3">
        <w:t>, other variables can be used</w:t>
      </w:r>
      <w:r>
        <w:t xml:space="preserve"> to measure the financial performances. </w:t>
      </w:r>
      <w:r w:rsidR="005B190F">
        <w:t>A positive sign</w:t>
      </w:r>
      <w:r w:rsidR="009A2CDE">
        <w:t xml:space="preserve"> of the financial performance coefficient</w:t>
      </w:r>
      <w:r w:rsidR="005B190F">
        <w:t xml:space="preserve"> is expected.</w:t>
      </w:r>
    </w:p>
    <w:p w:rsidR="00631FDC" w:rsidRDefault="00631FDC" w:rsidP="001937E3">
      <w:pPr>
        <w:spacing w:line="360" w:lineRule="auto"/>
        <w:jc w:val="both"/>
      </w:pPr>
      <w:r>
        <w:t xml:space="preserve">The SGAS variable is stated for the </w:t>
      </w:r>
      <w:r w:rsidR="000E4342">
        <w:t xml:space="preserve">percentage of </w:t>
      </w:r>
      <w:r>
        <w:t xml:space="preserve">selling general and administrative expenses to sales. In the hypotheses development </w:t>
      </w:r>
      <w:r w:rsidR="000E1670">
        <w:t>was</w:t>
      </w:r>
      <w:r>
        <w:t xml:space="preserve"> </w:t>
      </w:r>
      <w:r w:rsidR="00B65605">
        <w:t>predicted</w:t>
      </w:r>
      <w:r>
        <w:t xml:space="preserve"> that selling general and administrative expenses expectantly have a positive influenc</w:t>
      </w:r>
      <w:r w:rsidR="00B47A27">
        <w:t xml:space="preserve">e on the </w:t>
      </w:r>
      <w:r w:rsidR="00C86669">
        <w:t>reputation</w:t>
      </w:r>
      <w:r w:rsidR="00B47A27">
        <w:t xml:space="preserve">. </w:t>
      </w:r>
      <w:r>
        <w:t xml:space="preserve">The </w:t>
      </w:r>
      <w:r w:rsidR="00B47A27">
        <w:t>SGA</w:t>
      </w:r>
      <w:r w:rsidR="005B190F">
        <w:t>S</w:t>
      </w:r>
      <w:r w:rsidR="00B47A27">
        <w:t xml:space="preserve"> </w:t>
      </w:r>
      <w:r>
        <w:t>control variable is stated</w:t>
      </w:r>
      <w:r w:rsidRPr="00431510">
        <w:t xml:space="preserve"> for </w:t>
      </w:r>
      <w:r>
        <w:t xml:space="preserve">the </w:t>
      </w:r>
      <w:r w:rsidR="00C86669">
        <w:t>reputation</w:t>
      </w:r>
      <w:r>
        <w:t xml:space="preserve"> expenses. This variable is controlled for the sales, because, there can be assumed that </w:t>
      </w:r>
      <w:r w:rsidR="005B190F">
        <w:t xml:space="preserve">the </w:t>
      </w:r>
      <w:r w:rsidR="000E4342">
        <w:t xml:space="preserve">percentage </w:t>
      </w:r>
      <w:r w:rsidR="005B190F">
        <w:t xml:space="preserve">of </w:t>
      </w:r>
      <w:r>
        <w:t xml:space="preserve">selling general and administrative expenses relative to sales makes a difference in the level of </w:t>
      </w:r>
      <w:r w:rsidR="00C86669">
        <w:t>reputation</w:t>
      </w:r>
      <w:r>
        <w:t xml:space="preserve">. Also the variable </w:t>
      </w:r>
      <w:r w:rsidR="00DC54DE">
        <w:t>has influence</w:t>
      </w:r>
      <w:r>
        <w:t xml:space="preserve"> on the </w:t>
      </w:r>
      <w:r w:rsidR="00C86669">
        <w:t>reputation</w:t>
      </w:r>
      <w:r>
        <w:t xml:space="preserve"> of next year. The selling generals and administrative expenses to sales are observed from Thomson One Banker. </w:t>
      </w:r>
      <w:r w:rsidR="005B190F">
        <w:t xml:space="preserve">For this variable a positive sign of the coefficient is expected. </w:t>
      </w:r>
    </w:p>
    <w:p w:rsidR="00631FDC" w:rsidRDefault="00631FDC" w:rsidP="001937E3">
      <w:pPr>
        <w:spacing w:line="360" w:lineRule="auto"/>
        <w:jc w:val="both"/>
      </w:pPr>
      <w:r>
        <w:t xml:space="preserve">The </w:t>
      </w:r>
      <w:r w:rsidR="00DC54DE">
        <w:t>hypothesis about the influence of countries on the relation between reputation and CSR reports is</w:t>
      </w:r>
      <w:r>
        <w:t xml:space="preserve"> teste</w:t>
      </w:r>
      <w:r w:rsidR="00B47A27">
        <w:t>d with the variable REG</w:t>
      </w:r>
      <w:r>
        <w:t>. The companies in the sample com</w:t>
      </w:r>
      <w:r w:rsidR="00D96C08">
        <w:t>e</w:t>
      </w:r>
      <w:r>
        <w:t xml:space="preserve"> from </w:t>
      </w:r>
      <w:r w:rsidR="000E1670">
        <w:t>six</w:t>
      </w:r>
      <w:r>
        <w:t xml:space="preserve"> different regions and 26 </w:t>
      </w:r>
      <w:r>
        <w:lastRenderedPageBreak/>
        <w:t xml:space="preserve">countries. The regions are Europe, Northern America, Latin America, Africa, Asia and Oceania. The countries are clustered in this </w:t>
      </w:r>
      <w:r w:rsidR="00D96C08">
        <w:t xml:space="preserve">six </w:t>
      </w:r>
      <w:r>
        <w:t xml:space="preserve">regions, </w:t>
      </w:r>
      <w:r w:rsidR="00B47A27">
        <w:t>the sample is too small</w:t>
      </w:r>
      <w:r>
        <w:t xml:space="preserve"> to investigate the inf</w:t>
      </w:r>
      <w:r w:rsidR="00B47A27">
        <w:t>luence of each individual country</w:t>
      </w:r>
      <w:r>
        <w:t>. This variable is also a categorical variable, in the regression formula dummies</w:t>
      </w:r>
      <w:r w:rsidR="00B47A27">
        <w:t xml:space="preserve"> are used </w:t>
      </w:r>
      <w:r>
        <w:t xml:space="preserve">to investigate the influence of a specific region </w:t>
      </w:r>
      <w:r w:rsidR="005B190F">
        <w:t>relative to another region</w:t>
      </w:r>
      <w:r>
        <w:t xml:space="preserve">. For this categorical variable no prediction can be made </w:t>
      </w:r>
      <w:r w:rsidR="00D96C08">
        <w:t>on</w:t>
      </w:r>
      <w:r>
        <w:t xml:space="preserve"> the direction of the influence on </w:t>
      </w:r>
      <w:r w:rsidR="005B190F">
        <w:t xml:space="preserve">the </w:t>
      </w:r>
      <w:r w:rsidR="00C86669">
        <w:t>reputation</w:t>
      </w:r>
      <w:r w:rsidR="005B190F">
        <w:t xml:space="preserve"> and CSR reporting. </w:t>
      </w:r>
      <w:r>
        <w:t xml:space="preserve"> At least, expectations can be made that there are differences observable among the different regions.</w:t>
      </w:r>
    </w:p>
    <w:p w:rsidR="00631FDC" w:rsidRPr="00C94C4E" w:rsidRDefault="00631FDC" w:rsidP="001937E3">
      <w:pPr>
        <w:spacing w:line="360" w:lineRule="auto"/>
        <w:jc w:val="both"/>
        <w:rPr>
          <w:color w:val="FF0000"/>
        </w:rPr>
      </w:pPr>
      <w:r>
        <w:t>The final variable IND contains the h</w:t>
      </w:r>
      <w:r w:rsidR="00795AB5">
        <w:t xml:space="preserve">ypothesis </w:t>
      </w:r>
      <w:r w:rsidR="00D96C08">
        <w:t xml:space="preserve">of </w:t>
      </w:r>
      <w:r w:rsidR="00795AB5">
        <w:t>the differences of influence between</w:t>
      </w:r>
      <w:r>
        <w:t xml:space="preserve"> industries. A separation of the type</w:t>
      </w:r>
      <w:r w:rsidR="00D96C08">
        <w:t>s</w:t>
      </w:r>
      <w:r>
        <w:t xml:space="preserve"> of industry is made based on the Industry Classification B</w:t>
      </w:r>
      <w:r w:rsidR="00795AB5">
        <w:t>enchmark (ICB). This benchmark divide</w:t>
      </w:r>
      <w:r>
        <w:t>s sectors in ten industries. Th</w:t>
      </w:r>
      <w:r w:rsidR="00D96C08">
        <w:t>ese</w:t>
      </w:r>
      <w:r>
        <w:t xml:space="preserve"> industries are</w:t>
      </w:r>
      <w:r w:rsidR="00D96C08">
        <w:t>:</w:t>
      </w:r>
      <w:r>
        <w:t xml:space="preserve"> Oil &amp; Gas, Basic Materials, Industrials, Consumer Goods, Health Care, Consumer Services, Telecommunications, Utilities, Financials and Technology. This categorical variable </w:t>
      </w:r>
      <w:r w:rsidR="005B190F">
        <w:t>is in the second method represent</w:t>
      </w:r>
      <w:r w:rsidR="00D96C08">
        <w:t>ed</w:t>
      </w:r>
      <w:r w:rsidR="005B190F">
        <w:t xml:space="preserve"> with dummies</w:t>
      </w:r>
      <w:r w:rsidR="00795AB5">
        <w:t>. No expectations can be made about</w:t>
      </w:r>
      <w:r>
        <w:t xml:space="preserve"> </w:t>
      </w:r>
      <w:r w:rsidR="00D96C08">
        <w:t xml:space="preserve">the influence of </w:t>
      </w:r>
      <w:r w:rsidR="00795AB5">
        <w:t xml:space="preserve">specific industries on the </w:t>
      </w:r>
      <w:r w:rsidR="00C86669">
        <w:t>reputation</w:t>
      </w:r>
      <w:r w:rsidR="00DC54DE">
        <w:t>.</w:t>
      </w:r>
      <w:r>
        <w:t xml:space="preserve"> </w:t>
      </w:r>
      <w:r w:rsidR="00D96C08">
        <w:t xml:space="preserve">None the less </w:t>
      </w:r>
      <w:r w:rsidR="00DC54DE">
        <w:t>differences in the influence on the reputation among industries are</w:t>
      </w:r>
      <w:r w:rsidR="007B1849">
        <w:t xml:space="preserve"> expectable.</w:t>
      </w:r>
    </w:p>
    <w:p w:rsidR="00631FDC" w:rsidRDefault="00631FDC" w:rsidP="001937E3">
      <w:pPr>
        <w:jc w:val="both"/>
      </w:pPr>
    </w:p>
    <w:p w:rsidR="00631FDC" w:rsidRDefault="00631FDC" w:rsidP="001937E3">
      <w:pPr>
        <w:jc w:val="both"/>
      </w:pPr>
    </w:p>
    <w:p w:rsidR="00A25F9A" w:rsidRDefault="00A25F9A" w:rsidP="001937E3">
      <w:pPr>
        <w:jc w:val="both"/>
      </w:pPr>
    </w:p>
    <w:p w:rsidR="00A25F9A" w:rsidRDefault="00A25F9A" w:rsidP="001937E3">
      <w:pPr>
        <w:jc w:val="both"/>
      </w:pPr>
    </w:p>
    <w:p w:rsidR="00A25F9A" w:rsidRDefault="00A25F9A" w:rsidP="001937E3">
      <w:pPr>
        <w:jc w:val="both"/>
      </w:pPr>
    </w:p>
    <w:p w:rsidR="00A25F9A" w:rsidRDefault="00A25F9A" w:rsidP="001937E3">
      <w:pPr>
        <w:jc w:val="both"/>
      </w:pPr>
    </w:p>
    <w:p w:rsidR="00A25F9A" w:rsidRDefault="00A25F9A" w:rsidP="001937E3">
      <w:pPr>
        <w:jc w:val="both"/>
      </w:pPr>
    </w:p>
    <w:p w:rsidR="00A25F9A" w:rsidRDefault="00A25F9A" w:rsidP="001937E3">
      <w:pPr>
        <w:jc w:val="both"/>
      </w:pPr>
    </w:p>
    <w:p w:rsidR="00A25F9A" w:rsidRDefault="00A25F9A" w:rsidP="001937E3">
      <w:pPr>
        <w:jc w:val="both"/>
      </w:pPr>
    </w:p>
    <w:p w:rsidR="005B190F" w:rsidRDefault="005B190F" w:rsidP="001937E3">
      <w:pPr>
        <w:jc w:val="both"/>
      </w:pPr>
    </w:p>
    <w:p w:rsidR="00A25F9A" w:rsidRDefault="00A25F9A" w:rsidP="001937E3">
      <w:pPr>
        <w:jc w:val="both"/>
      </w:pPr>
    </w:p>
    <w:p w:rsidR="00A25F9A" w:rsidRDefault="00A25F9A" w:rsidP="001937E3">
      <w:pPr>
        <w:jc w:val="both"/>
      </w:pPr>
    </w:p>
    <w:p w:rsidR="00631FDC" w:rsidRPr="00837583" w:rsidRDefault="00631FDC" w:rsidP="001937E3">
      <w:pPr>
        <w:pStyle w:val="Heading1"/>
        <w:spacing w:line="360" w:lineRule="auto"/>
        <w:jc w:val="both"/>
        <w:rPr>
          <w:u w:val="single"/>
        </w:rPr>
      </w:pPr>
      <w:bookmarkStart w:id="56" w:name="_Toc299353398"/>
      <w:r w:rsidRPr="00837583">
        <w:rPr>
          <w:u w:val="single"/>
        </w:rPr>
        <w:lastRenderedPageBreak/>
        <w:t>Chapter 6 Analytical Results</w:t>
      </w:r>
      <w:bookmarkEnd w:id="56"/>
    </w:p>
    <w:p w:rsidR="00631FDC" w:rsidRDefault="00631FDC" w:rsidP="001937E3">
      <w:pPr>
        <w:spacing w:line="360" w:lineRule="auto"/>
        <w:jc w:val="both"/>
      </w:pPr>
      <w:r w:rsidRPr="00837583">
        <w:t xml:space="preserve">In </w:t>
      </w:r>
      <w:r w:rsidR="001F4B48">
        <w:t xml:space="preserve">the </w:t>
      </w:r>
      <w:r w:rsidRPr="00837583">
        <w:t>previous cha</w:t>
      </w:r>
      <w:r>
        <w:t xml:space="preserve">pter the data and </w:t>
      </w:r>
      <w:r w:rsidR="008A0E8C">
        <w:t xml:space="preserve">the method for the statistical analysis </w:t>
      </w:r>
      <w:r>
        <w:t>is explained. In t</w:t>
      </w:r>
      <w:r w:rsidR="008A0E8C">
        <w:t xml:space="preserve">his chapter the results of the analysis </w:t>
      </w:r>
      <w:r>
        <w:t>are described. First, a description is provided about the data. The changes in data are summarized during the time period. In the second paragraph</w:t>
      </w:r>
      <w:r w:rsidR="009C6871">
        <w:t>,</w:t>
      </w:r>
      <w:r>
        <w:t xml:space="preserve"> the results of the </w:t>
      </w:r>
      <w:r w:rsidR="008A0E8C">
        <w:t xml:space="preserve">statistical analysis are described. The statistical analysis contains the </w:t>
      </w:r>
      <w:r>
        <w:t>correlation and the regression</w:t>
      </w:r>
      <w:r w:rsidR="009C6871">
        <w:t xml:space="preserve"> between CSR reporting and </w:t>
      </w:r>
      <w:r w:rsidR="00C86669">
        <w:t>reputation</w:t>
      </w:r>
      <w:r w:rsidR="009C6871">
        <w:t>.</w:t>
      </w:r>
    </w:p>
    <w:p w:rsidR="00631FDC" w:rsidRDefault="00631FDC" w:rsidP="001937E3">
      <w:pPr>
        <w:spacing w:line="360" w:lineRule="auto"/>
        <w:jc w:val="both"/>
      </w:pPr>
    </w:p>
    <w:p w:rsidR="00631FDC" w:rsidRDefault="00631FDC" w:rsidP="001937E3">
      <w:pPr>
        <w:pStyle w:val="Heading2"/>
        <w:spacing w:line="360" w:lineRule="auto"/>
        <w:jc w:val="both"/>
      </w:pPr>
      <w:bookmarkStart w:id="57" w:name="_Toc299353399"/>
      <w:r>
        <w:t xml:space="preserve">6.1 Descriptive </w:t>
      </w:r>
      <w:r w:rsidR="008A0E8C">
        <w:t>analysis</w:t>
      </w:r>
      <w:bookmarkEnd w:id="57"/>
    </w:p>
    <w:p w:rsidR="00631FDC" w:rsidRDefault="00631FDC" w:rsidP="001937E3">
      <w:pPr>
        <w:spacing w:line="360" w:lineRule="auto"/>
        <w:jc w:val="both"/>
      </w:pPr>
      <w:r>
        <w:t xml:space="preserve">The whole sample over the entire </w:t>
      </w:r>
      <w:r w:rsidR="008A0E8C">
        <w:t>time period includes 669 data points</w:t>
      </w:r>
      <w:r>
        <w:t xml:space="preserve">. In this </w:t>
      </w:r>
      <w:r w:rsidR="007B1849">
        <w:t xml:space="preserve">paper </w:t>
      </w:r>
      <w:r>
        <w:t xml:space="preserve">there is no focus on the results of the entire period, because the separate years and their data are more important. The </w:t>
      </w:r>
      <w:r w:rsidR="00DC54DE">
        <w:t>individual years</w:t>
      </w:r>
      <w:r>
        <w:t xml:space="preserve"> have different amounts of da</w:t>
      </w:r>
      <w:r w:rsidR="009C6871">
        <w:t>ta points</w:t>
      </w:r>
      <w:r>
        <w:t xml:space="preserve">, year 2005 has 85 matching </w:t>
      </w:r>
      <w:r w:rsidR="00BB2A00">
        <w:t>data points</w:t>
      </w:r>
      <w:r w:rsidR="007B1849">
        <w:t>,</w:t>
      </w:r>
      <w:r>
        <w:t xml:space="preserve"> </w:t>
      </w:r>
      <w:r w:rsidR="007B1849">
        <w:t xml:space="preserve">where </w:t>
      </w:r>
      <w:r>
        <w:t>the matching da</w:t>
      </w:r>
      <w:r w:rsidR="00BB2A00">
        <w:t>ta points</w:t>
      </w:r>
      <w:r>
        <w:t xml:space="preserve"> in 2009 increased to 175. When all years are taken together, the results </w:t>
      </w:r>
      <w:r w:rsidR="009C6871">
        <w:t>are</w:t>
      </w:r>
      <w:r>
        <w:t xml:space="preserve"> biased </w:t>
      </w:r>
      <w:r w:rsidR="009C6871">
        <w:t>due to</w:t>
      </w:r>
      <w:r>
        <w:t xml:space="preserve"> years which provide more data. Also some companies have matching data for the whole time period (for example, Henkel and Volvo). But other companies have matching data for a few se</w:t>
      </w:r>
      <w:r w:rsidR="009C6871">
        <w:t>lected years in the time period (</w:t>
      </w:r>
      <w:r>
        <w:t xml:space="preserve">for example, </w:t>
      </w:r>
      <w:r w:rsidRPr="00C401A9">
        <w:t>Reckitt Benckiser Group</w:t>
      </w:r>
      <w:r>
        <w:t xml:space="preserve"> and Bridgestone</w:t>
      </w:r>
      <w:r w:rsidR="009C6871">
        <w:t>)</w:t>
      </w:r>
      <w:r>
        <w:t xml:space="preserve">. When there is focus on the entire time period, the results are biased because companies which have all data of the entire time period are more represented in the sample. Therefore the results of the individual five years are explained. This paragraph has the purpose to provide a description of the data in the five different years. </w:t>
      </w:r>
    </w:p>
    <w:p w:rsidR="00631FDC" w:rsidRDefault="00631FDC" w:rsidP="001937E3">
      <w:pPr>
        <w:spacing w:line="360" w:lineRule="auto"/>
        <w:jc w:val="both"/>
      </w:pPr>
      <w:r>
        <w:t>I</w:t>
      </w:r>
      <w:r w:rsidR="009C6871">
        <w:t>n table 6</w:t>
      </w:r>
      <w:r>
        <w:t xml:space="preserve"> the distribution of the different CSR </w:t>
      </w:r>
      <w:r w:rsidR="009C6871">
        <w:t>report</w:t>
      </w:r>
      <w:r>
        <w:t xml:space="preserve"> levels </w:t>
      </w:r>
      <w:r w:rsidR="008A0E8C">
        <w:t xml:space="preserve">over the years </w:t>
      </w:r>
      <w:r w:rsidR="009C6871">
        <w:t>are</w:t>
      </w:r>
      <w:r>
        <w:t xml:space="preserve"> summarized. This table shows</w:t>
      </w:r>
      <w:r w:rsidR="000E4342">
        <w:t xml:space="preserve"> IA and CI level do</w:t>
      </w:r>
      <w:r>
        <w:t xml:space="preserve"> not appear in the years after 2006. </w:t>
      </w:r>
      <w:r w:rsidR="009C6871">
        <w:t xml:space="preserve">This is in conformity </w:t>
      </w:r>
      <w:r w:rsidR="007B1849">
        <w:t xml:space="preserve">with </w:t>
      </w:r>
      <w:r>
        <w:t>the IA and CI level assess</w:t>
      </w:r>
      <w:r w:rsidR="007B1849">
        <w:t>ed</w:t>
      </w:r>
      <w:r>
        <w:t xml:space="preserve"> </w:t>
      </w:r>
      <w:r w:rsidR="007B1849">
        <w:t xml:space="preserve">according to </w:t>
      </w:r>
      <w:r>
        <w:t>the G2 guidelines. The remainder levels</w:t>
      </w:r>
      <w:r w:rsidR="000E4342">
        <w:t>,</w:t>
      </w:r>
      <w:r>
        <w:t xml:space="preserve"> A+ </w:t>
      </w:r>
      <w:r w:rsidR="000E4342">
        <w:t xml:space="preserve">up </w:t>
      </w:r>
      <w:r>
        <w:t xml:space="preserve">till U </w:t>
      </w:r>
      <w:r w:rsidR="007B1849">
        <w:t xml:space="preserve">are </w:t>
      </w:r>
      <w:r>
        <w:t>assess</w:t>
      </w:r>
      <w:r w:rsidR="007B1849">
        <w:t>ed</w:t>
      </w:r>
      <w:r>
        <w:t xml:space="preserve"> </w:t>
      </w:r>
      <w:r w:rsidR="007B1849">
        <w:t xml:space="preserve">according to </w:t>
      </w:r>
      <w:r>
        <w:t xml:space="preserve">the G3 guidelines, which are initiated in 2006. After 2006 the CSR reports are judged on the level of the G3 guidelines, this explains the lack of IA and CI level reports after 2006. Before 2006, some CSR reports (18,8% for 2005 and 56,6% for 2006) </w:t>
      </w:r>
      <w:r w:rsidR="0012118D">
        <w:t xml:space="preserve">already </w:t>
      </w:r>
      <w:r w:rsidR="007B1849">
        <w:t xml:space="preserve">took </w:t>
      </w:r>
      <w:r w:rsidR="0012118D">
        <w:t>the new G3 guidelines into consideration.</w:t>
      </w:r>
    </w:p>
    <w:p w:rsidR="00631FDC" w:rsidRDefault="00631FDC" w:rsidP="001937E3">
      <w:pPr>
        <w:spacing w:line="360" w:lineRule="auto"/>
        <w:jc w:val="both"/>
      </w:pPr>
    </w:p>
    <w:p w:rsidR="00B65605" w:rsidRDefault="00B65605" w:rsidP="001937E3">
      <w:pPr>
        <w:spacing w:line="360" w:lineRule="auto"/>
        <w:jc w:val="both"/>
      </w:pPr>
    </w:p>
    <w:p w:rsidR="00631FDC" w:rsidRDefault="00631FDC" w:rsidP="001937E3">
      <w:pPr>
        <w:spacing w:line="360" w:lineRule="auto"/>
        <w:jc w:val="both"/>
      </w:pPr>
    </w:p>
    <w:p w:rsidR="00631FDC" w:rsidRPr="008C2A51" w:rsidRDefault="00DC54DE" w:rsidP="00631FDC">
      <w:pPr>
        <w:spacing w:line="360" w:lineRule="auto"/>
        <w:rPr>
          <w:sz w:val="18"/>
          <w:szCs w:val="18"/>
        </w:rPr>
      </w:pPr>
      <w:r>
        <w:rPr>
          <w:sz w:val="18"/>
          <w:szCs w:val="18"/>
        </w:rPr>
        <w:lastRenderedPageBreak/>
        <w:t xml:space="preserve">Table 6: Distribution of the CSR reporting levels from 2005 till 2009. </w:t>
      </w:r>
    </w:p>
    <w:p w:rsidR="00631FDC" w:rsidRDefault="00631FDC" w:rsidP="00631FDC">
      <w:pPr>
        <w:spacing w:line="360" w:lineRule="auto"/>
      </w:pPr>
      <w:r>
        <w:t xml:space="preserve"> </w:t>
      </w:r>
      <w:r w:rsidR="000734A5" w:rsidRPr="000734A5">
        <w:rPr>
          <w:noProof/>
        </w:rPr>
        <w:drawing>
          <wp:inline distT="0" distB="0" distL="0" distR="0">
            <wp:extent cx="4572000" cy="2743200"/>
            <wp:effectExtent l="19050" t="0" r="19050" b="0"/>
            <wp:docPr id="3" name="Grafiek 2"/>
            <wp:cNvGraphicFramePr/>
            <a:graphic xmlns:a="http://schemas.openxmlformats.org/drawingml/2006/main">
              <a:graphicData uri="http://schemas.openxmlformats.org/drawingml/2006/chart">
                <c:chart xmlns:c="http://schemas.openxmlformats.org/drawingml/2006/chart" xmlns:r="http://schemas.openxmlformats.org/officeDocument/2006/relationships" r:id="rId13"/>
              </a:graphicData>
            </a:graphic>
          </wp:inline>
        </w:drawing>
      </w:r>
    </w:p>
    <w:p w:rsidR="004F7765" w:rsidRDefault="004F7765" w:rsidP="001937E3">
      <w:pPr>
        <w:spacing w:line="360" w:lineRule="auto"/>
        <w:jc w:val="both"/>
      </w:pPr>
    </w:p>
    <w:p w:rsidR="00631FDC" w:rsidRDefault="00631FDC" w:rsidP="001937E3">
      <w:pPr>
        <w:spacing w:line="360" w:lineRule="auto"/>
        <w:jc w:val="both"/>
      </w:pPr>
      <w:r>
        <w:t xml:space="preserve">When the years are taken into </w:t>
      </w:r>
      <w:r w:rsidR="00DC54DE">
        <w:t>consideration which includes</w:t>
      </w:r>
      <w:r>
        <w:t xml:space="preserve"> reports that are judged on the G3 guideline</w:t>
      </w:r>
      <w:r w:rsidR="002922E1">
        <w:t>s, no</w:t>
      </w:r>
      <w:r w:rsidR="00400FF2">
        <w:t xml:space="preserve"> </w:t>
      </w:r>
      <w:r w:rsidR="002922E1">
        <w:t>increase in CSR report level is</w:t>
      </w:r>
      <w:r>
        <w:t xml:space="preserve"> </w:t>
      </w:r>
      <w:r w:rsidR="00400FF2">
        <w:t>observed</w:t>
      </w:r>
      <w:r w:rsidR="000E4342">
        <w:t xml:space="preserve">. </w:t>
      </w:r>
      <w:r>
        <w:t xml:space="preserve">The percentages of reports that meet the A+ level </w:t>
      </w:r>
      <w:r w:rsidR="00400FF2">
        <w:t xml:space="preserve">indeed </w:t>
      </w:r>
      <w:r>
        <w:t>increases over time (from 13,0% in 2007 till 19,4% in 2009), also the B level increase</w:t>
      </w:r>
      <w:r w:rsidR="00400FF2">
        <w:t>s</w:t>
      </w:r>
      <w:r>
        <w:t xml:space="preserve"> (from 12,3% in 2007 till 18,9% in 2009). </w:t>
      </w:r>
      <w:r w:rsidR="00400FF2">
        <w:t>F</w:t>
      </w:r>
      <w:r>
        <w:t>rom th</w:t>
      </w:r>
      <w:r w:rsidR="00400FF2">
        <w:t>ese</w:t>
      </w:r>
      <w:r>
        <w:t xml:space="preserve"> single level increases it is not possible t</w:t>
      </w:r>
      <w:r w:rsidR="0012118D">
        <w:t xml:space="preserve">o </w:t>
      </w:r>
      <w:r w:rsidR="00400FF2">
        <w:t xml:space="preserve">conclude </w:t>
      </w:r>
      <w:r w:rsidR="0012118D">
        <w:t>a general increase in CSR report</w:t>
      </w:r>
      <w:r>
        <w:t xml:space="preserve"> level. In this table it is not </w:t>
      </w:r>
      <w:r w:rsidR="0012118D">
        <w:t xml:space="preserve">possible to assess, </w:t>
      </w:r>
      <w:r w:rsidR="00400FF2">
        <w:t xml:space="preserve">of </w:t>
      </w:r>
      <w:r w:rsidR="0012118D">
        <w:t>which CSR quality</w:t>
      </w:r>
      <w:r>
        <w:t xml:space="preserve"> level the increases in A+ and B levels </w:t>
      </w:r>
      <w:r w:rsidR="00400FF2">
        <w:t>come</w:t>
      </w:r>
      <w:r>
        <w:t xml:space="preserve"> from. </w:t>
      </w:r>
    </w:p>
    <w:p w:rsidR="00631FDC" w:rsidRDefault="00631FDC" w:rsidP="001937E3">
      <w:pPr>
        <w:spacing w:line="360" w:lineRule="auto"/>
        <w:jc w:val="both"/>
      </w:pPr>
      <w:r>
        <w:t xml:space="preserve"> </w:t>
      </w:r>
      <w:r w:rsidR="00400FF2">
        <w:t xml:space="preserve">None the less </w:t>
      </w:r>
      <w:r>
        <w:t xml:space="preserve">it is possible to </w:t>
      </w:r>
      <w:r w:rsidR="00400FF2">
        <w:t>conclude</w:t>
      </w:r>
      <w:r>
        <w:t xml:space="preserve">, </w:t>
      </w:r>
      <w:r w:rsidR="0012118D">
        <w:t xml:space="preserve">that the </w:t>
      </w:r>
      <w:r w:rsidR="00400FF2">
        <w:t xml:space="preserve">percentage of </w:t>
      </w:r>
      <w:r w:rsidR="0012118D">
        <w:t xml:space="preserve">reports </w:t>
      </w:r>
      <w:r w:rsidR="00400FF2">
        <w:t xml:space="preserve">of </w:t>
      </w:r>
      <w:r w:rsidR="0012118D">
        <w:t xml:space="preserve">which no level is defined (the U </w:t>
      </w:r>
      <w:r>
        <w:t>lev</w:t>
      </w:r>
      <w:r w:rsidR="000E4342">
        <w:t>el)</w:t>
      </w:r>
      <w:r>
        <w:t xml:space="preserve"> decrease over time. When the reports which are conform the G3 guidelines are taken into consideration </w:t>
      </w:r>
      <w:r w:rsidR="00400FF2">
        <w:t>over</w:t>
      </w:r>
      <w:r>
        <w:t xml:space="preserve"> the years 2005 and 2006</w:t>
      </w:r>
      <w:r w:rsidR="00400FF2">
        <w:t>,</w:t>
      </w:r>
      <w:r>
        <w:t xml:space="preserve"> </w:t>
      </w:r>
      <w:r w:rsidR="00400FF2">
        <w:t>t</w:t>
      </w:r>
      <w:r>
        <w:t xml:space="preserve">he percentage of undefined </w:t>
      </w:r>
      <w:r w:rsidR="004F7765">
        <w:t>report</w:t>
      </w:r>
      <w:r>
        <w:t xml:space="preserve"> level is 53,3%</w:t>
      </w:r>
      <w:r w:rsidR="00400FF2">
        <w:t xml:space="preserve"> for 2005 </w:t>
      </w:r>
      <w:r>
        <w:t xml:space="preserve"> and 37,5%</w:t>
      </w:r>
      <w:r w:rsidR="00400FF2">
        <w:t xml:space="preserve"> for 2006</w:t>
      </w:r>
      <w:r>
        <w:t xml:space="preserve">. After 2006 the </w:t>
      </w:r>
      <w:r w:rsidR="00400FF2">
        <w:t>a</w:t>
      </w:r>
      <w:r w:rsidR="004B57F6">
        <w:t>mount</w:t>
      </w:r>
      <w:r w:rsidR="00400FF2">
        <w:t xml:space="preserve"> </w:t>
      </w:r>
      <w:r>
        <w:t xml:space="preserve">of the U level reports increase </w:t>
      </w:r>
      <w:r w:rsidR="004B57F6">
        <w:t>once</w:t>
      </w:r>
      <w:r>
        <w:t xml:space="preserve"> in 2007. A presumption can be made that the undefined level reports in 2007 also include CSR reports which </w:t>
      </w:r>
      <w:r w:rsidR="004B57F6">
        <w:t xml:space="preserve">were </w:t>
      </w:r>
      <w:r>
        <w:t xml:space="preserve">still </w:t>
      </w:r>
      <w:r w:rsidR="004B57F6">
        <w:t>in conformity with</w:t>
      </w:r>
      <w:r>
        <w:t xml:space="preserve"> the G2 guidelines. </w:t>
      </w:r>
      <w:r w:rsidR="004B57F6">
        <w:t>S</w:t>
      </w:r>
      <w:r>
        <w:t xml:space="preserve">ince no additional information is given from the GRI Report List on which characteristics the U quality level is judged, no statements can be made to assess </w:t>
      </w:r>
      <w:r w:rsidR="004F7765">
        <w:t xml:space="preserve">the </w:t>
      </w:r>
      <w:r>
        <w:t xml:space="preserve">increase in 2007. </w:t>
      </w:r>
    </w:p>
    <w:p w:rsidR="00631FDC" w:rsidRDefault="00631FDC" w:rsidP="001937E3">
      <w:pPr>
        <w:spacing w:line="360" w:lineRule="auto"/>
        <w:jc w:val="both"/>
      </w:pPr>
      <w:r>
        <w:t xml:space="preserve">Table </w:t>
      </w:r>
      <w:r w:rsidR="004F7765">
        <w:t>6</w:t>
      </w:r>
      <w:r>
        <w:t xml:space="preserve"> provides the participation</w:t>
      </w:r>
      <w:r w:rsidR="0012118D">
        <w:t xml:space="preserve"> of the different CSR report</w:t>
      </w:r>
      <w:r>
        <w:t xml:space="preserve"> levels in the five selected years. </w:t>
      </w:r>
      <w:r w:rsidR="004B57F6">
        <w:t>I</w:t>
      </w:r>
      <w:r>
        <w:t xml:space="preserve">t </w:t>
      </w:r>
      <w:r w:rsidR="004B57F6">
        <w:t>is</w:t>
      </w:r>
      <w:r>
        <w:t xml:space="preserve"> important to show the distribution of the different variables over the </w:t>
      </w:r>
      <w:r w:rsidR="0012118D">
        <w:t xml:space="preserve">CSR reporting </w:t>
      </w:r>
      <w:r w:rsidR="00921768">
        <w:t>levels. This is show</w:t>
      </w:r>
      <w:r w:rsidR="004B57F6">
        <w:t>n</w:t>
      </w:r>
      <w:r w:rsidR="00921768">
        <w:t xml:space="preserve"> in Appendix</w:t>
      </w:r>
      <w:r w:rsidR="004F7765">
        <w:t xml:space="preserve"> </w:t>
      </w:r>
      <w:r w:rsidR="00BB2A00">
        <w:t>B</w:t>
      </w:r>
      <w:r>
        <w:t xml:space="preserve">. The distribution of CSR </w:t>
      </w:r>
      <w:r w:rsidR="00DC54DE">
        <w:t>reporting levels</w:t>
      </w:r>
      <w:r>
        <w:t xml:space="preserve"> over the </w:t>
      </w:r>
      <w:r w:rsidR="00DB659C">
        <w:t>control</w:t>
      </w:r>
      <w:r>
        <w:t xml:space="preserve"> variables, (size, financial </w:t>
      </w:r>
      <w:r>
        <w:lastRenderedPageBreak/>
        <w:t>performances, selling general &amp; administrative expenses</w:t>
      </w:r>
      <w:r w:rsidR="000E4342">
        <w:t xml:space="preserve"> to sales, region and industry)</w:t>
      </w:r>
      <w:r>
        <w:t xml:space="preserve"> is shown. The qualitative variables region and industry are divided in the predetermined </w:t>
      </w:r>
      <w:r w:rsidR="00DB659C">
        <w:t>regions and industries</w:t>
      </w:r>
      <w:r w:rsidR="004B57F6">
        <w:t>,</w:t>
      </w:r>
      <w:r w:rsidR="00DB659C">
        <w:t xml:space="preserve"> </w:t>
      </w:r>
      <w:r w:rsidR="004B57F6">
        <w:t>where</w:t>
      </w:r>
      <w:r>
        <w:t xml:space="preserve"> the continuously variables size, financial performances and selling general &amp; administrative expenses</w:t>
      </w:r>
      <w:r w:rsidR="00DB659C">
        <w:t xml:space="preserve"> to sales are </w:t>
      </w:r>
      <w:r>
        <w:t>divided in</w:t>
      </w:r>
      <w:r w:rsidR="004B57F6">
        <w:t>to</w:t>
      </w:r>
      <w:r>
        <w:t xml:space="preserve"> categories. In t</w:t>
      </w:r>
      <w:r w:rsidR="004F7765">
        <w:t xml:space="preserve">he </w:t>
      </w:r>
      <w:r>
        <w:t xml:space="preserve">distribution </w:t>
      </w:r>
      <w:r w:rsidR="004B57F6">
        <w:t>the</w:t>
      </w:r>
      <w:r>
        <w:t xml:space="preserve"> averag</w:t>
      </w:r>
      <w:r w:rsidR="00DB659C">
        <w:t>e, medium and maximum amounts</w:t>
      </w:r>
      <w:r w:rsidR="004B57F6">
        <w:t xml:space="preserve"> are considered</w:t>
      </w:r>
      <w:r w:rsidR="00DB659C">
        <w:t xml:space="preserve">. </w:t>
      </w:r>
      <w:r>
        <w:t xml:space="preserve">In the </w:t>
      </w:r>
      <w:r w:rsidR="004F7765">
        <w:t xml:space="preserve">appendix </w:t>
      </w:r>
      <w:r>
        <w:t>is shown how much of the CSR reports</w:t>
      </w:r>
      <w:r w:rsidR="004B57F6">
        <w:t>,</w:t>
      </w:r>
      <w:r>
        <w:t xml:space="preserve"> which meet a certain quality level</w:t>
      </w:r>
      <w:r w:rsidR="004F7765">
        <w:t>,</w:t>
      </w:r>
      <w:r>
        <w:t xml:space="preserve"> meet a specific category of the remainder varia</w:t>
      </w:r>
      <w:r w:rsidR="00921768">
        <w:t>bles. This implies 1,2% of the companies included in the samples ha</w:t>
      </w:r>
      <w:r w:rsidR="004B57F6">
        <w:t>ve</w:t>
      </w:r>
      <w:r w:rsidR="00921768">
        <w:t xml:space="preserve"> a CSR report</w:t>
      </w:r>
      <w:r>
        <w:t xml:space="preserve"> in 2005</w:t>
      </w:r>
      <w:r w:rsidR="00921768">
        <w:t xml:space="preserve"> which</w:t>
      </w:r>
      <w:r>
        <w:t xml:space="preserve"> meet the A+ level and ha</w:t>
      </w:r>
      <w:r w:rsidR="004B57F6">
        <w:t>ve</w:t>
      </w:r>
      <w:r>
        <w:t xml:space="preserve"> sales less than 50</w:t>
      </w:r>
      <w:r w:rsidR="004B57F6">
        <w:t xml:space="preserve"> b</w:t>
      </w:r>
      <w:r>
        <w:t xml:space="preserve">illion Dollar. </w:t>
      </w:r>
    </w:p>
    <w:p w:rsidR="00631FDC" w:rsidRDefault="00921768" w:rsidP="001937E3">
      <w:pPr>
        <w:spacing w:line="360" w:lineRule="auto"/>
        <w:jc w:val="both"/>
      </w:pPr>
      <w:r>
        <w:t xml:space="preserve">Appendix </w:t>
      </w:r>
      <w:r w:rsidR="00BB2A00">
        <w:t xml:space="preserve">B </w:t>
      </w:r>
      <w:r w:rsidR="00631FDC">
        <w:t>indicates that compan</w:t>
      </w:r>
      <w:r>
        <w:t>i</w:t>
      </w:r>
      <w:r w:rsidR="006D013B">
        <w:t xml:space="preserve">es which disclose a CSR report conform the A+ level, mainly </w:t>
      </w:r>
      <w:r w:rsidR="0005042F">
        <w:t xml:space="preserve">come </w:t>
      </w:r>
      <w:r w:rsidR="006D013B">
        <w:t>from Europe.</w:t>
      </w:r>
      <w:r w:rsidR="00631FDC">
        <w:t xml:space="preserve"> With this assumption a note should </w:t>
      </w:r>
      <w:r w:rsidR="00DB659C">
        <w:t xml:space="preserve">be made, most included companies </w:t>
      </w:r>
      <w:r w:rsidR="0005042F">
        <w:t xml:space="preserve">come </w:t>
      </w:r>
      <w:r w:rsidR="00DB659C">
        <w:t>from Europe,</w:t>
      </w:r>
      <w:r w:rsidR="00631FDC">
        <w:t xml:space="preserve"> Northern America follows directly on Europe, Asia </w:t>
      </w:r>
      <w:r w:rsidR="0005042F">
        <w:t xml:space="preserve">is in </w:t>
      </w:r>
      <w:r w:rsidR="00631FDC">
        <w:t>third place</w:t>
      </w:r>
      <w:r w:rsidR="004F7765">
        <w:t>, t</w:t>
      </w:r>
      <w:r w:rsidR="00631FDC">
        <w:t xml:space="preserve">hereafter Latin America, Africa and Oceania follow. </w:t>
      </w:r>
      <w:r w:rsidR="00DC54DE">
        <w:t>When</w:t>
      </w:r>
      <w:r w:rsidR="00631FDC">
        <w:t xml:space="preserve"> </w:t>
      </w:r>
      <w:r w:rsidR="0005042F">
        <w:t xml:space="preserve">taking </w:t>
      </w:r>
      <w:r w:rsidR="00631FDC">
        <w:t>this distribution into account for all years</w:t>
      </w:r>
      <w:r w:rsidR="0005042F">
        <w:t>,</w:t>
      </w:r>
      <w:r w:rsidR="00631FDC">
        <w:t xml:space="preserve"> Europe scores better t</w:t>
      </w:r>
      <w:r w:rsidR="006D013B">
        <w:t xml:space="preserve">han Northern America on the A+ </w:t>
      </w:r>
      <w:r w:rsidR="00631FDC">
        <w:t xml:space="preserve">level. </w:t>
      </w:r>
      <w:r w:rsidR="004F7765">
        <w:t>From this appendix can be</w:t>
      </w:r>
      <w:r w:rsidR="006D013B">
        <w:t xml:space="preserve"> ob</w:t>
      </w:r>
      <w:r w:rsidR="00631FDC">
        <w:t>tained that Northern America provides more C</w:t>
      </w:r>
      <w:r w:rsidR="006D013B">
        <w:t>SR reports which meets the</w:t>
      </w:r>
      <w:r w:rsidR="00631FDC">
        <w:t xml:space="preserve"> levels B, C+, C and U than Europe</w:t>
      </w:r>
      <w:r w:rsidR="0005042F">
        <w:t xml:space="preserve"> does</w:t>
      </w:r>
      <w:r w:rsidR="00631FDC">
        <w:t>.</w:t>
      </w:r>
    </w:p>
    <w:p w:rsidR="00631FDC" w:rsidRDefault="00631FDC" w:rsidP="001937E3">
      <w:pPr>
        <w:spacing w:line="360" w:lineRule="auto"/>
        <w:jc w:val="both"/>
      </w:pPr>
      <w:r>
        <w:t>Remarkable is that a relative high percentage of the A+ reports meet the lowest category of the selling general &amp; administrative expenses to sales. In 2009 36,1 % of the companies in the sample have expenses to selling general &amp; administrative</w:t>
      </w:r>
      <w:r w:rsidR="004F7765">
        <w:t xml:space="preserve"> to sales</w:t>
      </w:r>
      <w:r>
        <w:t xml:space="preserve"> of less than 15%. Also in 2009 19,4% of the CSR reports meet the requirements of the A+ level. Therefore </w:t>
      </w:r>
      <w:r w:rsidR="0005042F">
        <w:t>it</w:t>
      </w:r>
      <w:r>
        <w:t xml:space="preserve"> can be expected that </w:t>
      </w:r>
      <w:r w:rsidR="0005042F">
        <w:t xml:space="preserve">approximately </w:t>
      </w:r>
      <w:r>
        <w:t>7%</w:t>
      </w:r>
      <w:r w:rsidR="0005042F">
        <w:t xml:space="preserve"> (36,1*19,4%) </w:t>
      </w:r>
      <w:r>
        <w:t xml:space="preserve"> of the CSR reports in 2009 meet the A+ level and the lowest selling general &amp; administrative expenses to sales category. </w:t>
      </w:r>
      <w:r w:rsidR="0005042F">
        <w:t>I</w:t>
      </w:r>
      <w:r>
        <w:t>n reality this is 9,7%, in comparison with the expectation of 7% this is a difference of almost 40% ((9,7-7)/7</w:t>
      </w:r>
      <w:r w:rsidR="0005042F">
        <w:t>*100</w:t>
      </w:r>
      <w:r>
        <w:t xml:space="preserve">). This implies that the CSR reports which have a low selling general &amp; administrative expenses to sales and the </w:t>
      </w:r>
      <w:r w:rsidR="006D013B">
        <w:t xml:space="preserve">A+ level is </w:t>
      </w:r>
      <w:r>
        <w:t>relative high. Th</w:t>
      </w:r>
      <w:r w:rsidR="0005042F">
        <w:t>e</w:t>
      </w:r>
      <w:r w:rsidR="006D013B">
        <w:t xml:space="preserve"> above described example </w:t>
      </w:r>
      <w:r w:rsidR="0005042F">
        <w:t>of</w:t>
      </w:r>
      <w:r w:rsidR="006D013B">
        <w:t xml:space="preserve"> the relative high existence of A+ level CSR reports in the lowest level of the selling general &amp; administrative expenses to sales in 2009,</w:t>
      </w:r>
      <w:r>
        <w:t xml:space="preserve"> is also applicable for the </w:t>
      </w:r>
      <w:r w:rsidR="006D013B">
        <w:t xml:space="preserve">years 2005 till 2008. </w:t>
      </w:r>
    </w:p>
    <w:p w:rsidR="00631FDC" w:rsidRDefault="00631FDC" w:rsidP="005E2F3B">
      <w:pPr>
        <w:spacing w:line="360" w:lineRule="auto"/>
        <w:sectPr w:rsidR="00631FDC" w:rsidSect="00B12C99">
          <w:footerReference w:type="default" r:id="rId14"/>
          <w:pgSz w:w="12240" w:h="15840" w:code="1"/>
          <w:pgMar w:top="1440" w:right="1440" w:bottom="1440" w:left="1440" w:header="708" w:footer="708" w:gutter="0"/>
          <w:cols w:space="708"/>
          <w:titlePg/>
          <w:docGrid w:linePitch="360"/>
        </w:sectPr>
      </w:pPr>
      <w:r>
        <w:t>In the distribution of all CSR reporting companies over the different in</w:t>
      </w:r>
      <w:r w:rsidR="006D013B">
        <w:t xml:space="preserve">dustries no big differences </w:t>
      </w:r>
      <w:r>
        <w:t>occur.  Also the distribution of the quality level of CSR reports over the different industries, are no big changes in time. This also applies for the variables size and financial performances.</w:t>
      </w:r>
    </w:p>
    <w:p w:rsidR="00631FDC" w:rsidRDefault="00631FDC" w:rsidP="001937E3">
      <w:pPr>
        <w:pStyle w:val="Heading2"/>
        <w:spacing w:line="360" w:lineRule="auto"/>
        <w:jc w:val="both"/>
      </w:pPr>
      <w:bookmarkStart w:id="58" w:name="_Toc299353400"/>
      <w:r>
        <w:lastRenderedPageBreak/>
        <w:t>6.2 Statistical Results</w:t>
      </w:r>
      <w:bookmarkEnd w:id="58"/>
    </w:p>
    <w:p w:rsidR="00631FDC" w:rsidRDefault="00DB659C" w:rsidP="001937E3">
      <w:pPr>
        <w:spacing w:line="360" w:lineRule="auto"/>
        <w:jc w:val="both"/>
      </w:pPr>
      <w:r>
        <w:t>T</w:t>
      </w:r>
      <w:r w:rsidR="00D62D7E">
        <w:t>o answer the</w:t>
      </w:r>
      <w:r>
        <w:t xml:space="preserve"> main</w:t>
      </w:r>
      <w:r w:rsidR="00D62D7E">
        <w:t xml:space="preserve"> hypothesis about the impact of the CSR reporting on the </w:t>
      </w:r>
      <w:r w:rsidR="00C86669">
        <w:t>reputation</w:t>
      </w:r>
      <w:r w:rsidR="00D62D7E">
        <w:t>,</w:t>
      </w:r>
      <w:r w:rsidR="00631FDC">
        <w:t xml:space="preserve"> the methodology which is developed in chapter 5 </w:t>
      </w:r>
      <w:r w:rsidR="007313B3">
        <w:t xml:space="preserve">shall </w:t>
      </w:r>
      <w:r w:rsidR="00631FDC">
        <w:t>be foll</w:t>
      </w:r>
      <w:r w:rsidR="00D62D7E">
        <w:t>ow</w:t>
      </w:r>
      <w:r w:rsidR="004F7765">
        <w:t>ed</w:t>
      </w:r>
      <w:r w:rsidR="00D62D7E">
        <w:t xml:space="preserve">. This is done by </w:t>
      </w:r>
      <w:r w:rsidR="00DC54DE">
        <w:t>using the</w:t>
      </w:r>
      <w:r w:rsidR="00631FDC">
        <w:t xml:space="preserve"> statistical program SPSS. In this paragraph the results of the SPSS output are presented. All these outputs investigate whether the expected relationship occurs. </w:t>
      </w:r>
      <w:r w:rsidR="004F7765">
        <w:t>First the results of the correlation are explained</w:t>
      </w:r>
      <w:r w:rsidR="007C60A3">
        <w:t>, thereafter the results of the regression.</w:t>
      </w:r>
    </w:p>
    <w:p w:rsidR="00730E84" w:rsidRPr="00730E84" w:rsidRDefault="00730E84" w:rsidP="001937E3">
      <w:pPr>
        <w:jc w:val="both"/>
      </w:pPr>
    </w:p>
    <w:p w:rsidR="00631FDC" w:rsidRDefault="00631FDC" w:rsidP="001937E3">
      <w:pPr>
        <w:pStyle w:val="Heading3"/>
        <w:spacing w:line="360" w:lineRule="auto"/>
        <w:jc w:val="both"/>
        <w:rPr>
          <w:color w:val="auto"/>
        </w:rPr>
      </w:pPr>
      <w:bookmarkStart w:id="59" w:name="_Toc299353401"/>
      <w:r w:rsidRPr="0098054D">
        <w:rPr>
          <w:color w:val="auto"/>
        </w:rPr>
        <w:t>6.2.1</w:t>
      </w:r>
      <w:r>
        <w:rPr>
          <w:color w:val="auto"/>
        </w:rPr>
        <w:t xml:space="preserve"> </w:t>
      </w:r>
      <w:r w:rsidR="00015B79">
        <w:rPr>
          <w:color w:val="auto"/>
        </w:rPr>
        <w:t>Correlation</w:t>
      </w:r>
      <w:bookmarkEnd w:id="59"/>
    </w:p>
    <w:p w:rsidR="00631FDC" w:rsidRDefault="00631FDC" w:rsidP="001937E3">
      <w:pPr>
        <w:spacing w:line="360" w:lineRule="auto"/>
        <w:jc w:val="both"/>
      </w:pPr>
      <w:r>
        <w:t>The correlation i</w:t>
      </w:r>
      <w:r w:rsidR="00015B79">
        <w:t xml:space="preserve">s a measurement to observe the </w:t>
      </w:r>
      <w:r w:rsidR="00DC54DE">
        <w:t>relation between</w:t>
      </w:r>
      <w:r>
        <w:t xml:space="preserve"> two</w:t>
      </w:r>
      <w:r w:rsidR="00015B79">
        <w:t xml:space="preserve"> variables. For measuring the relation between continuously variables, the correlation should be used. The correlation </w:t>
      </w:r>
      <w:r w:rsidR="007313B3">
        <w:t>cannot</w:t>
      </w:r>
      <w:r w:rsidR="00015B79">
        <w:t xml:space="preserve"> be used </w:t>
      </w:r>
      <w:r w:rsidR="007313B3">
        <w:t xml:space="preserve">if </w:t>
      </w:r>
      <w:r w:rsidR="00015B79">
        <w:t>one or two of the variables are qualitative variables, another measurement should be used to investigate th</w:t>
      </w:r>
      <w:r w:rsidR="007C60A3">
        <w:t>is</w:t>
      </w:r>
      <w:r w:rsidR="00015B79">
        <w:t xml:space="preserve"> relation. </w:t>
      </w:r>
      <w:r w:rsidR="007313B3">
        <w:t>F</w:t>
      </w:r>
      <w:r w:rsidR="00015B79">
        <w:t>irst t</w:t>
      </w:r>
      <w:r>
        <w:t>he correlation between the continuously variables, (</w:t>
      </w:r>
      <w:r w:rsidR="00C86669">
        <w:t>reputation</w:t>
      </w:r>
      <w:r>
        <w:t xml:space="preserve">, size, financial performances and general selling &amp; administrative expenses to sales) </w:t>
      </w:r>
      <w:r w:rsidR="007313B3">
        <w:t xml:space="preserve">is </w:t>
      </w:r>
      <w:r>
        <w:t>show</w:t>
      </w:r>
      <w:r w:rsidR="007313B3">
        <w:t>n</w:t>
      </w:r>
      <w:r>
        <w:t xml:space="preserve">. </w:t>
      </w:r>
      <w:r w:rsidR="00015B79">
        <w:t xml:space="preserve">Thereafter the </w:t>
      </w:r>
      <w:r w:rsidR="00DC54DE">
        <w:t>relation between the qualitative variables (CSR report level, region and industry) on the reputation is</w:t>
      </w:r>
      <w:r>
        <w:t xml:space="preserve"> </w:t>
      </w:r>
      <w:r w:rsidR="007313B3">
        <w:t>discussed</w:t>
      </w:r>
      <w:r>
        <w:t>.</w:t>
      </w:r>
      <w:r w:rsidR="00015B79">
        <w:t xml:space="preserve"> </w:t>
      </w:r>
      <w:r w:rsidR="00DC54DE">
        <w:t>To measure the relation between a continuously variable and qualitative variable One Way Anova test is used.</w:t>
      </w:r>
    </w:p>
    <w:p w:rsidR="00CE7299" w:rsidRDefault="00015B79" w:rsidP="001937E3">
      <w:pPr>
        <w:spacing w:line="360" w:lineRule="auto"/>
        <w:jc w:val="both"/>
      </w:pPr>
      <w:r>
        <w:t xml:space="preserve">The correlation can be positive or negative, </w:t>
      </w:r>
      <w:r w:rsidR="007313B3">
        <w:t>dependent</w:t>
      </w:r>
      <w:r>
        <w:t xml:space="preserve"> </w:t>
      </w:r>
      <w:r w:rsidR="007313B3">
        <w:t>of</w:t>
      </w:r>
      <w:r>
        <w:t xml:space="preserve"> the sign of the coefficient. A positive coefficient implies a positive relationship and a negative coefficient implies a negative relationship.</w:t>
      </w:r>
      <w:r w:rsidR="00631FDC">
        <w:t xml:space="preserve">  The degree of connection is dependent </w:t>
      </w:r>
      <w:r w:rsidR="007313B3">
        <w:t xml:space="preserve">of </w:t>
      </w:r>
      <w:r w:rsidR="00631FDC">
        <w:t xml:space="preserve">the value of the coefficient. When the coefficient is zero, no connection is observable. </w:t>
      </w:r>
      <w:r w:rsidR="007313B3">
        <w:t>A</w:t>
      </w:r>
      <w:r w:rsidR="00CE7299">
        <w:t xml:space="preserve"> value of </w:t>
      </w:r>
      <w:r w:rsidR="00631FDC">
        <w:t xml:space="preserve">minus one </w:t>
      </w:r>
      <w:r w:rsidR="007313B3">
        <w:t>or</w:t>
      </w:r>
      <w:r w:rsidR="00631FDC">
        <w:t xml:space="preserve"> plus one, </w:t>
      </w:r>
      <w:r w:rsidR="00CE7299">
        <w:t>implies a perfect relationship.</w:t>
      </w:r>
    </w:p>
    <w:p w:rsidR="00631FDC" w:rsidRDefault="00631FDC" w:rsidP="001937E3">
      <w:pPr>
        <w:spacing w:line="360" w:lineRule="auto"/>
        <w:jc w:val="both"/>
      </w:pPr>
      <w:r>
        <w:t xml:space="preserve">In </w:t>
      </w:r>
      <w:r w:rsidR="00691A7B">
        <w:t>this paper</w:t>
      </w:r>
      <w:r>
        <w:t xml:space="preserve"> a significant level of 10% is used, this implies </w:t>
      </w:r>
      <w:r w:rsidR="007313B3">
        <w:t xml:space="preserve">a </w:t>
      </w:r>
      <w:r>
        <w:t>correlation coefficient with p-values above 10% no co</w:t>
      </w:r>
      <w:r w:rsidR="00CE7299">
        <w:t xml:space="preserve">nnection </w:t>
      </w:r>
      <w:r w:rsidR="007313B3">
        <w:t xml:space="preserve">is </w:t>
      </w:r>
      <w:r w:rsidR="00CE7299">
        <w:t>demonstrate</w:t>
      </w:r>
      <w:r w:rsidR="007313B3">
        <w:t>d</w:t>
      </w:r>
      <w:r w:rsidR="00CE7299">
        <w:t>. In table</w:t>
      </w:r>
      <w:r w:rsidR="007C60A3">
        <w:t>7</w:t>
      </w:r>
      <w:r>
        <w:t xml:space="preserve"> below, the correlation coefficients are provided between the </w:t>
      </w:r>
      <w:r w:rsidR="00C86669">
        <w:t>reputation</w:t>
      </w:r>
      <w:r>
        <w:t xml:space="preserve">, size, financial performances and the general </w:t>
      </w:r>
      <w:r w:rsidR="00DC54DE">
        <w:t>selling &amp;</w:t>
      </w:r>
      <w:r>
        <w:t xml:space="preserve"> administrative expenses to sales. </w:t>
      </w:r>
      <w:r w:rsidR="007C60A3">
        <w:t>I</w:t>
      </w:r>
      <w:r w:rsidR="00CE7299">
        <w:t>n this table the significant relations are divided into the degree of significantly. When a coefficient is displayed with 3 stars, the coefficients is also significant at a lower level (p &lt; 0,01).In</w:t>
      </w:r>
      <w:r>
        <w:t xml:space="preserve"> </w:t>
      </w:r>
      <w:r w:rsidR="00691A7B">
        <w:t>this paper</w:t>
      </w:r>
      <w:r>
        <w:t xml:space="preserve"> the effects of different variables on the </w:t>
      </w:r>
      <w:r w:rsidR="00C86669">
        <w:t>reputation</w:t>
      </w:r>
      <w:r w:rsidR="00CE7299">
        <w:t xml:space="preserve"> a</w:t>
      </w:r>
      <w:r>
        <w:t xml:space="preserve">re examined, therefore the significant results of the first column </w:t>
      </w:r>
      <w:r w:rsidR="007C60A3">
        <w:t>are</w:t>
      </w:r>
      <w:r>
        <w:t xml:space="preserve"> explained. </w:t>
      </w:r>
    </w:p>
    <w:p w:rsidR="00A25F9A" w:rsidRDefault="00A25F9A" w:rsidP="001937E3">
      <w:pPr>
        <w:spacing w:line="360" w:lineRule="auto"/>
        <w:jc w:val="both"/>
      </w:pPr>
    </w:p>
    <w:p w:rsidR="007C60A3" w:rsidRDefault="007C60A3" w:rsidP="001937E3">
      <w:pPr>
        <w:spacing w:line="360" w:lineRule="auto"/>
        <w:jc w:val="both"/>
      </w:pPr>
    </w:p>
    <w:p w:rsidR="00015B79" w:rsidRPr="00945CBC" w:rsidRDefault="00DC54DE" w:rsidP="00015B79">
      <w:pPr>
        <w:spacing w:line="360" w:lineRule="auto"/>
        <w:rPr>
          <w:sz w:val="18"/>
          <w:szCs w:val="18"/>
        </w:rPr>
      </w:pPr>
      <w:r>
        <w:rPr>
          <w:sz w:val="18"/>
          <w:szCs w:val="18"/>
        </w:rPr>
        <w:lastRenderedPageBreak/>
        <w:t>Table 7</w:t>
      </w:r>
      <w:r w:rsidR="00015B79">
        <w:rPr>
          <w:sz w:val="18"/>
          <w:szCs w:val="18"/>
        </w:rPr>
        <w:t>: Correlation between the continuously variables</w:t>
      </w:r>
    </w:p>
    <w:p w:rsidR="00015B79" w:rsidRDefault="00015B79" w:rsidP="00631FDC">
      <w:pPr>
        <w:spacing w:line="360" w:lineRule="auto"/>
      </w:pPr>
    </w:p>
    <w:tbl>
      <w:tblPr>
        <w:tblpPr w:leftFromText="141" w:rightFromText="141" w:vertAnchor="page" w:horzAnchor="margin" w:tblpY="2281"/>
        <w:tblW w:w="5819" w:type="dxa"/>
        <w:tblLook w:val="04A0"/>
      </w:tblPr>
      <w:tblGrid>
        <w:gridCol w:w="1322"/>
        <w:gridCol w:w="1046"/>
        <w:gridCol w:w="1142"/>
        <w:gridCol w:w="1046"/>
        <w:gridCol w:w="1263"/>
      </w:tblGrid>
      <w:tr w:rsidR="00015B79" w:rsidRPr="00F136E4" w:rsidTr="00015B79">
        <w:trPr>
          <w:trHeight w:val="315"/>
        </w:trPr>
        <w:tc>
          <w:tcPr>
            <w:tcW w:w="1322" w:type="dxa"/>
            <w:tcBorders>
              <w:top w:val="nil"/>
              <w:left w:val="nil"/>
              <w:bottom w:val="single" w:sz="8" w:space="0" w:color="auto"/>
              <w:right w:val="single" w:sz="8" w:space="0" w:color="auto"/>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 </w:t>
            </w:r>
          </w:p>
        </w:tc>
        <w:tc>
          <w:tcPr>
            <w:tcW w:w="1046" w:type="dxa"/>
            <w:tcBorders>
              <w:top w:val="nil"/>
              <w:left w:val="nil"/>
              <w:bottom w:val="single" w:sz="8" w:space="0" w:color="auto"/>
              <w:right w:val="nil"/>
            </w:tcBorders>
            <w:shd w:val="clear" w:color="auto" w:fill="auto"/>
            <w:noWrap/>
            <w:vAlign w:val="bottom"/>
            <w:hideMark/>
          </w:tcPr>
          <w:p w:rsidR="00015B79" w:rsidRPr="00F136E4" w:rsidRDefault="001937E3" w:rsidP="00CE7299">
            <w:pPr>
              <w:spacing w:after="0" w:line="240" w:lineRule="auto"/>
              <w:rPr>
                <w:rFonts w:ascii="Calibri" w:eastAsia="Times New Roman" w:hAnsi="Calibri" w:cs="Calibri"/>
                <w:b/>
                <w:bCs/>
                <w:color w:val="000000"/>
              </w:rPr>
            </w:pPr>
            <w:r>
              <w:rPr>
                <w:rFonts w:ascii="Calibri" w:eastAsia="Times New Roman" w:hAnsi="Calibri" w:cs="Calibri"/>
                <w:b/>
                <w:bCs/>
                <w:color w:val="000000"/>
              </w:rPr>
              <w:t>Rep.</w:t>
            </w:r>
          </w:p>
        </w:tc>
        <w:tc>
          <w:tcPr>
            <w:tcW w:w="1142" w:type="dxa"/>
            <w:tcBorders>
              <w:top w:val="nil"/>
              <w:left w:val="nil"/>
              <w:bottom w:val="single" w:sz="8" w:space="0" w:color="auto"/>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b/>
                <w:bCs/>
                <w:color w:val="000000"/>
              </w:rPr>
            </w:pPr>
            <w:r w:rsidRPr="00F136E4">
              <w:rPr>
                <w:rFonts w:ascii="Calibri" w:eastAsia="Times New Roman" w:hAnsi="Calibri" w:cs="Calibri"/>
                <w:b/>
                <w:bCs/>
                <w:color w:val="000000"/>
              </w:rPr>
              <w:t>Size</w:t>
            </w:r>
          </w:p>
        </w:tc>
        <w:tc>
          <w:tcPr>
            <w:tcW w:w="1046" w:type="dxa"/>
            <w:tcBorders>
              <w:top w:val="nil"/>
              <w:left w:val="nil"/>
              <w:bottom w:val="single" w:sz="8" w:space="0" w:color="auto"/>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b/>
                <w:bCs/>
                <w:color w:val="000000"/>
              </w:rPr>
            </w:pPr>
            <w:r w:rsidRPr="00F136E4">
              <w:rPr>
                <w:rFonts w:ascii="Calibri" w:eastAsia="Times New Roman" w:hAnsi="Calibri" w:cs="Calibri"/>
                <w:b/>
                <w:bCs/>
                <w:color w:val="000000"/>
              </w:rPr>
              <w:t xml:space="preserve">Fin. </w:t>
            </w:r>
            <w:proofErr w:type="spellStart"/>
            <w:r w:rsidRPr="00F136E4">
              <w:rPr>
                <w:rFonts w:ascii="Calibri" w:eastAsia="Times New Roman" w:hAnsi="Calibri" w:cs="Calibri"/>
                <w:b/>
                <w:bCs/>
                <w:color w:val="000000"/>
              </w:rPr>
              <w:t>Perf</w:t>
            </w:r>
            <w:proofErr w:type="spellEnd"/>
          </w:p>
        </w:tc>
        <w:tc>
          <w:tcPr>
            <w:tcW w:w="1263" w:type="dxa"/>
            <w:tcBorders>
              <w:top w:val="nil"/>
              <w:left w:val="nil"/>
              <w:bottom w:val="single" w:sz="8" w:space="0" w:color="auto"/>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b/>
                <w:bCs/>
                <w:color w:val="000000"/>
              </w:rPr>
            </w:pPr>
            <w:r w:rsidRPr="00F136E4">
              <w:rPr>
                <w:rFonts w:ascii="Calibri" w:eastAsia="Times New Roman" w:hAnsi="Calibri" w:cs="Calibri"/>
                <w:b/>
                <w:bCs/>
                <w:color w:val="000000"/>
              </w:rPr>
              <w:t>SG&amp;A to Sales</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1937E3" w:rsidP="00015B79">
            <w:pPr>
              <w:spacing w:after="0" w:line="240" w:lineRule="auto"/>
              <w:rPr>
                <w:rFonts w:ascii="Calibri" w:eastAsia="Times New Roman" w:hAnsi="Calibri" w:cs="Calibri"/>
                <w:b/>
                <w:bCs/>
                <w:color w:val="000000"/>
              </w:rPr>
            </w:pPr>
            <w:r>
              <w:rPr>
                <w:rFonts w:ascii="Calibri" w:eastAsia="Times New Roman" w:hAnsi="Calibri" w:cs="Calibri"/>
                <w:b/>
                <w:bCs/>
                <w:color w:val="000000"/>
              </w:rPr>
              <w:t>Rep.</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jc w:val="center"/>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jc w:val="center"/>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jc w:val="center"/>
              <w:rPr>
                <w:rFonts w:ascii="Calibri" w:eastAsia="Times New Roman" w:hAnsi="Calibri" w:cs="Calibri"/>
                <w:color w:val="000000"/>
              </w:rPr>
            </w:pP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jc w:val="center"/>
              <w:rPr>
                <w:rFonts w:ascii="Calibri" w:eastAsia="Times New Roman" w:hAnsi="Calibri" w:cs="Calibri"/>
                <w:color w:val="000000"/>
              </w:rPr>
            </w:pPr>
          </w:p>
        </w:tc>
      </w:tr>
      <w:tr w:rsidR="00015B79" w:rsidRPr="00F136E4" w:rsidTr="00015B79">
        <w:trPr>
          <w:trHeight w:val="315"/>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2005</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0,236</w:t>
            </w:r>
            <w:r>
              <w:rPr>
                <w:rFonts w:ascii="Calibri" w:eastAsia="Times New Roman" w:hAnsi="Calibri" w:cs="Calibri"/>
                <w:color w:val="000000"/>
              </w:rPr>
              <w:t>**</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0,237</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-0,141</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2006</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0,146</w:t>
            </w:r>
            <w:r>
              <w:rPr>
                <w:rFonts w:ascii="Calibri" w:eastAsia="Times New Roman" w:hAnsi="Calibri" w:cs="Calibri"/>
                <w:color w:val="000000"/>
              </w:rPr>
              <w:t>**</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0,263</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0,082</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0,164</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0,129</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-0,057</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2008</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0,081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0,432</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-0,024</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2009</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0,067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0,365</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-0,011</w:t>
            </w:r>
          </w:p>
        </w:tc>
      </w:tr>
      <w:tr w:rsidR="00015B79" w:rsidRPr="00F136E4" w:rsidTr="00015B79">
        <w:trPr>
          <w:trHeight w:val="315"/>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b/>
                <w:bCs/>
                <w:color w:val="000000"/>
              </w:rPr>
            </w:pPr>
            <w:r w:rsidRPr="00F136E4">
              <w:rPr>
                <w:rFonts w:ascii="Calibri" w:eastAsia="Times New Roman" w:hAnsi="Calibri" w:cs="Calibri"/>
                <w:b/>
                <w:bCs/>
                <w:color w:val="000000"/>
              </w:rPr>
              <w:t>Size</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2005</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0,236</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-0,292</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-0,152</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2006</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0,146</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-0,066</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-0,111</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0,164</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-0,057</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-0,248</w:t>
            </w:r>
            <w:r>
              <w:rPr>
                <w:rFonts w:ascii="Calibri" w:eastAsia="Times New Roman" w:hAnsi="Calibri" w:cs="Calibri"/>
                <w:color w:val="000000"/>
              </w:rPr>
              <w:t>***</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2008</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0,081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0,017</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-0,263</w:t>
            </w:r>
            <w:r>
              <w:rPr>
                <w:rFonts w:ascii="Calibri" w:eastAsia="Times New Roman" w:hAnsi="Calibri" w:cs="Calibri"/>
                <w:color w:val="000000"/>
              </w:rPr>
              <w:t>***</w:t>
            </w:r>
          </w:p>
        </w:tc>
      </w:tr>
      <w:tr w:rsidR="00015B79" w:rsidRPr="00F136E4" w:rsidTr="00015B79">
        <w:trPr>
          <w:trHeight w:val="315"/>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2009</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0,067</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-0,078</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-0,039</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b/>
                <w:bCs/>
                <w:color w:val="000000"/>
              </w:rPr>
            </w:pPr>
            <w:r w:rsidRPr="00F136E4">
              <w:rPr>
                <w:rFonts w:ascii="Calibri" w:eastAsia="Times New Roman" w:hAnsi="Calibri" w:cs="Calibri"/>
                <w:b/>
                <w:bCs/>
                <w:color w:val="000000"/>
              </w:rPr>
              <w:t xml:space="preserve">Fin. </w:t>
            </w:r>
            <w:proofErr w:type="spellStart"/>
            <w:r w:rsidRPr="00F136E4">
              <w:rPr>
                <w:rFonts w:ascii="Calibri" w:eastAsia="Times New Roman" w:hAnsi="Calibri" w:cs="Calibri"/>
                <w:b/>
                <w:bCs/>
                <w:color w:val="000000"/>
              </w:rPr>
              <w:t>Perf</w:t>
            </w:r>
            <w:proofErr w:type="spellEnd"/>
            <w:r w:rsidRPr="00F136E4">
              <w:rPr>
                <w:rFonts w:ascii="Calibri" w:eastAsia="Times New Roman" w:hAnsi="Calibri" w:cs="Calibri"/>
                <w:b/>
                <w:bCs/>
                <w:color w:val="000000"/>
              </w:rPr>
              <w:t>.</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2005</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0,237</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-0,292</w:t>
            </w:r>
            <w:r>
              <w:rPr>
                <w:rFonts w:ascii="Calibri" w:eastAsia="Times New Roman" w:hAnsi="Calibri" w:cs="Calibri"/>
                <w:color w:val="000000"/>
              </w:rPr>
              <w:t>**</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-0,054</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2006</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0,263</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-0,066</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0,155</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0,129</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-0,057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0,048</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2008</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0,432</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0,017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0,148</w:t>
            </w:r>
            <w:r>
              <w:rPr>
                <w:rFonts w:ascii="Calibri" w:eastAsia="Times New Roman" w:hAnsi="Calibri" w:cs="Calibri"/>
                <w:color w:val="000000"/>
              </w:rPr>
              <w:t>**</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2009</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0,365</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-0,078</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0,177</w:t>
            </w:r>
            <w:r>
              <w:rPr>
                <w:rFonts w:ascii="Calibri" w:eastAsia="Times New Roman" w:hAnsi="Calibri" w:cs="Calibri"/>
                <w:color w:val="000000"/>
              </w:rPr>
              <w:t>**</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b/>
                <w:bCs/>
                <w:color w:val="000000"/>
              </w:rPr>
            </w:pPr>
            <w:r w:rsidRPr="00F136E4">
              <w:rPr>
                <w:rFonts w:ascii="Calibri" w:eastAsia="Times New Roman" w:hAnsi="Calibri" w:cs="Calibri"/>
                <w:b/>
                <w:bCs/>
                <w:color w:val="000000"/>
              </w:rPr>
              <w:t>SG&amp;A to Sales</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2005</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-0,141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-0,152</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-0,054</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2006</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0,082</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-0,111</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0,155</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2007</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-0,057</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w:t>
            </w:r>
            <w:r>
              <w:rPr>
                <w:rFonts w:ascii="Calibri" w:eastAsia="Times New Roman" w:hAnsi="Calibri" w:cs="Calibri"/>
                <w:color w:val="000000"/>
              </w:rPr>
              <w:t>248***</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0,048</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2008</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-0,024</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-0,263</w:t>
            </w:r>
            <w:r>
              <w:rPr>
                <w:rFonts w:ascii="Calibri" w:eastAsia="Times New Roman" w:hAnsi="Calibri" w:cs="Calibri"/>
                <w:color w:val="000000"/>
              </w:rPr>
              <w:t>***</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0,148</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r>
      <w:tr w:rsidR="00015B79" w:rsidRPr="00F136E4" w:rsidTr="00015B79">
        <w:trPr>
          <w:trHeight w:val="300"/>
        </w:trPr>
        <w:tc>
          <w:tcPr>
            <w:tcW w:w="1322" w:type="dxa"/>
            <w:tcBorders>
              <w:top w:val="nil"/>
              <w:left w:val="nil"/>
              <w:bottom w:val="nil"/>
              <w:right w:val="single" w:sz="8" w:space="0" w:color="auto"/>
            </w:tcBorders>
            <w:shd w:val="clear" w:color="auto" w:fill="auto"/>
            <w:noWrap/>
            <w:vAlign w:val="bottom"/>
            <w:hideMark/>
          </w:tcPr>
          <w:p w:rsidR="00015B79" w:rsidRPr="00F136E4" w:rsidRDefault="00015B79" w:rsidP="00015B79">
            <w:pPr>
              <w:spacing w:after="0" w:line="240" w:lineRule="auto"/>
              <w:jc w:val="right"/>
              <w:rPr>
                <w:rFonts w:ascii="Calibri" w:eastAsia="Times New Roman" w:hAnsi="Calibri" w:cs="Calibri"/>
                <w:color w:val="000000"/>
              </w:rPr>
            </w:pPr>
            <w:r w:rsidRPr="00F136E4">
              <w:rPr>
                <w:rFonts w:ascii="Calibri" w:eastAsia="Times New Roman" w:hAnsi="Calibri" w:cs="Calibri"/>
                <w:color w:val="000000"/>
              </w:rPr>
              <w:t>2009</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-0,011</w:t>
            </w:r>
          </w:p>
        </w:tc>
        <w:tc>
          <w:tcPr>
            <w:tcW w:w="1142"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-0,039</w:t>
            </w:r>
          </w:p>
        </w:tc>
        <w:tc>
          <w:tcPr>
            <w:tcW w:w="1046"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0,177</w:t>
            </w:r>
            <w:r>
              <w:rPr>
                <w:rFonts w:ascii="Calibri" w:eastAsia="Times New Roman" w:hAnsi="Calibri" w:cs="Calibri"/>
                <w:color w:val="000000"/>
              </w:rPr>
              <w:t>**</w:t>
            </w:r>
          </w:p>
        </w:tc>
        <w:tc>
          <w:tcPr>
            <w:tcW w:w="1263" w:type="dxa"/>
            <w:tcBorders>
              <w:top w:val="nil"/>
              <w:left w:val="nil"/>
              <w:bottom w:val="nil"/>
              <w:right w:val="nil"/>
            </w:tcBorders>
            <w:shd w:val="clear" w:color="auto" w:fill="auto"/>
            <w:noWrap/>
            <w:vAlign w:val="bottom"/>
            <w:hideMark/>
          </w:tcPr>
          <w:p w:rsidR="00015B79" w:rsidRPr="00F136E4" w:rsidRDefault="00015B79" w:rsidP="00015B79">
            <w:pPr>
              <w:spacing w:after="0" w:line="240" w:lineRule="auto"/>
              <w:rPr>
                <w:rFonts w:ascii="Calibri" w:eastAsia="Times New Roman" w:hAnsi="Calibri" w:cs="Calibri"/>
                <w:color w:val="000000"/>
              </w:rPr>
            </w:pPr>
            <w:r w:rsidRPr="00F136E4">
              <w:rPr>
                <w:rFonts w:ascii="Calibri" w:eastAsia="Times New Roman" w:hAnsi="Calibri" w:cs="Calibri"/>
                <w:color w:val="000000"/>
              </w:rPr>
              <w:t>1</w:t>
            </w:r>
          </w:p>
        </w:tc>
      </w:tr>
    </w:tbl>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631FDC" w:rsidRDefault="00631FDC" w:rsidP="00631FDC">
      <w:pPr>
        <w:spacing w:line="360" w:lineRule="auto"/>
      </w:pPr>
    </w:p>
    <w:p w:rsidR="00107C65" w:rsidRDefault="00107C65" w:rsidP="00631FDC">
      <w:pPr>
        <w:spacing w:line="360" w:lineRule="auto"/>
      </w:pPr>
    </w:p>
    <w:p w:rsidR="00107C65" w:rsidRPr="00107C65" w:rsidRDefault="00107C65" w:rsidP="00107C65">
      <w:pPr>
        <w:spacing w:line="240" w:lineRule="auto"/>
        <w:rPr>
          <w:sz w:val="20"/>
          <w:szCs w:val="20"/>
        </w:rPr>
      </w:pPr>
      <w:r w:rsidRPr="00107C65">
        <w:rPr>
          <w:sz w:val="20"/>
          <w:szCs w:val="20"/>
        </w:rPr>
        <w:tab/>
      </w:r>
    </w:p>
    <w:p w:rsidR="00631FDC" w:rsidRDefault="00631FDC" w:rsidP="00631FDC">
      <w:pPr>
        <w:spacing w:line="360" w:lineRule="auto"/>
      </w:pPr>
    </w:p>
    <w:p w:rsidR="00112437" w:rsidRPr="00107C65" w:rsidRDefault="00112437" w:rsidP="00112437">
      <w:pPr>
        <w:spacing w:after="0" w:line="240" w:lineRule="auto"/>
        <w:ind w:firstLine="720"/>
        <w:rPr>
          <w:sz w:val="20"/>
          <w:szCs w:val="20"/>
        </w:rPr>
      </w:pPr>
      <w:r w:rsidRPr="00107C65">
        <w:rPr>
          <w:sz w:val="20"/>
          <w:szCs w:val="20"/>
        </w:rPr>
        <w:t xml:space="preserve">*** </w:t>
      </w:r>
      <w:r w:rsidR="00DC54DE" w:rsidRPr="00107C65">
        <w:rPr>
          <w:sz w:val="20"/>
          <w:szCs w:val="20"/>
        </w:rPr>
        <w:t>Significant</w:t>
      </w:r>
      <w:r w:rsidRPr="00107C65">
        <w:rPr>
          <w:sz w:val="20"/>
          <w:szCs w:val="20"/>
        </w:rPr>
        <w:t xml:space="preserve"> at p &lt; 0,01</w:t>
      </w:r>
    </w:p>
    <w:p w:rsidR="00112437" w:rsidRPr="00107C65" w:rsidRDefault="00112437" w:rsidP="00112437">
      <w:pPr>
        <w:spacing w:after="0" w:line="240" w:lineRule="auto"/>
        <w:rPr>
          <w:sz w:val="20"/>
          <w:szCs w:val="20"/>
        </w:rPr>
      </w:pPr>
      <w:r w:rsidRPr="00107C65">
        <w:rPr>
          <w:sz w:val="20"/>
          <w:szCs w:val="20"/>
        </w:rPr>
        <w:tab/>
        <w:t xml:space="preserve">**   </w:t>
      </w:r>
      <w:r w:rsidR="00DC54DE" w:rsidRPr="00107C65">
        <w:rPr>
          <w:sz w:val="20"/>
          <w:szCs w:val="20"/>
        </w:rPr>
        <w:t>Significant</w:t>
      </w:r>
      <w:r w:rsidRPr="00107C65">
        <w:rPr>
          <w:sz w:val="20"/>
          <w:szCs w:val="20"/>
        </w:rPr>
        <w:t xml:space="preserve"> at p &lt; 0,05</w:t>
      </w:r>
    </w:p>
    <w:p w:rsidR="00112437" w:rsidRDefault="00112437" w:rsidP="00112437">
      <w:pPr>
        <w:spacing w:after="0" w:line="240" w:lineRule="auto"/>
        <w:rPr>
          <w:sz w:val="20"/>
          <w:szCs w:val="20"/>
        </w:rPr>
      </w:pPr>
      <w:r>
        <w:tab/>
      </w:r>
      <w:r w:rsidRPr="00107C65">
        <w:rPr>
          <w:sz w:val="20"/>
          <w:szCs w:val="20"/>
        </w:rPr>
        <w:t>*</w:t>
      </w:r>
      <w:r>
        <w:rPr>
          <w:sz w:val="20"/>
          <w:szCs w:val="20"/>
        </w:rPr>
        <w:t xml:space="preserve"> </w:t>
      </w:r>
      <w:r w:rsidRPr="00107C65">
        <w:rPr>
          <w:sz w:val="20"/>
          <w:szCs w:val="20"/>
        </w:rPr>
        <w:t xml:space="preserve">   </w:t>
      </w:r>
      <w:r>
        <w:rPr>
          <w:sz w:val="20"/>
          <w:szCs w:val="20"/>
        </w:rPr>
        <w:t xml:space="preserve"> </w:t>
      </w:r>
      <w:r w:rsidR="00DC54DE" w:rsidRPr="00107C65">
        <w:rPr>
          <w:sz w:val="20"/>
          <w:szCs w:val="20"/>
        </w:rPr>
        <w:t>Significant</w:t>
      </w:r>
      <w:r w:rsidRPr="00107C65">
        <w:rPr>
          <w:sz w:val="20"/>
          <w:szCs w:val="20"/>
        </w:rPr>
        <w:t xml:space="preserve"> at </w:t>
      </w:r>
      <w:r>
        <w:rPr>
          <w:sz w:val="20"/>
          <w:szCs w:val="20"/>
        </w:rPr>
        <w:t>p &lt; 0,1</w:t>
      </w:r>
    </w:p>
    <w:p w:rsidR="00112437" w:rsidRPr="00107C65" w:rsidRDefault="00112437" w:rsidP="00112437">
      <w:pPr>
        <w:spacing w:line="240" w:lineRule="auto"/>
        <w:rPr>
          <w:sz w:val="20"/>
          <w:szCs w:val="20"/>
        </w:rPr>
      </w:pPr>
    </w:p>
    <w:p w:rsidR="00631FDC" w:rsidRDefault="00631FDC" w:rsidP="00631FDC">
      <w:pPr>
        <w:spacing w:line="360" w:lineRule="auto"/>
      </w:pPr>
    </w:p>
    <w:p w:rsidR="00631FDC" w:rsidRDefault="00631FDC" w:rsidP="001937E3">
      <w:pPr>
        <w:spacing w:line="360" w:lineRule="auto"/>
        <w:jc w:val="both"/>
      </w:pPr>
      <w:r>
        <w:t>This table demonstrates the years 2005 and 2006 size and</w:t>
      </w:r>
      <w:r w:rsidR="00CE7299">
        <w:t xml:space="preserve"> </w:t>
      </w:r>
      <w:r w:rsidR="00C86669">
        <w:t>reputation</w:t>
      </w:r>
      <w:r w:rsidR="00CE7299">
        <w:t xml:space="preserve"> have a positive relation</w:t>
      </w:r>
      <w:r>
        <w:t xml:space="preserve">. Larger companies </w:t>
      </w:r>
      <w:r w:rsidR="005D5DCB">
        <w:t xml:space="preserve">have </w:t>
      </w:r>
      <w:r w:rsidR="00DC54DE">
        <w:t>higher reputation indices, which are</w:t>
      </w:r>
      <w:r w:rsidR="00F8547C">
        <w:t xml:space="preserve"> conform </w:t>
      </w:r>
      <w:r w:rsidR="00A9143C">
        <w:t>the legitimacy and stakeholder theory</w:t>
      </w:r>
      <w:r w:rsidR="00B56BAF">
        <w:t xml:space="preserve">. Larger companies </w:t>
      </w:r>
      <w:r w:rsidR="005D5DCB">
        <w:t>face</w:t>
      </w:r>
      <w:r>
        <w:t xml:space="preserve"> more public attention and more pressure to reach a high reputation. The </w:t>
      </w:r>
      <w:r>
        <w:lastRenderedPageBreak/>
        <w:t>connection is not very strong, but still some connection between the two v</w:t>
      </w:r>
      <w:r w:rsidR="00CE7299">
        <w:t xml:space="preserve">ariables </w:t>
      </w:r>
      <w:r w:rsidR="005D5DCB">
        <w:t xml:space="preserve">exists </w:t>
      </w:r>
      <w:r w:rsidR="00CE7299">
        <w:t>in the years 2005</w:t>
      </w:r>
      <w:r>
        <w:t xml:space="preserve"> and 2006. </w:t>
      </w:r>
    </w:p>
    <w:p w:rsidR="00631FDC" w:rsidRDefault="00631FDC" w:rsidP="001937E3">
      <w:pPr>
        <w:spacing w:line="360" w:lineRule="auto"/>
        <w:jc w:val="both"/>
      </w:pPr>
      <w:r>
        <w:t xml:space="preserve">Between </w:t>
      </w:r>
      <w:r w:rsidR="00CE7299">
        <w:t xml:space="preserve">financial performances and </w:t>
      </w:r>
      <w:r w:rsidR="00C86669">
        <w:t>reputation</w:t>
      </w:r>
      <w:r w:rsidR="00CE7299">
        <w:t xml:space="preserve"> a relation is observable</w:t>
      </w:r>
      <w:r w:rsidR="00F8547C">
        <w:t xml:space="preserve"> for all years</w:t>
      </w:r>
      <w:r w:rsidR="00CE7299">
        <w:t>. This relation</w:t>
      </w:r>
      <w:r w:rsidR="00F8547C">
        <w:t xml:space="preserve"> </w:t>
      </w:r>
      <w:r w:rsidR="00DC54DE">
        <w:t>is positive</w:t>
      </w:r>
      <w:r>
        <w:t>. This</w:t>
      </w:r>
      <w:r w:rsidR="00F8547C">
        <w:t xml:space="preserve"> relation </w:t>
      </w:r>
      <w:r>
        <w:t xml:space="preserve">implies financial performances of a company have a positive influence </w:t>
      </w:r>
      <w:r w:rsidR="00DC54DE">
        <w:t>on reputation</w:t>
      </w:r>
      <w:r w:rsidR="00F8547C">
        <w:t>. When a company has</w:t>
      </w:r>
      <w:r>
        <w:t xml:space="preserve"> better financial results the reputation index of this company improves. The value of the </w:t>
      </w:r>
      <w:r w:rsidR="003F085B">
        <w:t>relation</w:t>
      </w:r>
      <w:r>
        <w:t xml:space="preserve"> improves over time from 0,236 till 0,365.</w:t>
      </w:r>
      <w:r w:rsidR="005D5DCB">
        <w:t xml:space="preserve"> </w:t>
      </w:r>
      <w:r>
        <w:t xml:space="preserve">This implies </w:t>
      </w:r>
      <w:r w:rsidR="005D5DCB">
        <w:t xml:space="preserve">an increase of </w:t>
      </w:r>
      <w:r>
        <w:t xml:space="preserve">the </w:t>
      </w:r>
      <w:r w:rsidR="003F085B">
        <w:t xml:space="preserve">relation </w:t>
      </w:r>
      <w:r>
        <w:t xml:space="preserve">between financial performances and </w:t>
      </w:r>
      <w:r w:rsidR="00C86669">
        <w:t>reputation</w:t>
      </w:r>
      <w:r>
        <w:t xml:space="preserve"> over time. Financial performances beco</w:t>
      </w:r>
      <w:r w:rsidR="00F8547C">
        <w:t xml:space="preserve">me </w:t>
      </w:r>
      <w:r w:rsidR="00DC54DE">
        <w:t>stronger</w:t>
      </w:r>
      <w:r w:rsidR="00F8547C">
        <w:t xml:space="preserve"> criteria for </w:t>
      </w:r>
      <w:r w:rsidR="00C86669">
        <w:t>reputation</w:t>
      </w:r>
      <w:r w:rsidR="003F085B">
        <w:t xml:space="preserve">. </w:t>
      </w:r>
    </w:p>
    <w:p w:rsidR="00631FDC" w:rsidRDefault="00631FDC" w:rsidP="001937E3">
      <w:pPr>
        <w:spacing w:line="360" w:lineRule="auto"/>
        <w:jc w:val="both"/>
      </w:pPr>
      <w:r>
        <w:t xml:space="preserve">The above discussed correlation coefficients measure the connection between two continuous variables. </w:t>
      </w:r>
      <w:r w:rsidR="005D5DCB">
        <w:t>I</w:t>
      </w:r>
      <w:r>
        <w:t xml:space="preserve">n the designed methodology qualitative variables are </w:t>
      </w:r>
      <w:r w:rsidR="005D5DCB">
        <w:t xml:space="preserve">also </w:t>
      </w:r>
      <w:r>
        <w:t xml:space="preserve">included. To investigate the connection between </w:t>
      </w:r>
      <w:r w:rsidR="00C86669">
        <w:t>reputation</w:t>
      </w:r>
      <w:r w:rsidR="003F085B">
        <w:t xml:space="preserve"> (continuously) and CSR report </w:t>
      </w:r>
      <w:r>
        <w:t>level, region and industry (all qualitative variables) t</w:t>
      </w:r>
      <w:r w:rsidR="00DC54DE">
        <w:t>he O</w:t>
      </w:r>
      <w:r>
        <w:t xml:space="preserve">ne </w:t>
      </w:r>
      <w:r w:rsidR="00DC54DE">
        <w:t>W</w:t>
      </w:r>
      <w:r>
        <w:t xml:space="preserve">ay </w:t>
      </w:r>
      <w:r w:rsidR="00DC54DE">
        <w:t>Anova</w:t>
      </w:r>
      <w:r w:rsidR="003F085B">
        <w:t xml:space="preserve"> test should </w:t>
      </w:r>
      <w:r w:rsidR="00DC54DE">
        <w:t>be used. From the results of One Way A</w:t>
      </w:r>
      <w:r w:rsidR="00F8547C">
        <w:t>nova</w:t>
      </w:r>
      <w:r w:rsidR="003F085B">
        <w:t xml:space="preserve"> no sta</w:t>
      </w:r>
      <w:r w:rsidR="00F8547C">
        <w:t>tements are observable of the direction of the relation.</w:t>
      </w:r>
    </w:p>
    <w:p w:rsidR="00631FDC" w:rsidRDefault="0030203D" w:rsidP="001937E3">
      <w:pPr>
        <w:spacing w:line="360" w:lineRule="auto"/>
        <w:jc w:val="both"/>
      </w:pPr>
      <w:r>
        <w:t xml:space="preserve">When testing </w:t>
      </w:r>
      <w:r w:rsidR="00631FDC">
        <w:t xml:space="preserve">the </w:t>
      </w:r>
      <w:r w:rsidR="00A860CD">
        <w:t xml:space="preserve">relation between </w:t>
      </w:r>
      <w:r w:rsidR="00C86669">
        <w:t>reputation</w:t>
      </w:r>
      <w:r w:rsidR="00A860CD">
        <w:t>, CSR repo</w:t>
      </w:r>
      <w:r w:rsidR="00B56BAF">
        <w:t xml:space="preserve">rt level, region and industry, </w:t>
      </w:r>
      <w:r w:rsidR="00A860CD">
        <w:t>the relation</w:t>
      </w:r>
      <w:r w:rsidR="00631FDC">
        <w:t xml:space="preserve"> between the </w:t>
      </w:r>
      <w:r w:rsidR="00A860CD">
        <w:t>qua</w:t>
      </w:r>
      <w:r w:rsidR="005D5DCB">
        <w:t>litative</w:t>
      </w:r>
      <w:r w:rsidR="00631FDC">
        <w:t xml:space="preserve"> variable</w:t>
      </w:r>
      <w:r w:rsidR="005D5DCB">
        <w:t>s</w:t>
      </w:r>
      <w:r w:rsidR="00631FDC">
        <w:t xml:space="preserve"> </w:t>
      </w:r>
      <w:r w:rsidR="00A860CD">
        <w:t xml:space="preserve">in common </w:t>
      </w:r>
      <w:r w:rsidR="00631FDC">
        <w:t xml:space="preserve">on the </w:t>
      </w:r>
      <w:r w:rsidR="00C86669">
        <w:t>reputation</w:t>
      </w:r>
      <w:r w:rsidR="005D5DCB">
        <w:t>,</w:t>
      </w:r>
      <w:r w:rsidR="00A860CD">
        <w:t xml:space="preserve"> </w:t>
      </w:r>
      <w:r>
        <w:t>is taken into consideration</w:t>
      </w:r>
      <w:r w:rsidR="00631FDC">
        <w:t xml:space="preserve">. </w:t>
      </w:r>
      <w:r w:rsidR="005D5DCB">
        <w:t>F</w:t>
      </w:r>
      <w:r w:rsidR="00631FDC">
        <w:t>or the region v</w:t>
      </w:r>
      <w:r w:rsidR="00A860CD">
        <w:t xml:space="preserve">ariable first the relation </w:t>
      </w:r>
      <w:r>
        <w:t>between</w:t>
      </w:r>
      <w:r w:rsidR="00631FDC">
        <w:t xml:space="preserve"> region </w:t>
      </w:r>
      <w:r w:rsidR="00A860CD">
        <w:t xml:space="preserve">in common </w:t>
      </w:r>
      <w:r w:rsidR="00B56BAF">
        <w:t>and</w:t>
      </w:r>
      <w:r w:rsidR="00631FDC">
        <w:t xml:space="preserve"> </w:t>
      </w:r>
      <w:r w:rsidR="00C86669">
        <w:t>reputation</w:t>
      </w:r>
      <w:r w:rsidR="00A860CD">
        <w:t xml:space="preserve"> </w:t>
      </w:r>
      <w:r w:rsidR="00631FDC">
        <w:t xml:space="preserve">is tested. The outcomes show whether region has an influence on </w:t>
      </w:r>
      <w:r w:rsidR="00C86669">
        <w:t>reputation</w:t>
      </w:r>
      <w:r w:rsidR="00631FDC">
        <w:t xml:space="preserve">. Thereafter is tested if the different categories </w:t>
      </w:r>
      <w:r w:rsidR="005D5DCB">
        <w:t xml:space="preserve">of </w:t>
      </w:r>
      <w:r w:rsidR="00631FDC">
        <w:t xml:space="preserve">the qualitative variables have a connection with the </w:t>
      </w:r>
      <w:r w:rsidR="00C86669">
        <w:t>reputation</w:t>
      </w:r>
      <w:r w:rsidR="00631FDC">
        <w:t xml:space="preserve">. This implies for the region variable, whether </w:t>
      </w:r>
      <w:r w:rsidR="00A860CD">
        <w:t xml:space="preserve">a specific region has a relation with the </w:t>
      </w:r>
      <w:r w:rsidR="00C86669">
        <w:t>reputation</w:t>
      </w:r>
      <w:r w:rsidR="00631FDC">
        <w:t xml:space="preserve">. </w:t>
      </w:r>
    </w:p>
    <w:p w:rsidR="00631FDC" w:rsidRDefault="0030203D" w:rsidP="001937E3">
      <w:pPr>
        <w:spacing w:line="360" w:lineRule="auto"/>
        <w:jc w:val="both"/>
      </w:pPr>
      <w:r>
        <w:t xml:space="preserve">In table </w:t>
      </w:r>
      <w:r w:rsidR="00DC54DE">
        <w:t>8 the</w:t>
      </w:r>
      <w:r w:rsidR="00631FDC">
        <w:t xml:space="preserve"> outcomes are s</w:t>
      </w:r>
      <w:r w:rsidR="00A860CD">
        <w:t>how</w:t>
      </w:r>
      <w:r w:rsidR="005D5DCB">
        <w:t>n</w:t>
      </w:r>
      <w:r w:rsidR="00631FDC">
        <w:t>. The provided data of the test are the</w:t>
      </w:r>
      <w:r w:rsidR="00DC54DE">
        <w:t xml:space="preserve"> p-values. From the p-value </w:t>
      </w:r>
      <w:r w:rsidR="00F40B6E">
        <w:t xml:space="preserve">a </w:t>
      </w:r>
      <w:r w:rsidR="00A860CD">
        <w:t>relation</w:t>
      </w:r>
      <w:r w:rsidR="00F40B6E">
        <w:t xml:space="preserve"> </w:t>
      </w:r>
      <w:r w:rsidR="00DC54DE">
        <w:t xml:space="preserve">can </w:t>
      </w:r>
      <w:r w:rsidR="00F40B6E">
        <w:t>be observed</w:t>
      </w:r>
      <w:r w:rsidR="00A860CD">
        <w:t xml:space="preserve"> between the </w:t>
      </w:r>
      <w:r w:rsidR="00C86669">
        <w:t>reputation</w:t>
      </w:r>
      <w:r w:rsidR="00631FDC">
        <w:t xml:space="preserve"> and the variable. An actual </w:t>
      </w:r>
      <w:r w:rsidR="00A860CD">
        <w:t xml:space="preserve">relation </w:t>
      </w:r>
      <w:r w:rsidR="00631FDC">
        <w:t xml:space="preserve">is </w:t>
      </w:r>
      <w:r w:rsidR="00F40B6E">
        <w:t xml:space="preserve">observed </w:t>
      </w:r>
      <w:r w:rsidR="00631FDC">
        <w:t xml:space="preserve">when the p-value </w:t>
      </w:r>
      <w:r w:rsidR="00F40B6E">
        <w:t>reaches</w:t>
      </w:r>
      <w:r w:rsidR="00631FDC">
        <w:t xml:space="preserve"> the significant value of 10%. The p-values marked with a * shows a connection between the two variables. </w:t>
      </w:r>
      <w:r w:rsidR="00A860CD">
        <w:t xml:space="preserve">Also in this table a distinction </w:t>
      </w:r>
      <w:r w:rsidR="00F40B6E">
        <w:t xml:space="preserve">is made </w:t>
      </w:r>
      <w:r w:rsidR="00A860CD">
        <w:t>in the levels of significan</w:t>
      </w:r>
      <w:r w:rsidR="00F40B6E">
        <w:t>ce.</w:t>
      </w:r>
    </w:p>
    <w:p w:rsidR="00631FDC" w:rsidRDefault="00631FDC" w:rsidP="001937E3">
      <w:pPr>
        <w:spacing w:line="360" w:lineRule="auto"/>
        <w:jc w:val="both"/>
      </w:pPr>
    </w:p>
    <w:p w:rsidR="00B65605" w:rsidRDefault="00B65605" w:rsidP="001937E3">
      <w:pPr>
        <w:spacing w:line="360" w:lineRule="auto"/>
        <w:jc w:val="both"/>
      </w:pPr>
    </w:p>
    <w:p w:rsidR="00A25F9A" w:rsidRDefault="00A25F9A" w:rsidP="001937E3">
      <w:pPr>
        <w:spacing w:line="360" w:lineRule="auto"/>
        <w:jc w:val="both"/>
      </w:pPr>
    </w:p>
    <w:p w:rsidR="001937E3" w:rsidRDefault="001937E3" w:rsidP="001937E3">
      <w:pPr>
        <w:spacing w:line="360" w:lineRule="auto"/>
        <w:jc w:val="both"/>
      </w:pPr>
    </w:p>
    <w:p w:rsidR="00A25F9A" w:rsidRDefault="00A25F9A" w:rsidP="001937E3">
      <w:pPr>
        <w:spacing w:line="360" w:lineRule="auto"/>
        <w:jc w:val="both"/>
      </w:pPr>
    </w:p>
    <w:p w:rsidR="00631FDC" w:rsidRPr="003A57FA" w:rsidRDefault="008516B2" w:rsidP="00631FDC">
      <w:pPr>
        <w:spacing w:line="360" w:lineRule="auto"/>
        <w:rPr>
          <w:sz w:val="18"/>
          <w:szCs w:val="18"/>
        </w:rPr>
      </w:pPr>
      <w:r>
        <w:rPr>
          <w:sz w:val="18"/>
          <w:szCs w:val="18"/>
        </w:rPr>
        <w:lastRenderedPageBreak/>
        <w:t>Table 8</w:t>
      </w:r>
      <w:r w:rsidR="00631FDC">
        <w:rPr>
          <w:sz w:val="18"/>
          <w:szCs w:val="18"/>
        </w:rPr>
        <w:t>: p</w:t>
      </w:r>
      <w:r w:rsidR="00DC54DE">
        <w:rPr>
          <w:sz w:val="18"/>
          <w:szCs w:val="18"/>
        </w:rPr>
        <w:t>-value of the outcomes of the O</w:t>
      </w:r>
      <w:r w:rsidR="00631FDC">
        <w:rPr>
          <w:sz w:val="18"/>
          <w:szCs w:val="18"/>
        </w:rPr>
        <w:t xml:space="preserve">ne </w:t>
      </w:r>
      <w:r w:rsidR="00DC54DE">
        <w:rPr>
          <w:sz w:val="18"/>
          <w:szCs w:val="18"/>
        </w:rPr>
        <w:t>Way A</w:t>
      </w:r>
      <w:r w:rsidR="00631FDC">
        <w:rPr>
          <w:sz w:val="18"/>
          <w:szCs w:val="18"/>
        </w:rPr>
        <w:t xml:space="preserve">nova test. </w:t>
      </w:r>
    </w:p>
    <w:tbl>
      <w:tblPr>
        <w:tblW w:w="7786" w:type="dxa"/>
        <w:tblInd w:w="93" w:type="dxa"/>
        <w:tblLook w:val="04A0"/>
      </w:tblPr>
      <w:tblGrid>
        <w:gridCol w:w="2076"/>
        <w:gridCol w:w="1142"/>
        <w:gridCol w:w="1142"/>
        <w:gridCol w:w="1142"/>
        <w:gridCol w:w="1142"/>
        <w:gridCol w:w="1142"/>
      </w:tblGrid>
      <w:tr w:rsidR="00631FDC" w:rsidRPr="004E15C4" w:rsidTr="00112437">
        <w:trPr>
          <w:trHeight w:val="303"/>
        </w:trPr>
        <w:tc>
          <w:tcPr>
            <w:tcW w:w="2076" w:type="dxa"/>
            <w:tcBorders>
              <w:top w:val="nil"/>
              <w:left w:val="nil"/>
              <w:bottom w:val="single" w:sz="4" w:space="0" w:color="auto"/>
              <w:right w:val="single" w:sz="4" w:space="0" w:color="auto"/>
            </w:tcBorders>
            <w:shd w:val="clear" w:color="auto" w:fill="auto"/>
            <w:noWrap/>
            <w:vAlign w:val="bottom"/>
            <w:hideMark/>
          </w:tcPr>
          <w:p w:rsidR="00631FDC" w:rsidRPr="004E15C4" w:rsidRDefault="00631FDC" w:rsidP="00631FDC">
            <w:pPr>
              <w:spacing w:after="0" w:line="240" w:lineRule="auto"/>
              <w:rPr>
                <w:rFonts w:ascii="Calibri" w:eastAsia="Times New Roman" w:hAnsi="Calibri" w:cs="Calibri"/>
                <w:color w:val="000000"/>
              </w:rPr>
            </w:pPr>
            <w:r w:rsidRPr="004E15C4">
              <w:rPr>
                <w:rFonts w:ascii="Calibri" w:eastAsia="Times New Roman" w:hAnsi="Calibri" w:cs="Calibri"/>
                <w:color w:val="000000"/>
              </w:rPr>
              <w:t> </w:t>
            </w:r>
          </w:p>
        </w:tc>
        <w:tc>
          <w:tcPr>
            <w:tcW w:w="1142" w:type="dxa"/>
            <w:tcBorders>
              <w:top w:val="nil"/>
              <w:left w:val="nil"/>
              <w:bottom w:val="single" w:sz="4" w:space="0" w:color="auto"/>
              <w:right w:val="nil"/>
            </w:tcBorders>
            <w:shd w:val="clear" w:color="auto" w:fill="auto"/>
            <w:noWrap/>
            <w:vAlign w:val="bottom"/>
            <w:hideMark/>
          </w:tcPr>
          <w:p w:rsidR="00631FDC" w:rsidRPr="004E15C4" w:rsidRDefault="00631FDC" w:rsidP="00112437">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2005</w:t>
            </w:r>
          </w:p>
        </w:tc>
        <w:tc>
          <w:tcPr>
            <w:tcW w:w="1142" w:type="dxa"/>
            <w:tcBorders>
              <w:top w:val="nil"/>
              <w:left w:val="nil"/>
              <w:bottom w:val="single" w:sz="4" w:space="0" w:color="auto"/>
              <w:right w:val="nil"/>
            </w:tcBorders>
            <w:shd w:val="clear" w:color="auto" w:fill="auto"/>
            <w:noWrap/>
            <w:vAlign w:val="bottom"/>
            <w:hideMark/>
          </w:tcPr>
          <w:p w:rsidR="00631FDC" w:rsidRPr="004E15C4" w:rsidRDefault="00631FDC" w:rsidP="00112437">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2006</w:t>
            </w:r>
          </w:p>
        </w:tc>
        <w:tc>
          <w:tcPr>
            <w:tcW w:w="1142" w:type="dxa"/>
            <w:tcBorders>
              <w:top w:val="nil"/>
              <w:left w:val="nil"/>
              <w:bottom w:val="single" w:sz="4" w:space="0" w:color="auto"/>
              <w:right w:val="nil"/>
            </w:tcBorders>
            <w:shd w:val="clear" w:color="auto" w:fill="auto"/>
            <w:noWrap/>
            <w:vAlign w:val="bottom"/>
            <w:hideMark/>
          </w:tcPr>
          <w:p w:rsidR="00631FDC" w:rsidRPr="004E15C4" w:rsidRDefault="00631FDC" w:rsidP="00112437">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2007</w:t>
            </w:r>
          </w:p>
        </w:tc>
        <w:tc>
          <w:tcPr>
            <w:tcW w:w="1142" w:type="dxa"/>
            <w:tcBorders>
              <w:top w:val="nil"/>
              <w:left w:val="nil"/>
              <w:bottom w:val="single" w:sz="4" w:space="0" w:color="auto"/>
              <w:right w:val="nil"/>
            </w:tcBorders>
            <w:shd w:val="clear" w:color="auto" w:fill="auto"/>
            <w:noWrap/>
            <w:vAlign w:val="bottom"/>
            <w:hideMark/>
          </w:tcPr>
          <w:p w:rsidR="00631FDC" w:rsidRPr="004E15C4" w:rsidRDefault="00631FDC" w:rsidP="00112437">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2008</w:t>
            </w:r>
          </w:p>
        </w:tc>
        <w:tc>
          <w:tcPr>
            <w:tcW w:w="1142" w:type="dxa"/>
            <w:tcBorders>
              <w:top w:val="nil"/>
              <w:left w:val="nil"/>
              <w:bottom w:val="single" w:sz="4" w:space="0" w:color="auto"/>
              <w:right w:val="nil"/>
            </w:tcBorders>
            <w:shd w:val="clear" w:color="auto" w:fill="auto"/>
            <w:noWrap/>
            <w:vAlign w:val="bottom"/>
            <w:hideMark/>
          </w:tcPr>
          <w:p w:rsidR="00631FDC" w:rsidRPr="004E15C4" w:rsidRDefault="00631FDC" w:rsidP="00112437">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2009</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CSR</w:t>
            </w:r>
            <w:r w:rsidR="00107C65">
              <w:rPr>
                <w:rFonts w:ascii="Calibri" w:eastAsia="Times New Roman" w:hAnsi="Calibri" w:cs="Calibri"/>
                <w:b/>
                <w:bCs/>
                <w:color w:val="000000"/>
              </w:rPr>
              <w:t xml:space="preserve"> Report</w:t>
            </w:r>
            <w:r w:rsidRPr="004E15C4">
              <w:rPr>
                <w:rFonts w:ascii="Calibri" w:eastAsia="Times New Roman" w:hAnsi="Calibri" w:cs="Calibri"/>
                <w:b/>
                <w:bCs/>
                <w:color w:val="000000"/>
              </w:rPr>
              <w:t xml:space="preserve"> Level</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Common</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0,211</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0,680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0,065</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0,969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0,714</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0,568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0,084</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0,063</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0,562</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0,252</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0,760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0,174</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0,979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0,285</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B+</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0,133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0,837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0,948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0,659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0,897</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B</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0,754</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0,308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0,393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0,892</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0,983</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0,066</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0,504</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0,687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0,616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0,872</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0,631</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0,086</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0,981</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0,917</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U</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0,185</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0,159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0,019</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0,307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0,129</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IA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0,289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0,716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CI</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0,943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0,912</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Region</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Common</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0,005</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0,63</w:t>
            </w:r>
            <w:r>
              <w:rPr>
                <w:rFonts w:ascii="Calibri" w:eastAsia="Times New Roman" w:hAnsi="Calibri" w:cs="Calibri"/>
                <w:color w:val="000000"/>
              </w:rPr>
              <w:t>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0,001</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Africa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0,639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0,807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0,674</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0,875</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Asia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0,203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0,002</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0,923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Europe</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0,013</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0,013</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0,092</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0,301</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0,333</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Latin America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0,633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0,904</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0,747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0,598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0,303</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Northern America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0,167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0,001</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0,000</w:t>
            </w:r>
            <w:r>
              <w:rPr>
                <w:rFonts w:ascii="Calibri" w:eastAsia="Times New Roman" w:hAnsi="Calibri" w:cs="Calibri"/>
                <w:color w:val="000000"/>
              </w:rPr>
              <w:t>*</w:t>
            </w:r>
            <w:r w:rsidR="00107C65">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Oceania</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rPr>
                <w:rFonts w:ascii="Calibri" w:eastAsia="Times New Roman" w:hAnsi="Calibri" w:cs="Calibri"/>
                <w:b/>
                <w:bCs/>
                <w:color w:val="000000"/>
              </w:rPr>
            </w:pPr>
            <w:r w:rsidRPr="004E15C4">
              <w:rPr>
                <w:rFonts w:ascii="Calibri" w:eastAsia="Times New Roman" w:hAnsi="Calibri" w:cs="Calibri"/>
                <w:b/>
                <w:bCs/>
                <w:color w:val="000000"/>
              </w:rPr>
              <w:t>Industry</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Common</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0,158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0,359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0,013</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0,320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0,017</w:t>
            </w:r>
            <w:r>
              <w:rPr>
                <w:rFonts w:ascii="Calibri" w:eastAsia="Times New Roman" w:hAnsi="Calibri" w:cs="Calibri"/>
                <w:color w:val="000000"/>
              </w:rPr>
              <w:t>*</w:t>
            </w:r>
            <w:r w:rsidR="00107C65">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Oil &amp; Gas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0,436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0,426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0,186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0,013</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0,009</w:t>
            </w:r>
            <w:r>
              <w:rPr>
                <w:rFonts w:ascii="Calibri" w:eastAsia="Times New Roman" w:hAnsi="Calibri" w:cs="Calibri"/>
                <w:color w:val="000000"/>
              </w:rPr>
              <w:t>*</w:t>
            </w:r>
            <w:r w:rsidR="00107C65">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Basic Materials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0,186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0,130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0,008</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0,488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0,861</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Industrials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0,620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0,080</w:t>
            </w:r>
            <w:r>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0,41</w:t>
            </w:r>
            <w:r>
              <w:rPr>
                <w:rFonts w:ascii="Calibri" w:eastAsia="Times New Roman" w:hAnsi="Calibri" w:cs="Calibri"/>
                <w:color w:val="000000"/>
              </w:rPr>
              <w:t>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0,492</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0,805</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Consumer Goods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0,107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0,316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0,569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0,381</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0,127</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Health Care</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0,809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0,728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0,969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0,463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0,307</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Consumer Services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0,816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0,887</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0,752</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0,872</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0,088</w:t>
            </w:r>
            <w:r>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Telecommunications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0,336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0,858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0,017</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0,963</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0,851</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Utilities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0,508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0,930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0,505</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0,646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0,190</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Financials</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0,047</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0,360</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0,858</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0,169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0,064</w:t>
            </w:r>
            <w:r>
              <w:rPr>
                <w:rFonts w:ascii="Calibri" w:eastAsia="Times New Roman" w:hAnsi="Calibri" w:cs="Calibri"/>
                <w:color w:val="000000"/>
              </w:rPr>
              <w:t>*</w:t>
            </w:r>
          </w:p>
        </w:tc>
      </w:tr>
      <w:tr w:rsidR="00631FDC" w:rsidRPr="004E15C4" w:rsidTr="00112437">
        <w:trPr>
          <w:trHeight w:val="303"/>
        </w:trPr>
        <w:tc>
          <w:tcPr>
            <w:tcW w:w="2076" w:type="dxa"/>
            <w:tcBorders>
              <w:top w:val="nil"/>
              <w:left w:val="nil"/>
              <w:bottom w:val="nil"/>
              <w:right w:val="single" w:sz="4" w:space="0" w:color="auto"/>
            </w:tcBorders>
            <w:shd w:val="clear" w:color="auto" w:fill="auto"/>
            <w:noWrap/>
            <w:vAlign w:val="bottom"/>
            <w:hideMark/>
          </w:tcPr>
          <w:p w:rsidR="00631FDC" w:rsidRPr="004E15C4" w:rsidRDefault="00631FDC" w:rsidP="00631FDC">
            <w:pPr>
              <w:spacing w:after="0" w:line="240" w:lineRule="auto"/>
              <w:jc w:val="right"/>
              <w:rPr>
                <w:rFonts w:ascii="Calibri" w:eastAsia="Times New Roman" w:hAnsi="Calibri" w:cs="Calibri"/>
                <w:color w:val="000000"/>
              </w:rPr>
            </w:pPr>
            <w:r w:rsidRPr="004E15C4">
              <w:rPr>
                <w:rFonts w:ascii="Calibri" w:eastAsia="Times New Roman" w:hAnsi="Calibri" w:cs="Calibri"/>
                <w:color w:val="000000"/>
              </w:rPr>
              <w:t>Technology</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0,037</w:t>
            </w:r>
            <w:r>
              <w:rPr>
                <w:rFonts w:ascii="Calibri" w:eastAsia="Times New Roman" w:hAnsi="Calibri" w:cs="Calibri"/>
                <w:color w:val="000000"/>
              </w:rPr>
              <w:t>*</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0,426</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0,01</w:t>
            </w:r>
            <w:r>
              <w:rPr>
                <w:rFonts w:ascii="Calibri" w:eastAsia="Times New Roman" w:hAnsi="Calibri" w:cs="Calibri"/>
                <w:color w:val="000000"/>
              </w:rPr>
              <w:t>0*</w:t>
            </w:r>
            <w:r w:rsidR="00107C65">
              <w:rPr>
                <w:rFonts w:ascii="Calibri" w:eastAsia="Times New Roman" w:hAnsi="Calibri" w:cs="Calibri"/>
                <w:color w:val="000000"/>
              </w:rPr>
              <w:t>*</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0,329</w:t>
            </w:r>
          </w:p>
        </w:tc>
        <w:tc>
          <w:tcPr>
            <w:tcW w:w="1142" w:type="dxa"/>
            <w:tcBorders>
              <w:top w:val="nil"/>
              <w:left w:val="nil"/>
              <w:bottom w:val="nil"/>
              <w:right w:val="nil"/>
            </w:tcBorders>
            <w:shd w:val="clear" w:color="auto" w:fill="auto"/>
            <w:noWrap/>
            <w:vAlign w:val="bottom"/>
            <w:hideMark/>
          </w:tcPr>
          <w:p w:rsidR="00631FDC" w:rsidRPr="004E15C4" w:rsidRDefault="00631FDC" w:rsidP="00107C65">
            <w:pPr>
              <w:spacing w:after="0" w:line="240" w:lineRule="auto"/>
              <w:rPr>
                <w:rFonts w:ascii="Calibri" w:eastAsia="Times New Roman" w:hAnsi="Calibri" w:cs="Calibri"/>
                <w:color w:val="000000"/>
              </w:rPr>
            </w:pPr>
            <w:r w:rsidRPr="004E15C4">
              <w:rPr>
                <w:rFonts w:ascii="Calibri" w:eastAsia="Times New Roman" w:hAnsi="Calibri" w:cs="Calibri"/>
                <w:color w:val="000000"/>
              </w:rPr>
              <w:t>0,057</w:t>
            </w:r>
            <w:r>
              <w:rPr>
                <w:rFonts w:ascii="Calibri" w:eastAsia="Times New Roman" w:hAnsi="Calibri" w:cs="Calibri"/>
                <w:color w:val="000000"/>
              </w:rPr>
              <w:t>*</w:t>
            </w:r>
          </w:p>
        </w:tc>
      </w:tr>
    </w:tbl>
    <w:p w:rsidR="00112437" w:rsidRDefault="00112437" w:rsidP="00112437">
      <w:pPr>
        <w:spacing w:after="0" w:line="240" w:lineRule="auto"/>
        <w:ind w:firstLine="720"/>
        <w:rPr>
          <w:sz w:val="20"/>
          <w:szCs w:val="20"/>
        </w:rPr>
      </w:pPr>
    </w:p>
    <w:p w:rsidR="00112437" w:rsidRPr="00107C65" w:rsidRDefault="00112437" w:rsidP="00112437">
      <w:pPr>
        <w:spacing w:after="0" w:line="240" w:lineRule="auto"/>
        <w:ind w:firstLine="720"/>
        <w:rPr>
          <w:sz w:val="20"/>
          <w:szCs w:val="20"/>
        </w:rPr>
      </w:pPr>
      <w:r w:rsidRPr="00107C65">
        <w:rPr>
          <w:sz w:val="20"/>
          <w:szCs w:val="20"/>
        </w:rPr>
        <w:t xml:space="preserve">*** </w:t>
      </w:r>
      <w:r w:rsidR="00DC54DE" w:rsidRPr="00107C65">
        <w:rPr>
          <w:sz w:val="20"/>
          <w:szCs w:val="20"/>
        </w:rPr>
        <w:t>Significant</w:t>
      </w:r>
      <w:r w:rsidRPr="00107C65">
        <w:rPr>
          <w:sz w:val="20"/>
          <w:szCs w:val="20"/>
        </w:rPr>
        <w:t xml:space="preserve"> at p &lt; 0,01</w:t>
      </w:r>
    </w:p>
    <w:p w:rsidR="00112437" w:rsidRPr="00107C65" w:rsidRDefault="00112437" w:rsidP="00112437">
      <w:pPr>
        <w:spacing w:after="0" w:line="240" w:lineRule="auto"/>
        <w:rPr>
          <w:sz w:val="20"/>
          <w:szCs w:val="20"/>
        </w:rPr>
      </w:pPr>
      <w:r w:rsidRPr="00107C65">
        <w:rPr>
          <w:sz w:val="20"/>
          <w:szCs w:val="20"/>
        </w:rPr>
        <w:tab/>
        <w:t xml:space="preserve">**   </w:t>
      </w:r>
      <w:r w:rsidR="00DC54DE" w:rsidRPr="00107C65">
        <w:rPr>
          <w:sz w:val="20"/>
          <w:szCs w:val="20"/>
        </w:rPr>
        <w:t>Significant</w:t>
      </w:r>
      <w:r w:rsidRPr="00107C65">
        <w:rPr>
          <w:sz w:val="20"/>
          <w:szCs w:val="20"/>
        </w:rPr>
        <w:t xml:space="preserve"> at p &lt; 0,05</w:t>
      </w:r>
    </w:p>
    <w:p w:rsidR="00112437" w:rsidRDefault="00112437" w:rsidP="00112437">
      <w:pPr>
        <w:spacing w:after="0" w:line="240" w:lineRule="auto"/>
        <w:rPr>
          <w:sz w:val="20"/>
          <w:szCs w:val="20"/>
        </w:rPr>
      </w:pPr>
      <w:r>
        <w:tab/>
      </w:r>
      <w:r w:rsidRPr="00107C65">
        <w:rPr>
          <w:sz w:val="20"/>
          <w:szCs w:val="20"/>
        </w:rPr>
        <w:t>*</w:t>
      </w:r>
      <w:r>
        <w:rPr>
          <w:sz w:val="20"/>
          <w:szCs w:val="20"/>
        </w:rPr>
        <w:t xml:space="preserve"> </w:t>
      </w:r>
      <w:r w:rsidRPr="00107C65">
        <w:rPr>
          <w:sz w:val="20"/>
          <w:szCs w:val="20"/>
        </w:rPr>
        <w:t xml:space="preserve">   </w:t>
      </w:r>
      <w:r>
        <w:rPr>
          <w:sz w:val="20"/>
          <w:szCs w:val="20"/>
        </w:rPr>
        <w:t xml:space="preserve"> </w:t>
      </w:r>
      <w:r w:rsidR="00DC54DE" w:rsidRPr="00107C65">
        <w:rPr>
          <w:sz w:val="20"/>
          <w:szCs w:val="20"/>
        </w:rPr>
        <w:t>Significant</w:t>
      </w:r>
      <w:r w:rsidRPr="00107C65">
        <w:rPr>
          <w:sz w:val="20"/>
          <w:szCs w:val="20"/>
        </w:rPr>
        <w:t xml:space="preserve"> at </w:t>
      </w:r>
      <w:r>
        <w:rPr>
          <w:sz w:val="20"/>
          <w:szCs w:val="20"/>
        </w:rPr>
        <w:t>p &lt; 0,1</w:t>
      </w:r>
    </w:p>
    <w:p w:rsidR="00112437" w:rsidRPr="00107C65" w:rsidRDefault="00112437" w:rsidP="00112437">
      <w:pPr>
        <w:spacing w:line="240" w:lineRule="auto"/>
        <w:rPr>
          <w:sz w:val="20"/>
          <w:szCs w:val="20"/>
        </w:rPr>
      </w:pPr>
    </w:p>
    <w:p w:rsidR="00631FDC" w:rsidRDefault="00631FDC" w:rsidP="00631FDC">
      <w:pPr>
        <w:spacing w:line="360" w:lineRule="auto"/>
      </w:pPr>
    </w:p>
    <w:p w:rsidR="00631FDC" w:rsidRDefault="00631FDC" w:rsidP="00631FDC">
      <w:pPr>
        <w:spacing w:line="360" w:lineRule="auto"/>
      </w:pPr>
    </w:p>
    <w:p w:rsidR="00631FDC" w:rsidRDefault="00A9143C" w:rsidP="001937E3">
      <w:pPr>
        <w:spacing w:line="360" w:lineRule="auto"/>
        <w:jc w:val="both"/>
      </w:pPr>
      <w:r>
        <w:lastRenderedPageBreak/>
        <w:t xml:space="preserve">Observed </w:t>
      </w:r>
      <w:r w:rsidR="00A860CD">
        <w:t xml:space="preserve">from </w:t>
      </w:r>
      <w:r>
        <w:t xml:space="preserve">the outcomes presented in </w:t>
      </w:r>
      <w:r w:rsidR="008516B2">
        <w:t>table 8</w:t>
      </w:r>
      <w:r w:rsidR="00DC54DE">
        <w:t>, evidence</w:t>
      </w:r>
      <w:r w:rsidR="00F40B6E">
        <w:t xml:space="preserve"> is </w:t>
      </w:r>
      <w:r w:rsidR="00631FDC">
        <w:t xml:space="preserve">found </w:t>
      </w:r>
      <w:r w:rsidR="00F40B6E">
        <w:t xml:space="preserve">for a </w:t>
      </w:r>
      <w:r w:rsidR="00DC54DE">
        <w:t>relation between</w:t>
      </w:r>
      <w:r w:rsidR="00F40B6E">
        <w:t xml:space="preserve"> </w:t>
      </w:r>
      <w:r w:rsidR="00631FDC">
        <w:t xml:space="preserve">CSR </w:t>
      </w:r>
      <w:r w:rsidR="00A860CD">
        <w:t xml:space="preserve">report level </w:t>
      </w:r>
      <w:r w:rsidR="00F40B6E">
        <w:t>and the</w:t>
      </w:r>
      <w:r w:rsidR="008516B2">
        <w:t xml:space="preserve"> reputation index </w:t>
      </w:r>
      <w:r>
        <w:t>of</w:t>
      </w:r>
      <w:r w:rsidR="00631FDC">
        <w:t xml:space="preserve"> 2007. This is in conformity with the agency theory, legitimacy theory and the stakeholder theory.</w:t>
      </w:r>
      <w:r>
        <w:t xml:space="preserve"> The level of the CSR report has an influence on the </w:t>
      </w:r>
      <w:r w:rsidR="00C86669">
        <w:t>reputation</w:t>
      </w:r>
      <w:r>
        <w:t xml:space="preserve">. When the CSR report is conform specific guidelines the stakeholders are provided </w:t>
      </w:r>
      <w:r w:rsidR="00DC54DE">
        <w:t>to</w:t>
      </w:r>
      <w:r>
        <w:t xml:space="preserve"> more reliable information. </w:t>
      </w:r>
      <w:r w:rsidR="00631FDC">
        <w:t>This decrease</w:t>
      </w:r>
      <w:r w:rsidR="00243AA0">
        <w:t>s</w:t>
      </w:r>
      <w:r w:rsidR="00631FDC">
        <w:t xml:space="preserve"> the agency problem and the information asymmetry, which is valued by the stakeh</w:t>
      </w:r>
      <w:r>
        <w:t xml:space="preserve">olders in an increase of the </w:t>
      </w:r>
      <w:r w:rsidR="00C86669">
        <w:t>reputation</w:t>
      </w:r>
      <w:r>
        <w:t>.</w:t>
      </w:r>
      <w:r w:rsidR="00B56BAF">
        <w:t xml:space="preserve"> </w:t>
      </w:r>
      <w:r>
        <w:t xml:space="preserve">The relation between CSR report level and </w:t>
      </w:r>
      <w:r w:rsidR="00C86669">
        <w:t>reputation</w:t>
      </w:r>
      <w:r>
        <w:t xml:space="preserve"> is also caused by the legitimacy theory. Due to a disclosure of a CSR report, the company achieves legitimacy of the public, this </w:t>
      </w:r>
      <w:r w:rsidR="00243AA0">
        <w:t>results</w:t>
      </w:r>
      <w:r>
        <w:t xml:space="preserve"> in an improvement of </w:t>
      </w:r>
      <w:r w:rsidR="00C86669">
        <w:t>reputation</w:t>
      </w:r>
      <w:r>
        <w:t>. The relation</w:t>
      </w:r>
      <w:r w:rsidR="00631FDC">
        <w:t xml:space="preserve"> between CSR </w:t>
      </w:r>
      <w:r>
        <w:t xml:space="preserve">report level and </w:t>
      </w:r>
      <w:r w:rsidR="00C86669">
        <w:t>reputation</w:t>
      </w:r>
      <w:r>
        <w:t xml:space="preserve"> </w:t>
      </w:r>
      <w:r w:rsidR="00631FDC">
        <w:t xml:space="preserve">is </w:t>
      </w:r>
      <w:r>
        <w:t>in conformity with t</w:t>
      </w:r>
      <w:r w:rsidR="00631FDC">
        <w:t xml:space="preserve">he stakeholder theory. The environmental and social related stakeholders of a company prefer a high CSR quality report. Management will </w:t>
      </w:r>
      <w:r w:rsidR="00243AA0">
        <w:t xml:space="preserve">react </w:t>
      </w:r>
      <w:r w:rsidR="00631FDC">
        <w:t xml:space="preserve">on this demand and an increase of the company’s </w:t>
      </w:r>
      <w:r w:rsidR="00C86669">
        <w:t>reputation</w:t>
      </w:r>
      <w:r w:rsidR="003C052F">
        <w:t xml:space="preserve"> </w:t>
      </w:r>
      <w:r w:rsidR="00631FDC">
        <w:t>follow</w:t>
      </w:r>
      <w:r w:rsidR="003C052F">
        <w:t>s</w:t>
      </w:r>
      <w:r w:rsidR="00631FDC">
        <w:t xml:space="preserve">. </w:t>
      </w:r>
    </w:p>
    <w:p w:rsidR="00631FDC" w:rsidRDefault="00631FDC" w:rsidP="001937E3">
      <w:pPr>
        <w:spacing w:line="360" w:lineRule="auto"/>
        <w:jc w:val="both"/>
      </w:pPr>
      <w:r>
        <w:t>From this table a connection between some of the</w:t>
      </w:r>
      <w:r w:rsidR="003C052F">
        <w:t xml:space="preserve"> specific CSR reporting levels and the </w:t>
      </w:r>
      <w:r w:rsidR="00C86669">
        <w:t>reputation</w:t>
      </w:r>
      <w:r w:rsidR="003C052F">
        <w:t xml:space="preserve"> is</w:t>
      </w:r>
      <w:r>
        <w:t xml:space="preserve"> observable. The A+ level has in 2006 and 2007 a signi</w:t>
      </w:r>
      <w:r w:rsidR="003C052F">
        <w:t xml:space="preserve">ficant relation with the </w:t>
      </w:r>
      <w:r w:rsidR="00C86669">
        <w:t>reputation</w:t>
      </w:r>
      <w:r>
        <w:t xml:space="preserve">. In 2005 </w:t>
      </w:r>
      <w:r w:rsidR="003C052F">
        <w:t xml:space="preserve">the C+ level </w:t>
      </w:r>
      <w:r w:rsidR="00243AA0">
        <w:t xml:space="preserve">also </w:t>
      </w:r>
      <w:r w:rsidR="003C052F">
        <w:t xml:space="preserve">has a relation with the </w:t>
      </w:r>
      <w:r w:rsidR="00C86669">
        <w:t>reputation</w:t>
      </w:r>
      <w:r>
        <w:t>. Besides the A+ level in 2007, the C and U</w:t>
      </w:r>
      <w:r w:rsidR="003C052F">
        <w:t xml:space="preserve"> level also have a significant relation on the </w:t>
      </w:r>
      <w:r w:rsidR="00C86669">
        <w:t>reputation</w:t>
      </w:r>
      <w:r>
        <w:t xml:space="preserve">. </w:t>
      </w:r>
    </w:p>
    <w:p w:rsidR="00631FDC" w:rsidRDefault="00DC54DE" w:rsidP="001937E3">
      <w:pPr>
        <w:spacing w:line="360" w:lineRule="auto"/>
        <w:jc w:val="both"/>
      </w:pPr>
      <w:r>
        <w:t>With the One Way A</w:t>
      </w:r>
      <w:r w:rsidR="00631FDC">
        <w:t>nova te</w:t>
      </w:r>
      <w:r w:rsidR="003C052F">
        <w:t>st is investigated that a relation</w:t>
      </w:r>
      <w:r w:rsidR="00631FDC">
        <w:t xml:space="preserve"> between region and</w:t>
      </w:r>
      <w:r w:rsidR="003C052F">
        <w:t xml:space="preserve"> </w:t>
      </w:r>
      <w:r w:rsidR="00C86669">
        <w:t>reputation</w:t>
      </w:r>
      <w:r w:rsidR="00631FDC">
        <w:t xml:space="preserve"> is observable in the years 200</w:t>
      </w:r>
      <w:r w:rsidR="003C052F">
        <w:t>5, 2006, 2008 and 2009. This confirms</w:t>
      </w:r>
      <w:r w:rsidR="00631FDC">
        <w:t xml:space="preserve"> different circu</w:t>
      </w:r>
      <w:r w:rsidR="003C052F">
        <w:t xml:space="preserve">mstances are influencing the </w:t>
      </w:r>
      <w:r w:rsidR="00C86669">
        <w:t>reputation</w:t>
      </w:r>
      <w:r w:rsidR="00631FDC">
        <w:t xml:space="preserve">. </w:t>
      </w:r>
      <w:r>
        <w:t>Circumstances are different among certain regions, and have</w:t>
      </w:r>
      <w:r w:rsidR="00631FDC">
        <w:t xml:space="preserve"> an influence on the</w:t>
      </w:r>
      <w:r w:rsidR="003C052F">
        <w:t xml:space="preserve"> </w:t>
      </w:r>
      <w:r w:rsidR="00C86669">
        <w:t>reputation</w:t>
      </w:r>
      <w:r w:rsidR="00243AA0">
        <w:t>,</w:t>
      </w:r>
      <w:r w:rsidR="003C052F">
        <w:t xml:space="preserve"> </w:t>
      </w:r>
      <w:r w:rsidR="00243AA0">
        <w:t>w</w:t>
      </w:r>
      <w:r w:rsidR="003C052F">
        <w:t>hen the relation</w:t>
      </w:r>
      <w:r w:rsidR="00631FDC">
        <w:t xml:space="preserve"> of</w:t>
      </w:r>
      <w:r w:rsidR="003C052F">
        <w:t xml:space="preserve"> the different regions on the </w:t>
      </w:r>
      <w:r w:rsidR="00C86669">
        <w:t>reputation</w:t>
      </w:r>
      <w:r w:rsidR="00631FDC">
        <w:t xml:space="preserve"> is taken into account. The outcomes show Asia has a significant connection in 2006, 2008 and 2009. For Europe a</w:t>
      </w:r>
      <w:r w:rsidR="003C052F">
        <w:t xml:space="preserve"> relation</w:t>
      </w:r>
      <w:r w:rsidR="00631FDC">
        <w:t xml:space="preserve"> is investigate</w:t>
      </w:r>
      <w:r w:rsidR="007A796C">
        <w:t>d in the years from 2005 till 2</w:t>
      </w:r>
      <w:r w:rsidR="00631FDC">
        <w:t>0</w:t>
      </w:r>
      <w:r w:rsidR="003C052F">
        <w:t>07. The relation</w:t>
      </w:r>
      <w:r w:rsidR="00631FDC">
        <w:t xml:space="preserve"> between Northern America and the </w:t>
      </w:r>
      <w:r w:rsidR="00C86669">
        <w:t>reputation</w:t>
      </w:r>
      <w:r w:rsidR="00631FDC">
        <w:t xml:space="preserve"> is significant for all y</w:t>
      </w:r>
      <w:r w:rsidR="003C052F">
        <w:t xml:space="preserve">ears except 2007. For Oceania too </w:t>
      </w:r>
      <w:r w:rsidR="00243AA0">
        <w:t xml:space="preserve">few </w:t>
      </w:r>
      <w:r w:rsidR="003C052F">
        <w:t xml:space="preserve">data was available to examine the relation with </w:t>
      </w:r>
      <w:r w:rsidR="00C86669">
        <w:t>reputation</w:t>
      </w:r>
      <w:r w:rsidR="003C052F">
        <w:t>.</w:t>
      </w:r>
    </w:p>
    <w:p w:rsidR="00631FDC" w:rsidRDefault="003C052F" w:rsidP="001937E3">
      <w:pPr>
        <w:spacing w:line="360" w:lineRule="auto"/>
        <w:jc w:val="both"/>
      </w:pPr>
      <w:r>
        <w:t>A relation</w:t>
      </w:r>
      <w:r w:rsidR="00631FDC">
        <w:t xml:space="preserve"> between industry and </w:t>
      </w:r>
      <w:r w:rsidR="00C86669">
        <w:t>reputation</w:t>
      </w:r>
      <w:r>
        <w:t xml:space="preserve"> </w:t>
      </w:r>
      <w:r w:rsidR="00631FDC">
        <w:t>is observable in 20</w:t>
      </w:r>
      <w:r>
        <w:t>0</w:t>
      </w:r>
      <w:r w:rsidR="00631FDC">
        <w:t>7 and 2009. This implies t</w:t>
      </w:r>
      <w:r>
        <w:t xml:space="preserve">he difference in industry has a relation with the </w:t>
      </w:r>
      <w:r w:rsidR="00C86669">
        <w:t>reputation</w:t>
      </w:r>
      <w:r w:rsidR="00631FDC">
        <w:t xml:space="preserve">. The oil &amp; gas industry has </w:t>
      </w:r>
      <w:r w:rsidR="00243AA0">
        <w:t xml:space="preserve">a relation with the reputation </w:t>
      </w:r>
      <w:r w:rsidR="00631FDC">
        <w:t>in 2008 and 2009. The basic materials and the telecommunications industries both</w:t>
      </w:r>
      <w:r w:rsidR="00243AA0">
        <w:t xml:space="preserve"> have</w:t>
      </w:r>
      <w:r w:rsidR="00631FDC">
        <w:t xml:space="preserve"> </w:t>
      </w:r>
      <w:r w:rsidR="00243AA0">
        <w:t xml:space="preserve">just </w:t>
      </w:r>
      <w:r w:rsidR="00631FDC">
        <w:t xml:space="preserve">in 2007 a </w:t>
      </w:r>
      <w:r>
        <w:t xml:space="preserve">relation with </w:t>
      </w:r>
      <w:r w:rsidR="00C86669">
        <w:t>reputation</w:t>
      </w:r>
      <w:r w:rsidR="00631FDC">
        <w:t>. Industrials only</w:t>
      </w:r>
      <w:r w:rsidR="00243AA0">
        <w:t xml:space="preserve"> have</w:t>
      </w:r>
      <w:r w:rsidR="00631FDC">
        <w:t xml:space="preserve"> a connection with</w:t>
      </w:r>
      <w:r>
        <w:t xml:space="preserve"> </w:t>
      </w:r>
      <w:r w:rsidR="00C86669">
        <w:t>reputation</w:t>
      </w:r>
      <w:r w:rsidR="00243AA0">
        <w:t xml:space="preserve"> in 2006</w:t>
      </w:r>
      <w:r w:rsidR="00631FDC">
        <w:t>. Consumer services ha</w:t>
      </w:r>
      <w:r w:rsidR="00243AA0">
        <w:t>ve</w:t>
      </w:r>
      <w:r w:rsidR="00631FDC">
        <w:t xml:space="preserve"> a </w:t>
      </w:r>
      <w:r>
        <w:t xml:space="preserve">relation with </w:t>
      </w:r>
      <w:r w:rsidR="00C86669">
        <w:t>reputation</w:t>
      </w:r>
      <w:r>
        <w:t xml:space="preserve"> in </w:t>
      </w:r>
      <w:r w:rsidR="00631FDC">
        <w:t xml:space="preserve">the year 2009. A </w:t>
      </w:r>
      <w:r>
        <w:t xml:space="preserve">relation </w:t>
      </w:r>
      <w:r w:rsidR="00631FDC">
        <w:t xml:space="preserve">between the financial industry and </w:t>
      </w:r>
      <w:r w:rsidR="00C86669">
        <w:t>reputation</w:t>
      </w:r>
      <w:r w:rsidR="00631FDC">
        <w:t xml:space="preserve"> is observable in the years 2005 and 2009. For technology the </w:t>
      </w:r>
      <w:r>
        <w:t>relation</w:t>
      </w:r>
      <w:r w:rsidR="00631FDC">
        <w:t xml:space="preserve"> with the </w:t>
      </w:r>
      <w:r w:rsidR="00C86669">
        <w:t>reputation</w:t>
      </w:r>
      <w:r w:rsidR="00631FDC">
        <w:t xml:space="preserve"> is investigated in the years 2005, 2007 and 2009</w:t>
      </w:r>
      <w:r w:rsidR="008516B2">
        <w:t>. The</w:t>
      </w:r>
      <w:r w:rsidR="00631FDC">
        <w:t xml:space="preserve"> industries consumer goods, health care and utilities </w:t>
      </w:r>
      <w:r w:rsidR="008516B2">
        <w:t xml:space="preserve">have no relation with </w:t>
      </w:r>
      <w:r w:rsidR="00C86669">
        <w:t>reputation</w:t>
      </w:r>
      <w:r w:rsidR="008516B2">
        <w:t xml:space="preserve">. </w:t>
      </w:r>
    </w:p>
    <w:p w:rsidR="00631FDC" w:rsidRDefault="00631FDC" w:rsidP="001937E3">
      <w:pPr>
        <w:pStyle w:val="Heading3"/>
        <w:spacing w:line="360" w:lineRule="auto"/>
        <w:jc w:val="both"/>
        <w:rPr>
          <w:color w:val="auto"/>
        </w:rPr>
      </w:pPr>
      <w:bookmarkStart w:id="60" w:name="_Toc299353402"/>
      <w:r>
        <w:rPr>
          <w:color w:val="auto"/>
        </w:rPr>
        <w:lastRenderedPageBreak/>
        <w:t>6</w:t>
      </w:r>
      <w:r w:rsidRPr="00C26C0B">
        <w:rPr>
          <w:color w:val="auto"/>
        </w:rPr>
        <w:t>.2.2 Regression</w:t>
      </w:r>
      <w:bookmarkEnd w:id="60"/>
    </w:p>
    <w:p w:rsidR="009A2B49" w:rsidRDefault="00222DB1" w:rsidP="001937E3">
      <w:pPr>
        <w:spacing w:line="360" w:lineRule="auto"/>
        <w:jc w:val="both"/>
      </w:pPr>
      <w:r>
        <w:t>The regression results are based on the developed methodology of chapter 5. The regression analysis is provided by testing the basic and extensive model</w:t>
      </w:r>
      <w:r w:rsidR="007A796C">
        <w:t xml:space="preserve">. In the extensive model all control variables are included. In the basic model only the CSR report level is used as independent variable to predict </w:t>
      </w:r>
      <w:r w:rsidR="00C86669">
        <w:t>reputation</w:t>
      </w:r>
      <w:r w:rsidR="007A796C">
        <w:t>. To test the sub hypotheses, the represented control variables should be implemented in the basic model. By including the control variables in the basic model</w:t>
      </w:r>
      <w:r w:rsidR="005C6A29">
        <w:t xml:space="preserve"> the influence of </w:t>
      </w:r>
      <w:r w:rsidR="007A796C">
        <w:t xml:space="preserve">the control variables on the relationship between CSR report level and </w:t>
      </w:r>
      <w:r w:rsidR="00C86669">
        <w:t>reputation</w:t>
      </w:r>
      <w:r w:rsidR="005C6A29">
        <w:t xml:space="preserve"> is tested</w:t>
      </w:r>
      <w:r w:rsidR="007A796C">
        <w:t xml:space="preserve">. In the extensive model all control variables are included, in this model is tested if </w:t>
      </w:r>
      <w:r w:rsidR="009A2B49">
        <w:t xml:space="preserve">all variables have an impact. </w:t>
      </w:r>
      <w:r w:rsidR="005C6A29">
        <w:t xml:space="preserve">If in the basic model </w:t>
      </w:r>
      <w:r w:rsidR="00DC54DE">
        <w:t>an</w:t>
      </w:r>
      <w:r w:rsidR="005C6A29">
        <w:t xml:space="preserve"> influence of the </w:t>
      </w:r>
      <w:r w:rsidR="00DC54DE">
        <w:t>control</w:t>
      </w:r>
      <w:r w:rsidR="005C6A29">
        <w:t xml:space="preserve"> variable on the relationship is proved, this relation is also proved in de extensive model.</w:t>
      </w:r>
    </w:p>
    <w:p w:rsidR="009A2B49" w:rsidRDefault="009A2B49" w:rsidP="001937E3">
      <w:pPr>
        <w:spacing w:line="360" w:lineRule="auto"/>
        <w:jc w:val="both"/>
      </w:pPr>
      <w:r>
        <w:t xml:space="preserve">First, the outcomes of method 1 are described. This method takes the general influence of the qualitative variables into consideration. The second method takes the influence of the different categories inside the qualitative variables into considerations. The second method is discussed after the first method. </w:t>
      </w:r>
    </w:p>
    <w:p w:rsidR="00631FDC" w:rsidRPr="009B21AC" w:rsidRDefault="00631FDC" w:rsidP="001937E3">
      <w:pPr>
        <w:spacing w:line="360" w:lineRule="auto"/>
        <w:jc w:val="both"/>
        <w:rPr>
          <w:i/>
        </w:rPr>
      </w:pPr>
      <w:r>
        <w:rPr>
          <w:i/>
        </w:rPr>
        <w:t>Method 1</w:t>
      </w:r>
    </w:p>
    <w:p w:rsidR="00631FDC" w:rsidRDefault="00631FDC" w:rsidP="001937E3">
      <w:pPr>
        <w:spacing w:line="360" w:lineRule="auto"/>
        <w:jc w:val="both"/>
      </w:pPr>
      <w:r>
        <w:t>The first regression results are show</w:t>
      </w:r>
      <w:r w:rsidR="00FE1C59">
        <w:t>n</w:t>
      </w:r>
      <w:r>
        <w:t xml:space="preserve"> in table </w:t>
      </w:r>
      <w:r w:rsidR="00222DB1">
        <w:t>9</w:t>
      </w:r>
      <w:r>
        <w:t xml:space="preserve">.  In this regression the influences </w:t>
      </w:r>
      <w:r w:rsidR="00DC54DE">
        <w:t>of variables</w:t>
      </w:r>
      <w:r>
        <w:t xml:space="preserve"> on the </w:t>
      </w:r>
      <w:r w:rsidR="00C86669">
        <w:t>reputation</w:t>
      </w:r>
      <w:r w:rsidR="009A2B49">
        <w:t xml:space="preserve"> is </w:t>
      </w:r>
      <w:r w:rsidR="00FE1C59">
        <w:t>shown</w:t>
      </w:r>
      <w:r w:rsidR="009A2B49">
        <w:t xml:space="preserve">. </w:t>
      </w:r>
      <w:r>
        <w:t>For t</w:t>
      </w:r>
      <w:r w:rsidR="009A2B49">
        <w:t>he qualitative variables</w:t>
      </w:r>
      <w:r w:rsidR="00FE1C59">
        <w:t>:</w:t>
      </w:r>
      <w:r w:rsidR="009A2B49">
        <w:t xml:space="preserve"> CSR report level</w:t>
      </w:r>
      <w:r>
        <w:t>, region and industry in this regression</w:t>
      </w:r>
      <w:r w:rsidR="00FE1C59">
        <w:t>,</w:t>
      </w:r>
      <w:r>
        <w:t xml:space="preserve"> no separation has been made on the different categories inside the qualitative variables. This impli</w:t>
      </w:r>
      <w:r w:rsidR="009A2B49">
        <w:t>es that only the influence of</w:t>
      </w:r>
      <w:r>
        <w:t xml:space="preserve"> CSR </w:t>
      </w:r>
      <w:r w:rsidR="009A2B49">
        <w:t xml:space="preserve">report level, region and </w:t>
      </w:r>
      <w:r>
        <w:t xml:space="preserve">industry are tested. </w:t>
      </w:r>
      <w:r w:rsidR="00FE1C59">
        <w:t>In</w:t>
      </w:r>
      <w:r>
        <w:t xml:space="preserve"> this developed regression no statements can be made </w:t>
      </w:r>
      <w:r w:rsidR="00FE1C59">
        <w:t xml:space="preserve">on </w:t>
      </w:r>
      <w:r w:rsidR="009A2B49">
        <w:t>the influence of one specific CSR report</w:t>
      </w:r>
      <w:r>
        <w:t xml:space="preserve"> level, region or industry. </w:t>
      </w:r>
    </w:p>
    <w:p w:rsidR="00631FDC" w:rsidRDefault="00631FDC" w:rsidP="001937E3">
      <w:pPr>
        <w:spacing w:line="360" w:lineRule="auto"/>
        <w:jc w:val="both"/>
      </w:pPr>
    </w:p>
    <w:p w:rsidR="00631FDC" w:rsidRDefault="00631FDC" w:rsidP="001937E3">
      <w:pPr>
        <w:spacing w:line="360" w:lineRule="auto"/>
        <w:jc w:val="both"/>
      </w:pPr>
    </w:p>
    <w:p w:rsidR="009A2B49" w:rsidRDefault="009A2B49" w:rsidP="001937E3">
      <w:pPr>
        <w:spacing w:line="360" w:lineRule="auto"/>
        <w:jc w:val="both"/>
      </w:pPr>
    </w:p>
    <w:p w:rsidR="00631FDC" w:rsidRDefault="00631FDC" w:rsidP="001937E3">
      <w:pPr>
        <w:spacing w:line="360" w:lineRule="auto"/>
        <w:jc w:val="both"/>
      </w:pPr>
    </w:p>
    <w:p w:rsidR="00631FDC" w:rsidRDefault="00631FDC" w:rsidP="001937E3">
      <w:pPr>
        <w:spacing w:line="360" w:lineRule="auto"/>
        <w:jc w:val="both"/>
      </w:pPr>
    </w:p>
    <w:p w:rsidR="00631FDC" w:rsidRDefault="00631FDC" w:rsidP="001937E3">
      <w:pPr>
        <w:spacing w:line="360" w:lineRule="auto"/>
        <w:jc w:val="both"/>
      </w:pPr>
    </w:p>
    <w:p w:rsidR="00631FDC" w:rsidRPr="0042297C" w:rsidRDefault="00DC54DE" w:rsidP="00631FDC">
      <w:pPr>
        <w:spacing w:line="240" w:lineRule="auto"/>
        <w:rPr>
          <w:sz w:val="18"/>
          <w:szCs w:val="18"/>
        </w:rPr>
      </w:pPr>
      <w:r>
        <w:rPr>
          <w:sz w:val="18"/>
          <w:szCs w:val="18"/>
        </w:rPr>
        <w:lastRenderedPageBreak/>
        <w:t>Table 9</w:t>
      </w:r>
      <w:r w:rsidR="00631FDC">
        <w:rPr>
          <w:sz w:val="18"/>
          <w:szCs w:val="18"/>
        </w:rPr>
        <w:t>: Regression results (dependent variable</w:t>
      </w:r>
      <w:r w:rsidR="009A2B49">
        <w:rPr>
          <w:sz w:val="18"/>
          <w:szCs w:val="18"/>
        </w:rPr>
        <w:t xml:space="preserve">: </w:t>
      </w:r>
      <w:r w:rsidR="00C86669">
        <w:rPr>
          <w:sz w:val="18"/>
          <w:szCs w:val="18"/>
        </w:rPr>
        <w:t>reputation</w:t>
      </w:r>
      <w:r w:rsidR="00631FDC">
        <w:rPr>
          <w:sz w:val="18"/>
          <w:szCs w:val="18"/>
        </w:rPr>
        <w:t>)</w:t>
      </w:r>
    </w:p>
    <w:tbl>
      <w:tblPr>
        <w:tblW w:w="8220" w:type="dxa"/>
        <w:tblInd w:w="55" w:type="dxa"/>
        <w:tblCellMar>
          <w:left w:w="70" w:type="dxa"/>
          <w:right w:w="70" w:type="dxa"/>
        </w:tblCellMar>
        <w:tblLook w:val="04A0"/>
      </w:tblPr>
      <w:tblGrid>
        <w:gridCol w:w="1820"/>
        <w:gridCol w:w="1280"/>
        <w:gridCol w:w="1280"/>
        <w:gridCol w:w="1280"/>
        <w:gridCol w:w="1280"/>
        <w:gridCol w:w="1280"/>
      </w:tblGrid>
      <w:tr w:rsidR="00112437" w:rsidRPr="00112437" w:rsidTr="00112437">
        <w:trPr>
          <w:trHeight w:val="300"/>
        </w:trPr>
        <w:tc>
          <w:tcPr>
            <w:tcW w:w="1820" w:type="dxa"/>
            <w:tcBorders>
              <w:top w:val="nil"/>
              <w:left w:val="nil"/>
              <w:bottom w:val="single" w:sz="4" w:space="0" w:color="auto"/>
              <w:right w:val="single" w:sz="4" w:space="0" w:color="auto"/>
            </w:tcBorders>
            <w:shd w:val="clear" w:color="auto" w:fill="auto"/>
            <w:noWrap/>
            <w:vAlign w:val="bottom"/>
            <w:hideMark/>
          </w:tcPr>
          <w:p w:rsidR="00112437" w:rsidRPr="00730E84" w:rsidRDefault="00112437" w:rsidP="00112437">
            <w:pPr>
              <w:spacing w:after="0" w:line="240" w:lineRule="auto"/>
              <w:rPr>
                <w:rFonts w:ascii="Calibri" w:eastAsia="Times New Roman" w:hAnsi="Calibri" w:cs="Times New Roman"/>
                <w:color w:val="000000"/>
                <w:lang w:eastAsia="nl-NL"/>
              </w:rPr>
            </w:pPr>
            <w:r w:rsidRPr="00730E84">
              <w:rPr>
                <w:rFonts w:ascii="Calibri" w:eastAsia="Times New Roman" w:hAnsi="Calibri" w:cs="Times New Roman"/>
                <w:color w:val="000000"/>
                <w:lang w:eastAsia="nl-NL"/>
              </w:rPr>
              <w:t> </w:t>
            </w:r>
          </w:p>
        </w:tc>
        <w:tc>
          <w:tcPr>
            <w:tcW w:w="1280" w:type="dxa"/>
            <w:tcBorders>
              <w:top w:val="nil"/>
              <w:left w:val="nil"/>
              <w:bottom w:val="single" w:sz="4" w:space="0" w:color="auto"/>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2005</w:t>
            </w:r>
          </w:p>
        </w:tc>
        <w:tc>
          <w:tcPr>
            <w:tcW w:w="1280" w:type="dxa"/>
            <w:tcBorders>
              <w:top w:val="nil"/>
              <w:left w:val="nil"/>
              <w:bottom w:val="single" w:sz="4" w:space="0" w:color="auto"/>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2006</w:t>
            </w:r>
          </w:p>
        </w:tc>
        <w:tc>
          <w:tcPr>
            <w:tcW w:w="1280" w:type="dxa"/>
            <w:tcBorders>
              <w:top w:val="nil"/>
              <w:left w:val="nil"/>
              <w:bottom w:val="single" w:sz="4" w:space="0" w:color="auto"/>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2007</w:t>
            </w:r>
          </w:p>
        </w:tc>
        <w:tc>
          <w:tcPr>
            <w:tcW w:w="1280" w:type="dxa"/>
            <w:tcBorders>
              <w:top w:val="nil"/>
              <w:left w:val="nil"/>
              <w:bottom w:val="single" w:sz="4" w:space="0" w:color="auto"/>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2008</w:t>
            </w:r>
          </w:p>
        </w:tc>
        <w:tc>
          <w:tcPr>
            <w:tcW w:w="1280" w:type="dxa"/>
            <w:tcBorders>
              <w:top w:val="nil"/>
              <w:left w:val="nil"/>
              <w:bottom w:val="single" w:sz="4" w:space="0" w:color="auto"/>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2009</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Constant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3,114</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4,332</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4,020</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3,392</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3,628</w:t>
            </w:r>
            <w:r>
              <w:rPr>
                <w:rFonts w:ascii="Calibri" w:eastAsia="Times New Roman" w:hAnsi="Calibri" w:cs="Times New Roman"/>
                <w:color w:val="000000"/>
                <w:lang w:val="nl-NL" w:eastAsia="nl-NL"/>
              </w:rPr>
              <w:t>***</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 xml:space="preserve">CSR </w:t>
            </w:r>
            <w:r>
              <w:rPr>
                <w:rFonts w:ascii="Calibri" w:eastAsia="Times New Roman" w:hAnsi="Calibri" w:cs="Times New Roman"/>
                <w:b/>
                <w:bCs/>
                <w:color w:val="000000"/>
                <w:lang w:val="nl-NL" w:eastAsia="nl-NL"/>
              </w:rPr>
              <w:t>Report Level</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0,018</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0,037</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0,058</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0,040</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-0,029</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proofErr w:type="spellStart"/>
            <w:r w:rsidRPr="00112437">
              <w:rPr>
                <w:rFonts w:ascii="Calibri" w:eastAsia="Times New Roman" w:hAnsi="Calibri" w:cs="Times New Roman"/>
                <w:b/>
                <w:bCs/>
                <w:color w:val="000000"/>
                <w:lang w:val="nl-NL" w:eastAsia="nl-NL"/>
              </w:rPr>
              <w:t>Size</w:t>
            </w:r>
            <w:proofErr w:type="spellEnd"/>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0,556</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0,215</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0,397</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0,357</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0,389</w:t>
            </w:r>
            <w:r>
              <w:rPr>
                <w:rFonts w:ascii="Calibri" w:eastAsia="Times New Roman" w:hAnsi="Calibri" w:cs="Times New Roman"/>
                <w:color w:val="000000"/>
                <w:lang w:val="nl-NL" w:eastAsia="nl-NL"/>
              </w:rPr>
              <w:t>**</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Fin. Performances</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0,051</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0,024</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0,015</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0,047</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0,037</w:t>
            </w:r>
            <w:r>
              <w:rPr>
                <w:rFonts w:ascii="Calibri" w:eastAsia="Times New Roman" w:hAnsi="Calibri" w:cs="Times New Roman"/>
                <w:color w:val="000000"/>
                <w:lang w:val="nl-NL" w:eastAsia="nl-NL"/>
              </w:rPr>
              <w:t>***</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 xml:space="preserve">SG&amp;A to </w:t>
            </w:r>
            <w:proofErr w:type="spellStart"/>
            <w:r w:rsidRPr="00112437">
              <w:rPr>
                <w:rFonts w:ascii="Calibri" w:eastAsia="Times New Roman" w:hAnsi="Calibri" w:cs="Times New Roman"/>
                <w:b/>
                <w:bCs/>
                <w:color w:val="000000"/>
                <w:lang w:val="nl-NL" w:eastAsia="nl-NL"/>
              </w:rPr>
              <w:t>Sales</w:t>
            </w:r>
            <w:proofErr w:type="spellEnd"/>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-0,181</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-0,331</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-0,356</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-0,160</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-0,176</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proofErr w:type="spellStart"/>
            <w:r w:rsidRPr="00112437">
              <w:rPr>
                <w:rFonts w:ascii="Calibri" w:eastAsia="Times New Roman" w:hAnsi="Calibri" w:cs="Times New Roman"/>
                <w:b/>
                <w:bCs/>
                <w:color w:val="000000"/>
                <w:lang w:val="nl-NL" w:eastAsia="nl-NL"/>
              </w:rPr>
              <w:t>Region</w:t>
            </w:r>
            <w:proofErr w:type="spellEnd"/>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0,167</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0,324</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0,160</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0,298</w:t>
            </w:r>
            <w:r>
              <w:rPr>
                <w:rFonts w:ascii="Calibri" w:eastAsia="Times New Roman" w:hAnsi="Calibri" w:cs="Times New Roman"/>
                <w:color w:val="000000"/>
                <w:lang w:val="nl-NL" w:eastAsia="nl-NL"/>
              </w:rPr>
              <w:t>***</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0,235</w:t>
            </w:r>
            <w:r>
              <w:rPr>
                <w:rFonts w:ascii="Calibri" w:eastAsia="Times New Roman" w:hAnsi="Calibri" w:cs="Times New Roman"/>
                <w:color w:val="000000"/>
                <w:lang w:val="nl-NL" w:eastAsia="nl-NL"/>
              </w:rPr>
              <w:t>***</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proofErr w:type="spellStart"/>
            <w:r w:rsidRPr="00112437">
              <w:rPr>
                <w:rFonts w:ascii="Calibri" w:eastAsia="Times New Roman" w:hAnsi="Calibri" w:cs="Times New Roman"/>
                <w:b/>
                <w:bCs/>
                <w:color w:val="000000"/>
                <w:lang w:val="nl-NL" w:eastAsia="nl-NL"/>
              </w:rPr>
              <w:t>Industry</w:t>
            </w:r>
            <w:proofErr w:type="spellEnd"/>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0,022</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0,021</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0,070</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0,000</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0,021</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 </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Anova</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0,012</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0,001</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0,012</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0,000</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0,000</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R square</w:t>
            </w:r>
            <w:r w:rsidR="00DC54DE">
              <w:rPr>
                <w:rFonts w:ascii="Calibri" w:eastAsia="Times New Roman" w:hAnsi="Calibri" w:cs="Times New Roman"/>
                <w:b/>
                <w:bCs/>
                <w:color w:val="000000"/>
                <w:lang w:val="nl-NL" w:eastAsia="nl-NL"/>
              </w:rPr>
              <w:t>d</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0,245</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0,256</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0,137</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0,359</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0,226</w:t>
            </w:r>
          </w:p>
        </w:tc>
      </w:tr>
      <w:tr w:rsidR="00112437" w:rsidRPr="00112437" w:rsidTr="00112437">
        <w:trPr>
          <w:trHeight w:val="300"/>
        </w:trPr>
        <w:tc>
          <w:tcPr>
            <w:tcW w:w="1820" w:type="dxa"/>
            <w:tcBorders>
              <w:top w:val="nil"/>
              <w:left w:val="nil"/>
              <w:bottom w:val="nil"/>
              <w:right w:val="single" w:sz="4" w:space="0" w:color="auto"/>
            </w:tcBorders>
            <w:shd w:val="clear" w:color="auto" w:fill="auto"/>
            <w:noWrap/>
            <w:vAlign w:val="bottom"/>
            <w:hideMark/>
          </w:tcPr>
          <w:p w:rsidR="00112437" w:rsidRPr="00112437" w:rsidRDefault="00112437" w:rsidP="00112437">
            <w:pPr>
              <w:spacing w:after="0" w:line="240" w:lineRule="auto"/>
              <w:jc w:val="right"/>
              <w:rPr>
                <w:rFonts w:ascii="Calibri" w:eastAsia="Times New Roman" w:hAnsi="Calibri" w:cs="Times New Roman"/>
                <w:b/>
                <w:bCs/>
                <w:color w:val="000000"/>
                <w:lang w:val="nl-NL" w:eastAsia="nl-NL"/>
              </w:rPr>
            </w:pPr>
            <w:r w:rsidRPr="00112437">
              <w:rPr>
                <w:rFonts w:ascii="Calibri" w:eastAsia="Times New Roman" w:hAnsi="Calibri" w:cs="Times New Roman"/>
                <w:b/>
                <w:bCs/>
                <w:color w:val="000000"/>
                <w:lang w:val="nl-NL" w:eastAsia="nl-NL"/>
              </w:rPr>
              <w:t>VIF</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1,211</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1,254</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1,169</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1,133</w:t>
            </w:r>
          </w:p>
        </w:tc>
        <w:tc>
          <w:tcPr>
            <w:tcW w:w="1280" w:type="dxa"/>
            <w:tcBorders>
              <w:top w:val="nil"/>
              <w:left w:val="nil"/>
              <w:bottom w:val="nil"/>
              <w:right w:val="nil"/>
            </w:tcBorders>
            <w:shd w:val="clear" w:color="auto" w:fill="auto"/>
            <w:noWrap/>
            <w:vAlign w:val="bottom"/>
            <w:hideMark/>
          </w:tcPr>
          <w:p w:rsidR="00112437" w:rsidRPr="00112437" w:rsidRDefault="00112437" w:rsidP="00112437">
            <w:pPr>
              <w:spacing w:after="0" w:line="240" w:lineRule="auto"/>
              <w:rPr>
                <w:rFonts w:ascii="Calibri" w:eastAsia="Times New Roman" w:hAnsi="Calibri" w:cs="Times New Roman"/>
                <w:color w:val="000000"/>
                <w:lang w:val="nl-NL" w:eastAsia="nl-NL"/>
              </w:rPr>
            </w:pPr>
            <w:r w:rsidRPr="00112437">
              <w:rPr>
                <w:rFonts w:ascii="Calibri" w:eastAsia="Times New Roman" w:hAnsi="Calibri" w:cs="Times New Roman"/>
                <w:color w:val="000000"/>
                <w:lang w:val="nl-NL" w:eastAsia="nl-NL"/>
              </w:rPr>
              <w:t>1,172</w:t>
            </w:r>
          </w:p>
        </w:tc>
      </w:tr>
    </w:tbl>
    <w:p w:rsidR="00112437" w:rsidRDefault="00112437" w:rsidP="00112437">
      <w:pPr>
        <w:spacing w:after="0" w:line="240" w:lineRule="auto"/>
        <w:ind w:firstLine="720"/>
        <w:rPr>
          <w:sz w:val="20"/>
          <w:szCs w:val="20"/>
        </w:rPr>
      </w:pPr>
    </w:p>
    <w:p w:rsidR="00112437" w:rsidRPr="00107C65" w:rsidRDefault="00112437" w:rsidP="00112437">
      <w:pPr>
        <w:spacing w:after="0" w:line="240" w:lineRule="auto"/>
        <w:ind w:firstLine="720"/>
        <w:rPr>
          <w:sz w:val="20"/>
          <w:szCs w:val="20"/>
        </w:rPr>
      </w:pPr>
      <w:r w:rsidRPr="00107C65">
        <w:rPr>
          <w:sz w:val="20"/>
          <w:szCs w:val="20"/>
        </w:rPr>
        <w:t xml:space="preserve">*** </w:t>
      </w:r>
      <w:r w:rsidR="00DC54DE" w:rsidRPr="00107C65">
        <w:rPr>
          <w:sz w:val="20"/>
          <w:szCs w:val="20"/>
        </w:rPr>
        <w:t>Significant</w:t>
      </w:r>
      <w:r w:rsidRPr="00107C65">
        <w:rPr>
          <w:sz w:val="20"/>
          <w:szCs w:val="20"/>
        </w:rPr>
        <w:t xml:space="preserve"> at p &lt; 0,01</w:t>
      </w:r>
    </w:p>
    <w:p w:rsidR="00112437" w:rsidRPr="00107C65" w:rsidRDefault="00112437" w:rsidP="00112437">
      <w:pPr>
        <w:spacing w:after="0" w:line="240" w:lineRule="auto"/>
        <w:rPr>
          <w:sz w:val="20"/>
          <w:szCs w:val="20"/>
        </w:rPr>
      </w:pPr>
      <w:r w:rsidRPr="00107C65">
        <w:rPr>
          <w:sz w:val="20"/>
          <w:szCs w:val="20"/>
        </w:rPr>
        <w:tab/>
        <w:t xml:space="preserve">**   </w:t>
      </w:r>
      <w:r w:rsidR="00DC54DE" w:rsidRPr="00107C65">
        <w:rPr>
          <w:sz w:val="20"/>
          <w:szCs w:val="20"/>
        </w:rPr>
        <w:t>Significant</w:t>
      </w:r>
      <w:r w:rsidRPr="00107C65">
        <w:rPr>
          <w:sz w:val="20"/>
          <w:szCs w:val="20"/>
        </w:rPr>
        <w:t xml:space="preserve"> at p &lt; 0,05</w:t>
      </w:r>
    </w:p>
    <w:p w:rsidR="00112437" w:rsidRDefault="00112437" w:rsidP="00112437">
      <w:pPr>
        <w:spacing w:after="0" w:line="240" w:lineRule="auto"/>
        <w:rPr>
          <w:sz w:val="20"/>
          <w:szCs w:val="20"/>
        </w:rPr>
      </w:pPr>
      <w:r>
        <w:tab/>
      </w:r>
      <w:r w:rsidRPr="00107C65">
        <w:rPr>
          <w:sz w:val="20"/>
          <w:szCs w:val="20"/>
        </w:rPr>
        <w:t>*</w:t>
      </w:r>
      <w:r>
        <w:rPr>
          <w:sz w:val="20"/>
          <w:szCs w:val="20"/>
        </w:rPr>
        <w:t xml:space="preserve"> </w:t>
      </w:r>
      <w:r w:rsidRPr="00107C65">
        <w:rPr>
          <w:sz w:val="20"/>
          <w:szCs w:val="20"/>
        </w:rPr>
        <w:t xml:space="preserve">   </w:t>
      </w:r>
      <w:r>
        <w:rPr>
          <w:sz w:val="20"/>
          <w:szCs w:val="20"/>
        </w:rPr>
        <w:t xml:space="preserve"> </w:t>
      </w:r>
      <w:r w:rsidR="00DC54DE" w:rsidRPr="00107C65">
        <w:rPr>
          <w:sz w:val="20"/>
          <w:szCs w:val="20"/>
        </w:rPr>
        <w:t>Significant</w:t>
      </w:r>
      <w:r w:rsidRPr="00107C65">
        <w:rPr>
          <w:sz w:val="20"/>
          <w:szCs w:val="20"/>
        </w:rPr>
        <w:t xml:space="preserve"> at </w:t>
      </w:r>
      <w:r>
        <w:rPr>
          <w:sz w:val="20"/>
          <w:szCs w:val="20"/>
        </w:rPr>
        <w:t>p &lt; 0,1</w:t>
      </w:r>
    </w:p>
    <w:p w:rsidR="00112437" w:rsidRDefault="00112437" w:rsidP="00112437">
      <w:pPr>
        <w:spacing w:line="240" w:lineRule="auto"/>
        <w:rPr>
          <w:sz w:val="20"/>
          <w:szCs w:val="20"/>
        </w:rPr>
      </w:pPr>
    </w:p>
    <w:p w:rsidR="00B65605" w:rsidRPr="00107C65" w:rsidRDefault="00B65605" w:rsidP="00112437">
      <w:pPr>
        <w:spacing w:line="240" w:lineRule="auto"/>
        <w:rPr>
          <w:sz w:val="20"/>
          <w:szCs w:val="20"/>
        </w:rPr>
      </w:pPr>
    </w:p>
    <w:p w:rsidR="00631FDC" w:rsidRDefault="00631FDC" w:rsidP="001937E3">
      <w:pPr>
        <w:spacing w:line="360" w:lineRule="auto"/>
        <w:jc w:val="both"/>
      </w:pPr>
      <w:r>
        <w:t xml:space="preserve">To examine if a variable has influence on the reputation, the p-value should be less than the significant value of 10%. When the beta (coefficient) has a negative value, the variable has a negative value on the </w:t>
      </w:r>
      <w:r w:rsidR="00C86669">
        <w:t>reputation</w:t>
      </w:r>
      <w:r>
        <w:t xml:space="preserve"> and a positive value of beta investigate</w:t>
      </w:r>
      <w:r w:rsidR="00FB4200">
        <w:t>s</w:t>
      </w:r>
      <w:r>
        <w:t xml:space="preserve"> a positive influence. The anova value of each year is below the significant level. This </w:t>
      </w:r>
      <w:r w:rsidR="00FB4200">
        <w:t xml:space="preserve">proves </w:t>
      </w:r>
      <w:r>
        <w:t xml:space="preserve">the regression model measures the dependent variable in a good way. The anova value is a score for the </w:t>
      </w:r>
      <w:r w:rsidR="007C1050">
        <w:t>entire</w:t>
      </w:r>
      <w:r>
        <w:t xml:space="preserve"> model, not for the prediction value of one variable. The R square</w:t>
      </w:r>
      <w:r w:rsidR="00FB4200">
        <w:t>d</w:t>
      </w:r>
      <w:r>
        <w:t xml:space="preserve"> value represent</w:t>
      </w:r>
      <w:r w:rsidR="00FB4200">
        <w:t>s</w:t>
      </w:r>
      <w:r>
        <w:t xml:space="preserve"> the variance in the reputation index which can be explained by the selected variables. In this model the value varies from 0,137 (2007) till 0,359 (2008). The</w:t>
      </w:r>
      <w:r w:rsidR="009A2B49">
        <w:t xml:space="preserve"> R squared values are relative</w:t>
      </w:r>
      <w:r w:rsidR="00FB4200">
        <w:t>ly</w:t>
      </w:r>
      <w:r w:rsidR="009A2B49">
        <w:t xml:space="preserve"> </w:t>
      </w:r>
      <w:r w:rsidR="00DC54DE">
        <w:t>high,</w:t>
      </w:r>
      <w:r w:rsidR="009A2B49">
        <w:t xml:space="preserve"> but there i</w:t>
      </w:r>
      <w:r w:rsidR="007C1050">
        <w:t xml:space="preserve">s space </w:t>
      </w:r>
      <w:r w:rsidR="003A7835">
        <w:t xml:space="preserve">for </w:t>
      </w:r>
      <w:r w:rsidR="007C1050">
        <w:t xml:space="preserve">improve </w:t>
      </w:r>
      <w:r w:rsidR="003A7835">
        <w:t>improvement</w:t>
      </w:r>
      <w:r>
        <w:t>, there might be other variables (which are not included in the model) which also have</w:t>
      </w:r>
      <w:r w:rsidR="007C1050">
        <w:t xml:space="preserve"> influence on the reputation index.</w:t>
      </w:r>
      <w:r>
        <w:t xml:space="preserve"> In the regression results of all years no collinearity in the data</w:t>
      </w:r>
      <w:r w:rsidR="007C1050">
        <w:t xml:space="preserve"> </w:t>
      </w:r>
      <w:r w:rsidR="00DC54DE">
        <w:t>exists</w:t>
      </w:r>
      <w:r>
        <w:t xml:space="preserve">. The VIF score is between 0,2 and 10 this implies </w:t>
      </w:r>
      <w:r w:rsidR="009A2B49">
        <w:t>the variables which are included have no correlation with each other.</w:t>
      </w:r>
    </w:p>
    <w:p w:rsidR="00631FDC" w:rsidRDefault="00631FDC" w:rsidP="001937E3">
      <w:pPr>
        <w:spacing w:line="360" w:lineRule="auto"/>
        <w:jc w:val="both"/>
      </w:pPr>
      <w:r>
        <w:t>Resu</w:t>
      </w:r>
      <w:r w:rsidR="00216100">
        <w:t xml:space="preserve">lting from this model, </w:t>
      </w:r>
      <w:r w:rsidR="009A2B49">
        <w:t>CSR report</w:t>
      </w:r>
      <w:r w:rsidR="00216100">
        <w:t>ing</w:t>
      </w:r>
      <w:r w:rsidR="009A2B49">
        <w:t xml:space="preserve"> level</w:t>
      </w:r>
      <w:r>
        <w:t xml:space="preserve"> has no influences on </w:t>
      </w:r>
      <w:r w:rsidR="00C86669">
        <w:t>reputation</w:t>
      </w:r>
      <w:r>
        <w:t xml:space="preserve">. The p-values of the years 2005 </w:t>
      </w:r>
      <w:r w:rsidR="00DC54DE">
        <w:t>up till</w:t>
      </w:r>
      <w:r w:rsidR="00991C23">
        <w:t xml:space="preserve"> and including</w:t>
      </w:r>
      <w:r>
        <w:t xml:space="preserve"> 2009 are higher than</w:t>
      </w:r>
      <w:r w:rsidR="00216100">
        <w:t xml:space="preserve"> the significant level of 10%. </w:t>
      </w:r>
      <w:r w:rsidR="00991C23">
        <w:t xml:space="preserve">It </w:t>
      </w:r>
      <w:r w:rsidR="00216100">
        <w:t>is prove</w:t>
      </w:r>
      <w:r w:rsidR="00991C23">
        <w:t>d</w:t>
      </w:r>
      <w:r w:rsidR="00216100">
        <w:t xml:space="preserve"> that </w:t>
      </w:r>
      <w:r>
        <w:t xml:space="preserve">the beta of the CSR </w:t>
      </w:r>
      <w:r w:rsidR="00216100">
        <w:t xml:space="preserve">reporting </w:t>
      </w:r>
      <w:r>
        <w:t xml:space="preserve">level </w:t>
      </w:r>
      <w:r w:rsidR="00216100">
        <w:t>has no predictive</w:t>
      </w:r>
      <w:r>
        <w:t xml:space="preserve"> value on the </w:t>
      </w:r>
      <w:r w:rsidR="00C86669">
        <w:t>reputation</w:t>
      </w:r>
      <w:r>
        <w:t xml:space="preserve">. When </w:t>
      </w:r>
      <w:r w:rsidR="00216100">
        <w:t>the basic model is tested for 2009, a</w:t>
      </w:r>
      <w:r>
        <w:t xml:space="preserve"> significant positive influence of the CSR quality level on the </w:t>
      </w:r>
      <w:r w:rsidR="00C86669">
        <w:t>reputation</w:t>
      </w:r>
      <w:r>
        <w:t xml:space="preserve"> is observed. The R square</w:t>
      </w:r>
      <w:r w:rsidR="00991C23">
        <w:t>d</w:t>
      </w:r>
      <w:r>
        <w:t xml:space="preserve"> is very low in this model, </w:t>
      </w:r>
      <w:r w:rsidR="00DC54DE">
        <w:t>therefore can</w:t>
      </w:r>
      <w:r>
        <w:t xml:space="preserve"> be assumed that other variables should be included to provide a better pred</w:t>
      </w:r>
      <w:r w:rsidR="00216100">
        <w:t xml:space="preserve">iction of the </w:t>
      </w:r>
      <w:r w:rsidR="00C86669">
        <w:t>reputation</w:t>
      </w:r>
      <w:r w:rsidR="00216100">
        <w:t xml:space="preserve">. The positive influence of CSR reporting level on the </w:t>
      </w:r>
      <w:r w:rsidR="00C86669">
        <w:lastRenderedPageBreak/>
        <w:t>reputation</w:t>
      </w:r>
      <w:r w:rsidR="00216100">
        <w:t xml:space="preserve"> for 2009 is in conformity with the agency theory, information asymmetry, legitimacy theory and stakeholder theory. </w:t>
      </w:r>
    </w:p>
    <w:p w:rsidR="00631FDC" w:rsidRDefault="00631FDC" w:rsidP="001937E3">
      <w:pPr>
        <w:spacing w:line="360" w:lineRule="auto"/>
        <w:jc w:val="both"/>
      </w:pPr>
      <w:r>
        <w:t>For all years</w:t>
      </w:r>
      <w:r w:rsidR="00991C23">
        <w:t>,</w:t>
      </w:r>
      <w:r>
        <w:t xml:space="preserve"> except 2006, the size coefficient has a significant influence on </w:t>
      </w:r>
      <w:r w:rsidR="000355DB">
        <w:t xml:space="preserve">the </w:t>
      </w:r>
      <w:r w:rsidR="00C86669">
        <w:t>reputation</w:t>
      </w:r>
      <w:r>
        <w:t xml:space="preserve">. </w:t>
      </w:r>
      <w:r w:rsidR="00991C23">
        <w:t>And w</w:t>
      </w:r>
      <w:r>
        <w:t xml:space="preserve">hen the </w:t>
      </w:r>
      <w:r w:rsidR="000355DB">
        <w:t xml:space="preserve">size variable is included in the </w:t>
      </w:r>
      <w:r>
        <w:t>basic mode</w:t>
      </w:r>
      <w:r w:rsidR="000355DB">
        <w:t>l a</w:t>
      </w:r>
      <w:r w:rsidR="00085067">
        <w:t>n</w:t>
      </w:r>
      <w:r w:rsidR="000355DB">
        <w:t xml:space="preserve"> influence on the </w:t>
      </w:r>
      <w:r w:rsidR="00C86669">
        <w:t>reputation</w:t>
      </w:r>
      <w:r w:rsidR="000355DB">
        <w:t xml:space="preserve"> is proven in the years 2005 and 2006. In t</w:t>
      </w:r>
      <w:r w:rsidR="00085067">
        <w:t xml:space="preserve">he model, where </w:t>
      </w:r>
      <w:r w:rsidR="000355DB">
        <w:t xml:space="preserve">size is included in the basic model, </w:t>
      </w:r>
      <w:r>
        <w:t>the R square</w:t>
      </w:r>
      <w:r w:rsidR="00991C23">
        <w:t>d</w:t>
      </w:r>
      <w:r>
        <w:t xml:space="preserve"> increases, which implies a better prediction of the reputation index. Th</w:t>
      </w:r>
      <w:r w:rsidR="00991C23">
        <w:t>ese</w:t>
      </w:r>
      <w:r>
        <w:t xml:space="preserve"> results </w:t>
      </w:r>
      <w:r w:rsidR="000355DB">
        <w:t xml:space="preserve">prove </w:t>
      </w:r>
      <w:r>
        <w:t>size has an influence on the relationship between the CSR report</w:t>
      </w:r>
      <w:r w:rsidR="000355DB">
        <w:t xml:space="preserve"> level</w:t>
      </w:r>
      <w:r>
        <w:t xml:space="preserve"> and the </w:t>
      </w:r>
      <w:r w:rsidR="00C86669">
        <w:t>reputation</w:t>
      </w:r>
      <w:r w:rsidR="000355DB">
        <w:t>. Larger companies are dealing with a more public attention</w:t>
      </w:r>
      <w:r>
        <w:t>. A CSR report can be useful for satisfying the public</w:t>
      </w:r>
      <w:r w:rsidR="000355DB">
        <w:t xml:space="preserve"> of the large company. The CSR report provides</w:t>
      </w:r>
      <w:r>
        <w:t xml:space="preserve"> more </w:t>
      </w:r>
      <w:r w:rsidR="00691A7B">
        <w:t>transparency</w:t>
      </w:r>
      <w:r w:rsidR="00085067">
        <w:t xml:space="preserve">, </w:t>
      </w:r>
      <w:r w:rsidR="00991C23">
        <w:t xml:space="preserve">and </w:t>
      </w:r>
      <w:r w:rsidR="00691A7B">
        <w:t>therefore</w:t>
      </w:r>
      <w:r w:rsidR="00991C23">
        <w:t xml:space="preserve"> </w:t>
      </w:r>
      <w:r w:rsidR="000355DB">
        <w:t xml:space="preserve">the information asymmetry and the agency problem </w:t>
      </w:r>
      <w:r w:rsidR="00085067">
        <w:t>reduce</w:t>
      </w:r>
      <w:r w:rsidR="000355DB">
        <w:t xml:space="preserve">. </w:t>
      </w:r>
      <w:r>
        <w:t xml:space="preserve">The public </w:t>
      </w:r>
      <w:r w:rsidR="0028384B">
        <w:t xml:space="preserve">appreciate </w:t>
      </w:r>
      <w:r>
        <w:t xml:space="preserve">this </w:t>
      </w:r>
      <w:r w:rsidR="0028384B">
        <w:t xml:space="preserve">reduction, which results </w:t>
      </w:r>
      <w:r>
        <w:t xml:space="preserve">in an improvement of the </w:t>
      </w:r>
      <w:r w:rsidR="00C86669">
        <w:t>reputation</w:t>
      </w:r>
      <w:r>
        <w:t>.</w:t>
      </w:r>
      <w:r w:rsidR="000355DB">
        <w:t xml:space="preserve"> This is </w:t>
      </w:r>
      <w:r w:rsidR="00DC54DE">
        <w:t>conforming</w:t>
      </w:r>
      <w:r w:rsidR="000355DB">
        <w:t xml:space="preserve"> </w:t>
      </w:r>
      <w:r w:rsidR="0028384B">
        <w:t xml:space="preserve">the </w:t>
      </w:r>
      <w:r w:rsidR="000355DB">
        <w:t>legitimacy and stakeholder theory.</w:t>
      </w:r>
      <w:r>
        <w:t xml:space="preserve"> In this model the degree of the size coefficient varies </w:t>
      </w:r>
      <w:r w:rsidR="0028384B">
        <w:t xml:space="preserve">for </w:t>
      </w:r>
      <w:r>
        <w:t xml:space="preserve">0,215 </w:t>
      </w:r>
      <w:r w:rsidR="00691A7B">
        <w:t>up till</w:t>
      </w:r>
      <w:r w:rsidR="0028384B">
        <w:t xml:space="preserve"> </w:t>
      </w:r>
      <w:r>
        <w:t>0,556.</w:t>
      </w:r>
    </w:p>
    <w:p w:rsidR="00E62B9A" w:rsidRDefault="00631FDC" w:rsidP="001937E3">
      <w:pPr>
        <w:spacing w:line="360" w:lineRule="auto"/>
        <w:jc w:val="both"/>
      </w:pPr>
      <w:r>
        <w:t xml:space="preserve">In the years 2005, 2008 and 2009 a significant influence of the financial performances is observable. This influence is positive and very small. </w:t>
      </w:r>
      <w:r w:rsidR="00E62B9A">
        <w:t>When the financial performance variable is</w:t>
      </w:r>
      <w:r>
        <w:t xml:space="preserve"> included in the basic model, a positive influence is observable too. The R square</w:t>
      </w:r>
      <w:r w:rsidR="0028384B">
        <w:t>d</w:t>
      </w:r>
      <w:r>
        <w:t xml:space="preserve"> increases as well, which i</w:t>
      </w:r>
      <w:r w:rsidR="00E62B9A">
        <w:t xml:space="preserve">ndicates financial performance has a positive influence on the relation between CSR report level and </w:t>
      </w:r>
      <w:r w:rsidR="00C86669">
        <w:t>reputation</w:t>
      </w:r>
      <w:r w:rsidR="00E62B9A">
        <w:t xml:space="preserve">. </w:t>
      </w:r>
      <w:r>
        <w:t xml:space="preserve"> This conf</w:t>
      </w:r>
      <w:r w:rsidR="0028384B">
        <w:t>i</w:t>
      </w:r>
      <w:r>
        <w:t>rms the expectation that better financial perform</w:t>
      </w:r>
      <w:r w:rsidR="0028384B">
        <w:t>ing</w:t>
      </w:r>
      <w:r>
        <w:t xml:space="preserve"> companies have more financial resources available to disclose a well qualified CSR report. Also better financial performers having more influences on the society</w:t>
      </w:r>
      <w:r w:rsidR="00E62B9A">
        <w:t xml:space="preserve">. The bigger influence on the society of </w:t>
      </w:r>
      <w:r w:rsidR="0028384B">
        <w:t xml:space="preserve">better </w:t>
      </w:r>
      <w:r w:rsidR="00085067">
        <w:t xml:space="preserve">financial performers </w:t>
      </w:r>
      <w:r w:rsidR="00691A7B">
        <w:t>results in</w:t>
      </w:r>
      <w:r w:rsidR="00085067">
        <w:t xml:space="preserve"> an improvement of </w:t>
      </w:r>
      <w:r w:rsidR="00C86669">
        <w:t>reputation</w:t>
      </w:r>
      <w:r w:rsidR="00E62B9A">
        <w:t>.</w:t>
      </w:r>
    </w:p>
    <w:p w:rsidR="00631FDC" w:rsidRDefault="00E62B9A" w:rsidP="001937E3">
      <w:pPr>
        <w:spacing w:line="360" w:lineRule="auto"/>
        <w:jc w:val="both"/>
      </w:pPr>
      <w:r>
        <w:t xml:space="preserve">From this regression </w:t>
      </w:r>
      <w:r w:rsidR="00DC54DE">
        <w:t>is proven</w:t>
      </w:r>
      <w:r w:rsidR="00631FDC">
        <w:t xml:space="preserve"> that general selling &amp; administrative expenses to sales ha</w:t>
      </w:r>
      <w:r w:rsidR="0028384B">
        <w:t>ve</w:t>
      </w:r>
      <w:r w:rsidR="00631FDC">
        <w:t xml:space="preserve"> no influences on </w:t>
      </w:r>
      <w:r w:rsidR="00C86669">
        <w:t>reputation</w:t>
      </w:r>
      <w:r w:rsidR="00085067">
        <w:t>. When</w:t>
      </w:r>
      <w:r w:rsidR="00631FDC">
        <w:t xml:space="preserve"> this control vari</w:t>
      </w:r>
      <w:r>
        <w:t>able is included in the basic</w:t>
      </w:r>
      <w:r w:rsidR="00631FDC">
        <w:t xml:space="preserve"> model, no influence is obtained. </w:t>
      </w:r>
      <w:r w:rsidR="0028384B">
        <w:t>T</w:t>
      </w:r>
      <w:r w:rsidR="00631FDC">
        <w:t xml:space="preserve">he general selling &amp; administrative expenses to sales have no impact on the relationship between CSR reporting </w:t>
      </w:r>
      <w:r>
        <w:t xml:space="preserve">level and </w:t>
      </w:r>
      <w:r w:rsidR="00C86669">
        <w:t>reputation</w:t>
      </w:r>
      <w:r w:rsidR="00631FDC">
        <w:t>.</w:t>
      </w:r>
    </w:p>
    <w:p w:rsidR="00631FDC" w:rsidRDefault="00E62B9A" w:rsidP="001937E3">
      <w:pPr>
        <w:spacing w:line="360" w:lineRule="auto"/>
        <w:jc w:val="both"/>
      </w:pPr>
      <w:r>
        <w:t>From the outcomes of method 1, is proven th</w:t>
      </w:r>
      <w:r w:rsidR="00085067">
        <w:t xml:space="preserve">at </w:t>
      </w:r>
      <w:r w:rsidR="00DC54DE">
        <w:t>regions have</w:t>
      </w:r>
      <w:r w:rsidR="00085067">
        <w:t xml:space="preserve"> an influence on </w:t>
      </w:r>
      <w:r w:rsidR="00C86669">
        <w:t>reputation</w:t>
      </w:r>
      <w:r>
        <w:t>, e</w:t>
      </w:r>
      <w:r w:rsidR="00631FDC">
        <w:t xml:space="preserve">xcept for 2005 this influence is observable. </w:t>
      </w:r>
      <w:r w:rsidR="0028384B">
        <w:t>W</w:t>
      </w:r>
      <w:r w:rsidR="00631FDC">
        <w:t>hen regio</w:t>
      </w:r>
      <w:r>
        <w:t>ns are included in the basic model a</w:t>
      </w:r>
      <w:r w:rsidR="0028384B">
        <w:t>n</w:t>
      </w:r>
      <w:r>
        <w:t xml:space="preserve"> influence on the relationship between CSR report level and </w:t>
      </w:r>
      <w:r w:rsidR="00C86669">
        <w:t>reputation</w:t>
      </w:r>
      <w:r>
        <w:t xml:space="preserve"> is </w:t>
      </w:r>
      <w:r w:rsidR="00631FDC">
        <w:t xml:space="preserve">observable. </w:t>
      </w:r>
      <w:r w:rsidR="0028384B">
        <w:t>F</w:t>
      </w:r>
      <w:r w:rsidR="00631FDC">
        <w:t>o</w:t>
      </w:r>
      <w:r>
        <w:t>r the year 2007 this influence on the relationship i</w:t>
      </w:r>
      <w:r w:rsidR="00631FDC">
        <w:t xml:space="preserve">s not obtained. The influences of the region is positive and of middle degree. </w:t>
      </w:r>
      <w:r w:rsidR="0028384B">
        <w:t>O</w:t>
      </w:r>
      <w:r w:rsidR="00631FDC">
        <w:t>verall the findings proved an influence</w:t>
      </w:r>
      <w:r w:rsidR="005923A8">
        <w:t xml:space="preserve"> of region</w:t>
      </w:r>
      <w:r w:rsidR="00631FDC">
        <w:t xml:space="preserve"> on the relation between CSR</w:t>
      </w:r>
      <w:r>
        <w:t xml:space="preserve"> report level and </w:t>
      </w:r>
      <w:r w:rsidR="00C86669">
        <w:t>reputation</w:t>
      </w:r>
      <w:r>
        <w:t xml:space="preserve">. </w:t>
      </w:r>
    </w:p>
    <w:p w:rsidR="00631FDC" w:rsidRDefault="00085067" w:rsidP="001937E3">
      <w:pPr>
        <w:spacing w:line="360" w:lineRule="auto"/>
        <w:jc w:val="both"/>
      </w:pPr>
      <w:r>
        <w:lastRenderedPageBreak/>
        <w:t>In table 9,</w:t>
      </w:r>
      <w:r w:rsidR="00631FDC">
        <w:t xml:space="preserve"> no influence of industry on </w:t>
      </w:r>
      <w:r w:rsidR="005923A8">
        <w:t xml:space="preserve">the </w:t>
      </w:r>
      <w:r w:rsidR="00C86669">
        <w:t>reputation</w:t>
      </w:r>
      <w:r w:rsidR="005923A8">
        <w:t xml:space="preserve"> </w:t>
      </w:r>
      <w:r w:rsidR="00631FDC">
        <w:t>is observable</w:t>
      </w:r>
      <w:r w:rsidR="0028384B">
        <w:t>,</w:t>
      </w:r>
      <w:r w:rsidR="00631FDC">
        <w:t xml:space="preserve"> for all years. </w:t>
      </w:r>
      <w:r w:rsidR="0028384B">
        <w:t>W</w:t>
      </w:r>
      <w:r w:rsidR="00631FDC">
        <w:t xml:space="preserve">hen the basic model is extended with the industry control variable no influences is proven. </w:t>
      </w:r>
      <w:r w:rsidR="0028384B">
        <w:t>T</w:t>
      </w:r>
      <w:r w:rsidR="00631FDC">
        <w:t xml:space="preserve">here is no influence of the industry on the relation between CSR </w:t>
      </w:r>
      <w:r w:rsidR="005923A8">
        <w:t xml:space="preserve">report level and the </w:t>
      </w:r>
      <w:r w:rsidR="00C86669">
        <w:t>reputation</w:t>
      </w:r>
      <w:r w:rsidR="005923A8">
        <w:t>.</w:t>
      </w:r>
    </w:p>
    <w:p w:rsidR="00631FDC" w:rsidRDefault="00631FDC" w:rsidP="001937E3">
      <w:pPr>
        <w:spacing w:line="360" w:lineRule="auto"/>
        <w:jc w:val="both"/>
        <w:rPr>
          <w:i/>
        </w:rPr>
      </w:pPr>
      <w:r>
        <w:rPr>
          <w:i/>
        </w:rPr>
        <w:t>Method 2</w:t>
      </w:r>
    </w:p>
    <w:p w:rsidR="00631FDC" w:rsidRDefault="00631FDC" w:rsidP="001937E3">
      <w:pPr>
        <w:spacing w:line="360" w:lineRule="auto"/>
        <w:jc w:val="both"/>
      </w:pPr>
      <w:r>
        <w:t>Above method 1 is described</w:t>
      </w:r>
      <w:r w:rsidR="00DC54DE">
        <w:t>, in</w:t>
      </w:r>
      <w:r>
        <w:t xml:space="preserve"> this method the genera</w:t>
      </w:r>
      <w:r w:rsidR="00472F1E">
        <w:t>l influences of the qualitative</w:t>
      </w:r>
      <w:r>
        <w:t xml:space="preserve"> variables are tested. But with method 1 the influences of the specific categories (which are inside th</w:t>
      </w:r>
      <w:r w:rsidR="00472F1E">
        <w:t>e qualitative variable) are not observable, t</w:t>
      </w:r>
      <w:r>
        <w:t>herefore method 2 shou</w:t>
      </w:r>
      <w:r w:rsidR="00472F1E">
        <w:t>ld</w:t>
      </w:r>
      <w:r>
        <w:t xml:space="preserve"> be used. In this model dummy variables are included. The dummy variab</w:t>
      </w:r>
      <w:r w:rsidR="00472F1E">
        <w:t xml:space="preserve">les measure the difference in influence with the reference variable. </w:t>
      </w:r>
      <w:r>
        <w:t xml:space="preserve">The </w:t>
      </w:r>
      <w:r w:rsidR="00DC54DE">
        <w:t>differences in influences of the dummy variables are</w:t>
      </w:r>
      <w:r w:rsidR="00472F1E">
        <w:t xml:space="preserve"> observed from the p-value. T</w:t>
      </w:r>
      <w:r>
        <w:t>he degree of</w:t>
      </w:r>
      <w:r w:rsidR="00472F1E">
        <w:t xml:space="preserve"> </w:t>
      </w:r>
      <w:r w:rsidR="00DC54DE">
        <w:t>different influences</w:t>
      </w:r>
      <w:r>
        <w:t xml:space="preserve"> is observable from the coefficient. </w:t>
      </w:r>
      <w:r w:rsidR="00E549DA">
        <w:t>The IA level is t</w:t>
      </w:r>
      <w:r w:rsidR="00472F1E">
        <w:t>he reference variable for the CSR report levels, for the regions Europe</w:t>
      </w:r>
      <w:r w:rsidR="00E549DA">
        <w:t xml:space="preserve"> is the reference variable</w:t>
      </w:r>
      <w:r w:rsidR="00472F1E">
        <w:t xml:space="preserve"> and for the </w:t>
      </w:r>
      <w:r w:rsidR="00DC54DE">
        <w:t>industry the</w:t>
      </w:r>
      <w:r w:rsidR="00472F1E">
        <w:t xml:space="preserve"> consumer goods </w:t>
      </w:r>
      <w:r w:rsidR="00E549DA">
        <w:t xml:space="preserve">is the reference </w:t>
      </w:r>
      <w:r w:rsidR="00472F1E">
        <w:t>variable.</w:t>
      </w:r>
    </w:p>
    <w:p w:rsidR="00631FDC" w:rsidRDefault="00631FDC" w:rsidP="001937E3">
      <w:pPr>
        <w:spacing w:line="360" w:lineRule="auto"/>
        <w:jc w:val="both"/>
      </w:pPr>
      <w:r>
        <w:t xml:space="preserve">On </w:t>
      </w:r>
      <w:r w:rsidR="00E549DA">
        <w:t xml:space="preserve">the </w:t>
      </w:r>
      <w:r>
        <w:t xml:space="preserve">next page table </w:t>
      </w:r>
      <w:r w:rsidR="00085067">
        <w:t>10</w:t>
      </w:r>
      <w:r>
        <w:t xml:space="preserve"> is displayed, in this table the regression results over 2005 </w:t>
      </w:r>
      <w:r w:rsidR="00DC54DE">
        <w:t>up till</w:t>
      </w:r>
      <w:r>
        <w:t xml:space="preserve"> </w:t>
      </w:r>
      <w:r w:rsidR="00E549DA">
        <w:t xml:space="preserve">and including </w:t>
      </w:r>
      <w:r>
        <w:t xml:space="preserve">2009 are </w:t>
      </w:r>
      <w:r w:rsidR="00E549DA">
        <w:t>shown</w:t>
      </w:r>
      <w:r>
        <w:t xml:space="preserve">. </w:t>
      </w:r>
      <w:r w:rsidR="00085067">
        <w:t>In</w:t>
      </w:r>
      <w:r>
        <w:t xml:space="preserve"> this method the </w:t>
      </w:r>
      <w:r w:rsidR="0011271A">
        <w:t xml:space="preserve">single </w:t>
      </w:r>
      <w:r>
        <w:t>variables a</w:t>
      </w:r>
      <w:r w:rsidR="0011271A">
        <w:t xml:space="preserve">re included in the basic model. When including </w:t>
      </w:r>
      <w:r w:rsidR="00E549DA">
        <w:t>one</w:t>
      </w:r>
      <w:r w:rsidR="0011271A">
        <w:t xml:space="preserve"> variable in the basic model the influence on the relationship</w:t>
      </w:r>
      <w:r w:rsidR="00E549DA">
        <w:t xml:space="preserve"> of this variable</w:t>
      </w:r>
      <w:r w:rsidR="0011271A">
        <w:t xml:space="preserve"> is direct</w:t>
      </w:r>
      <w:r w:rsidR="00E549DA">
        <w:t>ly</w:t>
      </w:r>
      <w:r w:rsidR="0011271A">
        <w:t xml:space="preserve"> tested.</w:t>
      </w:r>
      <w:r w:rsidR="00E549DA">
        <w:t xml:space="preserve"> </w:t>
      </w:r>
      <w:r w:rsidR="0011271A">
        <w:t xml:space="preserve"> The outcomes </w:t>
      </w:r>
      <w:r w:rsidR="00E549DA">
        <w:t>of</w:t>
      </w:r>
      <w:r w:rsidR="0011271A">
        <w:t xml:space="preserve"> the influence of the variable</w:t>
      </w:r>
      <w:r w:rsidR="00E549DA">
        <w:t>,</w:t>
      </w:r>
      <w:r w:rsidR="0011271A">
        <w:t xml:space="preserve"> observed from the basic model</w:t>
      </w:r>
      <w:r w:rsidR="00E549DA">
        <w:t>,</w:t>
      </w:r>
      <w:r w:rsidR="0011271A">
        <w:t xml:space="preserve"> </w:t>
      </w:r>
      <w:r w:rsidR="00E549DA">
        <w:t xml:space="preserve">does not </w:t>
      </w:r>
      <w:r w:rsidR="0011271A">
        <w:t>differ</w:t>
      </w:r>
      <w:r w:rsidR="00E549DA">
        <w:t xml:space="preserve"> </w:t>
      </w:r>
      <w:r w:rsidR="0011271A">
        <w:t>from the influence of the variable observed from the model where all variables are included.</w:t>
      </w:r>
      <w:r>
        <w:t xml:space="preserve"> </w:t>
      </w:r>
    </w:p>
    <w:p w:rsidR="00472F1E" w:rsidRDefault="00472F1E" w:rsidP="001937E3">
      <w:pPr>
        <w:spacing w:line="360" w:lineRule="auto"/>
        <w:jc w:val="both"/>
      </w:pPr>
    </w:p>
    <w:p w:rsidR="00472F1E" w:rsidRDefault="00472F1E" w:rsidP="001937E3">
      <w:pPr>
        <w:spacing w:line="360" w:lineRule="auto"/>
        <w:jc w:val="both"/>
      </w:pPr>
    </w:p>
    <w:p w:rsidR="00472F1E" w:rsidRDefault="00472F1E" w:rsidP="001937E3">
      <w:pPr>
        <w:spacing w:line="360" w:lineRule="auto"/>
        <w:jc w:val="both"/>
      </w:pPr>
    </w:p>
    <w:p w:rsidR="0002556C" w:rsidRDefault="0002556C" w:rsidP="001937E3">
      <w:pPr>
        <w:spacing w:line="360" w:lineRule="auto"/>
        <w:jc w:val="both"/>
      </w:pPr>
    </w:p>
    <w:p w:rsidR="0002556C" w:rsidRDefault="0002556C" w:rsidP="001937E3">
      <w:pPr>
        <w:spacing w:line="360" w:lineRule="auto"/>
        <w:jc w:val="both"/>
      </w:pPr>
    </w:p>
    <w:p w:rsidR="00472F1E" w:rsidRDefault="00472F1E" w:rsidP="001937E3">
      <w:pPr>
        <w:spacing w:line="360" w:lineRule="auto"/>
        <w:jc w:val="both"/>
      </w:pPr>
    </w:p>
    <w:p w:rsidR="001937E3" w:rsidRDefault="001937E3" w:rsidP="001937E3">
      <w:pPr>
        <w:spacing w:line="360" w:lineRule="auto"/>
        <w:jc w:val="both"/>
      </w:pPr>
    </w:p>
    <w:p w:rsidR="001937E3" w:rsidRDefault="001937E3" w:rsidP="001937E3">
      <w:pPr>
        <w:spacing w:line="360" w:lineRule="auto"/>
        <w:jc w:val="both"/>
      </w:pPr>
    </w:p>
    <w:p w:rsidR="00085067" w:rsidRDefault="00085067" w:rsidP="001937E3">
      <w:pPr>
        <w:spacing w:line="360" w:lineRule="auto"/>
        <w:jc w:val="both"/>
      </w:pPr>
    </w:p>
    <w:p w:rsidR="00472F1E" w:rsidRPr="00F1639A" w:rsidRDefault="00085067" w:rsidP="00472F1E">
      <w:pPr>
        <w:spacing w:line="360" w:lineRule="auto"/>
        <w:rPr>
          <w:sz w:val="18"/>
          <w:szCs w:val="18"/>
        </w:rPr>
      </w:pPr>
      <w:r>
        <w:rPr>
          <w:sz w:val="18"/>
          <w:szCs w:val="18"/>
        </w:rPr>
        <w:lastRenderedPageBreak/>
        <w:t>Table 10</w:t>
      </w:r>
      <w:r w:rsidR="00472F1E">
        <w:rPr>
          <w:sz w:val="18"/>
          <w:szCs w:val="18"/>
        </w:rPr>
        <w:t>: Regression results (</w:t>
      </w:r>
      <w:r w:rsidR="00DC54DE">
        <w:rPr>
          <w:sz w:val="18"/>
          <w:szCs w:val="18"/>
        </w:rPr>
        <w:t>Categorical</w:t>
      </w:r>
      <w:r w:rsidR="00472F1E">
        <w:rPr>
          <w:sz w:val="18"/>
          <w:szCs w:val="18"/>
        </w:rPr>
        <w:t xml:space="preserve"> variables are included)</w:t>
      </w:r>
    </w:p>
    <w:tbl>
      <w:tblPr>
        <w:tblW w:w="7580" w:type="dxa"/>
        <w:tblInd w:w="55" w:type="dxa"/>
        <w:tblCellMar>
          <w:left w:w="70" w:type="dxa"/>
          <w:right w:w="70" w:type="dxa"/>
        </w:tblCellMar>
        <w:tblLook w:val="04A0"/>
      </w:tblPr>
      <w:tblGrid>
        <w:gridCol w:w="2320"/>
        <w:gridCol w:w="1140"/>
        <w:gridCol w:w="1000"/>
        <w:gridCol w:w="1120"/>
        <w:gridCol w:w="1000"/>
        <w:gridCol w:w="1000"/>
      </w:tblGrid>
      <w:tr w:rsidR="00472F1E" w:rsidRPr="00471B45" w:rsidTr="009E48D5">
        <w:trPr>
          <w:trHeight w:val="300"/>
        </w:trPr>
        <w:tc>
          <w:tcPr>
            <w:tcW w:w="2320" w:type="dxa"/>
            <w:tcBorders>
              <w:top w:val="nil"/>
              <w:left w:val="nil"/>
              <w:bottom w:val="single" w:sz="4" w:space="0" w:color="auto"/>
              <w:right w:val="single" w:sz="4" w:space="0" w:color="auto"/>
            </w:tcBorders>
            <w:shd w:val="clear" w:color="auto" w:fill="auto"/>
            <w:noWrap/>
            <w:vAlign w:val="bottom"/>
            <w:hideMark/>
          </w:tcPr>
          <w:p w:rsidR="00472F1E" w:rsidRPr="005B37EF" w:rsidRDefault="00472F1E" w:rsidP="009E48D5">
            <w:pPr>
              <w:spacing w:after="0" w:line="240" w:lineRule="auto"/>
              <w:rPr>
                <w:rFonts w:ascii="Calibri" w:eastAsia="Times New Roman" w:hAnsi="Calibri" w:cs="Times New Roman"/>
                <w:color w:val="000000"/>
                <w:lang w:eastAsia="nl-NL"/>
              </w:rPr>
            </w:pPr>
            <w:r w:rsidRPr="005B37EF">
              <w:rPr>
                <w:rFonts w:ascii="Calibri" w:eastAsia="Times New Roman" w:hAnsi="Calibri" w:cs="Times New Roman"/>
                <w:color w:val="000000"/>
                <w:lang w:eastAsia="nl-NL"/>
              </w:rPr>
              <w:t> </w:t>
            </w:r>
          </w:p>
        </w:tc>
        <w:tc>
          <w:tcPr>
            <w:tcW w:w="1140" w:type="dxa"/>
            <w:tcBorders>
              <w:top w:val="nil"/>
              <w:left w:val="nil"/>
              <w:bottom w:val="single" w:sz="4" w:space="0" w:color="auto"/>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2005</w:t>
            </w:r>
          </w:p>
        </w:tc>
        <w:tc>
          <w:tcPr>
            <w:tcW w:w="1000" w:type="dxa"/>
            <w:tcBorders>
              <w:top w:val="nil"/>
              <w:left w:val="nil"/>
              <w:bottom w:val="single" w:sz="4" w:space="0" w:color="auto"/>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2006</w:t>
            </w:r>
          </w:p>
        </w:tc>
        <w:tc>
          <w:tcPr>
            <w:tcW w:w="1120" w:type="dxa"/>
            <w:tcBorders>
              <w:top w:val="nil"/>
              <w:left w:val="nil"/>
              <w:bottom w:val="single" w:sz="4" w:space="0" w:color="auto"/>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2007</w:t>
            </w:r>
          </w:p>
        </w:tc>
        <w:tc>
          <w:tcPr>
            <w:tcW w:w="1000" w:type="dxa"/>
            <w:tcBorders>
              <w:top w:val="nil"/>
              <w:left w:val="nil"/>
              <w:bottom w:val="single" w:sz="4" w:space="0" w:color="auto"/>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2008</w:t>
            </w:r>
          </w:p>
        </w:tc>
        <w:tc>
          <w:tcPr>
            <w:tcW w:w="1000" w:type="dxa"/>
            <w:tcBorders>
              <w:top w:val="nil"/>
              <w:left w:val="nil"/>
              <w:bottom w:val="single" w:sz="4" w:space="0" w:color="auto"/>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2009</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Constant</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2,139</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4,448</w:t>
            </w:r>
            <w:r>
              <w:rPr>
                <w:rFonts w:ascii="Calibri" w:eastAsia="Times New Roman" w:hAnsi="Calibri" w:cs="Times New Roman"/>
                <w:color w:val="000000"/>
                <w:lang w:val="nl-NL" w:eastAsia="nl-NL"/>
              </w:rPr>
              <w:t>***</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4,875</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5,039</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3,130</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 xml:space="preserve">CSR </w:t>
            </w:r>
            <w:r>
              <w:rPr>
                <w:rFonts w:ascii="Calibri" w:eastAsia="Times New Roman" w:hAnsi="Calibri" w:cs="Times New Roman"/>
                <w:b/>
                <w:bCs/>
                <w:color w:val="000000"/>
                <w:lang w:val="nl-NL" w:eastAsia="nl-NL"/>
              </w:rPr>
              <w:t xml:space="preserve">Report </w:t>
            </w:r>
            <w:r w:rsidRPr="00471B45">
              <w:rPr>
                <w:rFonts w:ascii="Calibri" w:eastAsia="Times New Roman" w:hAnsi="Calibri" w:cs="Times New Roman"/>
                <w:b/>
                <w:bCs/>
                <w:color w:val="000000"/>
                <w:lang w:val="nl-NL" w:eastAsia="nl-NL"/>
              </w:rPr>
              <w:t>Level</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A+</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0,396</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-0,609</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0,375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-0,171</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-0,287</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A</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-0,158</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0,864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0,177</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-0,049</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B+</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-0,574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-0,521</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0,479</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-0,236</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-0,080</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B</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-1,335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-1,085</w:t>
            </w:r>
            <w:r>
              <w:rPr>
                <w:rFonts w:ascii="Calibri" w:eastAsia="Times New Roman" w:hAnsi="Calibri" w:cs="Times New Roman"/>
                <w:color w:val="000000"/>
                <w:lang w:val="nl-NL" w:eastAsia="nl-NL"/>
              </w:rPr>
              <w:t>*</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0,240</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-0,107</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-0,019</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C+</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1,793</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-0,189</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-0,010</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-0,179</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-0,510</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C</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-1,361</w:t>
            </w:r>
            <w:r>
              <w:rPr>
                <w:rFonts w:ascii="Calibri" w:eastAsia="Times New Roman" w:hAnsi="Calibri" w:cs="Times New Roman"/>
                <w:color w:val="000000"/>
                <w:lang w:val="nl-NL" w:eastAsia="nl-NL"/>
              </w:rPr>
              <w:t>*</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-0,172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-0,015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0,042</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U</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0,447</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-0,353</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0,675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0,122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-0,210</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IA</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CI</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0,032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-0,611</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proofErr w:type="spellStart"/>
            <w:r w:rsidRPr="00471B45">
              <w:rPr>
                <w:rFonts w:ascii="Calibri" w:eastAsia="Times New Roman" w:hAnsi="Calibri" w:cs="Times New Roman"/>
                <w:b/>
                <w:bCs/>
                <w:color w:val="000000"/>
                <w:lang w:val="nl-NL" w:eastAsia="nl-NL"/>
              </w:rPr>
              <w:t>Size</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0,635</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0,300</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0,220</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0,121</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0,475</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Financial Performances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0,090</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0,041</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0,013</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0,049</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0,040</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 xml:space="preserve">SG&amp;A to </w:t>
            </w:r>
            <w:proofErr w:type="spellStart"/>
            <w:r w:rsidRPr="00471B45">
              <w:rPr>
                <w:rFonts w:ascii="Calibri" w:eastAsia="Times New Roman" w:hAnsi="Calibri" w:cs="Times New Roman"/>
                <w:b/>
                <w:bCs/>
                <w:color w:val="000000"/>
                <w:lang w:val="nl-NL" w:eastAsia="nl-NL"/>
              </w:rPr>
              <w:t>sales</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0,266</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0,023</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-0,157</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-0,027</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0,204</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proofErr w:type="spellStart"/>
            <w:r>
              <w:rPr>
                <w:rFonts w:ascii="Calibri" w:eastAsia="Times New Roman" w:hAnsi="Calibri" w:cs="Times New Roman"/>
                <w:b/>
                <w:bCs/>
                <w:color w:val="000000"/>
                <w:lang w:val="nl-NL" w:eastAsia="nl-NL"/>
              </w:rPr>
              <w:t>Region</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proofErr w:type="spellStart"/>
            <w:r w:rsidRPr="00471B45">
              <w:rPr>
                <w:rFonts w:ascii="Calibri" w:eastAsia="Times New Roman" w:hAnsi="Calibri" w:cs="Times New Roman"/>
                <w:color w:val="000000"/>
                <w:lang w:val="nl-NL" w:eastAsia="nl-NL"/>
              </w:rPr>
              <w:t>Africa</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1,015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0,734</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Asia</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-0,018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-0,169</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0,085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-0,465</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Europe</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proofErr w:type="spellStart"/>
            <w:r w:rsidRPr="00471B45">
              <w:rPr>
                <w:rFonts w:ascii="Calibri" w:eastAsia="Times New Roman" w:hAnsi="Calibri" w:cs="Times New Roman"/>
                <w:color w:val="000000"/>
                <w:lang w:val="nl-NL" w:eastAsia="nl-NL"/>
              </w:rPr>
              <w:t>Latin</w:t>
            </w:r>
            <w:proofErr w:type="spellEnd"/>
            <w:r w:rsidRPr="00471B45">
              <w:rPr>
                <w:rFonts w:ascii="Calibri" w:eastAsia="Times New Roman" w:hAnsi="Calibri" w:cs="Times New Roman"/>
                <w:color w:val="000000"/>
                <w:lang w:val="nl-NL" w:eastAsia="nl-NL"/>
              </w:rPr>
              <w:t xml:space="preserve"> </w:t>
            </w:r>
            <w:proofErr w:type="spellStart"/>
            <w:r w:rsidRPr="00471B45">
              <w:rPr>
                <w:rFonts w:ascii="Calibri" w:eastAsia="Times New Roman" w:hAnsi="Calibri" w:cs="Times New Roman"/>
                <w:color w:val="000000"/>
                <w:lang w:val="nl-NL" w:eastAsia="nl-NL"/>
              </w:rPr>
              <w:t>America</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0,658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0,455</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1,101</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0,765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0,708</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Northern America</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0,602</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0,895</w:t>
            </w:r>
            <w:r>
              <w:rPr>
                <w:rFonts w:ascii="Calibri" w:eastAsia="Times New Roman" w:hAnsi="Calibri" w:cs="Times New Roman"/>
                <w:color w:val="000000"/>
                <w:lang w:val="nl-NL" w:eastAsia="nl-NL"/>
              </w:rPr>
              <w:t>***</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0,109</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0,158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0,434</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proofErr w:type="spellStart"/>
            <w:r w:rsidRPr="00471B45">
              <w:rPr>
                <w:rFonts w:ascii="Calibri" w:eastAsia="Times New Roman" w:hAnsi="Calibri" w:cs="Times New Roman"/>
                <w:color w:val="000000"/>
                <w:lang w:val="nl-NL" w:eastAsia="nl-NL"/>
              </w:rPr>
              <w:t>Oceania</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-1,028</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-0,168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-1,298</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b/>
                <w:bCs/>
                <w:color w:val="000000"/>
                <w:lang w:val="nl-NL" w:eastAsia="nl-NL"/>
              </w:rPr>
            </w:pPr>
            <w:proofErr w:type="spellStart"/>
            <w:r w:rsidRPr="00471B45">
              <w:rPr>
                <w:rFonts w:ascii="Calibri" w:eastAsia="Times New Roman" w:hAnsi="Calibri" w:cs="Times New Roman"/>
                <w:b/>
                <w:bCs/>
                <w:color w:val="000000"/>
                <w:lang w:val="nl-NL" w:eastAsia="nl-NL"/>
              </w:rPr>
              <w:t>Industry</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Oil &amp; Gas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-0,384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0,298</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0,313</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0,720</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0,735</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Basic Materials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0,843</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0,116</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-0,468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0,214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0,481</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proofErr w:type="spellStart"/>
            <w:r w:rsidRPr="00471B45">
              <w:rPr>
                <w:rFonts w:ascii="Calibri" w:eastAsia="Times New Roman" w:hAnsi="Calibri" w:cs="Times New Roman"/>
                <w:color w:val="000000"/>
                <w:lang w:val="nl-NL" w:eastAsia="nl-NL"/>
              </w:rPr>
              <w:t>Industrials</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0,684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1,000</w:t>
            </w:r>
            <w:r>
              <w:rPr>
                <w:rFonts w:ascii="Calibri" w:eastAsia="Times New Roman" w:hAnsi="Calibri" w:cs="Times New Roman"/>
                <w:color w:val="000000"/>
                <w:lang w:val="nl-NL" w:eastAsia="nl-NL"/>
              </w:rPr>
              <w:t>**</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0,340</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0,160</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0,320</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Consumer Goods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EX</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Health Care</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-0,782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-0,064</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0,175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0,007</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-0,091</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Consumer Services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0,255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0,207</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0,374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0,164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-0,215</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Telecommunications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1,382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1,058</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-0,938</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0,404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0,037</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proofErr w:type="spellStart"/>
            <w:r w:rsidRPr="00471B45">
              <w:rPr>
                <w:rFonts w:ascii="Calibri" w:eastAsia="Times New Roman" w:hAnsi="Calibri" w:cs="Times New Roman"/>
                <w:color w:val="000000"/>
                <w:lang w:val="nl-NL" w:eastAsia="nl-NL"/>
              </w:rPr>
              <w:t>Utilities</w:t>
            </w:r>
            <w:proofErr w:type="spellEnd"/>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0,431</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0,064</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0,734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0,202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1,133</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Financials</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-0,044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0,606</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0,383</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0,126</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-0,003</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Technology</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0,085</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0,294</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0,728</w:t>
            </w:r>
            <w:r>
              <w:rPr>
                <w:rFonts w:ascii="Calibri" w:eastAsia="Times New Roman" w:hAnsi="Calibri" w:cs="Times New Roman"/>
                <w:color w:val="000000"/>
                <w:lang w:val="nl-NL" w:eastAsia="nl-NL"/>
              </w:rPr>
              <w:t>**</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0,229</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0,689</w:t>
            </w:r>
            <w:r>
              <w:rPr>
                <w:rFonts w:ascii="Calibri" w:eastAsia="Times New Roman" w:hAnsi="Calibri" w:cs="Times New Roman"/>
                <w:color w:val="000000"/>
                <w:lang w:val="nl-NL" w:eastAsia="nl-NL"/>
              </w:rPr>
              <w:t>***</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 </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Anova</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0,121</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0,012</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0,024</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0,002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0,000</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R squared</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0,456</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0,491</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0,308</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0,289</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0,381</w:t>
            </w:r>
          </w:p>
        </w:tc>
      </w:tr>
      <w:tr w:rsidR="00472F1E" w:rsidRPr="00471B45" w:rsidTr="009E48D5">
        <w:trPr>
          <w:trHeight w:val="300"/>
        </w:trPr>
        <w:tc>
          <w:tcPr>
            <w:tcW w:w="2320" w:type="dxa"/>
            <w:tcBorders>
              <w:top w:val="nil"/>
              <w:left w:val="nil"/>
              <w:bottom w:val="nil"/>
              <w:right w:val="single" w:sz="4" w:space="0" w:color="auto"/>
            </w:tcBorders>
            <w:shd w:val="clear" w:color="auto" w:fill="auto"/>
            <w:noWrap/>
            <w:vAlign w:val="bottom"/>
            <w:hideMark/>
          </w:tcPr>
          <w:p w:rsidR="00472F1E" w:rsidRPr="00471B45" w:rsidRDefault="00472F1E" w:rsidP="009E48D5">
            <w:pPr>
              <w:spacing w:after="0" w:line="240" w:lineRule="auto"/>
              <w:jc w:val="right"/>
              <w:rPr>
                <w:rFonts w:ascii="Calibri" w:eastAsia="Times New Roman" w:hAnsi="Calibri" w:cs="Times New Roman"/>
                <w:b/>
                <w:bCs/>
                <w:color w:val="000000"/>
                <w:lang w:val="nl-NL" w:eastAsia="nl-NL"/>
              </w:rPr>
            </w:pPr>
            <w:r w:rsidRPr="00471B45">
              <w:rPr>
                <w:rFonts w:ascii="Calibri" w:eastAsia="Times New Roman" w:hAnsi="Calibri" w:cs="Times New Roman"/>
                <w:b/>
                <w:bCs/>
                <w:color w:val="000000"/>
                <w:lang w:val="nl-NL" w:eastAsia="nl-NL"/>
              </w:rPr>
              <w:t>VIF</w:t>
            </w:r>
          </w:p>
        </w:tc>
        <w:tc>
          <w:tcPr>
            <w:tcW w:w="114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1,581</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1,603</w:t>
            </w:r>
          </w:p>
        </w:tc>
        <w:tc>
          <w:tcPr>
            <w:tcW w:w="112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4,012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1,322</w:t>
            </w:r>
          </w:p>
        </w:tc>
        <w:tc>
          <w:tcPr>
            <w:tcW w:w="1000" w:type="dxa"/>
            <w:tcBorders>
              <w:top w:val="nil"/>
              <w:left w:val="nil"/>
              <w:bottom w:val="nil"/>
              <w:right w:val="nil"/>
            </w:tcBorders>
            <w:shd w:val="clear" w:color="auto" w:fill="auto"/>
            <w:noWrap/>
            <w:vAlign w:val="bottom"/>
            <w:hideMark/>
          </w:tcPr>
          <w:p w:rsidR="00472F1E" w:rsidRPr="00471B45" w:rsidRDefault="00472F1E" w:rsidP="009E48D5">
            <w:pPr>
              <w:spacing w:after="0" w:line="240" w:lineRule="auto"/>
              <w:rPr>
                <w:rFonts w:ascii="Calibri" w:eastAsia="Times New Roman" w:hAnsi="Calibri" w:cs="Times New Roman"/>
                <w:color w:val="000000"/>
                <w:lang w:val="nl-NL" w:eastAsia="nl-NL"/>
              </w:rPr>
            </w:pPr>
            <w:r w:rsidRPr="00471B45">
              <w:rPr>
                <w:rFonts w:ascii="Calibri" w:eastAsia="Times New Roman" w:hAnsi="Calibri" w:cs="Times New Roman"/>
                <w:color w:val="000000"/>
                <w:lang w:val="nl-NL" w:eastAsia="nl-NL"/>
              </w:rPr>
              <w:t>1,401</w:t>
            </w:r>
          </w:p>
        </w:tc>
      </w:tr>
    </w:tbl>
    <w:p w:rsidR="00472F1E" w:rsidRDefault="00472F1E" w:rsidP="00472F1E">
      <w:pPr>
        <w:spacing w:after="0" w:line="240" w:lineRule="auto"/>
        <w:ind w:firstLine="720"/>
        <w:rPr>
          <w:sz w:val="20"/>
          <w:szCs w:val="20"/>
        </w:rPr>
      </w:pPr>
    </w:p>
    <w:p w:rsidR="00472F1E" w:rsidRPr="00107C65" w:rsidRDefault="00472F1E" w:rsidP="00472F1E">
      <w:pPr>
        <w:spacing w:after="0" w:line="240" w:lineRule="auto"/>
        <w:ind w:firstLine="720"/>
        <w:rPr>
          <w:sz w:val="20"/>
          <w:szCs w:val="20"/>
        </w:rPr>
      </w:pPr>
      <w:r w:rsidRPr="00107C65">
        <w:rPr>
          <w:sz w:val="20"/>
          <w:szCs w:val="20"/>
        </w:rPr>
        <w:t xml:space="preserve">*** </w:t>
      </w:r>
      <w:r w:rsidR="00DC54DE" w:rsidRPr="00107C65">
        <w:rPr>
          <w:sz w:val="20"/>
          <w:szCs w:val="20"/>
        </w:rPr>
        <w:t>Significant</w:t>
      </w:r>
      <w:r w:rsidRPr="00107C65">
        <w:rPr>
          <w:sz w:val="20"/>
          <w:szCs w:val="20"/>
        </w:rPr>
        <w:t xml:space="preserve"> at p &lt; 0,01</w:t>
      </w:r>
    </w:p>
    <w:p w:rsidR="00472F1E" w:rsidRPr="00107C65" w:rsidRDefault="00472F1E" w:rsidP="00472F1E">
      <w:pPr>
        <w:spacing w:after="0" w:line="240" w:lineRule="auto"/>
        <w:rPr>
          <w:sz w:val="20"/>
          <w:szCs w:val="20"/>
        </w:rPr>
      </w:pPr>
      <w:r w:rsidRPr="00107C65">
        <w:rPr>
          <w:sz w:val="20"/>
          <w:szCs w:val="20"/>
        </w:rPr>
        <w:tab/>
        <w:t xml:space="preserve">**   </w:t>
      </w:r>
      <w:r w:rsidR="00DC54DE" w:rsidRPr="00107C65">
        <w:rPr>
          <w:sz w:val="20"/>
          <w:szCs w:val="20"/>
        </w:rPr>
        <w:t>Significant</w:t>
      </w:r>
      <w:r w:rsidRPr="00107C65">
        <w:rPr>
          <w:sz w:val="20"/>
          <w:szCs w:val="20"/>
        </w:rPr>
        <w:t xml:space="preserve"> at p &lt; 0,05</w:t>
      </w:r>
    </w:p>
    <w:p w:rsidR="00472F1E" w:rsidRDefault="00472F1E" w:rsidP="00472F1E">
      <w:pPr>
        <w:spacing w:after="0" w:line="240" w:lineRule="auto"/>
        <w:rPr>
          <w:sz w:val="20"/>
          <w:szCs w:val="20"/>
        </w:rPr>
      </w:pPr>
      <w:r>
        <w:tab/>
      </w:r>
      <w:r w:rsidRPr="00107C65">
        <w:rPr>
          <w:sz w:val="20"/>
          <w:szCs w:val="20"/>
        </w:rPr>
        <w:t>*</w:t>
      </w:r>
      <w:r>
        <w:rPr>
          <w:sz w:val="20"/>
          <w:szCs w:val="20"/>
        </w:rPr>
        <w:t xml:space="preserve"> </w:t>
      </w:r>
      <w:r w:rsidRPr="00107C65">
        <w:rPr>
          <w:sz w:val="20"/>
          <w:szCs w:val="20"/>
        </w:rPr>
        <w:t xml:space="preserve">   </w:t>
      </w:r>
      <w:r>
        <w:rPr>
          <w:sz w:val="20"/>
          <w:szCs w:val="20"/>
        </w:rPr>
        <w:t xml:space="preserve"> </w:t>
      </w:r>
      <w:r w:rsidR="00DC54DE" w:rsidRPr="00107C65">
        <w:rPr>
          <w:sz w:val="20"/>
          <w:szCs w:val="20"/>
        </w:rPr>
        <w:t>Significant</w:t>
      </w:r>
      <w:r w:rsidRPr="00107C65">
        <w:rPr>
          <w:sz w:val="20"/>
          <w:szCs w:val="20"/>
        </w:rPr>
        <w:t xml:space="preserve"> at </w:t>
      </w:r>
      <w:r>
        <w:rPr>
          <w:sz w:val="20"/>
          <w:szCs w:val="20"/>
        </w:rPr>
        <w:t>p &lt; 0,1</w:t>
      </w:r>
    </w:p>
    <w:p w:rsidR="009E48D5" w:rsidRDefault="00631FDC" w:rsidP="001937E3">
      <w:pPr>
        <w:spacing w:line="360" w:lineRule="auto"/>
        <w:jc w:val="both"/>
      </w:pPr>
      <w:r>
        <w:lastRenderedPageBreak/>
        <w:t>Whe</w:t>
      </w:r>
      <w:r w:rsidR="0011271A">
        <w:t>n focus</w:t>
      </w:r>
      <w:r w:rsidR="00E549DA">
        <w:t>ing</w:t>
      </w:r>
      <w:r w:rsidR="0011271A">
        <w:t xml:space="preserve"> on </w:t>
      </w:r>
      <w:r w:rsidR="00EC5272">
        <w:t xml:space="preserve">the anova, all years except </w:t>
      </w:r>
      <w:r w:rsidR="0011271A">
        <w:t>2005</w:t>
      </w:r>
      <w:r w:rsidR="00EC5272">
        <w:t>,</w:t>
      </w:r>
      <w:r w:rsidR="0011271A">
        <w:t xml:space="preserve"> provide a </w:t>
      </w:r>
      <w:r w:rsidR="00E549DA">
        <w:t xml:space="preserve">reliable </w:t>
      </w:r>
      <w:r w:rsidR="0011271A">
        <w:t>model. The value of anova</w:t>
      </w:r>
      <w:r w:rsidR="00EC5272">
        <w:t xml:space="preserve"> for </w:t>
      </w:r>
      <w:r w:rsidR="00DC54DE">
        <w:t>2005 is</w:t>
      </w:r>
      <w:r w:rsidR="0011271A">
        <w:t xml:space="preserve"> above the used sig</w:t>
      </w:r>
      <w:r w:rsidR="00EC5272">
        <w:t xml:space="preserve">nificant level of 10%, </w:t>
      </w:r>
      <w:r w:rsidR="00F41726">
        <w:t xml:space="preserve">which </w:t>
      </w:r>
      <w:r w:rsidR="0011271A">
        <w:t>implies the designed model for 2005 is not a</w:t>
      </w:r>
      <w:r w:rsidR="00F41726">
        <w:t>n</w:t>
      </w:r>
      <w:r w:rsidR="0011271A">
        <w:t xml:space="preserve"> </w:t>
      </w:r>
      <w:r w:rsidR="00F41726">
        <w:t xml:space="preserve">accurate </w:t>
      </w:r>
      <w:r w:rsidR="0011271A">
        <w:t xml:space="preserve">prediction of </w:t>
      </w:r>
      <w:r w:rsidR="00C86669">
        <w:t>reputation</w:t>
      </w:r>
      <w:r w:rsidR="0011271A">
        <w:t>. The R square</w:t>
      </w:r>
      <w:r w:rsidR="00F41726">
        <w:t>d</w:t>
      </w:r>
      <w:r w:rsidR="0011271A">
        <w:t xml:space="preserve"> is relative</w:t>
      </w:r>
      <w:r w:rsidR="00F41726">
        <w:t>ly</w:t>
      </w:r>
      <w:r w:rsidR="0011271A">
        <w:t xml:space="preserve"> high for all years</w:t>
      </w:r>
      <w:r w:rsidR="009E48D5">
        <w:t xml:space="preserve">, this implies that when there is a change in the dependent variables, </w:t>
      </w:r>
      <w:r w:rsidR="00EC5272">
        <w:t>the change is</w:t>
      </w:r>
      <w:r w:rsidR="009E48D5">
        <w:t xml:space="preserve"> observable in the </w:t>
      </w:r>
      <w:r w:rsidR="00C86669">
        <w:t>reputation</w:t>
      </w:r>
      <w:r w:rsidR="009E48D5">
        <w:t>.</w:t>
      </w:r>
      <w:r>
        <w:t xml:space="preserve"> </w:t>
      </w:r>
      <w:r w:rsidR="009E48D5">
        <w:t xml:space="preserve">The R squares of this method are higher </w:t>
      </w:r>
      <w:r w:rsidR="00F41726">
        <w:t>compared to</w:t>
      </w:r>
      <w:r>
        <w:t xml:space="preserve"> the first method</w:t>
      </w:r>
      <w:r w:rsidR="00F41726">
        <w:t>.</w:t>
      </w:r>
      <w:r>
        <w:t xml:space="preserve"> </w:t>
      </w:r>
      <w:r w:rsidR="00F41726">
        <w:t>T</w:t>
      </w:r>
      <w:r>
        <w:t>he</w:t>
      </w:r>
      <w:r w:rsidR="00EC5272">
        <w:t xml:space="preserve"> included</w:t>
      </w:r>
      <w:r>
        <w:t xml:space="preserve"> categorical variables in the second method have an improved </w:t>
      </w:r>
      <w:r w:rsidR="00EC5272">
        <w:t>prediction on th</w:t>
      </w:r>
      <w:r>
        <w:t>e reputation index. Still there is space for other variables to in</w:t>
      </w:r>
      <w:r w:rsidR="00EC5272">
        <w:t>crease the predictability of</w:t>
      </w:r>
      <w:r>
        <w:t xml:space="preserve"> reputation index. It is remarkable that the VIF score is</w:t>
      </w:r>
      <w:r w:rsidR="00F41726">
        <w:t xml:space="preserve"> higher</w:t>
      </w:r>
      <w:r>
        <w:t xml:space="preserve"> in the second model. The </w:t>
      </w:r>
      <w:r w:rsidR="00691A7B">
        <w:t>collinearity</w:t>
      </w:r>
      <w:r>
        <w:t xml:space="preserve"> of the second model is higher, this implies </w:t>
      </w:r>
      <w:r w:rsidR="00F41726">
        <w:t>the</w:t>
      </w:r>
      <w:r>
        <w:t xml:space="preserve"> results are less reliable</w:t>
      </w:r>
      <w:r w:rsidR="009E48D5">
        <w:t xml:space="preserve"> </w:t>
      </w:r>
      <w:r w:rsidR="00F41726">
        <w:t>compared to</w:t>
      </w:r>
      <w:r w:rsidR="009E48D5">
        <w:t xml:space="preserve"> the first model</w:t>
      </w:r>
      <w:r>
        <w:t xml:space="preserve">. In 2007 there is much </w:t>
      </w:r>
      <w:r w:rsidR="00691A7B">
        <w:t>collinearity</w:t>
      </w:r>
      <w:r w:rsidR="00EC5272">
        <w:t xml:space="preserve"> between variables</w:t>
      </w:r>
      <w:r w:rsidR="00F41726">
        <w:t>,</w:t>
      </w:r>
      <w:r>
        <w:t xml:space="preserve"> this </w:t>
      </w:r>
      <w:r w:rsidR="00F41726">
        <w:t>is caused by</w:t>
      </w:r>
      <w:r>
        <w:t xml:space="preserve"> the categorical variables</w:t>
      </w:r>
      <w:r w:rsidR="00EC5272">
        <w:t xml:space="preserve"> of</w:t>
      </w:r>
      <w:r>
        <w:t xml:space="preserve"> </w:t>
      </w:r>
      <w:r w:rsidR="009E48D5">
        <w:t xml:space="preserve">CSR report </w:t>
      </w:r>
      <w:r>
        <w:t xml:space="preserve">level. </w:t>
      </w:r>
    </w:p>
    <w:p w:rsidR="00631FDC" w:rsidRDefault="009E48D5" w:rsidP="001937E3">
      <w:pPr>
        <w:spacing w:line="360" w:lineRule="auto"/>
        <w:jc w:val="both"/>
      </w:pPr>
      <w:r>
        <w:t>Following the result</w:t>
      </w:r>
      <w:r w:rsidR="00F41726">
        <w:t>s</w:t>
      </w:r>
      <w:r>
        <w:t xml:space="preserve"> of table </w:t>
      </w:r>
      <w:r w:rsidR="00EC5272">
        <w:t>10</w:t>
      </w:r>
      <w:r w:rsidR="00631FDC">
        <w:t xml:space="preserve">, the different CSR </w:t>
      </w:r>
      <w:r>
        <w:t>report levels have</w:t>
      </w:r>
      <w:r w:rsidR="00631FDC">
        <w:t xml:space="preserve"> less </w:t>
      </w:r>
      <w:r>
        <w:t xml:space="preserve">different influences on </w:t>
      </w:r>
      <w:r w:rsidR="00C86669">
        <w:t>reputation</w:t>
      </w:r>
      <w:r w:rsidR="00631FDC">
        <w:t xml:space="preserve">. Only in the year 2005 and 2006 </w:t>
      </w:r>
      <w:r>
        <w:t xml:space="preserve">difference in </w:t>
      </w:r>
      <w:r w:rsidR="00631FDC">
        <w:t>influences are observable. The</w:t>
      </w:r>
      <w:r>
        <w:t xml:space="preserve">re is proven </w:t>
      </w:r>
      <w:r w:rsidR="00DC54DE">
        <w:t>that C</w:t>
      </w:r>
      <w:r w:rsidR="00631FDC">
        <w:t xml:space="preserve">+ level in 2005 and the B and C level in 2006 have </w:t>
      </w:r>
      <w:r>
        <w:t xml:space="preserve">different </w:t>
      </w:r>
      <w:r w:rsidR="00631FDC">
        <w:t>i</w:t>
      </w:r>
      <w:r>
        <w:t xml:space="preserve">nfluences on the </w:t>
      </w:r>
      <w:r w:rsidR="00C86669">
        <w:t>reputation</w:t>
      </w:r>
      <w:r w:rsidR="00631FDC">
        <w:t>. The C+ level has</w:t>
      </w:r>
      <w:r w:rsidR="00342485">
        <w:t>,</w:t>
      </w:r>
      <w:r w:rsidR="00631FDC">
        <w:t xml:space="preserve"> in 2005</w:t>
      </w:r>
      <w:r w:rsidR="00342485">
        <w:t>,</w:t>
      </w:r>
      <w:r w:rsidR="00631FDC">
        <w:t xml:space="preserve"> a</w:t>
      </w:r>
      <w:r>
        <w:t xml:space="preserve"> significant</w:t>
      </w:r>
      <w:r w:rsidR="00631FDC">
        <w:t xml:space="preserve"> positive in</w:t>
      </w:r>
      <w:r>
        <w:t>fluences and the B and C level have a significant</w:t>
      </w:r>
      <w:r w:rsidR="00631FDC">
        <w:t xml:space="preserve"> negative influence</w:t>
      </w:r>
      <w:r w:rsidR="00EC5272">
        <w:t>,</w:t>
      </w:r>
      <w:r>
        <w:t xml:space="preserve"> compared with the IA level</w:t>
      </w:r>
      <w:r w:rsidR="00631FDC">
        <w:t xml:space="preserve">. </w:t>
      </w:r>
      <w:r w:rsidR="00EC5272">
        <w:t>The</w:t>
      </w:r>
      <w:r w:rsidR="00631FDC">
        <w:t xml:space="preserve"> degree of </w:t>
      </w:r>
      <w:r>
        <w:t xml:space="preserve">different influences is </w:t>
      </w:r>
      <w:r w:rsidR="00631FDC">
        <w:t>pretty high, the C+ level in 2005 improved the reputation index with 1,793</w:t>
      </w:r>
      <w:r w:rsidR="008E0BDF">
        <w:t xml:space="preserve"> in comparison with level IA. Besides the different</w:t>
      </w:r>
      <w:r w:rsidR="00631FDC">
        <w:t xml:space="preserve"> influences</w:t>
      </w:r>
      <w:r w:rsidR="008E0BDF">
        <w:t xml:space="preserve"> of C+ in 2005, B and C level in 2006</w:t>
      </w:r>
      <w:r w:rsidR="00631FDC">
        <w:t xml:space="preserve">, there </w:t>
      </w:r>
      <w:r w:rsidR="008E0BDF">
        <w:t>is no pro</w:t>
      </w:r>
      <w:r w:rsidR="00342485">
        <w:t>of</w:t>
      </w:r>
      <w:r w:rsidR="008E0BDF">
        <w:t xml:space="preserve"> that the different CSR report levels have a different influence on </w:t>
      </w:r>
      <w:r w:rsidR="00C86669">
        <w:t>reputation</w:t>
      </w:r>
      <w:r w:rsidR="008E0BDF">
        <w:t xml:space="preserve">. </w:t>
      </w:r>
    </w:p>
    <w:p w:rsidR="00631FDC" w:rsidRDefault="00631FDC" w:rsidP="001937E3">
      <w:pPr>
        <w:spacing w:line="360" w:lineRule="auto"/>
        <w:jc w:val="both"/>
      </w:pPr>
      <w:r>
        <w:t>In the results evidence</w:t>
      </w:r>
      <w:r w:rsidR="008E0BDF">
        <w:t xml:space="preserve"> </w:t>
      </w:r>
      <w:r w:rsidR="00342485">
        <w:t xml:space="preserve">was </w:t>
      </w:r>
      <w:r w:rsidR="008E0BDF">
        <w:t>found</w:t>
      </w:r>
      <w:r>
        <w:t xml:space="preserve"> that size has an influence on </w:t>
      </w:r>
      <w:r w:rsidR="00C86669">
        <w:t>reputation</w:t>
      </w:r>
      <w:r>
        <w:t>. In the results of 2005 an</w:t>
      </w:r>
      <w:r w:rsidR="00EC5272">
        <w:t>d 2009</w:t>
      </w:r>
      <w:r w:rsidR="008E0BDF">
        <w:t xml:space="preserve"> a p-value less than 0,01</w:t>
      </w:r>
      <w:r>
        <w:t xml:space="preserve"> </w:t>
      </w:r>
      <w:r w:rsidR="00EC5272">
        <w:t xml:space="preserve">is </w:t>
      </w:r>
      <w:r>
        <w:t xml:space="preserve">observable. The size of a company has a positive influence on the </w:t>
      </w:r>
      <w:r w:rsidR="00C86669">
        <w:t>reputation</w:t>
      </w:r>
      <w:r w:rsidR="00287F52">
        <w:t>.</w:t>
      </w:r>
      <w:r>
        <w:t xml:space="preserve">  When the size control variable is included in the basic model, the R square</w:t>
      </w:r>
      <w:r w:rsidR="00342485">
        <w:t>d</w:t>
      </w:r>
      <w:r>
        <w:t xml:space="preserve"> improves. But </w:t>
      </w:r>
      <w:r w:rsidR="008E0BDF">
        <w:t xml:space="preserve">when the size variable is included only in the years 2005 and 2009 a significant </w:t>
      </w:r>
      <w:r w:rsidR="00287F52">
        <w:t>influence</w:t>
      </w:r>
      <w:r w:rsidR="008E0BDF">
        <w:t xml:space="preserve"> is observable. </w:t>
      </w:r>
      <w:r w:rsidR="00342485">
        <w:t>A</w:t>
      </w:r>
      <w:r>
        <w:t xml:space="preserve">lso only in the years 2005 and 2009 the size has </w:t>
      </w:r>
      <w:r w:rsidR="00DC54DE">
        <w:t>a</w:t>
      </w:r>
      <w:r>
        <w:t xml:space="preserve"> significant influence. In t</w:t>
      </w:r>
      <w:r w:rsidR="00287F52">
        <w:t>hese years the CSR report levels B+, U and C+</w:t>
      </w:r>
      <w:r>
        <w:t xml:space="preserve"> </w:t>
      </w:r>
      <w:r w:rsidR="00342485">
        <w:t xml:space="preserve">have </w:t>
      </w:r>
      <w:r>
        <w:t>a significant</w:t>
      </w:r>
      <w:r w:rsidR="00287F52">
        <w:t xml:space="preserve"> different</w:t>
      </w:r>
      <w:r>
        <w:t xml:space="preserve"> influence on the reputation index</w:t>
      </w:r>
      <w:r w:rsidR="00287F52">
        <w:t>, compared with the IA level</w:t>
      </w:r>
      <w:r>
        <w:t>.</w:t>
      </w:r>
    </w:p>
    <w:p w:rsidR="00631FDC" w:rsidRDefault="00631FDC" w:rsidP="001937E3">
      <w:pPr>
        <w:spacing w:line="360" w:lineRule="auto"/>
        <w:jc w:val="both"/>
      </w:pPr>
      <w:r>
        <w:t xml:space="preserve">In the years 2005, 2008 and 2009 there is a significant influence of the financial performances on the reputation index observable. For these years is proven that a higher </w:t>
      </w:r>
      <w:r w:rsidR="00EC5272">
        <w:t>return on assets (with an amount of one)</w:t>
      </w:r>
      <w:r w:rsidR="00287F52">
        <w:t xml:space="preserve"> </w:t>
      </w:r>
      <w:r w:rsidR="00B66BCA">
        <w:t xml:space="preserve">increased the reputation index with </w:t>
      </w:r>
      <w:r>
        <w:t>0,09</w:t>
      </w:r>
      <w:r w:rsidR="002C3F91">
        <w:t>;</w:t>
      </w:r>
      <w:r>
        <w:t>0,04</w:t>
      </w:r>
      <w:r w:rsidR="00B66BCA">
        <w:t xml:space="preserve">9 or 0,04. </w:t>
      </w:r>
      <w:r>
        <w:t>When the financial performances vari</w:t>
      </w:r>
      <w:r w:rsidR="00287F52">
        <w:t xml:space="preserve">able is included in the </w:t>
      </w:r>
      <w:r w:rsidR="00DC54DE">
        <w:t>basic model</w:t>
      </w:r>
      <w:r>
        <w:t>, a significant influence for the years 2005, 2008 and 2009 on the reputation index is proven</w:t>
      </w:r>
      <w:r w:rsidR="00287F52">
        <w:t>. The R square</w:t>
      </w:r>
      <w:r w:rsidR="002C3F91">
        <w:t>d</w:t>
      </w:r>
      <w:r w:rsidR="00287F52">
        <w:t xml:space="preserve"> increases in the basic model when the variable of the financial </w:t>
      </w:r>
      <w:r w:rsidR="00287F52">
        <w:lastRenderedPageBreak/>
        <w:t xml:space="preserve">performance is included. Including </w:t>
      </w:r>
      <w:r>
        <w:t xml:space="preserve">the financial performances variable in the basic model has also </w:t>
      </w:r>
      <w:r w:rsidR="002C3F91">
        <w:t>results in</w:t>
      </w:r>
      <w:r>
        <w:t xml:space="preserve"> </w:t>
      </w:r>
      <w:r w:rsidR="002C3F91">
        <w:t xml:space="preserve">a different influence of </w:t>
      </w:r>
      <w:r>
        <w:t xml:space="preserve">the B+ and U level </w:t>
      </w:r>
      <w:r w:rsidR="002C3F91">
        <w:t xml:space="preserve">in comparison with </w:t>
      </w:r>
      <w:r w:rsidR="00B66BCA">
        <w:t>IA</w:t>
      </w:r>
      <w:r w:rsidR="002C3F91">
        <w:t xml:space="preserve"> level</w:t>
      </w:r>
      <w:r w:rsidR="00B66BCA">
        <w:t>.</w:t>
      </w:r>
    </w:p>
    <w:p w:rsidR="00631FDC" w:rsidRDefault="00631FDC" w:rsidP="001937E3">
      <w:pPr>
        <w:spacing w:line="360" w:lineRule="auto"/>
        <w:jc w:val="both"/>
      </w:pPr>
      <w:r>
        <w:t>For the general selling &amp; administrative ex</w:t>
      </w:r>
      <w:r w:rsidR="00930016">
        <w:t xml:space="preserve">penses to sales, no evidence </w:t>
      </w:r>
      <w:r w:rsidR="008A55E1">
        <w:t xml:space="preserve">for </w:t>
      </w:r>
      <w:r w:rsidR="00930016">
        <w:t xml:space="preserve">a significant influence on the </w:t>
      </w:r>
      <w:r w:rsidR="00C86669">
        <w:t>reputation</w:t>
      </w:r>
      <w:r w:rsidR="00930016">
        <w:t xml:space="preserve"> </w:t>
      </w:r>
      <w:r w:rsidR="008A55E1">
        <w:t xml:space="preserve">was </w:t>
      </w:r>
      <w:r>
        <w:t xml:space="preserve">found. When including this variable in the basic model, no influence </w:t>
      </w:r>
      <w:r w:rsidR="008A55E1">
        <w:t xml:space="preserve">was </w:t>
      </w:r>
      <w:r>
        <w:t>found. This implies that the general selling &amp; administrative expenses to sales, have no in</w:t>
      </w:r>
      <w:r w:rsidR="00B66BCA">
        <w:t>fluence on</w:t>
      </w:r>
      <w:r>
        <w:t xml:space="preserve"> </w:t>
      </w:r>
      <w:r w:rsidR="00C86669">
        <w:t>reputation</w:t>
      </w:r>
      <w:r w:rsidR="00930016">
        <w:t xml:space="preserve"> </w:t>
      </w:r>
      <w:r>
        <w:t xml:space="preserve">and no influence on the relationship between CSR reporting and the </w:t>
      </w:r>
      <w:r w:rsidR="00C86669">
        <w:t>reputation</w:t>
      </w:r>
      <w:r>
        <w:t>.</w:t>
      </w:r>
    </w:p>
    <w:p w:rsidR="00631FDC" w:rsidRDefault="00631FDC" w:rsidP="001937E3">
      <w:pPr>
        <w:spacing w:line="360" w:lineRule="auto"/>
        <w:jc w:val="both"/>
      </w:pPr>
      <w:r>
        <w:t>Following the result</w:t>
      </w:r>
      <w:r w:rsidR="00B0641F">
        <w:t>s of</w:t>
      </w:r>
      <w:r>
        <w:t xml:space="preserve"> table</w:t>
      </w:r>
      <w:r w:rsidR="00B66BCA">
        <w:t xml:space="preserve"> 10</w:t>
      </w:r>
      <w:r>
        <w:t xml:space="preserve">, </w:t>
      </w:r>
      <w:r w:rsidR="00B0641F">
        <w:t>it is</w:t>
      </w:r>
      <w:r>
        <w:t xml:space="preserve"> proven that </w:t>
      </w:r>
      <w:r w:rsidR="00DC54DE">
        <w:t>regions have</w:t>
      </w:r>
      <w:r>
        <w:t xml:space="preserve"> a significant influence on the </w:t>
      </w:r>
      <w:r w:rsidR="00C86669">
        <w:t>reputation</w:t>
      </w:r>
      <w:r>
        <w:t xml:space="preserve">. For 2005, 2006 and 2009 </w:t>
      </w:r>
      <w:r w:rsidR="00B0641F">
        <w:t>it is</w:t>
      </w:r>
      <w:r>
        <w:t xml:space="preserve"> proven that companies from </w:t>
      </w:r>
      <w:r w:rsidR="00930016">
        <w:t>Northern America ha</w:t>
      </w:r>
      <w:r w:rsidR="00B0641F">
        <w:t>ve</w:t>
      </w:r>
      <w:r w:rsidR="00930016">
        <w:t xml:space="preserve"> a positive different </w:t>
      </w:r>
      <w:r w:rsidR="00C86669">
        <w:t>reputation</w:t>
      </w:r>
      <w:r w:rsidR="00930016">
        <w:t xml:space="preserve"> than companies from Europe</w:t>
      </w:r>
      <w:r>
        <w:t>. In 2007 an</w:t>
      </w:r>
      <w:r w:rsidR="00930016">
        <w:t>d</w:t>
      </w:r>
      <w:r>
        <w:t xml:space="preserve"> 2009 Latin America has a significant </w:t>
      </w:r>
      <w:r w:rsidR="00930016">
        <w:t xml:space="preserve">different influence on </w:t>
      </w:r>
      <w:r w:rsidR="00C86669">
        <w:t>reputation</w:t>
      </w:r>
      <w:r w:rsidR="00930016">
        <w:t xml:space="preserve"> </w:t>
      </w:r>
      <w:r w:rsidR="00B0641F">
        <w:t xml:space="preserve">compared to </w:t>
      </w:r>
      <w:r w:rsidR="00930016">
        <w:t>Europe. The</w:t>
      </w:r>
      <w:r>
        <w:t xml:space="preserve"> reputation index </w:t>
      </w:r>
      <w:r w:rsidR="00930016">
        <w:t xml:space="preserve">is higher in 2007 and 2009 for companies from Latin America </w:t>
      </w:r>
      <w:r w:rsidR="00B0641F">
        <w:t xml:space="preserve">compared to companies </w:t>
      </w:r>
      <w:r w:rsidR="00930016">
        <w:t>from Europe. When Asia is taken as reference category (not showed</w:t>
      </w:r>
      <w:r w:rsidR="00B0641F">
        <w:t xml:space="preserve"> in table</w:t>
      </w:r>
      <w:r w:rsidR="00930016">
        <w:t xml:space="preserve">) </w:t>
      </w:r>
      <w:r w:rsidR="00B0641F">
        <w:t xml:space="preserve">it </w:t>
      </w:r>
      <w:r w:rsidR="00930016">
        <w:t xml:space="preserve">is proven that Europe has a significant different positive influence on </w:t>
      </w:r>
      <w:r w:rsidR="00C86669">
        <w:t>reputation</w:t>
      </w:r>
      <w:r w:rsidR="00B0641F">
        <w:t xml:space="preserve"> in 2009</w:t>
      </w:r>
      <w:r w:rsidR="00930016">
        <w:t>.</w:t>
      </w:r>
      <w:r>
        <w:t xml:space="preserve"> When the different regions are included in the basic model, </w:t>
      </w:r>
      <w:r w:rsidR="00930016">
        <w:t xml:space="preserve">evidence is found that regions have an </w:t>
      </w:r>
      <w:r w:rsidR="00B66BCA">
        <w:t>i</w:t>
      </w:r>
      <w:r w:rsidR="00930016">
        <w:t xml:space="preserve">nfluence on the relationship between CSR report level and </w:t>
      </w:r>
      <w:r w:rsidR="00C86669">
        <w:t>reputation</w:t>
      </w:r>
      <w:r w:rsidR="00930016">
        <w:t>. Th</w:t>
      </w:r>
      <w:r w:rsidR="00B0641F">
        <w:t>ese</w:t>
      </w:r>
      <w:r w:rsidR="00930016">
        <w:t xml:space="preserve"> results prove </w:t>
      </w:r>
      <w:r>
        <w:t>differences exist in the influence of regions</w:t>
      </w:r>
      <w:r w:rsidR="00B0641F">
        <w:t>.</w:t>
      </w:r>
      <w:r>
        <w:t xml:space="preserve"> Northern America, Latin America</w:t>
      </w:r>
      <w:r w:rsidR="000169AB">
        <w:t>, Asia</w:t>
      </w:r>
      <w:r>
        <w:t xml:space="preserve"> and Europe have </w:t>
      </w:r>
      <w:r w:rsidR="00930016">
        <w:t>different</w:t>
      </w:r>
      <w:r>
        <w:t xml:space="preserve"> influence</w:t>
      </w:r>
      <w:r w:rsidR="00930016">
        <w:t>s</w:t>
      </w:r>
      <w:r>
        <w:t xml:space="preserve"> on the</w:t>
      </w:r>
      <w:r w:rsidR="00930016">
        <w:t xml:space="preserve"> </w:t>
      </w:r>
      <w:r w:rsidR="00C86669">
        <w:t>reputation</w:t>
      </w:r>
      <w:r>
        <w:t xml:space="preserve">. When </w:t>
      </w:r>
      <w:r w:rsidR="00B0641F">
        <w:t>looking at</w:t>
      </w:r>
      <w:r>
        <w:t xml:space="preserve"> specific regions, evidence is found that the countries USA, </w:t>
      </w:r>
      <w:r w:rsidR="0003061A">
        <w:t>Brazil</w:t>
      </w:r>
      <w:r>
        <w:t>, Finland, Germany, Switzerland and the United Kingdom have a significant</w:t>
      </w:r>
      <w:r w:rsidR="000169AB">
        <w:t xml:space="preserve"> </w:t>
      </w:r>
      <w:r w:rsidR="0003061A">
        <w:t>different</w:t>
      </w:r>
      <w:r>
        <w:t xml:space="preserve"> influence.</w:t>
      </w:r>
    </w:p>
    <w:p w:rsidR="00631FDC" w:rsidRDefault="00631FDC" w:rsidP="001937E3">
      <w:pPr>
        <w:spacing w:line="360" w:lineRule="auto"/>
        <w:jc w:val="both"/>
      </w:pPr>
      <w:r>
        <w:t>When focus</w:t>
      </w:r>
      <w:r w:rsidR="00B0641F">
        <w:t>ing</w:t>
      </w:r>
      <w:r>
        <w:t xml:space="preserve"> on the results of the industry categories </w:t>
      </w:r>
      <w:r w:rsidR="00B0641F">
        <w:t>evidence</w:t>
      </w:r>
      <w:r>
        <w:t xml:space="preserve"> is found </w:t>
      </w:r>
      <w:r w:rsidR="000169AB">
        <w:t>differences exist in the influence of industries on the reputation index. The difference</w:t>
      </w:r>
      <w:r w:rsidR="00B0641F">
        <w:t>s</w:t>
      </w:r>
      <w:r w:rsidR="000169AB">
        <w:t xml:space="preserve"> in influence are not observable in 2005. From 2006 </w:t>
      </w:r>
      <w:r w:rsidR="00691A7B">
        <w:t>up till</w:t>
      </w:r>
      <w:r w:rsidR="000169AB">
        <w:t xml:space="preserve"> </w:t>
      </w:r>
      <w:r w:rsidR="00B0641F">
        <w:t xml:space="preserve">and including </w:t>
      </w:r>
      <w:r w:rsidR="000169AB">
        <w:t>2009 the different influences among industries are observable, but few industries differ significantly from the consumer goods. In 2006 only the industry type industrials, ha</w:t>
      </w:r>
      <w:r w:rsidR="00B0641F">
        <w:t>s</w:t>
      </w:r>
      <w:r w:rsidR="000169AB">
        <w:t xml:space="preserve"> a significant different influence on the reputation index. I</w:t>
      </w:r>
      <w:r>
        <w:t>n 2007 telecommunications and technology has a significan</w:t>
      </w:r>
      <w:r w:rsidR="000169AB">
        <w:t>t different influence on the reputation index, compared to consumer goods.  In comparison with consumer goods telecommunications has a negative influence on the reputation index and technology industry improves the reputation index.</w:t>
      </w:r>
      <w:r>
        <w:t xml:space="preserve"> </w:t>
      </w:r>
      <w:r w:rsidR="006B3CE9">
        <w:t>Oil &amp; Gas industry has</w:t>
      </w:r>
      <w:r w:rsidR="00B0641F">
        <w:t>,</w:t>
      </w:r>
      <w:r w:rsidR="006B3CE9">
        <w:t xml:space="preserve"> in 2008</w:t>
      </w:r>
      <w:r w:rsidR="00B0641F">
        <w:t>,</w:t>
      </w:r>
      <w:r w:rsidR="006B3CE9">
        <w:t xml:space="preserve"> a significant different influence on the reputation index </w:t>
      </w:r>
      <w:r w:rsidR="00B0641F">
        <w:t xml:space="preserve">compared to </w:t>
      </w:r>
      <w:r w:rsidR="006B3CE9">
        <w:t xml:space="preserve">consumer goods. Companies in the oil &amp; gas industry in 2008 have higher reputation index than companies in the consumer goods industry. In 2009 companies operating in the oil &amp; gas, basic materials, utilities and technology industry are facing a significant different influence on reputation index than companies operating in the consumer goods. These companies operating in the oil &amp; gas, basic material, utilities and technology have a higher </w:t>
      </w:r>
      <w:r w:rsidR="006B3CE9">
        <w:lastRenderedPageBreak/>
        <w:t>reputation index than the consumer goods. When only the industry variable is included in the basic model, also less evidence is found that different regions ha</w:t>
      </w:r>
      <w:r w:rsidR="00B0641F">
        <w:t>ve</w:t>
      </w:r>
      <w:r w:rsidR="006B3CE9">
        <w:t xml:space="preserve"> a different influence on the reputation index. Also the R square</w:t>
      </w:r>
      <w:r w:rsidR="00B0641F">
        <w:t>d</w:t>
      </w:r>
      <w:r w:rsidR="006B3CE9">
        <w:t xml:space="preserve"> improves little, when regions are included in the basic model</w:t>
      </w:r>
      <w:r>
        <w:t xml:space="preserve">. </w:t>
      </w:r>
      <w:r w:rsidR="00B0641F">
        <w:t>T</w:t>
      </w:r>
      <w:r>
        <w:t>his implies that the industry has less influence on</w:t>
      </w:r>
      <w:r w:rsidR="006B3CE9">
        <w:t xml:space="preserve"> the relationship </w:t>
      </w:r>
      <w:r w:rsidR="00DC54DE">
        <w:t>between CSR</w:t>
      </w:r>
      <w:r w:rsidR="006B3CE9">
        <w:t xml:space="preserve"> quality and </w:t>
      </w:r>
      <w:r w:rsidR="00C86669">
        <w:t>reputation</w:t>
      </w:r>
      <w:r w:rsidR="006B3CE9">
        <w:t xml:space="preserve">. </w:t>
      </w:r>
    </w:p>
    <w:p w:rsidR="006B3CE9" w:rsidRDefault="006B3CE9" w:rsidP="001937E3">
      <w:pPr>
        <w:pStyle w:val="Heading1"/>
        <w:jc w:val="both"/>
        <w:rPr>
          <w:u w:val="single"/>
        </w:rPr>
      </w:pPr>
    </w:p>
    <w:p w:rsidR="006B3CE9" w:rsidRDefault="006B3CE9" w:rsidP="001937E3">
      <w:pPr>
        <w:pStyle w:val="Heading1"/>
        <w:jc w:val="both"/>
        <w:rPr>
          <w:u w:val="single"/>
        </w:rPr>
      </w:pPr>
    </w:p>
    <w:p w:rsidR="006B3CE9" w:rsidRDefault="006B3CE9" w:rsidP="001937E3">
      <w:pPr>
        <w:pStyle w:val="Heading1"/>
        <w:jc w:val="both"/>
        <w:rPr>
          <w:u w:val="single"/>
        </w:rPr>
      </w:pPr>
    </w:p>
    <w:p w:rsidR="006B3CE9" w:rsidRDefault="006B3CE9" w:rsidP="001937E3">
      <w:pPr>
        <w:pStyle w:val="Heading1"/>
        <w:jc w:val="both"/>
        <w:rPr>
          <w:u w:val="single"/>
        </w:rPr>
      </w:pPr>
    </w:p>
    <w:p w:rsidR="006B3CE9" w:rsidRDefault="006B3CE9" w:rsidP="001937E3">
      <w:pPr>
        <w:pStyle w:val="Heading1"/>
        <w:jc w:val="both"/>
        <w:rPr>
          <w:u w:val="single"/>
        </w:rPr>
      </w:pPr>
    </w:p>
    <w:p w:rsidR="006B3CE9" w:rsidRDefault="006B3CE9" w:rsidP="001937E3">
      <w:pPr>
        <w:pStyle w:val="Heading1"/>
        <w:jc w:val="both"/>
        <w:rPr>
          <w:u w:val="single"/>
        </w:rPr>
      </w:pPr>
    </w:p>
    <w:p w:rsidR="006B3CE9" w:rsidRDefault="006B3CE9" w:rsidP="001937E3">
      <w:pPr>
        <w:pStyle w:val="Heading1"/>
        <w:jc w:val="both"/>
        <w:rPr>
          <w:u w:val="single"/>
        </w:rPr>
      </w:pPr>
    </w:p>
    <w:p w:rsidR="006B3CE9" w:rsidRDefault="006B3CE9" w:rsidP="001937E3">
      <w:pPr>
        <w:pStyle w:val="Heading1"/>
        <w:jc w:val="both"/>
        <w:rPr>
          <w:u w:val="single"/>
        </w:rPr>
      </w:pPr>
    </w:p>
    <w:p w:rsidR="0077750E" w:rsidRDefault="0077750E" w:rsidP="001937E3">
      <w:pPr>
        <w:jc w:val="both"/>
      </w:pPr>
    </w:p>
    <w:p w:rsidR="0077750E" w:rsidRDefault="0077750E" w:rsidP="001937E3">
      <w:pPr>
        <w:jc w:val="both"/>
      </w:pPr>
    </w:p>
    <w:p w:rsidR="0077750E" w:rsidRDefault="0077750E" w:rsidP="001937E3">
      <w:pPr>
        <w:jc w:val="both"/>
      </w:pPr>
    </w:p>
    <w:p w:rsidR="0077750E" w:rsidRDefault="0077750E" w:rsidP="001937E3">
      <w:pPr>
        <w:jc w:val="both"/>
      </w:pPr>
    </w:p>
    <w:p w:rsidR="0077750E" w:rsidRDefault="0077750E" w:rsidP="001937E3">
      <w:pPr>
        <w:jc w:val="both"/>
      </w:pPr>
    </w:p>
    <w:p w:rsidR="0077750E" w:rsidRPr="0077750E" w:rsidRDefault="0077750E" w:rsidP="001937E3">
      <w:pPr>
        <w:jc w:val="both"/>
      </w:pPr>
    </w:p>
    <w:p w:rsidR="006B3CE9" w:rsidRDefault="006B3CE9" w:rsidP="001937E3">
      <w:pPr>
        <w:pStyle w:val="Heading1"/>
        <w:jc w:val="both"/>
        <w:rPr>
          <w:u w:val="single"/>
        </w:rPr>
      </w:pPr>
    </w:p>
    <w:p w:rsidR="00730E84" w:rsidRDefault="00730E84" w:rsidP="001937E3">
      <w:pPr>
        <w:jc w:val="both"/>
      </w:pPr>
    </w:p>
    <w:p w:rsidR="001937E3" w:rsidRDefault="001937E3" w:rsidP="001937E3">
      <w:pPr>
        <w:jc w:val="both"/>
      </w:pPr>
    </w:p>
    <w:p w:rsidR="001937E3" w:rsidRPr="00730E84" w:rsidRDefault="001937E3" w:rsidP="001937E3">
      <w:pPr>
        <w:jc w:val="both"/>
      </w:pPr>
    </w:p>
    <w:p w:rsidR="0077750E" w:rsidRDefault="0077750E" w:rsidP="001937E3">
      <w:pPr>
        <w:pStyle w:val="Heading1"/>
        <w:jc w:val="both"/>
        <w:rPr>
          <w:u w:val="single"/>
        </w:rPr>
      </w:pPr>
    </w:p>
    <w:p w:rsidR="002E7886" w:rsidRPr="002E7886" w:rsidRDefault="002E7886" w:rsidP="001937E3">
      <w:pPr>
        <w:jc w:val="both"/>
      </w:pPr>
    </w:p>
    <w:p w:rsidR="00631FDC" w:rsidRPr="00631FDC" w:rsidRDefault="006B3CE9" w:rsidP="001937E3">
      <w:pPr>
        <w:pStyle w:val="Heading1"/>
        <w:jc w:val="both"/>
      </w:pPr>
      <w:bookmarkStart w:id="61" w:name="_Toc299353403"/>
      <w:r>
        <w:rPr>
          <w:u w:val="single"/>
        </w:rPr>
        <w:lastRenderedPageBreak/>
        <w:t>C</w:t>
      </w:r>
      <w:r w:rsidR="00631FDC">
        <w:rPr>
          <w:u w:val="single"/>
        </w:rPr>
        <w:t>hapter 7 Conclusion</w:t>
      </w:r>
      <w:bookmarkEnd w:id="61"/>
    </w:p>
    <w:p w:rsidR="00631FDC" w:rsidRDefault="00730E84" w:rsidP="001937E3">
      <w:pPr>
        <w:spacing w:line="360" w:lineRule="auto"/>
        <w:jc w:val="both"/>
      </w:pPr>
      <w:r>
        <w:t>In this chapter the outcomes of the rese</w:t>
      </w:r>
      <w:r w:rsidR="00B66BCA">
        <w:t xml:space="preserve">arch are summarized. The first paragraph discusses </w:t>
      </w:r>
      <w:r>
        <w:t xml:space="preserve">the main findings of the research. Thereafter the implications for the scientific world, companies and society are discussed. </w:t>
      </w:r>
      <w:r w:rsidR="008E574D">
        <w:t xml:space="preserve">The limitations of </w:t>
      </w:r>
      <w:r w:rsidR="00691A7B">
        <w:t>this paper</w:t>
      </w:r>
      <w:r w:rsidR="008E574D">
        <w:t xml:space="preserve"> and opportunities of further research are discussed in the third paragraph.</w:t>
      </w:r>
    </w:p>
    <w:p w:rsidR="008E574D" w:rsidRDefault="008E574D" w:rsidP="001937E3">
      <w:pPr>
        <w:spacing w:line="360" w:lineRule="auto"/>
        <w:jc w:val="both"/>
      </w:pPr>
    </w:p>
    <w:p w:rsidR="008E574D" w:rsidRDefault="008E574D" w:rsidP="001937E3">
      <w:pPr>
        <w:pStyle w:val="Heading2"/>
        <w:spacing w:line="360" w:lineRule="auto"/>
        <w:jc w:val="both"/>
      </w:pPr>
      <w:bookmarkStart w:id="62" w:name="_Toc299353404"/>
      <w:r>
        <w:t>7.1 Discussion</w:t>
      </w:r>
      <w:bookmarkEnd w:id="62"/>
    </w:p>
    <w:p w:rsidR="00D43B55" w:rsidRDefault="00D43B55" w:rsidP="00D43B55">
      <w:pPr>
        <w:spacing w:line="360" w:lineRule="auto"/>
        <w:jc w:val="both"/>
      </w:pPr>
      <w:r>
        <w:t xml:space="preserve">In </w:t>
      </w:r>
      <w:r w:rsidR="00691A7B">
        <w:t>this paper</w:t>
      </w:r>
      <w:r>
        <w:t xml:space="preserve"> the relationship between CSR reporting and reputation is investigated. In prior research different impacts of CSR already have been researched. The financial impacts are already well established, but there is still room available to investigate the impact of CSR on society and stakeholders. Reputation is a measurement to investigate the effect of CSR on society. The society is affected after a CSR report. With this report society receives more CSR information about the company. As a result of the CSR report more transparency is provided. When the CSR report is of high quality, stakeholders are provided with more reliable information. It is to be expected that society will value a high quality of CSR reporting.  The agency theory explains that the information asymmetry is reduced after the CSR report. Stakeholders will value this, because stakeholders are provided with more transparency. The legitimacy theory and stakeholder theory explain that companies act in favor of </w:t>
      </w:r>
      <w:r w:rsidR="00691A7B">
        <w:t>stakeholders’</w:t>
      </w:r>
      <w:r>
        <w:t xml:space="preserve"> interest to obtain legitimacy. Stakeholders are demanding </w:t>
      </w:r>
      <w:r w:rsidR="00DC54DE">
        <w:t>high quality CSR reports, which increase</w:t>
      </w:r>
      <w:r>
        <w:t xml:space="preserve"> transparency, thereby providing stakeholders with more reliable information. The willingness of management to provide a high quality CSR report is dependent on the power among different stakeholders. This implies the expectation that CSR reporting quality has a positive influence on reputation.</w:t>
      </w:r>
    </w:p>
    <w:p w:rsidR="00D43B55" w:rsidRDefault="00D43B55" w:rsidP="00D43B55">
      <w:pPr>
        <w:spacing w:line="360" w:lineRule="auto"/>
        <w:jc w:val="both"/>
      </w:pPr>
      <w:r>
        <w:t xml:space="preserve">Prior research of Clarkson et al. (2010) found evidence about the positive influence of CSR reporting on </w:t>
      </w:r>
      <w:r w:rsidR="00691A7B">
        <w:t>public sentiment</w:t>
      </w:r>
      <w:r>
        <w:t xml:space="preserve">. In this study the five most polluting industries from the United States are included. In the study of Clarkson et al. (2010) the GRI framework is used as proxy to investigate CSR reporting. The Janis Fadner coefficient is used as proxy for the reputation. This is not the most accurate measurement for reputation, the coefficient assumes that reputation is equal for all companies when the same </w:t>
      </w:r>
      <w:r w:rsidR="00691A7B">
        <w:t>number of positive and negative environmental articles is</w:t>
      </w:r>
      <w:r>
        <w:t xml:space="preserve"> published. Also it is interesting to investigate the impact of CSR reporting quality on reputation for all types of industries. </w:t>
      </w:r>
    </w:p>
    <w:p w:rsidR="00D43B55" w:rsidRDefault="00D43B55" w:rsidP="00D43B55">
      <w:pPr>
        <w:spacing w:line="360" w:lineRule="auto"/>
        <w:jc w:val="both"/>
      </w:pPr>
      <w:r>
        <w:lastRenderedPageBreak/>
        <w:t>In t</w:t>
      </w:r>
      <w:r w:rsidR="00691A7B">
        <w:t>his paper CSR reporting quality</w:t>
      </w:r>
      <w:r>
        <w:t xml:space="preserve"> is measured with the CSR report level provided by the GRI Report List. From this list the application levels of CSR reports are observable, the report levels are A+, A, B+, B, C+, C, U, IA and CI. These levels contain the degree of conformity with CSR reporting guidelines. The reputation is measured with the reputation index, this index contains nine different components. The index is composed by directors, security analysts and executives of international companies. Combining the two databases resulted for the period 2005 till 2009 in 85, 106, 138, 167 and 175 data points respectively. The tested relation of CSR reporting quality and reputation is also dependent on other variables. These variables are size, financial performances, expenses to selling general and administration, region of company and the industry where the company operates.</w:t>
      </w:r>
    </w:p>
    <w:p w:rsidR="00C214CA" w:rsidRDefault="00C214CA" w:rsidP="00C214CA">
      <w:pPr>
        <w:spacing w:line="360" w:lineRule="auto"/>
        <w:jc w:val="both"/>
      </w:pPr>
      <w:r>
        <w:t xml:space="preserve">The impact of CSR report quality on reputation is tested with the correlation and the regression Correlation and regression makes use of different variables, the dependent variable is reputation. The independent variables are CSR reporting level, financial performance, size, percentage of selling general and administrative expenses to sales, region of company’s headquarter and industry where the company operates. Correlation measures the relation between reputation and an independent variable. With the regression the influence of more independent variables are measured on the reputation. The results show that there is no impact of CSR report quality on reputation. In </w:t>
      </w:r>
      <w:r w:rsidR="00691A7B">
        <w:t>this paper</w:t>
      </w:r>
      <w:r>
        <w:t xml:space="preserve"> no evidence is found that a relation exists between CSR reporting quality and reputation. Public does not observe the quality of a CSR report. The CSR reporting quality is not incorporated in the reputation index. Evidence is found about the influence of size on the relation between CSR reporting quality and reputation. The found evidence of the size influence is small, it is not observed for all years. Financial performances do have an influence on the impact of CSR reporting quality on reputation. The reputation index is dependent on financial performance. When a relation between CSR reporting quality and reputation exist, </w:t>
      </w:r>
      <w:r w:rsidR="00691A7B">
        <w:t>financial performances increase</w:t>
      </w:r>
      <w:r>
        <w:t xml:space="preserve"> the relationship. The percentage of general selling and administrative expenses to sales is a measurement to observe the degree of service expenses of sales. There is no evidence found, that general selling and administrative expenses to sales have an influence on the relation between CSR reporting quality and reputation. However, regions in which the headquarter of the company is seated do have an influence on the reputation index. A difference exists in the reputation index of companies from different regions. Evidence is found that Northern America has a significant different influence than Europe on the reputation index. Asia and Latin America also </w:t>
      </w:r>
      <w:r w:rsidR="00691A7B">
        <w:t>have a</w:t>
      </w:r>
      <w:r>
        <w:t xml:space="preserve"> significant different influence than Europe on the reputation index. Asia has a negative influence, Northern America and Latin America have positive influences. The results of regions implies that difference between region exist on the relation between CSR reporting quality and reputation. No </w:t>
      </w:r>
      <w:r>
        <w:lastRenderedPageBreak/>
        <w:t xml:space="preserve">significant different influences among industries are observable on the reputation index. Industries have no impact on the relation between CSR reporting quality and reputation. </w:t>
      </w:r>
    </w:p>
    <w:p w:rsidR="00C214CA" w:rsidRDefault="00C214CA" w:rsidP="00C214CA">
      <w:pPr>
        <w:spacing w:line="360" w:lineRule="auto"/>
        <w:jc w:val="both"/>
      </w:pPr>
    </w:p>
    <w:p w:rsidR="00C214CA" w:rsidRDefault="00C214CA" w:rsidP="00C214CA">
      <w:pPr>
        <w:pStyle w:val="Heading2"/>
        <w:spacing w:line="360" w:lineRule="auto"/>
        <w:jc w:val="both"/>
      </w:pPr>
      <w:bookmarkStart w:id="63" w:name="_Toc299353405"/>
      <w:r>
        <w:t>7.2 Implications</w:t>
      </w:r>
      <w:bookmarkEnd w:id="63"/>
    </w:p>
    <w:p w:rsidR="00C214CA" w:rsidRDefault="00C214CA" w:rsidP="00C214CA">
      <w:pPr>
        <w:spacing w:line="360" w:lineRule="auto"/>
        <w:jc w:val="both"/>
      </w:pPr>
      <w:r>
        <w:t xml:space="preserve">The findings of this paper contribute to the scientific world, as well as to companies and society. No relationship between CSR reporting quality and reputation is observed in this paper, but this outcome sheds new lights on the study of Clarkson et al. (2010).In the study of Clarkson et al. (2010) a relation is found between CSR reporting and public sentiment. But from this paper contradictory evidence is found, because no relationship is found between CSR reporting quality and reputation. Former studies that investigate the relation between CSR reporting and reputation, did not incorporate the impact of financial performances, percentage of general selling and administrative expenses to sales, regions or industries. The found evidence that suggests an impact of financial performances and regions on the relationship contributes to the scientific world. </w:t>
      </w:r>
    </w:p>
    <w:p w:rsidR="00C214CA" w:rsidRDefault="00C214CA" w:rsidP="00C214CA">
      <w:pPr>
        <w:spacing w:line="360" w:lineRule="auto"/>
        <w:jc w:val="both"/>
      </w:pPr>
      <w:r>
        <w:t>In this paper it is proved that CSR reporting has no impact on reputation, but when stakeholders are putting more attention on CSR reporting, perhaps other results will be observed. Until now stakeholders do not incorporate CSR reporting in their impression of companies. When more attention is given to CSR, stakeholders will become more familiar with CSR reporting, which may result in an impact on the reputation. CSR reporting provides important company information, when a CSR report is of high quality more transparency is provided. This paper provides contribution to the society because there is proved that stakeholders should put more attention to CSR reporting. CSR reports provides transparency into the company’s information, society can benefit from this transparency.</w:t>
      </w:r>
    </w:p>
    <w:p w:rsidR="00C214CA" w:rsidRDefault="00C214CA" w:rsidP="00C214CA">
      <w:pPr>
        <w:spacing w:line="360" w:lineRule="auto"/>
        <w:jc w:val="both"/>
      </w:pPr>
      <w:r>
        <w:t xml:space="preserve">The findings of this paper provide benefits for companies, because it is investigated if certain variables have an influence on the reputation index. It is proven that size, financial performances and regions have an impact on the reputation. Awareness of companies is provided on the influence of size, financial performance and region on reputation. </w:t>
      </w:r>
    </w:p>
    <w:p w:rsidR="00592269" w:rsidRDefault="00592269" w:rsidP="00C214CA">
      <w:pPr>
        <w:pStyle w:val="Heading2"/>
        <w:spacing w:line="360" w:lineRule="auto"/>
        <w:jc w:val="both"/>
      </w:pPr>
      <w:bookmarkStart w:id="64" w:name="_Toc299353406"/>
    </w:p>
    <w:p w:rsidR="00C214CA" w:rsidRDefault="00C214CA" w:rsidP="00C214CA">
      <w:pPr>
        <w:pStyle w:val="Heading2"/>
        <w:spacing w:line="360" w:lineRule="auto"/>
        <w:jc w:val="both"/>
      </w:pPr>
      <w:r>
        <w:t>7.3 Limitations and further research</w:t>
      </w:r>
      <w:bookmarkEnd w:id="64"/>
    </w:p>
    <w:p w:rsidR="00C214CA" w:rsidRDefault="00C214CA" w:rsidP="00C214CA">
      <w:pPr>
        <w:spacing w:line="360" w:lineRule="auto"/>
        <w:jc w:val="both"/>
      </w:pPr>
      <w:r>
        <w:t xml:space="preserve">The data of the reputation is based on the reputation index that is provided by the Fortune 500. This reputation index is compiled by directors, security analysts and executives of international companies, which is not an accurate representation of total society and all stakeholder sentiment. It is difficult to find a database that represents the reputation index of companies that is representative of the impression of total society. But maybe in the future ways are found, to set a proxy for reputation which contains total society’s sentiment. For future research it is defiantly to find a proxy for reputation, which finds another public than directors, security analysts and executives. Interesting is to compile the reputation on judgments of environmental and social foundations. </w:t>
      </w:r>
      <w:r w:rsidR="00691A7B">
        <w:t>A</w:t>
      </w:r>
      <w:r>
        <w:t xml:space="preserve"> foundation as Greenpeace has much knowledge about environmental related performances of companies. An idea is to investigate if the judgment of, for instance Greenpeace is affected by CSR reporting. It is also interesting to base the reputation on costumers. In the researches of Brown et al. (1997) and Ittner et al. (1998) the reputation is already based on customer satisfaction, but customer satisfaction is compiled of the evaluation of single products. The company is more than its products and also companies exist that produce more than one product. An opportunity for future research is to compile reputation on </w:t>
      </w:r>
      <w:r w:rsidR="00691A7B">
        <w:t>customers’</w:t>
      </w:r>
      <w:r>
        <w:t xml:space="preserve"> satisfaction on company level and not on product level.</w:t>
      </w:r>
    </w:p>
    <w:p w:rsidR="00C214CA" w:rsidRDefault="00C214CA" w:rsidP="00C214CA">
      <w:pPr>
        <w:spacing w:line="360" w:lineRule="auto"/>
        <w:jc w:val="both"/>
      </w:pPr>
      <w:r>
        <w:t xml:space="preserve">The application levels of 2005 and 2006 are based on the G2 and G3 guidelines. The applications levels of 2007, 2008 and 2009 are based on the G3 guidelines. This means that two different measurements of CSR report level are used in </w:t>
      </w:r>
      <w:r w:rsidR="00691A7B">
        <w:t>this paper</w:t>
      </w:r>
      <w:r>
        <w:t>. The comparability of results of all years decrease, when in 2005 and 2006 different guidelines are the basis of application level. But when the application level that are conform the G2 guidelines are excluded, the sample becomes very small.</w:t>
      </w:r>
    </w:p>
    <w:p w:rsidR="00C214CA" w:rsidRDefault="00C214CA" w:rsidP="00C214CA">
      <w:pPr>
        <w:spacing w:line="360" w:lineRule="auto"/>
        <w:jc w:val="both"/>
      </w:pPr>
      <w:r>
        <w:t>Another limitation is that in the total sample contains only a few companies that operate in Africa and Oceania. So it is not possible to observe the influence of these continents on the relation between CSR reporting quality and the reputation. This implies that for future research the sample should be increased with companies from Africa and Oceania.</w:t>
      </w:r>
    </w:p>
    <w:p w:rsidR="00C214CA" w:rsidRDefault="00C214CA" w:rsidP="00C214CA">
      <w:pPr>
        <w:spacing w:line="360" w:lineRule="auto"/>
        <w:jc w:val="both"/>
      </w:pPr>
      <w:r>
        <w:t xml:space="preserve">This study focuses on CSR reporting. It is also interesting to focus on the CSR performances and their influence on the content of a CSR report. In </w:t>
      </w:r>
      <w:r w:rsidR="00691A7B">
        <w:t>this paper</w:t>
      </w:r>
      <w:r>
        <w:t xml:space="preserve"> evidence is found that directors, security analysts and executives do not observe the CSR report level. But maybe they do observe CSR performances. </w:t>
      </w:r>
    </w:p>
    <w:p w:rsidR="00B85DE1" w:rsidRDefault="00B85DE1" w:rsidP="001937E3">
      <w:pPr>
        <w:spacing w:line="360" w:lineRule="auto"/>
        <w:jc w:val="both"/>
      </w:pPr>
    </w:p>
    <w:p w:rsidR="0056191A" w:rsidRDefault="00B85DE1" w:rsidP="001937E3">
      <w:pPr>
        <w:pStyle w:val="Heading1"/>
      </w:pPr>
      <w:bookmarkStart w:id="65" w:name="_Toc299353407"/>
      <w:r w:rsidRPr="00B85DE1">
        <w:rPr>
          <w:u w:val="single"/>
        </w:rPr>
        <w:t>References</w:t>
      </w:r>
      <w:bookmarkEnd w:id="65"/>
      <w:r w:rsidR="00BB2A00">
        <w:tab/>
      </w:r>
    </w:p>
    <w:p w:rsidR="0056191A" w:rsidRPr="00BB2A00" w:rsidRDefault="001F53D1" w:rsidP="0056191A">
      <w:pPr>
        <w:pStyle w:val="ListParagraph"/>
        <w:numPr>
          <w:ilvl w:val="0"/>
          <w:numId w:val="5"/>
        </w:numPr>
        <w:spacing w:after="0" w:line="360" w:lineRule="auto"/>
        <w:contextualSpacing w:val="0"/>
      </w:pPr>
      <w:r w:rsidRPr="00BB2A00">
        <w:t>Karloff</w:t>
      </w:r>
      <w:r w:rsidR="0056191A" w:rsidRPr="00BB2A00">
        <w:t xml:space="preserve">, G., 1970, </w:t>
      </w:r>
      <w:r w:rsidR="0056191A" w:rsidRPr="00BB2A00">
        <w:rPr>
          <w:i/>
        </w:rPr>
        <w:t>The market for ‘lemons’ quality uncertainty and the market mechanism</w:t>
      </w:r>
      <w:r w:rsidR="0056191A" w:rsidRPr="00BB2A00">
        <w:t>, Quarterly Journal of Economics, 90, p. 629-650</w:t>
      </w:r>
    </w:p>
    <w:p w:rsidR="0056191A" w:rsidRPr="00BB2A00" w:rsidRDefault="0056191A" w:rsidP="0056191A">
      <w:pPr>
        <w:pStyle w:val="ListParagraph"/>
        <w:numPr>
          <w:ilvl w:val="0"/>
          <w:numId w:val="5"/>
        </w:numPr>
        <w:spacing w:after="0" w:line="360" w:lineRule="auto"/>
        <w:contextualSpacing w:val="0"/>
      </w:pPr>
      <w:r w:rsidRPr="00BB2A00">
        <w:t xml:space="preserve">Akhtaruddin, M., Haron, H., 2010, </w:t>
      </w:r>
      <w:r w:rsidRPr="00BB2A00">
        <w:rPr>
          <w:i/>
        </w:rPr>
        <w:t>Board ownership, audit committees effectiveness and corporate voluntary disclosures</w:t>
      </w:r>
      <w:r w:rsidRPr="00BB2A00">
        <w:t>, Asian Review of Accounting, 18, p. 245-259</w:t>
      </w:r>
    </w:p>
    <w:p w:rsidR="0056191A" w:rsidRPr="00BB2A00" w:rsidRDefault="001F53D1" w:rsidP="0056191A">
      <w:pPr>
        <w:pStyle w:val="ListParagraph"/>
        <w:numPr>
          <w:ilvl w:val="0"/>
          <w:numId w:val="5"/>
        </w:numPr>
        <w:autoSpaceDE w:val="0"/>
        <w:autoSpaceDN w:val="0"/>
        <w:adjustRightInd w:val="0"/>
        <w:spacing w:after="0" w:line="360" w:lineRule="auto"/>
        <w:contextualSpacing w:val="0"/>
        <w:rPr>
          <w:rFonts w:cs="Times New Roman"/>
        </w:rPr>
      </w:pPr>
      <w:r>
        <w:rPr>
          <w:rFonts w:cs="Times New Roman"/>
        </w:rPr>
        <w:t>Brown, T.J.,</w:t>
      </w:r>
      <w:r w:rsidR="0056191A" w:rsidRPr="00BB2A00">
        <w:rPr>
          <w:rFonts w:cs="Times New Roman"/>
        </w:rPr>
        <w:t xml:space="preserve"> Dacin, P.A., 1997. The company and the product: Corporate associations and</w:t>
      </w:r>
    </w:p>
    <w:p w:rsidR="0056191A" w:rsidRPr="00BB2A00" w:rsidRDefault="0056191A" w:rsidP="0056191A">
      <w:pPr>
        <w:pStyle w:val="ListParagraph"/>
        <w:autoSpaceDE w:val="0"/>
        <w:autoSpaceDN w:val="0"/>
        <w:adjustRightInd w:val="0"/>
        <w:spacing w:after="0" w:line="360" w:lineRule="auto"/>
        <w:ind w:left="340"/>
        <w:rPr>
          <w:rFonts w:cs="Times New Roman"/>
        </w:rPr>
      </w:pPr>
      <w:r w:rsidRPr="00BB2A00">
        <w:rPr>
          <w:rFonts w:cs="Times New Roman"/>
        </w:rPr>
        <w:t xml:space="preserve">consumer product responses. </w:t>
      </w:r>
      <w:r w:rsidRPr="00BB2A00">
        <w:rPr>
          <w:rFonts w:cs="TimesNewRomanPS-ItalicMT"/>
          <w:i/>
          <w:iCs/>
        </w:rPr>
        <w:t xml:space="preserve">Journal of Marketing </w:t>
      </w:r>
      <w:r w:rsidRPr="00BB2A00">
        <w:rPr>
          <w:rFonts w:cs="Times New Roman"/>
        </w:rPr>
        <w:t>61: 68-84</w:t>
      </w:r>
    </w:p>
    <w:p w:rsidR="0056191A" w:rsidRPr="00BB2A00" w:rsidRDefault="0056191A" w:rsidP="0056191A">
      <w:pPr>
        <w:pStyle w:val="ListParagraph"/>
        <w:numPr>
          <w:ilvl w:val="0"/>
          <w:numId w:val="5"/>
        </w:numPr>
        <w:autoSpaceDE w:val="0"/>
        <w:autoSpaceDN w:val="0"/>
        <w:adjustRightInd w:val="0"/>
        <w:spacing w:after="0" w:line="360" w:lineRule="auto"/>
        <w:contextualSpacing w:val="0"/>
        <w:rPr>
          <w:rFonts w:cs="Times New Roman"/>
        </w:rPr>
      </w:pPr>
      <w:r w:rsidRPr="00BB2A00">
        <w:rPr>
          <w:rFonts w:cs="Times New Roman"/>
        </w:rPr>
        <w:t>Chen, C.X., 2009. Who really matters? Revenue implications of stakeholder satisfaction in a</w:t>
      </w:r>
    </w:p>
    <w:p w:rsidR="0056191A" w:rsidRPr="00BB2A00" w:rsidRDefault="0056191A" w:rsidP="00BB2A00">
      <w:pPr>
        <w:pStyle w:val="ListParagraph"/>
        <w:autoSpaceDE w:val="0"/>
        <w:autoSpaceDN w:val="0"/>
        <w:adjustRightInd w:val="0"/>
        <w:spacing w:after="0" w:line="360" w:lineRule="auto"/>
        <w:ind w:left="340"/>
        <w:contextualSpacing w:val="0"/>
        <w:rPr>
          <w:rFonts w:cs="Times New Roman"/>
        </w:rPr>
      </w:pPr>
      <w:r w:rsidRPr="00BB2A00">
        <w:rPr>
          <w:rFonts w:cs="Times New Roman"/>
        </w:rPr>
        <w:t xml:space="preserve">health insurance company. </w:t>
      </w:r>
      <w:r w:rsidRPr="00BB2A00">
        <w:rPr>
          <w:rFonts w:cs="TimesNewRomanPS-ItalicMT"/>
          <w:i/>
          <w:iCs/>
        </w:rPr>
        <w:t xml:space="preserve">The Accounting Review </w:t>
      </w:r>
      <w:r w:rsidRPr="00BB2A00">
        <w:rPr>
          <w:rFonts w:cs="Times New Roman"/>
        </w:rPr>
        <w:t>84(6): 1781-1804</w:t>
      </w:r>
    </w:p>
    <w:p w:rsidR="0056191A" w:rsidRPr="00BB2A00" w:rsidRDefault="0056191A" w:rsidP="0056191A">
      <w:pPr>
        <w:pStyle w:val="ListParagraph"/>
        <w:numPr>
          <w:ilvl w:val="0"/>
          <w:numId w:val="5"/>
        </w:numPr>
        <w:spacing w:after="0" w:line="360" w:lineRule="auto"/>
        <w:contextualSpacing w:val="0"/>
      </w:pPr>
      <w:r w:rsidRPr="00BB2A00">
        <w:t xml:space="preserve">Cho, C.H., Patten, D.M., 2007, </w:t>
      </w:r>
      <w:r w:rsidRPr="00BB2A00">
        <w:rPr>
          <w:i/>
        </w:rPr>
        <w:t>The role of environmental disclosures as tools of legitimacy: A research note</w:t>
      </w:r>
      <w:r w:rsidRPr="00BB2A00">
        <w:t>, Accounting, Organizations and Society, 32, p. 639-647</w:t>
      </w:r>
    </w:p>
    <w:p w:rsidR="0056191A" w:rsidRDefault="0056191A" w:rsidP="0056191A">
      <w:pPr>
        <w:pStyle w:val="ListParagraph"/>
        <w:numPr>
          <w:ilvl w:val="0"/>
          <w:numId w:val="5"/>
        </w:numPr>
        <w:spacing w:after="0" w:line="360" w:lineRule="auto"/>
        <w:contextualSpacing w:val="0"/>
      </w:pPr>
      <w:r w:rsidRPr="00BB2A00">
        <w:t xml:space="preserve">Clarkson, P.M., Richardson, G.D., Li, Y., 2004, </w:t>
      </w:r>
      <w:r w:rsidRPr="00BB2A00">
        <w:rPr>
          <w:i/>
        </w:rPr>
        <w:t xml:space="preserve">The market valuation of environmental capital expenditures by pulp and paper companies, </w:t>
      </w:r>
      <w:r w:rsidRPr="00BB2A00">
        <w:t>The Accounting Review, 04/2004, p. 3289-3353</w:t>
      </w:r>
    </w:p>
    <w:p w:rsidR="00BB2A00" w:rsidRPr="00BB2A00" w:rsidRDefault="009A53AB" w:rsidP="0056191A">
      <w:pPr>
        <w:pStyle w:val="ListParagraph"/>
        <w:numPr>
          <w:ilvl w:val="0"/>
          <w:numId w:val="5"/>
        </w:numPr>
        <w:spacing w:after="0" w:line="360" w:lineRule="auto"/>
        <w:contextualSpacing w:val="0"/>
      </w:pPr>
      <w:r>
        <w:t xml:space="preserve">Clarkson, P.M., Fang, X.H., Li, Y., Richardson, G., 2010, </w:t>
      </w:r>
      <w:r>
        <w:rPr>
          <w:i/>
        </w:rPr>
        <w:t>The relevance of environmental disclosures for investors and other stakeholder groups: are such disclosures incrementally informative?</w:t>
      </w:r>
      <w:r>
        <w:t>, Working Paper, University of Queensland</w:t>
      </w:r>
    </w:p>
    <w:p w:rsidR="0056191A" w:rsidRPr="00BB2A00" w:rsidRDefault="0056191A" w:rsidP="0056191A">
      <w:pPr>
        <w:pStyle w:val="ListParagraph"/>
        <w:numPr>
          <w:ilvl w:val="0"/>
          <w:numId w:val="5"/>
        </w:numPr>
        <w:spacing w:after="0" w:line="360" w:lineRule="auto"/>
        <w:contextualSpacing w:val="0"/>
      </w:pPr>
      <w:r w:rsidRPr="00BB2A00">
        <w:t xml:space="preserve">Crane, A., </w:t>
      </w:r>
      <w:proofErr w:type="spellStart"/>
      <w:r w:rsidRPr="00BB2A00">
        <w:t>Mcwilliams</w:t>
      </w:r>
      <w:proofErr w:type="spellEnd"/>
      <w:r w:rsidRPr="00BB2A00">
        <w:t xml:space="preserve">, A., </w:t>
      </w:r>
      <w:proofErr w:type="spellStart"/>
      <w:r w:rsidRPr="00BB2A00">
        <w:t>Matten</w:t>
      </w:r>
      <w:proofErr w:type="spellEnd"/>
      <w:r w:rsidRPr="00BB2A00">
        <w:t xml:space="preserve">, D., Moon, J., Siegel, D., 2008, </w:t>
      </w:r>
      <w:r w:rsidRPr="00BB2A00">
        <w:rPr>
          <w:i/>
        </w:rPr>
        <w:t xml:space="preserve">oxford handbook of corporate social responsibility, </w:t>
      </w:r>
      <w:r w:rsidRPr="00BB2A00">
        <w:t>Oxford University Press, Oxford</w:t>
      </w:r>
    </w:p>
    <w:p w:rsidR="0056191A" w:rsidRPr="00BB2A00" w:rsidRDefault="0056191A" w:rsidP="0056191A">
      <w:pPr>
        <w:pStyle w:val="FootnoteText"/>
        <w:numPr>
          <w:ilvl w:val="0"/>
          <w:numId w:val="5"/>
        </w:numPr>
        <w:spacing w:line="360" w:lineRule="auto"/>
        <w:rPr>
          <w:sz w:val="22"/>
          <w:szCs w:val="22"/>
        </w:rPr>
      </w:pPr>
      <w:r w:rsidRPr="00BB2A00">
        <w:rPr>
          <w:sz w:val="22"/>
          <w:szCs w:val="22"/>
        </w:rPr>
        <w:t xml:space="preserve">Dawkins. J., Stewart L., 2003, </w:t>
      </w:r>
      <w:r w:rsidRPr="00BB2A00">
        <w:rPr>
          <w:i/>
          <w:sz w:val="22"/>
          <w:szCs w:val="22"/>
        </w:rPr>
        <w:t>CSR in stakeholder expectations: and their implication for company strategy</w:t>
      </w:r>
      <w:r w:rsidRPr="00BB2A00">
        <w:rPr>
          <w:sz w:val="22"/>
          <w:szCs w:val="22"/>
        </w:rPr>
        <w:t>, Journal of Business Ethics, 44, p. 185</w:t>
      </w:r>
    </w:p>
    <w:p w:rsidR="0056191A" w:rsidRPr="00BB2A00" w:rsidRDefault="0056191A" w:rsidP="0056191A">
      <w:pPr>
        <w:pStyle w:val="FootnoteText"/>
        <w:numPr>
          <w:ilvl w:val="0"/>
          <w:numId w:val="5"/>
        </w:numPr>
        <w:autoSpaceDE w:val="0"/>
        <w:autoSpaceDN w:val="0"/>
        <w:adjustRightInd w:val="0"/>
        <w:spacing w:line="360" w:lineRule="auto"/>
        <w:rPr>
          <w:rFonts w:ascii="Times New Roman" w:hAnsi="Times New Roman" w:cs="Times New Roman"/>
          <w:sz w:val="22"/>
          <w:szCs w:val="22"/>
        </w:rPr>
      </w:pPr>
      <w:r w:rsidRPr="00BB2A00">
        <w:rPr>
          <w:sz w:val="22"/>
          <w:szCs w:val="22"/>
        </w:rPr>
        <w:t>Dhaliwal, D., Radhakrishnan. S., Tsang, A.</w:t>
      </w:r>
      <w:r w:rsidR="00DC54DE" w:rsidRPr="00BB2A00">
        <w:rPr>
          <w:sz w:val="22"/>
          <w:szCs w:val="22"/>
        </w:rPr>
        <w:t>, Yang</w:t>
      </w:r>
      <w:r w:rsidRPr="00BB2A00">
        <w:rPr>
          <w:sz w:val="22"/>
          <w:szCs w:val="22"/>
        </w:rPr>
        <w:t>, Y.G.,</w:t>
      </w:r>
      <w:r w:rsidR="00DC54DE">
        <w:rPr>
          <w:sz w:val="22"/>
          <w:szCs w:val="22"/>
        </w:rPr>
        <w:t xml:space="preserve"> M</w:t>
      </w:r>
      <w:r w:rsidRPr="00BB2A00">
        <w:rPr>
          <w:sz w:val="22"/>
          <w:szCs w:val="22"/>
        </w:rPr>
        <w:t xml:space="preserve">ay 2010. </w:t>
      </w:r>
      <w:r w:rsidRPr="00BB2A00">
        <w:rPr>
          <w:i/>
          <w:sz w:val="22"/>
          <w:szCs w:val="22"/>
        </w:rPr>
        <w:t xml:space="preserve">Nonfinancial disclosure and analyst forecast accuracy: International evidence on corporate social responsibility (CSR) disclosure, </w:t>
      </w:r>
      <w:r w:rsidRPr="00BB2A00">
        <w:rPr>
          <w:sz w:val="22"/>
          <w:szCs w:val="22"/>
        </w:rPr>
        <w:t>working paper, University of Arizona and The Chinese University of Hong Kong</w:t>
      </w:r>
    </w:p>
    <w:p w:rsidR="0056191A" w:rsidRPr="00BB2A00" w:rsidRDefault="0056191A" w:rsidP="0056191A">
      <w:pPr>
        <w:pStyle w:val="ListParagraph"/>
        <w:numPr>
          <w:ilvl w:val="0"/>
          <w:numId w:val="6"/>
        </w:numPr>
        <w:autoSpaceDE w:val="0"/>
        <w:autoSpaceDN w:val="0"/>
        <w:adjustRightInd w:val="0"/>
        <w:spacing w:after="0" w:line="360" w:lineRule="auto"/>
        <w:contextualSpacing w:val="0"/>
        <w:rPr>
          <w:rFonts w:cs="Times New Roman"/>
          <w:i/>
        </w:rPr>
      </w:pPr>
      <w:r w:rsidRPr="00BB2A00">
        <w:rPr>
          <w:rFonts w:cs="Times New Roman"/>
        </w:rPr>
        <w:t>Dhaliw</w:t>
      </w:r>
      <w:r w:rsidR="00FF5235">
        <w:rPr>
          <w:rFonts w:cs="Times New Roman"/>
        </w:rPr>
        <w:t>al, D., Li, O.Z., Tsang, A.</w:t>
      </w:r>
      <w:r w:rsidR="00DC54DE">
        <w:rPr>
          <w:rFonts w:cs="Times New Roman"/>
        </w:rPr>
        <w:t xml:space="preserve">, </w:t>
      </w:r>
      <w:r w:rsidR="00DC54DE" w:rsidRPr="00BB2A00">
        <w:rPr>
          <w:rFonts w:cs="Times New Roman"/>
        </w:rPr>
        <w:t>Yang</w:t>
      </w:r>
      <w:r w:rsidRPr="00BB2A00">
        <w:rPr>
          <w:rFonts w:cs="Times New Roman"/>
        </w:rPr>
        <w:t xml:space="preserve">, G.Y., 2010. </w:t>
      </w:r>
      <w:r w:rsidRPr="00BB2A00">
        <w:rPr>
          <w:rFonts w:cs="Times New Roman"/>
          <w:i/>
        </w:rPr>
        <w:t>Voluntary nonfinancial disclosure and</w:t>
      </w:r>
    </w:p>
    <w:p w:rsidR="0056191A" w:rsidRPr="00BB2A00" w:rsidRDefault="0056191A" w:rsidP="00881636">
      <w:pPr>
        <w:autoSpaceDE w:val="0"/>
        <w:autoSpaceDN w:val="0"/>
        <w:adjustRightInd w:val="0"/>
        <w:spacing w:after="0" w:line="360" w:lineRule="auto"/>
        <w:ind w:firstLine="340"/>
        <w:rPr>
          <w:rFonts w:cs="Times New Roman"/>
        </w:rPr>
      </w:pPr>
      <w:r w:rsidRPr="00BB2A00">
        <w:rPr>
          <w:rFonts w:cs="Times New Roman"/>
          <w:i/>
        </w:rPr>
        <w:t>the cost of equity capital: The case of corporate social responsibility reporting</w:t>
      </w:r>
      <w:r w:rsidRPr="00BB2A00">
        <w:rPr>
          <w:rFonts w:cs="Times New Roman"/>
        </w:rPr>
        <w:t>. Working</w:t>
      </w:r>
    </w:p>
    <w:p w:rsidR="0056191A" w:rsidRPr="00BB2A00" w:rsidRDefault="0056191A" w:rsidP="0056191A">
      <w:pPr>
        <w:pStyle w:val="ListParagraph"/>
        <w:autoSpaceDE w:val="0"/>
        <w:autoSpaceDN w:val="0"/>
        <w:adjustRightInd w:val="0"/>
        <w:spacing w:after="0" w:line="360" w:lineRule="auto"/>
        <w:ind w:left="340"/>
        <w:rPr>
          <w:rFonts w:cs="Times New Roman"/>
        </w:rPr>
      </w:pPr>
      <w:r w:rsidRPr="00BB2A00">
        <w:rPr>
          <w:rFonts w:cs="Times New Roman"/>
        </w:rPr>
        <w:t>paper, Chinese University of Hong Kong.</w:t>
      </w:r>
    </w:p>
    <w:p w:rsidR="0056191A" w:rsidRPr="00BB2A00" w:rsidRDefault="00FF5235" w:rsidP="0056191A">
      <w:pPr>
        <w:pStyle w:val="FootnoteText"/>
        <w:numPr>
          <w:ilvl w:val="0"/>
          <w:numId w:val="7"/>
        </w:numPr>
        <w:autoSpaceDE w:val="0"/>
        <w:autoSpaceDN w:val="0"/>
        <w:adjustRightInd w:val="0"/>
        <w:spacing w:line="360" w:lineRule="auto"/>
        <w:rPr>
          <w:rFonts w:cs="AmerigoBT-RomanA"/>
          <w:i/>
          <w:sz w:val="22"/>
          <w:szCs w:val="22"/>
        </w:rPr>
      </w:pPr>
      <w:r>
        <w:rPr>
          <w:rFonts w:cs="AmerigoBT-RomanA"/>
          <w:sz w:val="22"/>
          <w:szCs w:val="22"/>
        </w:rPr>
        <w:t xml:space="preserve">Douglas,  A., Doris,  J., </w:t>
      </w:r>
      <w:r w:rsidR="0056191A" w:rsidRPr="00BB2A00">
        <w:rPr>
          <w:rFonts w:cs="AmerigoBT-RomanA"/>
          <w:sz w:val="22"/>
          <w:szCs w:val="22"/>
        </w:rPr>
        <w:t xml:space="preserve"> Johnson,  B.,  2004, </w:t>
      </w:r>
      <w:r w:rsidR="0056191A" w:rsidRPr="00BB2A00">
        <w:rPr>
          <w:rFonts w:cs="AmerigoBT-RomanA"/>
          <w:i/>
          <w:sz w:val="22"/>
          <w:szCs w:val="22"/>
        </w:rPr>
        <w:t>Corporate Social Reporting in Irish Financial</w:t>
      </w:r>
    </w:p>
    <w:p w:rsidR="0056191A" w:rsidRPr="00452989" w:rsidRDefault="0056191A" w:rsidP="0056191A">
      <w:pPr>
        <w:pStyle w:val="FootnoteText"/>
        <w:spacing w:line="360" w:lineRule="auto"/>
        <w:ind w:left="340"/>
        <w:rPr>
          <w:rFonts w:cs="AmerigoBT-RomanA"/>
          <w:sz w:val="22"/>
          <w:szCs w:val="22"/>
          <w:lang w:val="fr-FR"/>
        </w:rPr>
      </w:pPr>
      <w:r w:rsidRPr="00452989">
        <w:rPr>
          <w:rFonts w:cs="AmerigoBT-RomanA"/>
          <w:i/>
          <w:sz w:val="22"/>
          <w:szCs w:val="22"/>
          <w:lang w:val="fr-FR"/>
        </w:rPr>
        <w:t>Institutions</w:t>
      </w:r>
      <w:r w:rsidRPr="00452989">
        <w:rPr>
          <w:rFonts w:cs="AmerigoBT-RomanA"/>
          <w:sz w:val="22"/>
          <w:szCs w:val="22"/>
          <w:lang w:val="fr-FR"/>
        </w:rPr>
        <w:t xml:space="preserve">, </w:t>
      </w:r>
      <w:r w:rsidRPr="00452989">
        <w:rPr>
          <w:rFonts w:cs="AmerigoBT-ItalicA"/>
          <w:iCs/>
          <w:sz w:val="22"/>
          <w:szCs w:val="22"/>
          <w:lang w:val="fr-FR"/>
        </w:rPr>
        <w:t xml:space="preserve">Total </w:t>
      </w:r>
      <w:proofErr w:type="spellStart"/>
      <w:r w:rsidRPr="00452989">
        <w:rPr>
          <w:rFonts w:cs="AmerigoBT-ItalicA"/>
          <w:iCs/>
          <w:sz w:val="22"/>
          <w:szCs w:val="22"/>
          <w:lang w:val="fr-FR"/>
        </w:rPr>
        <w:t>Quality</w:t>
      </w:r>
      <w:proofErr w:type="spellEnd"/>
      <w:r w:rsidRPr="00452989">
        <w:rPr>
          <w:rFonts w:cs="AmerigoBT-ItalicA"/>
          <w:iCs/>
          <w:sz w:val="22"/>
          <w:szCs w:val="22"/>
          <w:lang w:val="fr-FR"/>
        </w:rPr>
        <w:t xml:space="preserve"> Management Magazine 16(6), </w:t>
      </w:r>
      <w:r w:rsidRPr="00452989">
        <w:rPr>
          <w:rFonts w:cs="AmerigoBT-RomanA"/>
          <w:sz w:val="22"/>
          <w:szCs w:val="22"/>
          <w:lang w:val="fr-FR"/>
        </w:rPr>
        <w:t>387-395.</w:t>
      </w:r>
    </w:p>
    <w:p w:rsidR="0056191A" w:rsidRPr="00BB2A00" w:rsidRDefault="0056191A" w:rsidP="0056191A">
      <w:pPr>
        <w:pStyle w:val="ListParagraph"/>
        <w:numPr>
          <w:ilvl w:val="0"/>
          <w:numId w:val="7"/>
        </w:numPr>
        <w:spacing w:after="0" w:line="360" w:lineRule="auto"/>
        <w:contextualSpacing w:val="0"/>
      </w:pPr>
      <w:r w:rsidRPr="00BB2A00">
        <w:t xml:space="preserve">Dowling, J., Pfeffer, J., 1975, </w:t>
      </w:r>
      <w:r w:rsidRPr="00BB2A00">
        <w:rPr>
          <w:i/>
        </w:rPr>
        <w:t xml:space="preserve">Organizational Legitimacy: Social Values and Organizational Behavior, </w:t>
      </w:r>
      <w:r w:rsidRPr="00BB2A00">
        <w:t>The Pacific Sociological Review, 18, P. 122-136</w:t>
      </w:r>
    </w:p>
    <w:p w:rsidR="0056191A" w:rsidRPr="00BB2A00" w:rsidRDefault="0056191A" w:rsidP="0056191A">
      <w:pPr>
        <w:pStyle w:val="ListParagraph"/>
        <w:numPr>
          <w:ilvl w:val="0"/>
          <w:numId w:val="5"/>
        </w:numPr>
        <w:spacing w:after="0" w:line="360" w:lineRule="auto"/>
        <w:contextualSpacing w:val="0"/>
      </w:pPr>
      <w:r w:rsidRPr="00BB2A00">
        <w:lastRenderedPageBreak/>
        <w:t xml:space="preserve">Du. D., 2003, </w:t>
      </w:r>
      <w:r w:rsidRPr="00BB2A00">
        <w:rPr>
          <w:i/>
        </w:rPr>
        <w:t xml:space="preserve">Stock price reactions to earnings announcements: evidence from Chinese markets, </w:t>
      </w:r>
      <w:r w:rsidRPr="00BB2A00">
        <w:t>Review of Financial Economics, 12, p. 271-286</w:t>
      </w:r>
    </w:p>
    <w:p w:rsidR="0056191A" w:rsidRPr="00BB2A00" w:rsidRDefault="0056191A" w:rsidP="0056191A">
      <w:pPr>
        <w:pStyle w:val="ListParagraph"/>
        <w:numPr>
          <w:ilvl w:val="0"/>
          <w:numId w:val="5"/>
        </w:numPr>
        <w:spacing w:after="0" w:line="360" w:lineRule="auto"/>
        <w:contextualSpacing w:val="0"/>
      </w:pPr>
      <w:r w:rsidRPr="00BB2A00">
        <w:t xml:space="preserve">Elder, R.J., Beasley, M.S., </w:t>
      </w:r>
      <w:proofErr w:type="spellStart"/>
      <w:r w:rsidRPr="00BB2A00">
        <w:t>Arens</w:t>
      </w:r>
      <w:proofErr w:type="spellEnd"/>
      <w:r w:rsidRPr="00BB2A00">
        <w:t xml:space="preserve">, A.A., 2010, </w:t>
      </w:r>
      <w:r w:rsidRPr="00BB2A00">
        <w:rPr>
          <w:i/>
        </w:rPr>
        <w:t>Auditing and Assurance Services, an integrated approach, 13</w:t>
      </w:r>
      <w:r w:rsidRPr="00BB2A00">
        <w:rPr>
          <w:i/>
          <w:vertAlign w:val="superscript"/>
        </w:rPr>
        <w:t>th</w:t>
      </w:r>
      <w:r w:rsidRPr="00BB2A00">
        <w:rPr>
          <w:i/>
        </w:rPr>
        <w:t xml:space="preserve"> edition,  </w:t>
      </w:r>
      <w:r w:rsidR="00C53126">
        <w:t>Pears</w:t>
      </w:r>
      <w:r w:rsidRPr="00BB2A00">
        <w:t>on, New Jersey</w:t>
      </w:r>
    </w:p>
    <w:p w:rsidR="0056191A" w:rsidRPr="00BB2A00" w:rsidRDefault="00C53126" w:rsidP="0056191A">
      <w:pPr>
        <w:pStyle w:val="ListParagraph"/>
        <w:numPr>
          <w:ilvl w:val="0"/>
          <w:numId w:val="5"/>
        </w:numPr>
        <w:spacing w:after="0" w:line="360" w:lineRule="auto"/>
        <w:contextualSpacing w:val="0"/>
      </w:pPr>
      <w:r w:rsidRPr="00BB2A00">
        <w:t>Formbrund</w:t>
      </w:r>
      <w:r w:rsidR="0056191A" w:rsidRPr="00BB2A00">
        <w:t xml:space="preserve">, C., Shanley, M., 1990, </w:t>
      </w:r>
      <w:r w:rsidR="0056191A" w:rsidRPr="00BB2A00">
        <w:rPr>
          <w:i/>
        </w:rPr>
        <w:t>What’s in a name? Reputation building and corporate strategy</w:t>
      </w:r>
      <w:r w:rsidR="0056191A" w:rsidRPr="00BB2A00">
        <w:t>, academy of Management Journal, 33, p. 233-258</w:t>
      </w:r>
    </w:p>
    <w:p w:rsidR="0056191A" w:rsidRPr="00BB2A00" w:rsidRDefault="0056191A" w:rsidP="0056191A">
      <w:pPr>
        <w:pStyle w:val="ListParagraph"/>
        <w:numPr>
          <w:ilvl w:val="0"/>
          <w:numId w:val="5"/>
        </w:numPr>
        <w:spacing w:after="0" w:line="360" w:lineRule="auto"/>
        <w:contextualSpacing w:val="0"/>
      </w:pPr>
      <w:r w:rsidRPr="00BB2A00">
        <w:t xml:space="preserve">Freeman, R.E., Reed, D.L., 1983, </w:t>
      </w:r>
      <w:r w:rsidRPr="00BB2A00">
        <w:rPr>
          <w:i/>
        </w:rPr>
        <w:t>Stockholders and stakeholders: a new perspective on corporate governance</w:t>
      </w:r>
      <w:r w:rsidRPr="00BB2A00">
        <w:t xml:space="preserve">, </w:t>
      </w:r>
      <w:r w:rsidR="00C53126" w:rsidRPr="00BB2A00">
        <w:t>Californian</w:t>
      </w:r>
      <w:r w:rsidRPr="00BB2A00">
        <w:t xml:space="preserve"> Management Review, 25, p. 88-106</w:t>
      </w:r>
    </w:p>
    <w:p w:rsidR="0056191A" w:rsidRPr="00BB2A00" w:rsidRDefault="0056191A" w:rsidP="0056191A">
      <w:pPr>
        <w:pStyle w:val="ListParagraph"/>
        <w:numPr>
          <w:ilvl w:val="0"/>
          <w:numId w:val="5"/>
        </w:numPr>
        <w:spacing w:after="0" w:line="360" w:lineRule="auto"/>
        <w:contextualSpacing w:val="0"/>
      </w:pPr>
      <w:r w:rsidRPr="00BB2A00">
        <w:t xml:space="preserve">Healy, P.M., Hutton, A., Palepu K.G., 1999, </w:t>
      </w:r>
      <w:r w:rsidRPr="00BB2A00">
        <w:rPr>
          <w:i/>
        </w:rPr>
        <w:t xml:space="preserve">Stock performance and intermediation changes surrounding sustained increases in disclosure, </w:t>
      </w:r>
      <w:r w:rsidRPr="00BB2A00">
        <w:t>Contemporary Accounting Research, 16, p. 485-520</w:t>
      </w:r>
    </w:p>
    <w:p w:rsidR="0056191A" w:rsidRPr="00BB2A00" w:rsidRDefault="0056191A" w:rsidP="0056191A">
      <w:pPr>
        <w:pStyle w:val="ListParagraph"/>
        <w:numPr>
          <w:ilvl w:val="0"/>
          <w:numId w:val="5"/>
        </w:numPr>
        <w:spacing w:after="0" w:line="360" w:lineRule="auto"/>
        <w:contextualSpacing w:val="0"/>
      </w:pPr>
      <w:r w:rsidRPr="00BB2A00">
        <w:t xml:space="preserve">Healy, P.M., Palepu, K.G., 2000, </w:t>
      </w:r>
      <w:r w:rsidRPr="00BB2A00">
        <w:rPr>
          <w:i/>
        </w:rPr>
        <w:t>Information asymmetry, corporate disclosure, and the capital markets: A review of the empirical disclosure literature</w:t>
      </w:r>
      <w:r w:rsidRPr="00BB2A00">
        <w:t>, Journal of Accounting and Economics, 31, p. 405-440</w:t>
      </w:r>
    </w:p>
    <w:p w:rsidR="0056191A" w:rsidRPr="00BB2A00" w:rsidRDefault="0056191A" w:rsidP="0056191A">
      <w:pPr>
        <w:pStyle w:val="ListParagraph"/>
        <w:numPr>
          <w:ilvl w:val="0"/>
          <w:numId w:val="5"/>
        </w:numPr>
        <w:spacing w:after="0" w:line="360" w:lineRule="auto"/>
        <w:contextualSpacing w:val="0"/>
        <w:rPr>
          <w:rFonts w:ascii="Arial" w:hAnsi="Arial"/>
        </w:rPr>
      </w:pPr>
      <w:r w:rsidRPr="00BB2A00">
        <w:t xml:space="preserve">Health Partners, 02/2004, </w:t>
      </w:r>
      <w:r w:rsidRPr="00BB2A00">
        <w:rPr>
          <w:i/>
        </w:rPr>
        <w:t>Fitness; Active Physically fit employees have better work performance</w:t>
      </w:r>
      <w:r w:rsidRPr="00BB2A00">
        <w:t>, Biotech Week ISSN, 1535-2757, p. 186</w:t>
      </w:r>
    </w:p>
    <w:p w:rsidR="0056191A" w:rsidRPr="00BB2A00" w:rsidRDefault="0056191A" w:rsidP="0056191A">
      <w:pPr>
        <w:pStyle w:val="ListParagraph"/>
        <w:numPr>
          <w:ilvl w:val="0"/>
          <w:numId w:val="5"/>
        </w:numPr>
        <w:autoSpaceDE w:val="0"/>
        <w:autoSpaceDN w:val="0"/>
        <w:adjustRightInd w:val="0"/>
        <w:spacing w:after="0" w:line="360" w:lineRule="auto"/>
        <w:contextualSpacing w:val="0"/>
        <w:rPr>
          <w:rFonts w:cs="Times New Roman"/>
        </w:rPr>
      </w:pPr>
      <w:r w:rsidRPr="00BB2A00">
        <w:rPr>
          <w:rFonts w:cs="Times New Roman"/>
        </w:rPr>
        <w:t xml:space="preserve">Hope, O. 2003. Disclosure practices, enforcement of accounting standards, and analysts’ </w:t>
      </w:r>
      <w:r w:rsidR="00C53126" w:rsidRPr="00BB2A00">
        <w:rPr>
          <w:rFonts w:cs="Times New Roman"/>
        </w:rPr>
        <w:t>forecast accuracy</w:t>
      </w:r>
      <w:r w:rsidRPr="00BB2A00">
        <w:rPr>
          <w:rFonts w:cs="Times New Roman"/>
        </w:rPr>
        <w:t xml:space="preserve">: An international study. </w:t>
      </w:r>
      <w:r w:rsidRPr="00BB2A00">
        <w:rPr>
          <w:rFonts w:cs="TimesNewRomanPS-ItalicMT"/>
          <w:i/>
          <w:iCs/>
        </w:rPr>
        <w:t xml:space="preserve">Journal of Accounting Research </w:t>
      </w:r>
      <w:r w:rsidRPr="00BB2A00">
        <w:rPr>
          <w:rFonts w:cs="Times New Roman"/>
        </w:rPr>
        <w:t>41(May): 235-272.</w:t>
      </w:r>
    </w:p>
    <w:p w:rsidR="0056191A" w:rsidRPr="00BB2A00" w:rsidRDefault="0056191A" w:rsidP="0056191A">
      <w:pPr>
        <w:pStyle w:val="ListParagraph"/>
        <w:numPr>
          <w:ilvl w:val="0"/>
          <w:numId w:val="5"/>
        </w:numPr>
        <w:spacing w:after="0" w:line="360" w:lineRule="auto"/>
        <w:contextualSpacing w:val="0"/>
      </w:pPr>
      <w:r w:rsidRPr="00BB2A00">
        <w:t xml:space="preserve">Huang, F.H., Kung, </w:t>
      </w:r>
      <w:proofErr w:type="spellStart"/>
      <w:r w:rsidRPr="00BB2A00">
        <w:t>C.Li</w:t>
      </w:r>
      <w:proofErr w:type="spellEnd"/>
      <w:r w:rsidRPr="00BB2A00">
        <w:t xml:space="preserve">., 2010, </w:t>
      </w:r>
      <w:r w:rsidRPr="00BB2A00">
        <w:rPr>
          <w:i/>
        </w:rPr>
        <w:t>Drivers of environmental disclosure and stakeholder expectation; evidence from Taiwan</w:t>
      </w:r>
      <w:r w:rsidRPr="00BB2A00">
        <w:t>, Journal of Business Ethics, 96, p. 435-451</w:t>
      </w:r>
    </w:p>
    <w:p w:rsidR="0056191A" w:rsidRPr="00BB2A00" w:rsidRDefault="0056191A" w:rsidP="0056191A">
      <w:pPr>
        <w:pStyle w:val="ListParagraph"/>
        <w:numPr>
          <w:ilvl w:val="0"/>
          <w:numId w:val="5"/>
        </w:numPr>
        <w:spacing w:after="0" w:line="360" w:lineRule="auto"/>
        <w:contextualSpacing w:val="0"/>
      </w:pPr>
      <w:r w:rsidRPr="00BB2A00">
        <w:t xml:space="preserve">Ittner, C., Larcker, D., 1998, </w:t>
      </w:r>
      <w:r w:rsidRPr="00BB2A00">
        <w:rPr>
          <w:i/>
        </w:rPr>
        <w:t xml:space="preserve">Are non-financial measures leading indicators of financial performance? An analysis of customer satisfaction, </w:t>
      </w:r>
      <w:r w:rsidRPr="00BB2A00">
        <w:t>Journal of Accounting Research, 36 (supplement), p. 1-35</w:t>
      </w:r>
    </w:p>
    <w:p w:rsidR="0056191A" w:rsidRPr="00BB2A00" w:rsidRDefault="0056191A" w:rsidP="0056191A">
      <w:pPr>
        <w:pStyle w:val="ListParagraph"/>
        <w:numPr>
          <w:ilvl w:val="0"/>
          <w:numId w:val="5"/>
        </w:numPr>
        <w:spacing w:after="0" w:line="360" w:lineRule="auto"/>
        <w:contextualSpacing w:val="0"/>
        <w:rPr>
          <w:rStyle w:val="apple-style-span"/>
          <w:rFonts w:ascii="Calibri" w:hAnsi="Calibri" w:cs="Arial"/>
        </w:rPr>
      </w:pPr>
      <w:r w:rsidRPr="00BB2A00">
        <w:t xml:space="preserve">Jensen, M.C., Meckling, M.H., 1976, </w:t>
      </w:r>
      <w:r w:rsidRPr="00BB2A00">
        <w:rPr>
          <w:i/>
        </w:rPr>
        <w:t>Theory of the firm: managerial behavior, agency costs and ownership structure</w:t>
      </w:r>
      <w:r w:rsidRPr="00BB2A00">
        <w:t xml:space="preserve">, journal of financial economics, 3, p. 305-360 </w:t>
      </w:r>
      <w:r w:rsidRPr="00BB2A00">
        <w:rPr>
          <w:rStyle w:val="apple-style-span"/>
          <w:rFonts w:ascii="Tahoma" w:hAnsi="Tahoma" w:cs="Tahoma"/>
          <w:bCs/>
        </w:rPr>
        <w:t xml:space="preserve"> </w:t>
      </w:r>
    </w:p>
    <w:p w:rsidR="0056191A" w:rsidRPr="00BB2A00" w:rsidRDefault="0056191A" w:rsidP="0056191A">
      <w:pPr>
        <w:pStyle w:val="ListParagraph"/>
        <w:numPr>
          <w:ilvl w:val="0"/>
          <w:numId w:val="5"/>
        </w:numPr>
        <w:spacing w:after="0" w:line="360" w:lineRule="auto"/>
        <w:contextualSpacing w:val="0"/>
        <w:rPr>
          <w:rFonts w:cs="Arial"/>
        </w:rPr>
      </w:pPr>
      <w:r w:rsidRPr="00BB2A00">
        <w:rPr>
          <w:rFonts w:cs="Times New Roman"/>
        </w:rPr>
        <w:t xml:space="preserve">Kakabadse, N. K., Kakabadse, A. P., Lee-Davies, L., 2006, </w:t>
      </w:r>
      <w:r w:rsidRPr="00BB2A00">
        <w:rPr>
          <w:rFonts w:cs="Times New Roman"/>
          <w:i/>
        </w:rPr>
        <w:t>CSR leaders road-map,</w:t>
      </w:r>
      <w:r w:rsidRPr="00BB2A00">
        <w:rPr>
          <w:rFonts w:cs="Times New Roman"/>
        </w:rPr>
        <w:t xml:space="preserve"> Corporate Governance, 9, p. 52</w:t>
      </w:r>
    </w:p>
    <w:p w:rsidR="0056191A" w:rsidRPr="00BB2A00" w:rsidRDefault="005D6FD2" w:rsidP="0056191A">
      <w:pPr>
        <w:pStyle w:val="FootnoteText"/>
        <w:numPr>
          <w:ilvl w:val="0"/>
          <w:numId w:val="5"/>
        </w:numPr>
        <w:spacing w:line="360" w:lineRule="auto"/>
        <w:rPr>
          <w:rFonts w:cs="Calibri"/>
          <w:sz w:val="22"/>
          <w:szCs w:val="22"/>
        </w:rPr>
      </w:pPr>
      <w:proofErr w:type="spellStart"/>
      <w:r>
        <w:rPr>
          <w:rFonts w:cs="AmerigoBT-RomanA"/>
          <w:sz w:val="22"/>
          <w:szCs w:val="22"/>
        </w:rPr>
        <w:t>Kavitha</w:t>
      </w:r>
      <w:proofErr w:type="spellEnd"/>
      <w:r>
        <w:rPr>
          <w:rFonts w:cs="AmerigoBT-RomanA"/>
          <w:sz w:val="22"/>
          <w:szCs w:val="22"/>
        </w:rPr>
        <w:t xml:space="preserve">, W., </w:t>
      </w:r>
      <w:r w:rsidR="0056191A" w:rsidRPr="00BB2A00">
        <w:rPr>
          <w:rFonts w:cs="AmerigoBT-RomanA"/>
          <w:sz w:val="22"/>
          <w:szCs w:val="22"/>
        </w:rPr>
        <w:t xml:space="preserve"> Anita, P., 2011, </w:t>
      </w:r>
      <w:r w:rsidR="0056191A" w:rsidRPr="00BB2A00">
        <w:rPr>
          <w:rFonts w:cs="AmerigoBT-RomanA"/>
          <w:i/>
          <w:sz w:val="22"/>
          <w:szCs w:val="22"/>
        </w:rPr>
        <w:t>Disclosures About CSR Practices: A Literature Review</w:t>
      </w:r>
      <w:r w:rsidR="0056191A" w:rsidRPr="00BB2A00">
        <w:rPr>
          <w:rFonts w:cs="AmerigoBT-RomanA"/>
          <w:sz w:val="22"/>
          <w:szCs w:val="22"/>
        </w:rPr>
        <w:t>, The IUP Journal of Corporate Governance X(1): 45-55</w:t>
      </w:r>
    </w:p>
    <w:p w:rsidR="0056191A" w:rsidRPr="00BB2A00" w:rsidRDefault="0056191A" w:rsidP="0056191A">
      <w:pPr>
        <w:pStyle w:val="ListParagraph"/>
        <w:numPr>
          <w:ilvl w:val="0"/>
          <w:numId w:val="5"/>
        </w:numPr>
        <w:spacing w:after="0" w:line="360" w:lineRule="auto"/>
        <w:contextualSpacing w:val="0"/>
        <w:rPr>
          <w:rStyle w:val="apple-style-span"/>
          <w:rFonts w:cs="Arial"/>
        </w:rPr>
      </w:pPr>
      <w:r w:rsidRPr="00BB2A00">
        <w:rPr>
          <w:rStyle w:val="apple-style-span"/>
          <w:rFonts w:cs="Arial"/>
        </w:rPr>
        <w:t xml:space="preserve">Kothari, S.P., 2001, </w:t>
      </w:r>
      <w:r w:rsidRPr="00BB2A00">
        <w:rPr>
          <w:rStyle w:val="apple-style-span"/>
          <w:rFonts w:cs="Arial"/>
          <w:i/>
        </w:rPr>
        <w:t xml:space="preserve">Capital markets research in accounting, </w:t>
      </w:r>
      <w:r w:rsidRPr="00BB2A00">
        <w:rPr>
          <w:rStyle w:val="apple-style-span"/>
          <w:rFonts w:cs="Arial"/>
        </w:rPr>
        <w:t>Journal of Accounting and Economics, 31, p. 105-231</w:t>
      </w:r>
    </w:p>
    <w:p w:rsidR="0056191A" w:rsidRPr="00BB2A00" w:rsidRDefault="0056191A" w:rsidP="0056191A">
      <w:pPr>
        <w:pStyle w:val="ListParagraph"/>
        <w:numPr>
          <w:ilvl w:val="0"/>
          <w:numId w:val="5"/>
        </w:numPr>
        <w:spacing w:after="0" w:line="360" w:lineRule="auto"/>
        <w:contextualSpacing w:val="0"/>
      </w:pPr>
      <w:r w:rsidRPr="00BB2A00">
        <w:t xml:space="preserve">Lang, M., Lundholm, R., 1993, </w:t>
      </w:r>
      <w:r w:rsidRPr="00BB2A00">
        <w:rPr>
          <w:i/>
        </w:rPr>
        <w:t xml:space="preserve">Cross-sectional determinants of analysts ratings of corporate disclosures, </w:t>
      </w:r>
      <w:r w:rsidRPr="00BB2A00">
        <w:t>Journal of Accounting Research, 31, p. 246-271</w:t>
      </w:r>
    </w:p>
    <w:p w:rsidR="0056191A" w:rsidRPr="00BB2A00" w:rsidRDefault="0056191A" w:rsidP="0056191A">
      <w:pPr>
        <w:pStyle w:val="ListParagraph"/>
        <w:numPr>
          <w:ilvl w:val="0"/>
          <w:numId w:val="5"/>
        </w:numPr>
        <w:autoSpaceDE w:val="0"/>
        <w:autoSpaceDN w:val="0"/>
        <w:adjustRightInd w:val="0"/>
        <w:spacing w:after="0" w:line="360" w:lineRule="auto"/>
        <w:contextualSpacing w:val="0"/>
        <w:rPr>
          <w:rFonts w:cs="TimesNewRomanPS-ItalicMT"/>
          <w:i/>
          <w:iCs/>
        </w:rPr>
      </w:pPr>
      <w:r w:rsidRPr="00452989">
        <w:rPr>
          <w:rFonts w:cs="Times New Roman"/>
        </w:rPr>
        <w:t>Lang, M</w:t>
      </w:r>
      <w:r w:rsidR="005D6FD2" w:rsidRPr="00452989">
        <w:rPr>
          <w:rFonts w:cs="Times New Roman"/>
        </w:rPr>
        <w:t xml:space="preserve">. </w:t>
      </w:r>
      <w:r w:rsidRPr="00452989">
        <w:rPr>
          <w:rFonts w:cs="Times New Roman"/>
        </w:rPr>
        <w:t xml:space="preserve"> Lundholm, R., 1996. </w:t>
      </w:r>
      <w:r w:rsidRPr="00BB2A00">
        <w:rPr>
          <w:rFonts w:cs="Times New Roman"/>
        </w:rPr>
        <w:t xml:space="preserve">Corporate disclosure policy and analyst behavior. </w:t>
      </w:r>
      <w:r w:rsidRPr="00BB2A00">
        <w:rPr>
          <w:rFonts w:cs="TimesNewRomanPS-ItalicMT"/>
          <w:i/>
          <w:iCs/>
        </w:rPr>
        <w:t>The</w:t>
      </w:r>
    </w:p>
    <w:p w:rsidR="0056191A" w:rsidRPr="00BB2A00" w:rsidRDefault="0056191A" w:rsidP="0056191A">
      <w:pPr>
        <w:pStyle w:val="FootnoteText"/>
        <w:spacing w:line="360" w:lineRule="auto"/>
        <w:ind w:firstLine="340"/>
        <w:rPr>
          <w:rFonts w:cs="Times New Roman"/>
          <w:sz w:val="22"/>
          <w:szCs w:val="22"/>
        </w:rPr>
      </w:pPr>
      <w:r w:rsidRPr="00BB2A00">
        <w:rPr>
          <w:rFonts w:cs="TimesNewRomanPS-ItalicMT"/>
          <w:i/>
          <w:iCs/>
          <w:sz w:val="22"/>
          <w:szCs w:val="22"/>
        </w:rPr>
        <w:lastRenderedPageBreak/>
        <w:t xml:space="preserve">Accounting Review </w:t>
      </w:r>
      <w:r w:rsidRPr="00BB2A00">
        <w:rPr>
          <w:rFonts w:cs="Times New Roman"/>
          <w:sz w:val="22"/>
          <w:szCs w:val="22"/>
        </w:rPr>
        <w:t>71, p.  467-493.</w:t>
      </w:r>
    </w:p>
    <w:p w:rsidR="0056191A" w:rsidRPr="00BB2A00" w:rsidRDefault="0056191A" w:rsidP="0056191A">
      <w:pPr>
        <w:pStyle w:val="ListParagraph"/>
        <w:numPr>
          <w:ilvl w:val="0"/>
          <w:numId w:val="5"/>
        </w:numPr>
        <w:spacing w:after="0" w:line="360" w:lineRule="auto"/>
        <w:contextualSpacing w:val="0"/>
      </w:pPr>
      <w:r w:rsidRPr="00BB2A00">
        <w:t xml:space="preserve">Lang, M., Lundholm, R., 2000, </w:t>
      </w:r>
      <w:r w:rsidRPr="00BB2A00">
        <w:rPr>
          <w:i/>
        </w:rPr>
        <w:t xml:space="preserve">Voluntary disclosure and equity offerings: Reducing information asymmetry or hyping the stock?, </w:t>
      </w:r>
      <w:r w:rsidRPr="00BB2A00">
        <w:t>Contemporary accounting research, 17, p. 623</w:t>
      </w:r>
    </w:p>
    <w:p w:rsidR="0056191A" w:rsidRPr="00BB2A00" w:rsidRDefault="005D6FD2" w:rsidP="0056191A">
      <w:pPr>
        <w:pStyle w:val="ListParagraph"/>
        <w:numPr>
          <w:ilvl w:val="0"/>
          <w:numId w:val="5"/>
        </w:numPr>
        <w:autoSpaceDE w:val="0"/>
        <w:autoSpaceDN w:val="0"/>
        <w:adjustRightInd w:val="0"/>
        <w:spacing w:after="0" w:line="360" w:lineRule="auto"/>
        <w:contextualSpacing w:val="0"/>
        <w:rPr>
          <w:rFonts w:cs="Times New Roman"/>
        </w:rPr>
      </w:pPr>
      <w:r>
        <w:rPr>
          <w:rFonts w:cs="Times New Roman"/>
        </w:rPr>
        <w:t xml:space="preserve">Lev, B., Petrovits, C., </w:t>
      </w:r>
      <w:r w:rsidR="0056191A" w:rsidRPr="00BB2A00">
        <w:rPr>
          <w:rFonts w:cs="Times New Roman"/>
        </w:rPr>
        <w:t xml:space="preserve">Radhakrishnan, S., 2010. Is doing good </w:t>
      </w:r>
      <w:proofErr w:type="spellStart"/>
      <w:r w:rsidR="0056191A" w:rsidRPr="00BB2A00">
        <w:rPr>
          <w:rFonts w:cs="Times New Roman"/>
        </w:rPr>
        <w:t>good</w:t>
      </w:r>
      <w:proofErr w:type="spellEnd"/>
      <w:r w:rsidR="0056191A" w:rsidRPr="00BB2A00">
        <w:rPr>
          <w:rFonts w:cs="Times New Roman"/>
        </w:rPr>
        <w:t xml:space="preserve"> for you? Yes, charitable</w:t>
      </w:r>
    </w:p>
    <w:p w:rsidR="0056191A" w:rsidRPr="00BB2A00" w:rsidRDefault="0056191A" w:rsidP="0056191A">
      <w:pPr>
        <w:pStyle w:val="ListParagraph"/>
        <w:autoSpaceDE w:val="0"/>
        <w:autoSpaceDN w:val="0"/>
        <w:adjustRightInd w:val="0"/>
        <w:spacing w:after="0" w:line="360" w:lineRule="auto"/>
        <w:ind w:left="340"/>
        <w:rPr>
          <w:rFonts w:cs="Times New Roman"/>
        </w:rPr>
      </w:pPr>
      <w:r w:rsidRPr="00BB2A00">
        <w:rPr>
          <w:rFonts w:cs="Times New Roman"/>
        </w:rPr>
        <w:t xml:space="preserve">contributions enhance revenue growth. </w:t>
      </w:r>
      <w:r w:rsidRPr="00BB2A00">
        <w:rPr>
          <w:rFonts w:cs="TimesNewRomanPS-ItalicMT"/>
          <w:i/>
          <w:iCs/>
        </w:rPr>
        <w:t xml:space="preserve">Strategic Management Journal </w:t>
      </w:r>
      <w:r w:rsidRPr="00BB2A00">
        <w:rPr>
          <w:rFonts w:cs="Times New Roman"/>
        </w:rPr>
        <w:t>31(2): 182-200.</w:t>
      </w:r>
    </w:p>
    <w:p w:rsidR="0056191A" w:rsidRPr="00BB2A00" w:rsidRDefault="00C53126" w:rsidP="0056191A">
      <w:pPr>
        <w:pStyle w:val="ListParagraph"/>
        <w:numPr>
          <w:ilvl w:val="0"/>
          <w:numId w:val="5"/>
        </w:numPr>
        <w:spacing w:after="0" w:line="360" w:lineRule="auto"/>
        <w:contextualSpacing w:val="0"/>
      </w:pPr>
      <w:r w:rsidRPr="00BB2A00">
        <w:t>Lightstone</w:t>
      </w:r>
      <w:r w:rsidR="0056191A" w:rsidRPr="00BB2A00">
        <w:t xml:space="preserve">, K., Driscoll, C., 2008, </w:t>
      </w:r>
      <w:r w:rsidR="0056191A" w:rsidRPr="00BB2A00">
        <w:rPr>
          <w:i/>
        </w:rPr>
        <w:t>Disclosing elements of disclosure: A test of legitimacy theory and company ethics</w:t>
      </w:r>
      <w:r w:rsidR="0056191A" w:rsidRPr="00BB2A00">
        <w:t>, Canadian Journal of Administrative Sciences, 25, p. 7-21</w:t>
      </w:r>
    </w:p>
    <w:p w:rsidR="0056191A" w:rsidRPr="00BB2A00" w:rsidRDefault="0056191A" w:rsidP="0056191A">
      <w:pPr>
        <w:pStyle w:val="ListParagraph"/>
        <w:numPr>
          <w:ilvl w:val="0"/>
          <w:numId w:val="5"/>
        </w:numPr>
        <w:spacing w:after="0" w:line="360" w:lineRule="auto"/>
        <w:contextualSpacing w:val="0"/>
      </w:pPr>
      <w:r w:rsidRPr="00BB2A00">
        <w:t xml:space="preserve">Liu, J., Taylor, D., 2008, </w:t>
      </w:r>
      <w:r w:rsidRPr="00BB2A00">
        <w:rPr>
          <w:i/>
        </w:rPr>
        <w:t>Legitimacy and corporate governance determinants of executives’ remuneration disclosures</w:t>
      </w:r>
      <w:r w:rsidRPr="00BB2A00">
        <w:t>, Corporate Governance, 8, p. 59-72</w:t>
      </w:r>
    </w:p>
    <w:p w:rsidR="0056191A" w:rsidRPr="00BB2A00" w:rsidRDefault="0056191A" w:rsidP="0056191A">
      <w:pPr>
        <w:pStyle w:val="ListParagraph"/>
        <w:numPr>
          <w:ilvl w:val="0"/>
          <w:numId w:val="5"/>
        </w:numPr>
        <w:spacing w:after="0" w:line="360" w:lineRule="auto"/>
        <w:contextualSpacing w:val="0"/>
      </w:pPr>
      <w:proofErr w:type="spellStart"/>
      <w:r w:rsidRPr="00BB2A00">
        <w:t>Louhichi</w:t>
      </w:r>
      <w:proofErr w:type="spellEnd"/>
      <w:r w:rsidRPr="00BB2A00">
        <w:t xml:space="preserve">, W., 2008, </w:t>
      </w:r>
      <w:r w:rsidRPr="00BB2A00">
        <w:rPr>
          <w:i/>
        </w:rPr>
        <w:t xml:space="preserve">Adjustment of stock </w:t>
      </w:r>
      <w:r w:rsidR="00C53126" w:rsidRPr="00BB2A00">
        <w:rPr>
          <w:i/>
        </w:rPr>
        <w:t>prices</w:t>
      </w:r>
      <w:r w:rsidRPr="00BB2A00">
        <w:rPr>
          <w:i/>
        </w:rPr>
        <w:t xml:space="preserve"> to earnings announcements: evidence from </w:t>
      </w:r>
      <w:proofErr w:type="spellStart"/>
      <w:r w:rsidRPr="00BB2A00">
        <w:rPr>
          <w:i/>
        </w:rPr>
        <w:t>Euronext</w:t>
      </w:r>
      <w:proofErr w:type="spellEnd"/>
      <w:r w:rsidRPr="00BB2A00">
        <w:rPr>
          <w:i/>
        </w:rPr>
        <w:t xml:space="preserve"> Paris</w:t>
      </w:r>
      <w:r w:rsidRPr="00BB2A00">
        <w:t>, Review of Accounting and Finance, 7, p. 102-115</w:t>
      </w:r>
    </w:p>
    <w:p w:rsidR="0056191A" w:rsidRPr="00BB2A00" w:rsidRDefault="0056191A" w:rsidP="0056191A">
      <w:pPr>
        <w:pStyle w:val="ListParagraph"/>
        <w:numPr>
          <w:ilvl w:val="0"/>
          <w:numId w:val="5"/>
        </w:numPr>
        <w:spacing w:after="0" w:line="360" w:lineRule="auto"/>
        <w:contextualSpacing w:val="0"/>
      </w:pPr>
      <w:r w:rsidRPr="00BB2A00">
        <w:t xml:space="preserve">Margolis, J.D., Walsh, J.P., 2003, </w:t>
      </w:r>
      <w:r w:rsidRPr="00BB2A00">
        <w:rPr>
          <w:i/>
        </w:rPr>
        <w:t xml:space="preserve">Misery loves companies: Rethinking social initiatives by business, </w:t>
      </w:r>
      <w:r w:rsidRPr="00BB2A00">
        <w:t>Administrative Science Quarterly, 48, p. 268-305</w:t>
      </w:r>
    </w:p>
    <w:p w:rsidR="0056191A" w:rsidRPr="00BB2A00" w:rsidRDefault="0056191A" w:rsidP="0056191A">
      <w:pPr>
        <w:pStyle w:val="FootnoteText"/>
        <w:numPr>
          <w:ilvl w:val="0"/>
          <w:numId w:val="5"/>
        </w:numPr>
        <w:spacing w:line="360" w:lineRule="auto"/>
        <w:rPr>
          <w:rFonts w:cs="Times New Roman"/>
          <w:sz w:val="22"/>
          <w:szCs w:val="22"/>
        </w:rPr>
      </w:pPr>
      <w:r w:rsidRPr="00BB2A00">
        <w:rPr>
          <w:rFonts w:cs="Times New Roman"/>
          <w:sz w:val="22"/>
          <w:szCs w:val="22"/>
        </w:rPr>
        <w:t xml:space="preserve">Matsumura, E.M., Prakash, R., and Vera-Munoz, S.C., 2010 </w:t>
      </w:r>
      <w:r w:rsidRPr="00BB2A00">
        <w:rPr>
          <w:rFonts w:cs="Times New Roman"/>
          <w:i/>
          <w:sz w:val="22"/>
          <w:szCs w:val="22"/>
        </w:rPr>
        <w:t xml:space="preserve">Carbon Emissions and Firm Value, </w:t>
      </w:r>
      <w:r w:rsidRPr="00BB2A00">
        <w:rPr>
          <w:rFonts w:cs="Times New Roman"/>
          <w:sz w:val="22"/>
          <w:szCs w:val="22"/>
        </w:rPr>
        <w:t>Working paper, University of Wisconsin-Madison</w:t>
      </w:r>
    </w:p>
    <w:p w:rsidR="0056191A" w:rsidRPr="00BB2A00" w:rsidRDefault="0056191A" w:rsidP="0056191A">
      <w:pPr>
        <w:pStyle w:val="ListParagraph"/>
        <w:numPr>
          <w:ilvl w:val="0"/>
          <w:numId w:val="5"/>
        </w:numPr>
        <w:spacing w:after="0" w:line="360" w:lineRule="auto"/>
        <w:contextualSpacing w:val="0"/>
      </w:pPr>
      <w:r w:rsidRPr="00BB2A00">
        <w:t xml:space="preserve">Orlitzky, M., Schmidt, F.L., Rynes, S.L., 2003, </w:t>
      </w:r>
      <w:r w:rsidRPr="00BB2A00">
        <w:rPr>
          <w:i/>
        </w:rPr>
        <w:t>Corporate social and financial performance: a meta-analysis</w:t>
      </w:r>
      <w:r w:rsidRPr="00BB2A00">
        <w:t>, Organization Studies, 24 p. 403-441</w:t>
      </w:r>
    </w:p>
    <w:p w:rsidR="0056191A" w:rsidRPr="00BB2A00" w:rsidRDefault="0056191A" w:rsidP="0056191A">
      <w:pPr>
        <w:numPr>
          <w:ilvl w:val="0"/>
          <w:numId w:val="5"/>
        </w:numPr>
        <w:spacing w:after="0" w:line="360" w:lineRule="auto"/>
      </w:pPr>
      <w:r w:rsidRPr="00BB2A00">
        <w:t xml:space="preserve">Patten, D., 2002, </w:t>
      </w:r>
      <w:r w:rsidRPr="00BB2A00">
        <w:rPr>
          <w:i/>
        </w:rPr>
        <w:t xml:space="preserve">The relation between environmental performance and environmental disclosure: Research note, </w:t>
      </w:r>
      <w:r w:rsidRPr="00BB2A00">
        <w:t>Accounting, Organization, and Society, 27, p. 763-773</w:t>
      </w:r>
    </w:p>
    <w:p w:rsidR="0056191A" w:rsidRPr="00BB2A00" w:rsidRDefault="0056191A" w:rsidP="0056191A">
      <w:pPr>
        <w:numPr>
          <w:ilvl w:val="0"/>
          <w:numId w:val="5"/>
        </w:numPr>
        <w:spacing w:after="0" w:line="360" w:lineRule="auto"/>
      </w:pPr>
      <w:r w:rsidRPr="00BB2A00">
        <w:t>Plumlee, M., Brown</w:t>
      </w:r>
      <w:r w:rsidR="00C53126" w:rsidRPr="00BB2A00">
        <w:t>, D</w:t>
      </w:r>
      <w:r w:rsidRPr="00BB2A00">
        <w:t>., Marshall</w:t>
      </w:r>
      <w:r w:rsidR="00C53126" w:rsidRPr="00BB2A00">
        <w:t>, S</w:t>
      </w:r>
      <w:r w:rsidRPr="00BB2A00">
        <w:t>., 2009,</w:t>
      </w:r>
      <w:r w:rsidRPr="00BB2A00">
        <w:rPr>
          <w:i/>
        </w:rPr>
        <w:t xml:space="preserve"> Voluntary environmental disclosure quality and firm value: the role of venue and industry type.</w:t>
      </w:r>
      <w:r w:rsidRPr="00BB2A00">
        <w:t xml:space="preserve"> Working paper, University of Utah</w:t>
      </w:r>
    </w:p>
    <w:p w:rsidR="0056191A" w:rsidRPr="00BB2A00" w:rsidRDefault="0056191A" w:rsidP="0056191A">
      <w:pPr>
        <w:pStyle w:val="ListParagraph"/>
        <w:numPr>
          <w:ilvl w:val="0"/>
          <w:numId w:val="5"/>
        </w:numPr>
        <w:spacing w:after="0" w:line="360" w:lineRule="auto"/>
        <w:contextualSpacing w:val="0"/>
      </w:pPr>
      <w:r w:rsidRPr="00BB2A00">
        <w:t xml:space="preserve">Porter, M.E., Kramer, M.R., 2006, </w:t>
      </w:r>
      <w:r w:rsidRPr="00BB2A00">
        <w:rPr>
          <w:i/>
        </w:rPr>
        <w:t>Strategy and society; the link between competitive advantage and corporate social responsibility</w:t>
      </w:r>
      <w:r w:rsidRPr="00BB2A00">
        <w:t xml:space="preserve">, </w:t>
      </w:r>
      <w:r w:rsidR="00C53126" w:rsidRPr="00BB2A00">
        <w:t>Harvard</w:t>
      </w:r>
      <w:r w:rsidRPr="00BB2A00">
        <w:t xml:space="preserve"> Business Review, 85</w:t>
      </w:r>
    </w:p>
    <w:p w:rsidR="0056191A" w:rsidRPr="00BB2A00" w:rsidRDefault="0056191A" w:rsidP="0056191A">
      <w:pPr>
        <w:pStyle w:val="FootnoteText"/>
        <w:numPr>
          <w:ilvl w:val="0"/>
          <w:numId w:val="5"/>
        </w:numPr>
        <w:spacing w:line="360" w:lineRule="auto"/>
        <w:rPr>
          <w:sz w:val="22"/>
          <w:szCs w:val="22"/>
        </w:rPr>
      </w:pPr>
      <w:r w:rsidRPr="00BB2A00">
        <w:rPr>
          <w:sz w:val="22"/>
          <w:szCs w:val="22"/>
          <w:lang w:val="nl-NL"/>
        </w:rPr>
        <w:t xml:space="preserve">Quaak. L., Aalbers, T., Goedee. </w:t>
      </w:r>
      <w:r w:rsidRPr="00BB2A00">
        <w:rPr>
          <w:sz w:val="22"/>
          <w:szCs w:val="22"/>
        </w:rPr>
        <w:t xml:space="preserve">J., 2006, </w:t>
      </w:r>
      <w:r w:rsidRPr="00BB2A00">
        <w:rPr>
          <w:i/>
          <w:sz w:val="22"/>
          <w:szCs w:val="22"/>
        </w:rPr>
        <w:t xml:space="preserve">Transparency of corporate social responsibility in Dutch breweries, </w:t>
      </w:r>
      <w:r w:rsidRPr="00BB2A00">
        <w:rPr>
          <w:sz w:val="22"/>
          <w:szCs w:val="22"/>
        </w:rPr>
        <w:t>Journal of Business Ethics, 76, p. 293-308</w:t>
      </w:r>
    </w:p>
    <w:p w:rsidR="0056191A" w:rsidRPr="00BB2A00" w:rsidRDefault="0056191A" w:rsidP="0056191A">
      <w:pPr>
        <w:numPr>
          <w:ilvl w:val="0"/>
          <w:numId w:val="5"/>
        </w:numPr>
        <w:spacing w:after="0" w:line="360" w:lineRule="auto"/>
      </w:pPr>
      <w:r w:rsidRPr="00BB2A00">
        <w:t>Richardson, A., Welker,</w:t>
      </w:r>
      <w:r w:rsidR="00C53126">
        <w:t xml:space="preserve"> </w:t>
      </w:r>
      <w:r w:rsidRPr="00BB2A00">
        <w:t>M., 2001. Social disclosure, financial disclosure and the cost of equity capital, Accounting, Organizations and Society. 26 (7/8), 597-615</w:t>
      </w:r>
    </w:p>
    <w:p w:rsidR="0056191A" w:rsidRPr="00BB2A00" w:rsidRDefault="0056191A" w:rsidP="0056191A">
      <w:pPr>
        <w:pStyle w:val="ListParagraph"/>
        <w:numPr>
          <w:ilvl w:val="0"/>
          <w:numId w:val="5"/>
        </w:numPr>
        <w:spacing w:after="0" w:line="360" w:lineRule="auto"/>
        <w:contextualSpacing w:val="0"/>
      </w:pPr>
      <w:r w:rsidRPr="00BB2A00">
        <w:t xml:space="preserve">Sutantoputra, A.W., 2009, </w:t>
      </w:r>
      <w:r w:rsidRPr="00BB2A00">
        <w:rPr>
          <w:i/>
        </w:rPr>
        <w:t>Social Disclosures Rating System for assessing firms’, CSR Reports</w:t>
      </w:r>
      <w:r w:rsidRPr="00BB2A00">
        <w:t>, Corporate Communications: An International Journal 14(1): 34-48</w:t>
      </w:r>
    </w:p>
    <w:p w:rsidR="0056191A" w:rsidRPr="00BB2A00" w:rsidRDefault="0056191A" w:rsidP="0056191A">
      <w:pPr>
        <w:pStyle w:val="ListParagraph"/>
        <w:numPr>
          <w:ilvl w:val="0"/>
          <w:numId w:val="5"/>
        </w:numPr>
        <w:spacing w:after="0" w:line="360" w:lineRule="auto"/>
        <w:contextualSpacing w:val="0"/>
      </w:pPr>
      <w:r w:rsidRPr="00BB2A00">
        <w:t xml:space="preserve">Ullman, A.A., 1985, </w:t>
      </w:r>
      <w:r w:rsidRPr="00BB2A00">
        <w:rPr>
          <w:i/>
        </w:rPr>
        <w:t>Data in search of a theory: a critical examination of the relationships among social performance, social disclosure and economic performance of US firms</w:t>
      </w:r>
      <w:r w:rsidRPr="00BB2A00">
        <w:t>, Academy of Management Review, 10, p. 540-557</w:t>
      </w:r>
    </w:p>
    <w:p w:rsidR="0056191A" w:rsidRPr="00BB2A00" w:rsidRDefault="0056191A" w:rsidP="0056191A">
      <w:pPr>
        <w:pStyle w:val="ListParagraph"/>
        <w:numPr>
          <w:ilvl w:val="0"/>
          <w:numId w:val="5"/>
        </w:numPr>
        <w:spacing w:after="0" w:line="360" w:lineRule="auto"/>
        <w:contextualSpacing w:val="0"/>
      </w:pPr>
      <w:r w:rsidRPr="00BB2A00">
        <w:lastRenderedPageBreak/>
        <w:t xml:space="preserve">Watts, R., Zimmerman, J., 1983, </w:t>
      </w:r>
      <w:r w:rsidRPr="00BB2A00">
        <w:rPr>
          <w:i/>
        </w:rPr>
        <w:t>Agency problems, auditing and the theory of the firm: some evidence</w:t>
      </w:r>
      <w:r w:rsidRPr="00BB2A00">
        <w:t>, Journal of Law and Economics, 26, p. 613-634</w:t>
      </w:r>
    </w:p>
    <w:p w:rsidR="0056191A" w:rsidRPr="00BB2A00" w:rsidRDefault="0056191A" w:rsidP="0056191A">
      <w:pPr>
        <w:pStyle w:val="FootnoteText"/>
        <w:numPr>
          <w:ilvl w:val="0"/>
          <w:numId w:val="5"/>
        </w:numPr>
        <w:autoSpaceDE w:val="0"/>
        <w:autoSpaceDN w:val="0"/>
        <w:adjustRightInd w:val="0"/>
        <w:spacing w:line="360" w:lineRule="auto"/>
        <w:rPr>
          <w:rFonts w:cs="AmerigoBT-RomanA"/>
          <w:sz w:val="22"/>
          <w:szCs w:val="22"/>
        </w:rPr>
      </w:pPr>
      <w:r w:rsidRPr="00BB2A00">
        <w:rPr>
          <w:rFonts w:cs="Calibri"/>
          <w:sz w:val="22"/>
          <w:szCs w:val="22"/>
        </w:rPr>
        <w:t xml:space="preserve">Wood, D.J., 2010, </w:t>
      </w:r>
      <w:r w:rsidRPr="00BB2A00">
        <w:rPr>
          <w:rFonts w:cs="Calibri"/>
          <w:i/>
          <w:sz w:val="22"/>
          <w:szCs w:val="22"/>
        </w:rPr>
        <w:t xml:space="preserve">Measuring Corporate Social Performance: A </w:t>
      </w:r>
      <w:r w:rsidRPr="00BB2A00">
        <w:rPr>
          <w:rFonts w:cs="Calibri"/>
          <w:sz w:val="22"/>
          <w:szCs w:val="22"/>
        </w:rPr>
        <w:t xml:space="preserve">Review, International journal of Management Reviews,   12, p. 50-84 </w:t>
      </w:r>
    </w:p>
    <w:p w:rsidR="0056191A" w:rsidRPr="00881636" w:rsidRDefault="0056191A" w:rsidP="0056191A">
      <w:pPr>
        <w:pStyle w:val="ListParagraph"/>
        <w:spacing w:after="0" w:line="360" w:lineRule="auto"/>
        <w:ind w:left="340"/>
      </w:pPr>
    </w:p>
    <w:p w:rsidR="0056191A" w:rsidRPr="00881636" w:rsidRDefault="0056191A" w:rsidP="0056191A">
      <w:pPr>
        <w:pStyle w:val="FootnoteText"/>
        <w:autoSpaceDE w:val="0"/>
        <w:autoSpaceDN w:val="0"/>
        <w:adjustRightInd w:val="0"/>
        <w:spacing w:line="360" w:lineRule="auto"/>
        <w:ind w:left="340"/>
        <w:rPr>
          <w:sz w:val="22"/>
          <w:szCs w:val="22"/>
        </w:rPr>
      </w:pPr>
    </w:p>
    <w:p w:rsidR="0056191A" w:rsidRPr="00881636" w:rsidRDefault="0056191A" w:rsidP="0056191A">
      <w:pPr>
        <w:autoSpaceDE w:val="0"/>
        <w:autoSpaceDN w:val="0"/>
        <w:adjustRightInd w:val="0"/>
        <w:spacing w:after="0" w:line="360" w:lineRule="auto"/>
        <w:rPr>
          <w:rFonts w:asciiTheme="majorHAnsi" w:hAnsiTheme="majorHAnsi" w:cs="Times New Roman"/>
          <w:b/>
          <w:sz w:val="28"/>
          <w:szCs w:val="28"/>
        </w:rPr>
      </w:pPr>
      <w:r w:rsidRPr="00881636">
        <w:rPr>
          <w:rFonts w:asciiTheme="majorHAnsi" w:hAnsiTheme="majorHAnsi" w:cs="Times New Roman"/>
          <w:b/>
          <w:sz w:val="28"/>
          <w:szCs w:val="28"/>
        </w:rPr>
        <w:t>Internet Resources</w:t>
      </w:r>
    </w:p>
    <w:p w:rsidR="0056191A" w:rsidRPr="00881636" w:rsidRDefault="0056191A" w:rsidP="0056191A">
      <w:pPr>
        <w:pStyle w:val="FootnoteText"/>
        <w:numPr>
          <w:ilvl w:val="0"/>
          <w:numId w:val="7"/>
        </w:numPr>
        <w:spacing w:line="360" w:lineRule="auto"/>
        <w:rPr>
          <w:rFonts w:cs="Calibri"/>
          <w:sz w:val="22"/>
          <w:szCs w:val="22"/>
        </w:rPr>
      </w:pPr>
      <w:r w:rsidRPr="00881636">
        <w:rPr>
          <w:rFonts w:cs="Times New Roman"/>
          <w:sz w:val="22"/>
          <w:szCs w:val="22"/>
        </w:rPr>
        <w:t>http://www.globalreporting.org/AboutGRI/ accessed on</w:t>
      </w:r>
      <w:r w:rsidRPr="00881636">
        <w:rPr>
          <w:sz w:val="22"/>
          <w:szCs w:val="22"/>
        </w:rPr>
        <w:t xml:space="preserve"> 15 March</w:t>
      </w:r>
      <w:r w:rsidRPr="00881636">
        <w:rPr>
          <w:rFonts w:cs="Times New Roman"/>
          <w:sz w:val="22"/>
          <w:szCs w:val="22"/>
        </w:rPr>
        <w:t xml:space="preserve"> 2011</w:t>
      </w:r>
    </w:p>
    <w:p w:rsidR="0056191A" w:rsidRDefault="0056191A" w:rsidP="0056191A">
      <w:pPr>
        <w:pStyle w:val="ListParagraph"/>
        <w:numPr>
          <w:ilvl w:val="0"/>
          <w:numId w:val="7"/>
        </w:numPr>
        <w:spacing w:after="0" w:line="360" w:lineRule="auto"/>
        <w:contextualSpacing w:val="0"/>
      </w:pPr>
      <w:r w:rsidRPr="00881636">
        <w:rPr>
          <w:rFonts w:cs="Arial"/>
        </w:rPr>
        <w:t>http://www.globalreporting.org/NR/rdonlyres/D2BC0DF8-FF2C-4BAB-B2B4-27DA868C2A5F/5683/G3_Guidelines_English.pdf</w:t>
      </w:r>
      <w:r w:rsidRPr="00881636">
        <w:t xml:space="preserve"> accessed on 15 </w:t>
      </w:r>
      <w:r w:rsidR="00C53126">
        <w:t>M</w:t>
      </w:r>
      <w:r w:rsidRPr="00881636">
        <w:t>arch 2011</w:t>
      </w:r>
    </w:p>
    <w:p w:rsidR="00C53126" w:rsidRDefault="00C53126" w:rsidP="0056191A">
      <w:pPr>
        <w:pStyle w:val="ListParagraph"/>
        <w:numPr>
          <w:ilvl w:val="0"/>
          <w:numId w:val="7"/>
        </w:numPr>
        <w:spacing w:after="0" w:line="360" w:lineRule="auto"/>
        <w:contextualSpacing w:val="0"/>
      </w:pPr>
      <w:r w:rsidRPr="00C53126">
        <w:t>http://www.globalreporting.org/ReportServices/GRIReportsList/</w:t>
      </w:r>
      <w:r>
        <w:t xml:space="preserve"> accessed on 1 April 2011</w:t>
      </w:r>
    </w:p>
    <w:p w:rsidR="00DC474C" w:rsidRPr="00881636" w:rsidRDefault="00DC474C" w:rsidP="0056191A">
      <w:pPr>
        <w:pStyle w:val="ListParagraph"/>
        <w:numPr>
          <w:ilvl w:val="0"/>
          <w:numId w:val="7"/>
        </w:numPr>
        <w:spacing w:after="0" w:line="360" w:lineRule="auto"/>
        <w:contextualSpacing w:val="0"/>
      </w:pPr>
      <w:r w:rsidRPr="00DC474C">
        <w:t>http://money.cnn.com/magazines/fortune/mostadmired/2011/full_list/</w:t>
      </w:r>
      <w:r>
        <w:t xml:space="preserve"> accessed on 1 April 2011</w:t>
      </w:r>
    </w:p>
    <w:p w:rsidR="0056191A" w:rsidRPr="00881636" w:rsidRDefault="0056191A" w:rsidP="0056191A">
      <w:pPr>
        <w:pStyle w:val="ListParagraph"/>
        <w:numPr>
          <w:ilvl w:val="0"/>
          <w:numId w:val="7"/>
        </w:numPr>
        <w:spacing w:after="0" w:line="360" w:lineRule="auto"/>
        <w:contextualSpacing w:val="0"/>
      </w:pPr>
      <w:r w:rsidRPr="00881636">
        <w:t>http://www.rabobank.nl/particulieren/servicemenu/sponsoring/sponsorfilosofie/ accessed on 14 March 2011</w:t>
      </w:r>
    </w:p>
    <w:p w:rsidR="0056191A" w:rsidRPr="00881636" w:rsidRDefault="0056191A" w:rsidP="0056191A">
      <w:pPr>
        <w:pStyle w:val="ListParagraph"/>
        <w:numPr>
          <w:ilvl w:val="0"/>
          <w:numId w:val="7"/>
        </w:numPr>
        <w:spacing w:after="0" w:line="360" w:lineRule="auto"/>
        <w:contextualSpacing w:val="0"/>
        <w:rPr>
          <w:lang w:val="nl-NL"/>
        </w:rPr>
      </w:pPr>
      <w:r w:rsidRPr="00881636">
        <w:rPr>
          <w:rFonts w:cs="Times New Roman"/>
          <w:i/>
          <w:lang w:val="nl-NL"/>
        </w:rPr>
        <w:t xml:space="preserve">Richtlijnen voor </w:t>
      </w:r>
      <w:proofErr w:type="spellStart"/>
      <w:r w:rsidRPr="00881636">
        <w:rPr>
          <w:rFonts w:cs="Times New Roman"/>
          <w:i/>
          <w:lang w:val="nl-NL"/>
        </w:rPr>
        <w:t>duurzaamheidsverslaggeving</w:t>
      </w:r>
      <w:proofErr w:type="spellEnd"/>
      <w:r w:rsidRPr="00881636">
        <w:rPr>
          <w:rFonts w:cs="Times New Roman"/>
          <w:i/>
          <w:lang w:val="nl-NL"/>
        </w:rPr>
        <w:t xml:space="preserve">, </w:t>
      </w:r>
      <w:r w:rsidRPr="00881636">
        <w:rPr>
          <w:rFonts w:cs="Times New Roman"/>
          <w:lang w:val="nl-NL"/>
        </w:rPr>
        <w:t xml:space="preserve">2000-2006 GRI, </w:t>
      </w:r>
      <w:proofErr w:type="spellStart"/>
      <w:r w:rsidRPr="00881636">
        <w:rPr>
          <w:rFonts w:cs="Times New Roman"/>
          <w:lang w:val="nl-NL"/>
        </w:rPr>
        <w:t>version</w:t>
      </w:r>
      <w:proofErr w:type="spellEnd"/>
      <w:r w:rsidRPr="00881636">
        <w:rPr>
          <w:rFonts w:cs="Times New Roman"/>
          <w:lang w:val="nl-NL"/>
        </w:rPr>
        <w:t xml:space="preserve"> 3.0</w:t>
      </w:r>
      <w:r w:rsidR="00C53126">
        <w:rPr>
          <w:rFonts w:cs="Times New Roman"/>
          <w:lang w:val="nl-NL"/>
        </w:rPr>
        <w:t xml:space="preserve"> </w:t>
      </w:r>
      <w:proofErr w:type="spellStart"/>
      <w:r w:rsidR="00C53126">
        <w:rPr>
          <w:rFonts w:cs="Times New Roman"/>
          <w:lang w:val="nl-NL"/>
        </w:rPr>
        <w:t>accessed</w:t>
      </w:r>
      <w:proofErr w:type="spellEnd"/>
      <w:r w:rsidR="00C53126">
        <w:rPr>
          <w:rFonts w:cs="Times New Roman"/>
          <w:lang w:val="nl-NL"/>
        </w:rPr>
        <w:t xml:space="preserve"> </w:t>
      </w:r>
      <w:proofErr w:type="spellStart"/>
      <w:r w:rsidR="00C53126">
        <w:rPr>
          <w:rFonts w:cs="Times New Roman"/>
          <w:lang w:val="nl-NL"/>
        </w:rPr>
        <w:t>on</w:t>
      </w:r>
      <w:proofErr w:type="spellEnd"/>
      <w:r w:rsidR="00C53126">
        <w:rPr>
          <w:rFonts w:cs="Times New Roman"/>
          <w:lang w:val="nl-NL"/>
        </w:rPr>
        <w:t xml:space="preserve"> 15 </w:t>
      </w:r>
      <w:proofErr w:type="spellStart"/>
      <w:r w:rsidR="00C53126">
        <w:rPr>
          <w:rFonts w:cs="Times New Roman"/>
          <w:lang w:val="nl-NL"/>
        </w:rPr>
        <w:t>March</w:t>
      </w:r>
      <w:proofErr w:type="spellEnd"/>
      <w:r w:rsidR="00C53126">
        <w:rPr>
          <w:rFonts w:cs="Times New Roman"/>
          <w:lang w:val="nl-NL"/>
        </w:rPr>
        <w:t xml:space="preserve"> 2011</w:t>
      </w:r>
    </w:p>
    <w:p w:rsidR="0056191A" w:rsidRPr="00F95F66" w:rsidRDefault="0056191A" w:rsidP="0056191A">
      <w:pPr>
        <w:autoSpaceDE w:val="0"/>
        <w:autoSpaceDN w:val="0"/>
        <w:adjustRightInd w:val="0"/>
        <w:spacing w:after="0" w:line="360" w:lineRule="auto"/>
        <w:rPr>
          <w:rFonts w:asciiTheme="majorHAnsi" w:hAnsiTheme="majorHAnsi" w:cs="Times New Roman"/>
          <w:b/>
          <w:sz w:val="28"/>
          <w:szCs w:val="28"/>
          <w:lang w:val="nl-NL"/>
        </w:rPr>
      </w:pPr>
    </w:p>
    <w:p w:rsidR="0056191A" w:rsidRPr="0056191A" w:rsidRDefault="0056191A" w:rsidP="0056191A">
      <w:pPr>
        <w:rPr>
          <w:lang w:val="nl-NL"/>
        </w:rPr>
        <w:sectPr w:rsidR="0056191A" w:rsidRPr="0056191A" w:rsidSect="00631FDC">
          <w:footerReference w:type="default" r:id="rId15"/>
          <w:pgSz w:w="12240" w:h="15840"/>
          <w:pgMar w:top="1440" w:right="1440" w:bottom="1440" w:left="1440" w:header="708" w:footer="708" w:gutter="0"/>
          <w:cols w:space="708"/>
          <w:docGrid w:linePitch="360"/>
        </w:sectPr>
      </w:pPr>
    </w:p>
    <w:p w:rsidR="00D8619E" w:rsidRDefault="00BB2A00" w:rsidP="001937E3">
      <w:pPr>
        <w:pStyle w:val="Heading1"/>
        <w:rPr>
          <w:u w:val="single"/>
        </w:rPr>
      </w:pPr>
      <w:bookmarkStart w:id="66" w:name="_Toc299353408"/>
      <w:r>
        <w:rPr>
          <w:u w:val="single"/>
        </w:rPr>
        <w:lastRenderedPageBreak/>
        <w:t>Appendix A</w:t>
      </w:r>
      <w:r w:rsidR="009A361F">
        <w:rPr>
          <w:u w:val="single"/>
        </w:rPr>
        <w:t>: Companies included in sample</w:t>
      </w:r>
      <w:bookmarkEnd w:id="66"/>
    </w:p>
    <w:p w:rsidR="001937E3" w:rsidRPr="001937E3" w:rsidRDefault="001937E3" w:rsidP="001937E3"/>
    <w:p w:rsidR="00D8619E" w:rsidRDefault="00D8619E" w:rsidP="00D8619E">
      <w:pPr>
        <w:spacing w:after="0" w:line="240" w:lineRule="auto"/>
      </w:pPr>
      <w:r w:rsidRPr="00D8619E">
        <w:t>R.L. = CSR Report Leve</w:t>
      </w:r>
      <w:r>
        <w:t>l</w:t>
      </w:r>
    </w:p>
    <w:p w:rsidR="00D8619E" w:rsidRDefault="00D8619E" w:rsidP="00D8619E">
      <w:pPr>
        <w:spacing w:after="0" w:line="240" w:lineRule="auto"/>
      </w:pPr>
      <w:r>
        <w:t>R.I. = Reputation Index</w:t>
      </w:r>
    </w:p>
    <w:tbl>
      <w:tblPr>
        <w:tblW w:w="12760" w:type="dxa"/>
        <w:tblInd w:w="51" w:type="dxa"/>
        <w:tblCellMar>
          <w:left w:w="70" w:type="dxa"/>
          <w:right w:w="70" w:type="dxa"/>
        </w:tblCellMar>
        <w:tblLook w:val="04A0"/>
      </w:tblPr>
      <w:tblGrid>
        <w:gridCol w:w="2500"/>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56191A" w:rsidRDefault="00D8619E" w:rsidP="00D8619E">
            <w:pPr>
              <w:spacing w:after="0" w:line="240" w:lineRule="auto"/>
              <w:rPr>
                <w:rFonts w:ascii="Calibri" w:eastAsia="Times New Roman" w:hAnsi="Calibri" w:cs="Times New Roman"/>
                <w:color w:val="000000"/>
                <w:lang w:eastAsia="nl-NL"/>
              </w:rPr>
            </w:pPr>
          </w:p>
          <w:p w:rsidR="00D8619E" w:rsidRPr="0056191A" w:rsidRDefault="00D8619E" w:rsidP="00D8619E">
            <w:pPr>
              <w:spacing w:after="0" w:line="240" w:lineRule="auto"/>
              <w:rPr>
                <w:rFonts w:ascii="Calibri" w:eastAsia="Times New Roman" w:hAnsi="Calibri" w:cs="Times New Roman"/>
                <w:color w:val="000000"/>
                <w:lang w:eastAsia="nl-NL"/>
              </w:rPr>
            </w:pPr>
            <w:r w:rsidRPr="0056191A">
              <w:rPr>
                <w:rFonts w:ascii="Calibri" w:eastAsia="Times New Roman" w:hAnsi="Calibri" w:cs="Times New Roman"/>
                <w:color w:val="000000"/>
                <w:lang w:eastAsia="nl-NL"/>
              </w:rPr>
              <w:t> </w:t>
            </w:r>
          </w:p>
        </w:tc>
        <w:tc>
          <w:tcPr>
            <w:tcW w:w="1780" w:type="dxa"/>
            <w:tcBorders>
              <w:top w:val="nil"/>
              <w:left w:val="nil"/>
              <w:bottom w:val="nil"/>
              <w:right w:val="nil"/>
            </w:tcBorders>
            <w:shd w:val="clear" w:color="auto" w:fill="auto"/>
            <w:noWrap/>
            <w:vAlign w:val="bottom"/>
            <w:hideMark/>
          </w:tcPr>
          <w:p w:rsidR="00D8619E" w:rsidRPr="0056191A" w:rsidRDefault="00D8619E" w:rsidP="00D8619E">
            <w:pPr>
              <w:spacing w:after="0" w:line="240" w:lineRule="auto"/>
              <w:rPr>
                <w:rFonts w:ascii="Calibri" w:eastAsia="Times New Roman" w:hAnsi="Calibri" w:cs="Times New Roman"/>
                <w:color w:val="000000"/>
                <w:lang w:eastAsia="nl-NL"/>
              </w:rPr>
            </w:pPr>
          </w:p>
        </w:tc>
        <w:tc>
          <w:tcPr>
            <w:tcW w:w="2080" w:type="dxa"/>
            <w:tcBorders>
              <w:top w:val="nil"/>
              <w:left w:val="nil"/>
              <w:bottom w:val="nil"/>
              <w:right w:val="nil"/>
            </w:tcBorders>
            <w:shd w:val="clear" w:color="auto" w:fill="auto"/>
            <w:noWrap/>
            <w:vAlign w:val="bottom"/>
            <w:hideMark/>
          </w:tcPr>
          <w:p w:rsidR="00D8619E" w:rsidRPr="0056191A" w:rsidRDefault="00D8619E" w:rsidP="00D8619E">
            <w:pPr>
              <w:spacing w:after="0" w:line="240" w:lineRule="auto"/>
              <w:rPr>
                <w:rFonts w:ascii="Calibri" w:eastAsia="Times New Roman" w:hAnsi="Calibri" w:cs="Times New Roman"/>
                <w:color w:val="000000"/>
                <w:lang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500"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3M</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Oceania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6,87</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ABB</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Abbott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ABN AMRO Holding</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Accenture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7,35</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Advanced</w:t>
            </w:r>
            <w:proofErr w:type="spellEnd"/>
            <w:r w:rsidRPr="00D8619E">
              <w:rPr>
                <w:rFonts w:ascii="Calibri" w:eastAsia="Times New Roman" w:hAnsi="Calibri" w:cs="Times New Roman"/>
                <w:b/>
                <w:bCs/>
                <w:color w:val="000000"/>
                <w:lang w:val="nl-NL" w:eastAsia="nl-NL"/>
              </w:rPr>
              <w:t xml:space="preserve"> Micro </w:t>
            </w:r>
            <w:proofErr w:type="spellStart"/>
            <w:r w:rsidRPr="00D8619E">
              <w:rPr>
                <w:rFonts w:ascii="Calibri" w:eastAsia="Times New Roman" w:hAnsi="Calibri" w:cs="Times New Roman"/>
                <w:b/>
                <w:bCs/>
                <w:color w:val="000000"/>
                <w:lang w:val="nl-NL" w:eastAsia="nl-NL"/>
              </w:rPr>
              <w:t>Devices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4,43</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Aegon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Aeon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Aisin</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Seiki</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5,19</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Akzo Nobel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Alcan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Alcatel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Alcoa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All Nipon Airways (ANA)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4,85</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Allianz</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5,70</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Allstate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American Electric Power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AMR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4,06</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Anglo</w:t>
            </w:r>
            <w:proofErr w:type="spellEnd"/>
            <w:r w:rsidRPr="00D8619E">
              <w:rPr>
                <w:rFonts w:ascii="Calibri" w:eastAsia="Times New Roman" w:hAnsi="Calibri" w:cs="Times New Roman"/>
                <w:b/>
                <w:bCs/>
                <w:color w:val="000000"/>
                <w:lang w:val="nl-NL" w:eastAsia="nl-NL"/>
              </w:rPr>
              <w:t xml:space="preserve"> American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Anheuser-Busch</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8,00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bl>
    <w:p w:rsidR="00D8619E" w:rsidRDefault="00D8619E" w:rsidP="009A361F"/>
    <w:p w:rsidR="00D8619E" w:rsidRDefault="00D8619E" w:rsidP="009A361F"/>
    <w:tbl>
      <w:tblPr>
        <w:tblW w:w="12760" w:type="dxa"/>
        <w:tblInd w:w="51" w:type="dxa"/>
        <w:tblCellMar>
          <w:left w:w="70" w:type="dxa"/>
          <w:right w:w="70" w:type="dxa"/>
        </w:tblCellMar>
        <w:tblLook w:val="04A0"/>
      </w:tblPr>
      <w:tblGrid>
        <w:gridCol w:w="2500"/>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500"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Apple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Applied</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Materials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Arcelor</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Mittal</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7,74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Asahi</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Breweries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4,18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4,20</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Asahi</w:t>
            </w:r>
            <w:proofErr w:type="spellEnd"/>
            <w:r w:rsidRPr="00D8619E">
              <w:rPr>
                <w:rFonts w:ascii="Calibri" w:eastAsia="Times New Roman" w:hAnsi="Calibri" w:cs="Times New Roman"/>
                <w:b/>
                <w:bCs/>
                <w:color w:val="000000"/>
                <w:lang w:val="nl-NL" w:eastAsia="nl-NL"/>
              </w:rPr>
              <w:t xml:space="preserve"> Kasei</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3,65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5,10</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Ashland</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Assicurazioni</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Generali</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4,89</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AstraZenecu</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AT&amp;T </w:t>
            </w:r>
            <w:proofErr w:type="spellStart"/>
            <w:r w:rsidRPr="00D8619E">
              <w:rPr>
                <w:rFonts w:ascii="Calibri" w:eastAsia="Times New Roman" w:hAnsi="Calibri" w:cs="Times New Roman"/>
                <w:b/>
                <w:bCs/>
                <w:color w:val="000000"/>
                <w:lang w:val="nl-NL" w:eastAsia="nl-NL"/>
              </w:rPr>
              <w:t>inc</w:t>
            </w:r>
            <w:proofErr w:type="spellEnd"/>
            <w:r w:rsidRPr="00D8619E">
              <w:rPr>
                <w:rFonts w:ascii="Calibri" w:eastAsia="Times New Roman" w:hAnsi="Calibri" w:cs="Times New Roman"/>
                <w:b/>
                <w:bCs/>
                <w:color w:val="000000"/>
                <w:lang w:val="nl-NL" w:eastAsia="nl-NL"/>
              </w:rPr>
              <w:t xml:space="preserve">.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Autodesk</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Avon </w:t>
            </w:r>
            <w:proofErr w:type="spellStart"/>
            <w:r w:rsidRPr="00D8619E">
              <w:rPr>
                <w:rFonts w:ascii="Calibri" w:eastAsia="Times New Roman" w:hAnsi="Calibri" w:cs="Times New Roman"/>
                <w:b/>
                <w:bCs/>
                <w:color w:val="000000"/>
                <w:lang w:val="nl-NL" w:eastAsia="nl-NL"/>
              </w:rPr>
              <w:t>Products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Baker </w:t>
            </w:r>
            <w:proofErr w:type="spellStart"/>
            <w:r w:rsidRPr="00D8619E">
              <w:rPr>
                <w:rFonts w:ascii="Calibri" w:eastAsia="Times New Roman" w:hAnsi="Calibri" w:cs="Times New Roman"/>
                <w:b/>
                <w:bCs/>
                <w:color w:val="000000"/>
                <w:lang w:val="nl-NL" w:eastAsia="nl-NL"/>
              </w:rPr>
              <w:t>Hughes</w:t>
            </w:r>
            <w:proofErr w:type="spellEnd"/>
            <w:r w:rsidRPr="00D8619E">
              <w:rPr>
                <w:rFonts w:ascii="Calibri" w:eastAsia="Times New Roman" w:hAnsi="Calibri" w:cs="Times New Roman"/>
                <w:b/>
                <w:bCs/>
                <w:color w:val="000000"/>
                <w:lang w:val="nl-NL" w:eastAsia="nl-NL"/>
              </w:rPr>
              <w:t xml:space="preserve"> Company</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6,01</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Bank of America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Barclays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BASF</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Baxter International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Bayer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6,87</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Best </w:t>
            </w:r>
            <w:proofErr w:type="spellStart"/>
            <w:r w:rsidRPr="00D8619E">
              <w:rPr>
                <w:rFonts w:ascii="Calibri" w:eastAsia="Times New Roman" w:hAnsi="Calibri" w:cs="Times New Roman"/>
                <w:b/>
                <w:bCs/>
                <w:color w:val="000000"/>
                <w:lang w:val="nl-NL" w:eastAsia="nl-NL"/>
              </w:rPr>
              <w:t>Buy</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BG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BHP Billiton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Oceania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6,92</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BMW</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BNP Paribas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5,03</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Bombardier</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5,91</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Ball</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Becton</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Dickinson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6,90</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Black &amp; </w:t>
            </w:r>
            <w:proofErr w:type="spellStart"/>
            <w:r w:rsidRPr="00D8619E">
              <w:rPr>
                <w:rFonts w:ascii="Calibri" w:eastAsia="Times New Roman" w:hAnsi="Calibri" w:cs="Times New Roman"/>
                <w:b/>
                <w:bCs/>
                <w:color w:val="000000"/>
                <w:lang w:val="nl-NL" w:eastAsia="nl-NL"/>
              </w:rPr>
              <w:t>Decker</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Boise</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3,86</w:t>
            </w:r>
          </w:p>
        </w:tc>
      </w:tr>
    </w:tbl>
    <w:p w:rsidR="00D8619E" w:rsidRDefault="00D8619E" w:rsidP="009A361F">
      <w:pPr>
        <w:sectPr w:rsidR="00D8619E" w:rsidSect="00E1172F">
          <w:pgSz w:w="15840" w:h="12240" w:orient="landscape"/>
          <w:pgMar w:top="1440" w:right="1440" w:bottom="1440" w:left="1440" w:header="708" w:footer="708" w:gutter="0"/>
          <w:cols w:space="708"/>
          <w:docGrid w:linePitch="360"/>
        </w:sectPr>
      </w:pPr>
    </w:p>
    <w:tbl>
      <w:tblPr>
        <w:tblW w:w="13098" w:type="dxa"/>
        <w:tblInd w:w="51" w:type="dxa"/>
        <w:tblCellMar>
          <w:left w:w="70" w:type="dxa"/>
          <w:right w:w="70" w:type="dxa"/>
        </w:tblCellMar>
        <w:tblLook w:val="04A0"/>
      </w:tblPr>
      <w:tblGrid>
        <w:gridCol w:w="2838"/>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838"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Bridgestone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British American Tobacco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7,71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7,18</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Bristol-Myers Squibb</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5,40</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Brown-Forman</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4,14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BT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5,76</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Bunge</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Latin</w:t>
            </w:r>
            <w:proofErr w:type="spellEnd"/>
            <w:r w:rsidRPr="00D8619E">
              <w:rPr>
                <w:rFonts w:ascii="Calibri" w:eastAsia="Times New Roman" w:hAnsi="Calibri" w:cs="Times New Roman"/>
                <w:color w:val="000000"/>
                <w:lang w:val="nl-NL" w:eastAsia="nl-NL"/>
              </w:rPr>
              <w:t xml:space="preserve"> </w:t>
            </w:r>
            <w:proofErr w:type="spellStart"/>
            <w:r w:rsidRPr="00D8619E">
              <w:rPr>
                <w:rFonts w:ascii="Calibri" w:eastAsia="Times New Roman" w:hAnsi="Calibri" w:cs="Times New Roman"/>
                <w:color w:val="000000"/>
                <w:lang w:val="nl-NL" w:eastAsia="nl-NL"/>
              </w:rPr>
              <w:t>America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6,55</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Cadbury</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Schweppes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Canon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6,12</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Carrefour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5,65</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Chevron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7,02</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China Mobile Communications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5,25</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Chubb</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Cisco Systems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7,73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7,83</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Citi</w:t>
            </w:r>
            <w:proofErr w:type="spellEnd"/>
            <w:r w:rsidRPr="00D8619E">
              <w:rPr>
                <w:rFonts w:ascii="Calibri" w:eastAsia="Times New Roman" w:hAnsi="Calibri" w:cs="Times New Roman"/>
                <w:b/>
                <w:bCs/>
                <w:color w:val="000000"/>
                <w:lang w:val="nl-NL" w:eastAsia="nl-NL"/>
              </w:rPr>
              <w:t xml:space="preserve">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3,41</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Coca-Cola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6,98</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Coca - Cola Enterprises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5,98</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Colgate-Palmolive</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ConAgra Foods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5,36</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Conoco Philips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Constellation</w:t>
            </w:r>
            <w:proofErr w:type="spellEnd"/>
            <w:r w:rsidRPr="00D8619E">
              <w:rPr>
                <w:rFonts w:ascii="Calibri" w:eastAsia="Times New Roman" w:hAnsi="Calibri" w:cs="Times New Roman"/>
                <w:b/>
                <w:bCs/>
                <w:color w:val="000000"/>
                <w:lang w:val="nl-NL" w:eastAsia="nl-NL"/>
              </w:rPr>
              <w:t xml:space="preserve"> Energy</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Continental</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Credit Suisse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Cummins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6,25</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Daimler</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Chrysler</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Darden Restaurants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6,21</w:t>
            </w:r>
          </w:p>
        </w:tc>
      </w:tr>
      <w:tr w:rsidR="00D8619E" w:rsidRPr="00D8619E" w:rsidTr="00D8619E">
        <w:trPr>
          <w:trHeight w:val="300"/>
        </w:trPr>
        <w:tc>
          <w:tcPr>
            <w:tcW w:w="2838"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Dean Foods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4,71</w:t>
            </w:r>
          </w:p>
        </w:tc>
      </w:tr>
    </w:tbl>
    <w:p w:rsidR="00D8619E" w:rsidRDefault="00D8619E" w:rsidP="009A361F"/>
    <w:tbl>
      <w:tblPr>
        <w:tblW w:w="13497" w:type="dxa"/>
        <w:tblInd w:w="51" w:type="dxa"/>
        <w:tblCellMar>
          <w:left w:w="70" w:type="dxa"/>
          <w:right w:w="70" w:type="dxa"/>
        </w:tblCellMar>
        <w:tblLook w:val="04A0"/>
      </w:tblPr>
      <w:tblGrid>
        <w:gridCol w:w="2619"/>
        <w:gridCol w:w="618"/>
        <w:gridCol w:w="1162"/>
        <w:gridCol w:w="618"/>
        <w:gridCol w:w="1462"/>
        <w:gridCol w:w="618"/>
        <w:gridCol w:w="18"/>
        <w:gridCol w:w="618"/>
        <w:gridCol w:w="26"/>
        <w:gridCol w:w="618"/>
        <w:gridCol w:w="18"/>
        <w:gridCol w:w="618"/>
        <w:gridCol w:w="26"/>
        <w:gridCol w:w="618"/>
        <w:gridCol w:w="18"/>
        <w:gridCol w:w="618"/>
        <w:gridCol w:w="26"/>
        <w:gridCol w:w="618"/>
        <w:gridCol w:w="18"/>
        <w:gridCol w:w="618"/>
        <w:gridCol w:w="26"/>
        <w:gridCol w:w="618"/>
        <w:gridCol w:w="18"/>
        <w:gridCol w:w="618"/>
        <w:gridCol w:w="26"/>
        <w:gridCol w:w="618"/>
      </w:tblGrid>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gridAfter w:val="1"/>
          <w:wAfter w:w="618" w:type="dxa"/>
          <w:trHeight w:val="300"/>
        </w:trPr>
        <w:tc>
          <w:tcPr>
            <w:tcW w:w="2619"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Delhaize Group</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Dell</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6,14</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Delta Airlines</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6,31</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Denso</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5,62</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Deutsche Bank</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5,59</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Deutsche Post (DHL)</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5,17</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Deutsche Telekom</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5,28</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Dexia Group</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Diageo</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5,40</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Dow Chemical</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6,11</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DuPont</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7,03</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Duke Energy</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6,11</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E.ON</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EADS</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7,06</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Eastman Chemical Company</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Eastman Kodak Company</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5,67</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Edison</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6,96</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El Paso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Electrolux</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EMC</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6,86</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EnCana</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6,46</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ENI </w:t>
            </w:r>
            <w:proofErr w:type="spellStart"/>
            <w:r w:rsidRPr="00D8619E">
              <w:rPr>
                <w:rFonts w:ascii="Calibri" w:eastAsia="Times New Roman" w:hAnsi="Calibri" w:cs="Times New Roman"/>
                <w:b/>
                <w:bCs/>
                <w:color w:val="000000"/>
                <w:lang w:val="nl-NL" w:eastAsia="nl-NL"/>
              </w:rPr>
              <w:t>S.p.A</w:t>
            </w:r>
            <w:proofErr w:type="spellEnd"/>
            <w:r w:rsidRPr="00D8619E">
              <w:rPr>
                <w:rFonts w:ascii="Calibri" w:eastAsia="Times New Roman" w:hAnsi="Calibri" w:cs="Times New Roman"/>
                <w:b/>
                <w:bCs/>
                <w:color w:val="000000"/>
                <w:lang w:val="nl-NL" w:eastAsia="nl-NL"/>
              </w:rPr>
              <w:t>.</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5,92</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Exelon</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Exxon Mobile</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8,24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7,79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7,36</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Fiat</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3,52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4,38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3,56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Finmeccanica</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4,93</w:t>
            </w: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FPL Group</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gridAfter w:val="1"/>
          <w:wAfter w:w="618" w:type="dxa"/>
          <w:trHeight w:val="300"/>
        </w:trPr>
        <w:tc>
          <w:tcPr>
            <w:tcW w:w="2619"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Fluor</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6,24</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4"/>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3237" w:type="dxa"/>
            <w:gridSpan w:val="2"/>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gridSpan w:val="2"/>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Ford Motor</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3,89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3,78</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Fortis</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France Telecom (-Orange)</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5,16</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Freeport-McMoRan</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Copper</w:t>
            </w:r>
            <w:proofErr w:type="spellEnd"/>
            <w:r w:rsidRPr="00D8619E">
              <w:rPr>
                <w:rFonts w:ascii="Calibri" w:eastAsia="Times New Roman" w:hAnsi="Calibri" w:cs="Times New Roman"/>
                <w:b/>
                <w:bCs/>
                <w:color w:val="000000"/>
                <w:lang w:val="nl-NL" w:eastAsia="nl-NL"/>
              </w:rPr>
              <w:t xml:space="preserve"> &amp; Gold</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5,81</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Fujitsu</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5,06</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Gap</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Gazprom</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5,62</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General Electric</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8,29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8,24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8,40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7,07</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Glaxo</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SmithKline</w:t>
            </w:r>
            <w:proofErr w:type="spellEnd"/>
            <w:r w:rsidRPr="00D8619E">
              <w:rPr>
                <w:rFonts w:ascii="Calibri" w:eastAsia="Times New Roman" w:hAnsi="Calibri" w:cs="Times New Roman"/>
                <w:b/>
                <w:bCs/>
                <w:color w:val="000000"/>
                <w:lang w:val="nl-NL" w:eastAsia="nl-NL"/>
              </w:rPr>
              <w:t xml:space="preserve"> (GSK)</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5,94</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H.J. Heinz</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Halliburton</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7,40</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Hanwha</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Chemicals</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3,35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Heineken</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4,99</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Henkel</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5,79</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Herman Miller</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6,39</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Hess</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Hewlett</w:t>
            </w:r>
            <w:proofErr w:type="spellEnd"/>
            <w:r w:rsidRPr="00D8619E">
              <w:rPr>
                <w:rFonts w:ascii="Calibri" w:eastAsia="Times New Roman" w:hAnsi="Calibri" w:cs="Times New Roman"/>
                <w:b/>
                <w:bCs/>
                <w:color w:val="000000"/>
                <w:lang w:val="nl-NL" w:eastAsia="nl-NL"/>
              </w:rPr>
              <w:t xml:space="preserve"> - </w:t>
            </w:r>
            <w:proofErr w:type="spellStart"/>
            <w:r w:rsidRPr="00D8619E">
              <w:rPr>
                <w:rFonts w:ascii="Calibri" w:eastAsia="Times New Roman" w:hAnsi="Calibri" w:cs="Times New Roman"/>
                <w:b/>
                <w:bCs/>
                <w:color w:val="000000"/>
                <w:lang w:val="nl-NL" w:eastAsia="nl-NL"/>
              </w:rPr>
              <w:t>Packard</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7,74</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Hitachi</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5,38</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Hochtief</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HSBC Holdings</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Hyundai Motor</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4,49</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ITT Industries</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5,92</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Imperial Chemical Industries</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Imperial Tobacco</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6,74</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5,81</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ING Group</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5,63</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4,39</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Ingersoll-Rand</w:t>
            </w:r>
            <w:proofErr w:type="spellEnd"/>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6,96</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6,51</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6,09</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5,84</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Intel</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7,12</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6,98</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7,96</w:t>
            </w:r>
          </w:p>
        </w:tc>
      </w:tr>
      <w:tr w:rsidR="00D8619E" w:rsidRPr="00D8619E" w:rsidTr="00D8619E">
        <w:trPr>
          <w:trHeight w:val="300"/>
        </w:trPr>
        <w:tc>
          <w:tcPr>
            <w:tcW w:w="3237" w:type="dxa"/>
            <w:gridSpan w:val="2"/>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IBM</w:t>
            </w:r>
          </w:p>
        </w:tc>
        <w:tc>
          <w:tcPr>
            <w:tcW w:w="17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7,57</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7,50</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7,55</w:t>
            </w:r>
          </w:p>
        </w:tc>
        <w:tc>
          <w:tcPr>
            <w:tcW w:w="636"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7,60</w:t>
            </w:r>
          </w:p>
        </w:tc>
      </w:tr>
    </w:tbl>
    <w:p w:rsidR="00D8619E" w:rsidRDefault="00D8619E" w:rsidP="009A361F">
      <w:pPr>
        <w:sectPr w:rsidR="00D8619E" w:rsidSect="00E1172F">
          <w:pgSz w:w="15840" w:h="12240" w:orient="landscape"/>
          <w:pgMar w:top="1440" w:right="1440" w:bottom="1440" w:left="1440" w:header="708" w:footer="708" w:gutter="0"/>
          <w:cols w:space="708"/>
          <w:docGrid w:linePitch="360"/>
        </w:sectPr>
      </w:pPr>
    </w:p>
    <w:tbl>
      <w:tblPr>
        <w:tblW w:w="13213" w:type="dxa"/>
        <w:tblInd w:w="51" w:type="dxa"/>
        <w:tblCellMar>
          <w:left w:w="70" w:type="dxa"/>
          <w:right w:w="70" w:type="dxa"/>
        </w:tblCellMar>
        <w:tblLook w:val="04A0"/>
      </w:tblPr>
      <w:tblGrid>
        <w:gridCol w:w="2953"/>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953"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Jabil</w:t>
            </w:r>
            <w:proofErr w:type="spellEnd"/>
            <w:r w:rsidRPr="00D8619E">
              <w:rPr>
                <w:rFonts w:ascii="Calibri" w:eastAsia="Times New Roman" w:hAnsi="Calibri" w:cs="Times New Roman"/>
                <w:b/>
                <w:bCs/>
                <w:color w:val="000000"/>
                <w:lang w:val="nl-NL" w:eastAsia="nl-NL"/>
              </w:rPr>
              <w:t xml:space="preserve"> Circuit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4,31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4,82</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Jacobs Engineering </w:t>
            </w:r>
            <w:proofErr w:type="spellStart"/>
            <w:r w:rsidRPr="00D8619E">
              <w:rPr>
                <w:rFonts w:ascii="Calibri" w:eastAsia="Times New Roman" w:hAnsi="Calibri" w:cs="Times New Roman"/>
                <w:b/>
                <w:bCs/>
                <w:color w:val="000000"/>
                <w:lang w:val="nl-NL" w:eastAsia="nl-NL"/>
              </w:rPr>
              <w:t>Grp</w:t>
            </w:r>
            <w:proofErr w:type="spellEnd"/>
            <w:r w:rsidRPr="00D8619E">
              <w:rPr>
                <w:rFonts w:ascii="Calibri" w:eastAsia="Times New Roman" w:hAnsi="Calibri" w:cs="Times New Roman"/>
                <w:b/>
                <w:bCs/>
                <w:color w:val="000000"/>
                <w:lang w:val="nl-NL" w:eastAsia="nl-NL"/>
              </w:rPr>
              <w:t xml:space="preserve">.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6,32</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Johnson &amp; Johnson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6,67</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Johnson Controls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6,26</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Jones Lang </w:t>
            </w:r>
            <w:proofErr w:type="spellStart"/>
            <w:r w:rsidRPr="00D8619E">
              <w:rPr>
                <w:rFonts w:ascii="Calibri" w:eastAsia="Times New Roman" w:hAnsi="Calibri" w:cs="Times New Roman"/>
                <w:b/>
                <w:bCs/>
                <w:color w:val="000000"/>
                <w:lang w:val="nl-NL" w:eastAsia="nl-NL"/>
              </w:rPr>
              <w:t>LaSalle</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Juniper</w:t>
            </w:r>
            <w:proofErr w:type="spellEnd"/>
            <w:r w:rsidRPr="00D8619E">
              <w:rPr>
                <w:rFonts w:ascii="Calibri" w:eastAsia="Times New Roman" w:hAnsi="Calibri" w:cs="Times New Roman"/>
                <w:b/>
                <w:bCs/>
                <w:color w:val="000000"/>
                <w:lang w:val="nl-NL" w:eastAsia="nl-NL"/>
              </w:rPr>
              <w:t xml:space="preserve"> Networks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5,76</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KAO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5,58</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KB Home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Kellogg</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6,43</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Kimberly</w:t>
            </w:r>
            <w:proofErr w:type="spellEnd"/>
            <w:r w:rsidRPr="00D8619E">
              <w:rPr>
                <w:rFonts w:ascii="Calibri" w:eastAsia="Times New Roman" w:hAnsi="Calibri" w:cs="Times New Roman"/>
                <w:b/>
                <w:bCs/>
                <w:color w:val="000000"/>
                <w:lang w:val="nl-NL" w:eastAsia="nl-NL"/>
              </w:rPr>
              <w:t xml:space="preserve"> - Clark</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6,09</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Kingfisher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Kirin</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Brewery</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4,31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4,58</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Korea Gas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6,24</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Lafarge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Lenovo</w:t>
            </w:r>
            <w:proofErr w:type="spellEnd"/>
            <w:r w:rsidRPr="00D8619E">
              <w:rPr>
                <w:rFonts w:ascii="Calibri" w:eastAsia="Times New Roman" w:hAnsi="Calibri" w:cs="Times New Roman"/>
                <w:b/>
                <w:bCs/>
                <w:color w:val="000000"/>
                <w:lang w:val="nl-NL" w:eastAsia="nl-NL"/>
              </w:rPr>
              <w:t xml:space="preserve">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5,21</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Lexmark</w:t>
            </w:r>
            <w:proofErr w:type="spellEnd"/>
            <w:r w:rsidRPr="00D8619E">
              <w:rPr>
                <w:rFonts w:ascii="Calibri" w:eastAsia="Times New Roman" w:hAnsi="Calibri" w:cs="Times New Roman"/>
                <w:b/>
                <w:bCs/>
                <w:color w:val="000000"/>
                <w:lang w:val="nl-NL" w:eastAsia="nl-NL"/>
              </w:rPr>
              <w:t xml:space="preserve"> International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LG Electronics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5,79</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Liberty Mutual Insurance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Africa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Linde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5,97</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L'Oreal</w:t>
            </w:r>
            <w:proofErr w:type="spellEnd"/>
            <w:r w:rsidRPr="00D8619E">
              <w:rPr>
                <w:rFonts w:ascii="Calibri" w:eastAsia="Times New Roman" w:hAnsi="Calibri" w:cs="Times New Roman"/>
                <w:b/>
                <w:bCs/>
                <w:color w:val="000000"/>
                <w:lang w:val="nl-NL" w:eastAsia="nl-NL"/>
              </w:rPr>
              <w:t xml:space="preserve">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6,86</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Louisiana-Pacific</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4,20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L.M. Ericsson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6,37</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Manpower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Latin</w:t>
            </w:r>
            <w:proofErr w:type="spellEnd"/>
            <w:r w:rsidRPr="00D8619E">
              <w:rPr>
                <w:rFonts w:ascii="Calibri" w:eastAsia="Times New Roman" w:hAnsi="Calibri" w:cs="Times New Roman"/>
                <w:color w:val="000000"/>
                <w:lang w:val="nl-NL" w:eastAsia="nl-NL"/>
              </w:rPr>
              <w:t xml:space="preserve"> </w:t>
            </w:r>
            <w:proofErr w:type="spellStart"/>
            <w:r w:rsidRPr="00D8619E">
              <w:rPr>
                <w:rFonts w:ascii="Calibri" w:eastAsia="Times New Roman" w:hAnsi="Calibri" w:cs="Times New Roman"/>
                <w:color w:val="000000"/>
                <w:lang w:val="nl-NL" w:eastAsia="nl-NL"/>
              </w:rPr>
              <w:t>America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6,06</w:t>
            </w: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Marathon Oil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Marks &amp; Spencer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953"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Masco</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5,24</w:t>
            </w:r>
          </w:p>
        </w:tc>
      </w:tr>
    </w:tbl>
    <w:p w:rsidR="00D8619E" w:rsidRDefault="00D8619E" w:rsidP="009A361F"/>
    <w:tbl>
      <w:tblPr>
        <w:tblW w:w="12832" w:type="dxa"/>
        <w:tblInd w:w="51" w:type="dxa"/>
        <w:tblCellMar>
          <w:left w:w="70" w:type="dxa"/>
          <w:right w:w="70" w:type="dxa"/>
        </w:tblCellMar>
        <w:tblLook w:val="04A0"/>
      </w:tblPr>
      <w:tblGrid>
        <w:gridCol w:w="2572"/>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572"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Mazda Motor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4,34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3,76</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McDonald's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7,72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McKesson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Medtronic</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6,52</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Merck </w:t>
            </w:r>
            <w:proofErr w:type="spellStart"/>
            <w:r w:rsidRPr="00D8619E">
              <w:rPr>
                <w:rFonts w:ascii="Calibri" w:eastAsia="Times New Roman" w:hAnsi="Calibri" w:cs="Times New Roman"/>
                <w:b/>
                <w:bCs/>
                <w:color w:val="000000"/>
                <w:lang w:val="nl-NL" w:eastAsia="nl-NL"/>
              </w:rPr>
              <w:t>Germany</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MetLife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Latin</w:t>
            </w:r>
            <w:proofErr w:type="spellEnd"/>
            <w:r w:rsidRPr="00D8619E">
              <w:rPr>
                <w:rFonts w:ascii="Calibri" w:eastAsia="Times New Roman" w:hAnsi="Calibri" w:cs="Times New Roman"/>
                <w:color w:val="000000"/>
                <w:lang w:val="nl-NL" w:eastAsia="nl-NL"/>
              </w:rPr>
              <w:t xml:space="preserve"> </w:t>
            </w:r>
            <w:proofErr w:type="spellStart"/>
            <w:r w:rsidRPr="00D8619E">
              <w:rPr>
                <w:rFonts w:ascii="Calibri" w:eastAsia="Times New Roman" w:hAnsi="Calibri" w:cs="Times New Roman"/>
                <w:color w:val="000000"/>
                <w:lang w:val="nl-NL" w:eastAsia="nl-NL"/>
              </w:rPr>
              <w:t>America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6,47</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Metro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Microsoft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6,54</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Mitsubishi Electric</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5,48</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Mitsubishi Heavy Industries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5,82</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Motorola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4,58</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NEC </w:t>
            </w:r>
            <w:proofErr w:type="spellStart"/>
            <w:r w:rsidRPr="00D8619E">
              <w:rPr>
                <w:rFonts w:ascii="Calibri" w:eastAsia="Times New Roman" w:hAnsi="Calibri" w:cs="Times New Roman"/>
                <w:b/>
                <w:bCs/>
                <w:color w:val="000000"/>
                <w:lang w:val="nl-NL" w:eastAsia="nl-NL"/>
              </w:rPr>
              <w:t>Corporation</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4,93</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Nestle</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8,08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7,63</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Newmont</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Mining</w:t>
            </w:r>
            <w:proofErr w:type="spellEnd"/>
            <w:r w:rsidRPr="00D8619E">
              <w:rPr>
                <w:rFonts w:ascii="Calibri" w:eastAsia="Times New Roman" w:hAnsi="Calibri" w:cs="Times New Roman"/>
                <w:b/>
                <w:bCs/>
                <w:color w:val="000000"/>
                <w:lang w:val="nl-NL" w:eastAsia="nl-NL"/>
              </w:rPr>
              <w:t xml:space="preserve">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Nike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8,02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8,15</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Nissan Motor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3,80</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Nokia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6,94</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Norsk Hydro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Occidental Petroleum (</w:t>
            </w:r>
            <w:proofErr w:type="spellStart"/>
            <w:r w:rsidRPr="00D8619E">
              <w:rPr>
                <w:rFonts w:ascii="Calibri" w:eastAsia="Times New Roman" w:hAnsi="Calibri" w:cs="Times New Roman"/>
                <w:b/>
                <w:bCs/>
                <w:color w:val="000000"/>
                <w:lang w:val="nl-NL" w:eastAsia="nl-NL"/>
              </w:rPr>
              <w:t>Oxy</w:t>
            </w:r>
            <w:proofErr w:type="spellEnd"/>
            <w:r w:rsidRPr="00D8619E">
              <w:rPr>
                <w:rFonts w:ascii="Calibri" w:eastAsia="Times New Roman" w:hAnsi="Calibri" w:cs="Times New Roman"/>
                <w:b/>
                <w:bCs/>
                <w:color w:val="000000"/>
                <w:lang w:val="nl-NL" w:eastAsia="nl-NL"/>
              </w:rPr>
              <w: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8,04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7,27</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Office Depot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4,75</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Oji</w:t>
            </w:r>
            <w:proofErr w:type="spellEnd"/>
            <w:r w:rsidRPr="00D8619E">
              <w:rPr>
                <w:rFonts w:ascii="Calibri" w:eastAsia="Times New Roman" w:hAnsi="Calibri" w:cs="Times New Roman"/>
                <w:b/>
                <w:bCs/>
                <w:color w:val="000000"/>
                <w:lang w:val="nl-NL" w:eastAsia="nl-NL"/>
              </w:rPr>
              <w:t xml:space="preserve"> Paper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PPG Industries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6,96</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Pepsi Co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7,47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6,88</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Petrobras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Latin</w:t>
            </w:r>
            <w:proofErr w:type="spellEnd"/>
            <w:r w:rsidRPr="00D8619E">
              <w:rPr>
                <w:rFonts w:ascii="Calibri" w:eastAsia="Times New Roman" w:hAnsi="Calibri" w:cs="Times New Roman"/>
                <w:color w:val="000000"/>
                <w:lang w:val="nl-NL" w:eastAsia="nl-NL"/>
              </w:rPr>
              <w:t xml:space="preserve"> </w:t>
            </w:r>
            <w:proofErr w:type="spellStart"/>
            <w:r w:rsidRPr="00D8619E">
              <w:rPr>
                <w:rFonts w:ascii="Calibri" w:eastAsia="Times New Roman" w:hAnsi="Calibri" w:cs="Times New Roman"/>
                <w:color w:val="000000"/>
                <w:lang w:val="nl-NL" w:eastAsia="nl-NL"/>
              </w:rPr>
              <w:t>America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Pfizer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POSCO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6,37</w:t>
            </w:r>
          </w:p>
        </w:tc>
      </w:tr>
      <w:tr w:rsidR="00D8619E" w:rsidRPr="00D8619E" w:rsidTr="00D8619E">
        <w:trPr>
          <w:trHeight w:val="300"/>
        </w:trPr>
        <w:tc>
          <w:tcPr>
            <w:tcW w:w="2572"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Protcer</w:t>
            </w:r>
            <w:proofErr w:type="spellEnd"/>
            <w:r w:rsidRPr="00D8619E">
              <w:rPr>
                <w:rFonts w:ascii="Calibri" w:eastAsia="Times New Roman" w:hAnsi="Calibri" w:cs="Times New Roman"/>
                <w:b/>
                <w:bCs/>
                <w:color w:val="000000"/>
                <w:lang w:val="nl-NL" w:eastAsia="nl-NL"/>
              </w:rPr>
              <w:t xml:space="preserve"> &amp; Gamble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7,94</w:t>
            </w:r>
          </w:p>
        </w:tc>
      </w:tr>
    </w:tbl>
    <w:p w:rsidR="00D8619E" w:rsidRDefault="00D8619E" w:rsidP="009A361F"/>
    <w:tbl>
      <w:tblPr>
        <w:tblW w:w="12760" w:type="dxa"/>
        <w:tblInd w:w="51" w:type="dxa"/>
        <w:tblCellMar>
          <w:left w:w="70" w:type="dxa"/>
          <w:right w:w="70" w:type="dxa"/>
        </w:tblCellMar>
        <w:tblLook w:val="04A0"/>
      </w:tblPr>
      <w:tblGrid>
        <w:gridCol w:w="2500"/>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500"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ProLogis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7,62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PSA Peugeot Citroen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4,28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4,39</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Qualcomm</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7,16</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Reckitt</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Benckiser</w:t>
            </w:r>
            <w:proofErr w:type="spellEnd"/>
            <w:r w:rsidRPr="00D8619E">
              <w:rPr>
                <w:rFonts w:ascii="Calibri" w:eastAsia="Times New Roman" w:hAnsi="Calibri" w:cs="Times New Roman"/>
                <w:b/>
                <w:bCs/>
                <w:color w:val="000000"/>
                <w:lang w:val="nl-NL" w:eastAsia="nl-NL"/>
              </w:rPr>
              <w:t xml:space="preserve">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7,13</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Renault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3,58</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Repsol YPF</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4,99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5,76</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Reynolds American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7,01</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Ricoh</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5,22</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Rio Tinto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6,30</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Royal Ahold</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Royal Bank of Scotland</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Royal Dutch Shell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7,05</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Royal Philips Electronics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5,62</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RWE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SABMiller</w:t>
            </w:r>
            <w:proofErr w:type="spellEnd"/>
            <w:r w:rsidRPr="00D8619E">
              <w:rPr>
                <w:rFonts w:ascii="Calibri" w:eastAsia="Times New Roman" w:hAnsi="Calibri" w:cs="Times New Roman"/>
                <w:b/>
                <w:bCs/>
                <w:color w:val="000000"/>
                <w:lang w:val="nl-NL" w:eastAsia="nl-NL"/>
              </w:rPr>
              <w:t xml:space="preserve"> UK</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3,78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6,26</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Samsung Electronics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SAP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6,41</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Sanofi</w:t>
            </w:r>
            <w:proofErr w:type="spellEnd"/>
            <w:r w:rsidRPr="00D8619E">
              <w:rPr>
                <w:rFonts w:ascii="Calibri" w:eastAsia="Times New Roman" w:hAnsi="Calibri" w:cs="Times New Roman"/>
                <w:b/>
                <w:bCs/>
                <w:color w:val="000000"/>
                <w:lang w:val="nl-NL" w:eastAsia="nl-NL"/>
              </w:rPr>
              <w:t xml:space="preserve"> - Aventis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5,54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Sara Lee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4,85</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SCA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5,61</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Sempra</w:t>
            </w:r>
            <w:proofErr w:type="spellEnd"/>
            <w:r w:rsidRPr="00D8619E">
              <w:rPr>
                <w:rFonts w:ascii="Calibri" w:eastAsia="Times New Roman" w:hAnsi="Calibri" w:cs="Times New Roman"/>
                <w:b/>
                <w:bCs/>
                <w:color w:val="000000"/>
                <w:lang w:val="nl-NL" w:eastAsia="nl-NL"/>
              </w:rPr>
              <w:t xml:space="preserve"> Energy</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6,45</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Siemens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6,12</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Smithfield</w:t>
            </w:r>
            <w:proofErr w:type="spellEnd"/>
            <w:r w:rsidRPr="00D8619E">
              <w:rPr>
                <w:rFonts w:ascii="Calibri" w:eastAsia="Times New Roman" w:hAnsi="Calibri" w:cs="Times New Roman"/>
                <w:b/>
                <w:bCs/>
                <w:color w:val="000000"/>
                <w:lang w:val="nl-NL" w:eastAsia="nl-NL"/>
              </w:rPr>
              <w:t xml:space="preserve"> Foods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5,45</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Societe</w:t>
            </w:r>
            <w:proofErr w:type="spellEnd"/>
            <w:r w:rsidRPr="00D8619E">
              <w:rPr>
                <w:rFonts w:ascii="Calibri" w:eastAsia="Times New Roman" w:hAnsi="Calibri" w:cs="Times New Roman"/>
                <w:b/>
                <w:bCs/>
                <w:color w:val="000000"/>
                <w:lang w:val="nl-NL" w:eastAsia="nl-NL"/>
              </w:rPr>
              <w:t xml:space="preserve"> Generale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4,64</w:t>
            </w: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Solvay</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00"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Sony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6,29</w:t>
            </w:r>
          </w:p>
        </w:tc>
      </w:tr>
    </w:tbl>
    <w:p w:rsidR="00D8619E" w:rsidRDefault="00D8619E" w:rsidP="009A361F"/>
    <w:tbl>
      <w:tblPr>
        <w:tblW w:w="12917" w:type="dxa"/>
        <w:tblInd w:w="51" w:type="dxa"/>
        <w:tblCellMar>
          <w:left w:w="70" w:type="dxa"/>
          <w:right w:w="70" w:type="dxa"/>
        </w:tblCellMar>
        <w:tblLook w:val="04A0"/>
      </w:tblPr>
      <w:tblGrid>
        <w:gridCol w:w="2657"/>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657"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Southern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Utilities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6,55</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Southwest</w:t>
            </w:r>
            <w:proofErr w:type="spellEnd"/>
            <w:r w:rsidRPr="00D8619E">
              <w:rPr>
                <w:rFonts w:ascii="Calibri" w:eastAsia="Times New Roman" w:hAnsi="Calibri" w:cs="Times New Roman"/>
                <w:b/>
                <w:bCs/>
                <w:color w:val="000000"/>
                <w:lang w:val="nl-NL" w:eastAsia="nl-NL"/>
              </w:rPr>
              <w:t xml:space="preserve"> Airlines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6,26</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Sprint </w:t>
            </w:r>
            <w:proofErr w:type="spellStart"/>
            <w:r w:rsidRPr="00D8619E">
              <w:rPr>
                <w:rFonts w:ascii="Calibri" w:eastAsia="Times New Roman" w:hAnsi="Calibri" w:cs="Times New Roman"/>
                <w:b/>
                <w:bCs/>
                <w:color w:val="000000"/>
                <w:lang w:val="nl-NL" w:eastAsia="nl-NL"/>
              </w:rPr>
              <w:t>Nextel</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4,11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Starbucks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Statoil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6,59</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State Street Corp.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6,29</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Steelcase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5,76</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Stora Enso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4,05</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Suez Environment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Sumitomo Chemical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5,40</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Sumitomo Electric Industries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5,18</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Swiss Re / </w:t>
            </w:r>
            <w:proofErr w:type="spellStart"/>
            <w:r w:rsidRPr="00D8619E">
              <w:rPr>
                <w:rFonts w:ascii="Calibri" w:eastAsia="Times New Roman" w:hAnsi="Calibri" w:cs="Times New Roman"/>
                <w:b/>
                <w:bCs/>
                <w:color w:val="000000"/>
                <w:lang w:val="nl-NL" w:eastAsia="nl-NL"/>
              </w:rPr>
              <w:t>reinsurance</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6,18</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Target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6,92</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Technip</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6,41</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Telefonica</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6,47</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Teradata</w:t>
            </w:r>
            <w:proofErr w:type="spellEnd"/>
            <w:r w:rsidRPr="00D8619E">
              <w:rPr>
                <w:rFonts w:ascii="Calibri" w:eastAsia="Times New Roman" w:hAnsi="Calibri" w:cs="Times New Roman"/>
                <w:b/>
                <w:bCs/>
                <w:color w:val="000000"/>
                <w:lang w:val="nl-NL" w:eastAsia="nl-NL"/>
              </w:rPr>
              <w:t>/</w:t>
            </w:r>
            <w:proofErr w:type="spellStart"/>
            <w:r w:rsidRPr="00D8619E">
              <w:rPr>
                <w:rFonts w:ascii="Calibri" w:eastAsia="Times New Roman" w:hAnsi="Calibri" w:cs="Times New Roman"/>
                <w:b/>
                <w:bCs/>
                <w:color w:val="000000"/>
                <w:lang w:val="nl-NL" w:eastAsia="nl-NL"/>
              </w:rPr>
              <w:t>Teredata</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6,42</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Texas</w:t>
            </w:r>
            <w:proofErr w:type="spellEnd"/>
            <w:r w:rsidRPr="00D8619E">
              <w:rPr>
                <w:rFonts w:ascii="Calibri" w:eastAsia="Times New Roman" w:hAnsi="Calibri" w:cs="Times New Roman"/>
                <w:b/>
                <w:bCs/>
                <w:color w:val="000000"/>
                <w:lang w:val="nl-NL" w:eastAsia="nl-NL"/>
              </w:rPr>
              <w:t xml:space="preserve"> </w:t>
            </w:r>
            <w:proofErr w:type="spellStart"/>
            <w:r w:rsidRPr="00D8619E">
              <w:rPr>
                <w:rFonts w:ascii="Calibri" w:eastAsia="Times New Roman" w:hAnsi="Calibri" w:cs="Times New Roman"/>
                <w:b/>
                <w:bCs/>
                <w:color w:val="000000"/>
                <w:lang w:val="nl-NL" w:eastAsia="nl-NL"/>
              </w:rPr>
              <w:t>Instruments</w:t>
            </w:r>
            <w:proofErr w:type="spellEnd"/>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7,95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8,21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7,30</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Thyssen Krupp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Time Warner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TNT</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5,96</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Toshiba</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5,67</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Total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Oil &amp; Gas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6,72</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Toyota Motor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Asia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7,51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7,86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5,20</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Tyco International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Tyson Foods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5,39</w:t>
            </w: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U.S. Postal Service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UBS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7,06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5,99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4,79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65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Unilever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6,10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6,52</w:t>
            </w:r>
          </w:p>
        </w:tc>
      </w:tr>
    </w:tbl>
    <w:p w:rsidR="00D8619E" w:rsidRDefault="00D8619E" w:rsidP="009A361F">
      <w:pPr>
        <w:sectPr w:rsidR="00D8619E" w:rsidSect="00E1172F">
          <w:pgSz w:w="15840" w:h="12240" w:orient="landscape"/>
          <w:pgMar w:top="1440" w:right="1440" w:bottom="1440" w:left="1440" w:header="708" w:footer="708" w:gutter="0"/>
          <w:cols w:space="708"/>
          <w:docGrid w:linePitch="360"/>
        </w:sectPr>
      </w:pPr>
    </w:p>
    <w:tbl>
      <w:tblPr>
        <w:tblW w:w="12797" w:type="dxa"/>
        <w:tblInd w:w="51" w:type="dxa"/>
        <w:tblCellMar>
          <w:left w:w="70" w:type="dxa"/>
          <w:right w:w="70" w:type="dxa"/>
        </w:tblCellMar>
        <w:tblLook w:val="04A0"/>
      </w:tblPr>
      <w:tblGrid>
        <w:gridCol w:w="2537"/>
        <w:gridCol w:w="1780"/>
        <w:gridCol w:w="2080"/>
        <w:gridCol w:w="636"/>
        <w:gridCol w:w="644"/>
        <w:gridCol w:w="636"/>
        <w:gridCol w:w="644"/>
        <w:gridCol w:w="636"/>
        <w:gridCol w:w="644"/>
        <w:gridCol w:w="636"/>
        <w:gridCol w:w="644"/>
        <w:gridCol w:w="636"/>
        <w:gridCol w:w="644"/>
      </w:tblGrid>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lastRenderedPageBreak/>
              <w:t>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2005</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2006</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2007</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2008</w:t>
            </w:r>
          </w:p>
        </w:tc>
        <w:tc>
          <w:tcPr>
            <w:tcW w:w="1280" w:type="dxa"/>
            <w:gridSpan w:val="2"/>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center"/>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2009</w:t>
            </w:r>
          </w:p>
        </w:tc>
      </w:tr>
      <w:tr w:rsidR="00D8619E" w:rsidRPr="00D8619E" w:rsidTr="00D8619E">
        <w:trPr>
          <w:trHeight w:val="300"/>
        </w:trPr>
        <w:tc>
          <w:tcPr>
            <w:tcW w:w="2537" w:type="dxa"/>
            <w:tcBorders>
              <w:top w:val="nil"/>
              <w:left w:val="nil"/>
              <w:bottom w:val="single" w:sz="4" w:space="0" w:color="auto"/>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w:t>
            </w:r>
          </w:p>
        </w:tc>
        <w:tc>
          <w:tcPr>
            <w:tcW w:w="17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Region</w:t>
            </w:r>
            <w:proofErr w:type="spellEnd"/>
          </w:p>
        </w:tc>
        <w:tc>
          <w:tcPr>
            <w:tcW w:w="2080"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proofErr w:type="spellStart"/>
            <w:r w:rsidRPr="00D8619E">
              <w:rPr>
                <w:rFonts w:ascii="Calibri" w:eastAsia="Times New Roman" w:hAnsi="Calibri" w:cs="Times New Roman"/>
                <w:b/>
                <w:bCs/>
                <w:color w:val="000000"/>
                <w:lang w:val="nl-NL" w:eastAsia="nl-NL"/>
              </w:rPr>
              <w:t>Industry</w:t>
            </w:r>
            <w:proofErr w:type="spellEnd"/>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c>
          <w:tcPr>
            <w:tcW w:w="636"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L. </w:t>
            </w:r>
          </w:p>
        </w:tc>
        <w:tc>
          <w:tcPr>
            <w:tcW w:w="644" w:type="dxa"/>
            <w:tcBorders>
              <w:top w:val="nil"/>
              <w:left w:val="nil"/>
              <w:bottom w:val="single" w:sz="4" w:space="0" w:color="auto"/>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b/>
                <w:bCs/>
                <w:lang w:val="nl-NL" w:eastAsia="nl-NL"/>
              </w:rPr>
            </w:pPr>
            <w:r w:rsidRPr="00D8619E">
              <w:rPr>
                <w:rFonts w:ascii="Calibri" w:eastAsia="Times New Roman" w:hAnsi="Calibri" w:cs="Times New Roman"/>
                <w:b/>
                <w:bCs/>
                <w:lang w:val="nl-NL" w:eastAsia="nl-NL"/>
              </w:rPr>
              <w:t xml:space="preserve">R. I. </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United Parcel </w:t>
            </w:r>
            <w:proofErr w:type="spellStart"/>
            <w:r w:rsidRPr="00D8619E">
              <w:rPr>
                <w:rFonts w:ascii="Calibri" w:eastAsia="Times New Roman" w:hAnsi="Calibri" w:cs="Times New Roman"/>
                <w:b/>
                <w:bCs/>
                <w:color w:val="000000"/>
                <w:lang w:val="nl-NL" w:eastAsia="nl-NL"/>
              </w:rPr>
              <w:t>Servive</w:t>
            </w:r>
            <w:proofErr w:type="spellEnd"/>
            <w:r w:rsidRPr="00D8619E">
              <w:rPr>
                <w:rFonts w:ascii="Calibri" w:eastAsia="Times New Roman" w:hAnsi="Calibri" w:cs="Times New Roman"/>
                <w:b/>
                <w:bCs/>
                <w:color w:val="000000"/>
                <w:lang w:val="nl-NL" w:eastAsia="nl-NL"/>
              </w:rPr>
              <w:t xml:space="preserve"> (UPS)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8,17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8,42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7,39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Vale</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Latin</w:t>
            </w:r>
            <w:proofErr w:type="spellEnd"/>
            <w:r w:rsidRPr="00D8619E">
              <w:rPr>
                <w:rFonts w:ascii="Calibri" w:eastAsia="Times New Roman" w:hAnsi="Calibri" w:cs="Times New Roman"/>
                <w:color w:val="000000"/>
                <w:lang w:val="nl-NL" w:eastAsia="nl-NL"/>
              </w:rPr>
              <w:t xml:space="preserve"> </w:t>
            </w:r>
            <w:proofErr w:type="spellStart"/>
            <w:r w:rsidRPr="00D8619E">
              <w:rPr>
                <w:rFonts w:ascii="Calibri" w:eastAsia="Times New Roman" w:hAnsi="Calibri" w:cs="Times New Roman"/>
                <w:color w:val="000000"/>
                <w:lang w:val="nl-NL" w:eastAsia="nl-NL"/>
              </w:rPr>
              <w:t>America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6,31</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Vivendi Universal</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5,70</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Vodafone Group</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Telecommunications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6,38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6,63</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Volkswagen</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Goods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5,09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5,22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VOLVO</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Europe</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Industrials</w:t>
            </w:r>
            <w:proofErr w:type="spellEnd"/>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6,27</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6,24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3,80</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Wachovia Corp.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Financials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6,01</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Wal-Mart Stores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7,14</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Weyerhaeuser</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Basic Materials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IA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6,75</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7,20</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5,76</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5,10</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Woolworths</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roofErr w:type="spellStart"/>
            <w:r w:rsidRPr="00D8619E">
              <w:rPr>
                <w:rFonts w:ascii="Calibri" w:eastAsia="Times New Roman" w:hAnsi="Calibri" w:cs="Times New Roman"/>
                <w:color w:val="000000"/>
                <w:lang w:val="nl-NL" w:eastAsia="nl-NL"/>
              </w:rPr>
              <w:t>Oceania</w:t>
            </w:r>
            <w:proofErr w:type="spellEnd"/>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Consumer Services</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4,84</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4,82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A+</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4,57</w:t>
            </w: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Wyeth</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Health Care</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CI</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6,43</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U</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5,89</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r>
      <w:tr w:rsidR="00D8619E" w:rsidRPr="00D8619E" w:rsidTr="00D8619E">
        <w:trPr>
          <w:trHeight w:val="300"/>
        </w:trPr>
        <w:tc>
          <w:tcPr>
            <w:tcW w:w="2537" w:type="dxa"/>
            <w:tcBorders>
              <w:top w:val="nil"/>
              <w:left w:val="nil"/>
              <w:bottom w:val="nil"/>
              <w:right w:val="single" w:sz="4" w:space="0" w:color="auto"/>
            </w:tcBorders>
            <w:shd w:val="clear" w:color="auto" w:fill="auto"/>
            <w:noWrap/>
            <w:hideMark/>
          </w:tcPr>
          <w:p w:rsidR="00D8619E" w:rsidRPr="00D8619E" w:rsidRDefault="00D8619E" w:rsidP="00D8619E">
            <w:pPr>
              <w:spacing w:after="0" w:line="240" w:lineRule="auto"/>
              <w:rPr>
                <w:rFonts w:ascii="Calibri" w:eastAsia="Times New Roman" w:hAnsi="Calibri" w:cs="Times New Roman"/>
                <w:b/>
                <w:bCs/>
                <w:color w:val="000000"/>
                <w:lang w:val="nl-NL" w:eastAsia="nl-NL"/>
              </w:rPr>
            </w:pPr>
            <w:r w:rsidRPr="00D8619E">
              <w:rPr>
                <w:rFonts w:ascii="Calibri" w:eastAsia="Times New Roman" w:hAnsi="Calibri" w:cs="Times New Roman"/>
                <w:b/>
                <w:bCs/>
                <w:color w:val="000000"/>
                <w:lang w:val="nl-NL" w:eastAsia="nl-NL"/>
              </w:rPr>
              <w:t xml:space="preserve">Xerox </w:t>
            </w:r>
          </w:p>
        </w:tc>
        <w:tc>
          <w:tcPr>
            <w:tcW w:w="17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Northern America</w:t>
            </w:r>
          </w:p>
        </w:tc>
        <w:tc>
          <w:tcPr>
            <w:tcW w:w="2080"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r w:rsidRPr="00D8619E">
              <w:rPr>
                <w:rFonts w:ascii="Calibri" w:eastAsia="Times New Roman" w:hAnsi="Calibri" w:cs="Times New Roman"/>
                <w:color w:val="000000"/>
                <w:lang w:val="nl-NL" w:eastAsia="nl-NL"/>
              </w:rPr>
              <w:t>Technology</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color w:val="000000"/>
                <w:lang w:val="nl-NL" w:eastAsia="nl-NL"/>
              </w:rPr>
            </w:pP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color w:val="000000"/>
                <w:lang w:val="nl-NL" w:eastAsia="nl-NL"/>
              </w:rPr>
            </w:pP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6,92</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7,28</w:t>
            </w:r>
          </w:p>
        </w:tc>
        <w:tc>
          <w:tcPr>
            <w:tcW w:w="636"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jc w:val="right"/>
              <w:rPr>
                <w:rFonts w:ascii="Calibri" w:eastAsia="Times New Roman" w:hAnsi="Calibri" w:cs="Times New Roman"/>
                <w:lang w:val="nl-NL" w:eastAsia="nl-NL"/>
              </w:rPr>
            </w:pPr>
            <w:r w:rsidRPr="00D8619E">
              <w:rPr>
                <w:rFonts w:ascii="Calibri" w:eastAsia="Times New Roman" w:hAnsi="Calibri" w:cs="Times New Roman"/>
                <w:lang w:val="nl-NL" w:eastAsia="nl-NL"/>
              </w:rPr>
              <w:t>B</w:t>
            </w:r>
          </w:p>
        </w:tc>
        <w:tc>
          <w:tcPr>
            <w:tcW w:w="644" w:type="dxa"/>
            <w:tcBorders>
              <w:top w:val="nil"/>
              <w:left w:val="nil"/>
              <w:bottom w:val="nil"/>
              <w:right w:val="nil"/>
            </w:tcBorders>
            <w:shd w:val="clear" w:color="auto" w:fill="auto"/>
            <w:noWrap/>
            <w:vAlign w:val="bottom"/>
            <w:hideMark/>
          </w:tcPr>
          <w:p w:rsidR="00D8619E" w:rsidRPr="00D8619E" w:rsidRDefault="00D8619E" w:rsidP="00D8619E">
            <w:pPr>
              <w:spacing w:after="0" w:line="240" w:lineRule="auto"/>
              <w:rPr>
                <w:rFonts w:ascii="Calibri" w:eastAsia="Times New Roman" w:hAnsi="Calibri" w:cs="Times New Roman"/>
                <w:lang w:val="nl-NL" w:eastAsia="nl-NL"/>
              </w:rPr>
            </w:pPr>
            <w:r w:rsidRPr="00D8619E">
              <w:rPr>
                <w:rFonts w:ascii="Calibri" w:eastAsia="Times New Roman" w:hAnsi="Calibri" w:cs="Times New Roman"/>
                <w:lang w:val="nl-NL" w:eastAsia="nl-NL"/>
              </w:rPr>
              <w:t>6,51</w:t>
            </w:r>
          </w:p>
        </w:tc>
      </w:tr>
    </w:tbl>
    <w:p w:rsidR="00BB2A00" w:rsidRDefault="00BB2A00" w:rsidP="009A361F">
      <w:pPr>
        <w:sectPr w:rsidR="00BB2A00" w:rsidSect="00E1172F">
          <w:pgSz w:w="15840" w:h="12240" w:orient="landscape"/>
          <w:pgMar w:top="1440" w:right="1440" w:bottom="1440" w:left="1440" w:header="708" w:footer="708" w:gutter="0"/>
          <w:cols w:space="708"/>
          <w:docGrid w:linePitch="360"/>
        </w:sectPr>
      </w:pPr>
    </w:p>
    <w:p w:rsidR="00BB2A00" w:rsidRDefault="00BB2A00" w:rsidP="00BB2A00">
      <w:pPr>
        <w:pStyle w:val="Heading1"/>
        <w:rPr>
          <w:u w:val="single"/>
        </w:rPr>
      </w:pPr>
      <w:bookmarkStart w:id="67" w:name="_Toc299353409"/>
      <w:r>
        <w:rPr>
          <w:u w:val="single"/>
        </w:rPr>
        <w:lastRenderedPageBreak/>
        <w:t>Appendix B: Distribution CSR report levels over all variables</w:t>
      </w:r>
      <w:bookmarkEnd w:id="67"/>
    </w:p>
    <w:tbl>
      <w:tblPr>
        <w:tblW w:w="12165" w:type="dxa"/>
        <w:tblInd w:w="55" w:type="dxa"/>
        <w:tblCellMar>
          <w:left w:w="70" w:type="dxa"/>
          <w:right w:w="70" w:type="dxa"/>
        </w:tblCellMar>
        <w:tblLook w:val="04A0"/>
      </w:tblPr>
      <w:tblGrid>
        <w:gridCol w:w="2910"/>
        <w:gridCol w:w="42"/>
        <w:gridCol w:w="482"/>
        <w:gridCol w:w="180"/>
        <w:gridCol w:w="344"/>
        <w:gridCol w:w="141"/>
        <w:gridCol w:w="383"/>
        <w:gridCol w:w="279"/>
        <w:gridCol w:w="244"/>
        <w:gridCol w:w="418"/>
        <w:gridCol w:w="105"/>
        <w:gridCol w:w="380"/>
        <w:gridCol w:w="333"/>
        <w:gridCol w:w="152"/>
        <w:gridCol w:w="564"/>
        <w:gridCol w:w="99"/>
        <w:gridCol w:w="557"/>
        <w:gridCol w:w="105"/>
        <w:gridCol w:w="377"/>
        <w:gridCol w:w="108"/>
        <w:gridCol w:w="548"/>
        <w:gridCol w:w="114"/>
        <w:gridCol w:w="542"/>
        <w:gridCol w:w="120"/>
        <w:gridCol w:w="362"/>
        <w:gridCol w:w="123"/>
        <w:gridCol w:w="359"/>
        <w:gridCol w:w="126"/>
        <w:gridCol w:w="530"/>
        <w:gridCol w:w="133"/>
        <w:gridCol w:w="349"/>
        <w:gridCol w:w="656"/>
      </w:tblGrid>
      <w:tr w:rsidR="00BB2A00" w:rsidRPr="00E1172F" w:rsidTr="00BB2A00">
        <w:trPr>
          <w:trHeight w:val="210"/>
        </w:trPr>
        <w:tc>
          <w:tcPr>
            <w:tcW w:w="2910" w:type="dxa"/>
            <w:tcBorders>
              <w:top w:val="nil"/>
              <w:left w:val="nil"/>
              <w:bottom w:val="single" w:sz="4" w:space="0" w:color="auto"/>
              <w:right w:val="single" w:sz="4" w:space="0" w:color="auto"/>
            </w:tcBorders>
            <w:shd w:val="clear" w:color="auto" w:fill="auto"/>
            <w:noWrap/>
            <w:vAlign w:val="bottom"/>
            <w:hideMark/>
          </w:tcPr>
          <w:p w:rsidR="00BB2A00" w:rsidRPr="00730E84" w:rsidRDefault="00BB2A00" w:rsidP="00BB2A00">
            <w:pPr>
              <w:spacing w:after="0" w:line="240" w:lineRule="auto"/>
              <w:rPr>
                <w:rFonts w:ascii="Calibri" w:eastAsia="Times New Roman" w:hAnsi="Calibri" w:cs="Times New Roman"/>
                <w:b/>
                <w:bCs/>
                <w:color w:val="000000"/>
                <w:lang w:eastAsia="nl-NL"/>
              </w:rPr>
            </w:pPr>
            <w:r w:rsidRPr="00730E84">
              <w:rPr>
                <w:rFonts w:ascii="Calibri" w:eastAsia="Times New Roman" w:hAnsi="Calibri" w:cs="Times New Roman"/>
                <w:b/>
                <w:bCs/>
                <w:color w:val="000000"/>
                <w:lang w:eastAsia="nl-NL"/>
              </w:rPr>
              <w:t> </w:t>
            </w:r>
          </w:p>
        </w:tc>
        <w:tc>
          <w:tcPr>
            <w:tcW w:w="4047" w:type="dxa"/>
            <w:gridSpan w:val="14"/>
            <w:tcBorders>
              <w:top w:val="nil"/>
              <w:left w:val="nil"/>
              <w:bottom w:val="single" w:sz="4" w:space="0" w:color="auto"/>
              <w:right w:val="single" w:sz="4" w:space="0" w:color="000000"/>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2005 (N = 85)</w:t>
            </w:r>
          </w:p>
        </w:tc>
        <w:tc>
          <w:tcPr>
            <w:tcW w:w="5208" w:type="dxa"/>
            <w:gridSpan w:val="17"/>
            <w:tcBorders>
              <w:top w:val="nil"/>
              <w:left w:val="nil"/>
              <w:bottom w:val="single" w:sz="4" w:space="0" w:color="auto"/>
              <w:right w:val="single" w:sz="4" w:space="0" w:color="000000"/>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2006 (N = 106)</w:t>
            </w:r>
          </w:p>
        </w:tc>
      </w:tr>
      <w:tr w:rsidR="00BB2A00" w:rsidRPr="00E1172F" w:rsidTr="00BB2A00">
        <w:trPr>
          <w:trHeight w:val="210"/>
        </w:trPr>
        <w:tc>
          <w:tcPr>
            <w:tcW w:w="2910" w:type="dxa"/>
            <w:tcBorders>
              <w:top w:val="nil"/>
              <w:left w:val="nil"/>
              <w:bottom w:val="single" w:sz="4" w:space="0" w:color="auto"/>
              <w:right w:val="single" w:sz="4" w:space="0" w:color="auto"/>
            </w:tcBorders>
            <w:shd w:val="clear" w:color="auto" w:fill="auto"/>
            <w:noWrap/>
            <w:vAlign w:val="bottom"/>
            <w:hideMark/>
          </w:tcPr>
          <w:p w:rsidR="00BB2A00" w:rsidRPr="00730E84" w:rsidRDefault="00BB2A00" w:rsidP="00BB2A00">
            <w:pPr>
              <w:spacing w:after="0" w:line="240" w:lineRule="auto"/>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CSR level</w:t>
            </w:r>
          </w:p>
        </w:tc>
        <w:tc>
          <w:tcPr>
            <w:tcW w:w="524"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A+</w:t>
            </w:r>
          </w:p>
        </w:tc>
        <w:tc>
          <w:tcPr>
            <w:tcW w:w="524"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B+</w:t>
            </w:r>
          </w:p>
        </w:tc>
        <w:tc>
          <w:tcPr>
            <w:tcW w:w="524"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B</w:t>
            </w:r>
          </w:p>
        </w:tc>
        <w:tc>
          <w:tcPr>
            <w:tcW w:w="523"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C+</w:t>
            </w:r>
          </w:p>
        </w:tc>
        <w:tc>
          <w:tcPr>
            <w:tcW w:w="523"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U</w:t>
            </w:r>
          </w:p>
        </w:tc>
        <w:tc>
          <w:tcPr>
            <w:tcW w:w="713"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IA</w:t>
            </w:r>
          </w:p>
        </w:tc>
        <w:tc>
          <w:tcPr>
            <w:tcW w:w="716" w:type="dxa"/>
            <w:gridSpan w:val="2"/>
            <w:tcBorders>
              <w:top w:val="nil"/>
              <w:left w:val="nil"/>
              <w:bottom w:val="single" w:sz="4" w:space="0" w:color="auto"/>
              <w:right w:val="single" w:sz="4" w:space="0" w:color="auto"/>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CI</w:t>
            </w:r>
          </w:p>
        </w:tc>
        <w:tc>
          <w:tcPr>
            <w:tcW w:w="656"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A+</w:t>
            </w:r>
          </w:p>
        </w:tc>
        <w:tc>
          <w:tcPr>
            <w:tcW w:w="482"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A</w:t>
            </w:r>
          </w:p>
        </w:tc>
        <w:tc>
          <w:tcPr>
            <w:tcW w:w="656"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B+</w:t>
            </w:r>
          </w:p>
        </w:tc>
        <w:tc>
          <w:tcPr>
            <w:tcW w:w="656"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B</w:t>
            </w:r>
          </w:p>
        </w:tc>
        <w:tc>
          <w:tcPr>
            <w:tcW w:w="482"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C+</w:t>
            </w:r>
          </w:p>
        </w:tc>
        <w:tc>
          <w:tcPr>
            <w:tcW w:w="482"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C</w:t>
            </w:r>
          </w:p>
        </w:tc>
        <w:tc>
          <w:tcPr>
            <w:tcW w:w="656"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U</w:t>
            </w:r>
          </w:p>
        </w:tc>
        <w:tc>
          <w:tcPr>
            <w:tcW w:w="482" w:type="dxa"/>
            <w:gridSpan w:val="2"/>
            <w:tcBorders>
              <w:top w:val="nil"/>
              <w:left w:val="nil"/>
              <w:bottom w:val="single" w:sz="4" w:space="0" w:color="auto"/>
              <w:right w:val="nil"/>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IA</w:t>
            </w:r>
          </w:p>
        </w:tc>
        <w:tc>
          <w:tcPr>
            <w:tcW w:w="656" w:type="dxa"/>
            <w:tcBorders>
              <w:top w:val="nil"/>
              <w:left w:val="nil"/>
              <w:bottom w:val="single" w:sz="4" w:space="0" w:color="auto"/>
              <w:right w:val="single" w:sz="4" w:space="0" w:color="auto"/>
            </w:tcBorders>
            <w:shd w:val="clear" w:color="auto" w:fill="auto"/>
            <w:noWrap/>
            <w:vAlign w:val="bottom"/>
            <w:hideMark/>
          </w:tcPr>
          <w:p w:rsidR="00BB2A00" w:rsidRPr="00730E84" w:rsidRDefault="00BB2A00" w:rsidP="00BB2A00">
            <w:pPr>
              <w:spacing w:after="0" w:line="240" w:lineRule="auto"/>
              <w:jc w:val="center"/>
              <w:rPr>
                <w:rFonts w:ascii="Calibri" w:eastAsia="Times New Roman" w:hAnsi="Calibri" w:cs="Times New Roman"/>
                <w:b/>
                <w:bCs/>
                <w:color w:val="000000"/>
                <w:sz w:val="20"/>
                <w:szCs w:val="20"/>
                <w:lang w:eastAsia="nl-NL"/>
              </w:rPr>
            </w:pPr>
            <w:r w:rsidRPr="00730E84">
              <w:rPr>
                <w:rFonts w:ascii="Calibri" w:eastAsia="Times New Roman" w:hAnsi="Calibri" w:cs="Times New Roman"/>
                <w:b/>
                <w:bCs/>
                <w:color w:val="000000"/>
                <w:sz w:val="20"/>
                <w:szCs w:val="20"/>
                <w:lang w:eastAsia="nl-NL"/>
              </w:rPr>
              <w:t>CI</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8E574D" w:rsidRDefault="00BB2A00" w:rsidP="00BB2A00">
            <w:pPr>
              <w:spacing w:after="0" w:line="240" w:lineRule="auto"/>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Frequency</w:t>
            </w:r>
          </w:p>
        </w:tc>
        <w:tc>
          <w:tcPr>
            <w:tcW w:w="524"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2</w:t>
            </w:r>
          </w:p>
        </w:tc>
        <w:tc>
          <w:tcPr>
            <w:tcW w:w="524"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3</w:t>
            </w:r>
          </w:p>
        </w:tc>
        <w:tc>
          <w:tcPr>
            <w:tcW w:w="524"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2</w:t>
            </w:r>
          </w:p>
        </w:tc>
        <w:tc>
          <w:tcPr>
            <w:tcW w:w="523"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1</w:t>
            </w:r>
          </w:p>
        </w:tc>
        <w:tc>
          <w:tcPr>
            <w:tcW w:w="523"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8</w:t>
            </w:r>
          </w:p>
        </w:tc>
        <w:tc>
          <w:tcPr>
            <w:tcW w:w="713"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24</w:t>
            </w:r>
          </w:p>
        </w:tc>
        <w:tc>
          <w:tcPr>
            <w:tcW w:w="716" w:type="dxa"/>
            <w:gridSpan w:val="2"/>
            <w:tcBorders>
              <w:top w:val="nil"/>
              <w:left w:val="nil"/>
              <w:bottom w:val="nil"/>
              <w:right w:val="single" w:sz="4" w:space="0" w:color="auto"/>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45</w:t>
            </w:r>
          </w:p>
        </w:tc>
        <w:tc>
          <w:tcPr>
            <w:tcW w:w="656"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16</w:t>
            </w:r>
          </w:p>
        </w:tc>
        <w:tc>
          <w:tcPr>
            <w:tcW w:w="482"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4</w:t>
            </w:r>
          </w:p>
        </w:tc>
        <w:tc>
          <w:tcPr>
            <w:tcW w:w="656"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12</w:t>
            </w:r>
          </w:p>
        </w:tc>
        <w:tc>
          <w:tcPr>
            <w:tcW w:w="656" w:type="dxa"/>
            <w:gridSpan w:val="2"/>
            <w:tcBorders>
              <w:top w:val="nil"/>
              <w:left w:val="nil"/>
              <w:bottom w:val="nil"/>
              <w:right w:val="nil"/>
            </w:tcBorders>
            <w:shd w:val="clear" w:color="auto" w:fill="auto"/>
            <w:noWrap/>
            <w:vAlign w:val="bottom"/>
            <w:hideMark/>
          </w:tcPr>
          <w:p w:rsidR="00BB2A00" w:rsidRPr="008E574D" w:rsidRDefault="00BB2A00" w:rsidP="00BB2A00">
            <w:pPr>
              <w:spacing w:after="0" w:line="240" w:lineRule="auto"/>
              <w:jc w:val="center"/>
              <w:rPr>
                <w:rFonts w:ascii="Calibri" w:eastAsia="Times New Roman" w:hAnsi="Calibri" w:cs="Times New Roman"/>
                <w:color w:val="000000"/>
                <w:sz w:val="20"/>
                <w:szCs w:val="20"/>
                <w:lang w:eastAsia="nl-NL"/>
              </w:rPr>
            </w:pPr>
            <w:r w:rsidRPr="008E574D">
              <w:rPr>
                <w:rFonts w:ascii="Calibri" w:eastAsia="Times New Roman" w:hAnsi="Calibri" w:cs="Times New Roman"/>
                <w:color w:val="000000"/>
                <w:sz w:val="20"/>
                <w:szCs w:val="20"/>
                <w:lang w:eastAsia="nl-NL"/>
              </w:rPr>
              <w:t>11</w:t>
            </w:r>
          </w:p>
        </w:tc>
        <w:tc>
          <w:tcPr>
            <w:tcW w:w="482" w:type="dxa"/>
            <w:gridSpan w:val="2"/>
            <w:tcBorders>
              <w:top w:val="nil"/>
              <w:left w:val="nil"/>
              <w:bottom w:val="nil"/>
              <w:right w:val="nil"/>
            </w:tcBorders>
            <w:shd w:val="clear" w:color="auto" w:fill="auto"/>
            <w:noWrap/>
            <w:vAlign w:val="bottom"/>
            <w:hideMark/>
          </w:tcPr>
          <w:p w:rsidR="00BB2A00" w:rsidRPr="000129E9" w:rsidRDefault="00BB2A00" w:rsidP="00BB2A00">
            <w:pPr>
              <w:spacing w:after="0" w:line="240" w:lineRule="auto"/>
              <w:jc w:val="center"/>
              <w:rPr>
                <w:rFonts w:ascii="Calibri" w:eastAsia="Times New Roman" w:hAnsi="Calibri" w:cs="Times New Roman"/>
                <w:color w:val="000000"/>
                <w:sz w:val="20"/>
                <w:szCs w:val="20"/>
                <w:lang w:eastAsia="nl-NL"/>
              </w:rPr>
            </w:pPr>
            <w:r w:rsidRPr="000129E9">
              <w:rPr>
                <w:rFonts w:ascii="Calibri" w:eastAsia="Times New Roman" w:hAnsi="Calibri" w:cs="Times New Roman"/>
                <w:color w:val="000000"/>
                <w:sz w:val="20"/>
                <w:szCs w:val="20"/>
                <w:lang w:eastAsia="nl-NL"/>
              </w:rPr>
              <w:t>4</w:t>
            </w:r>
          </w:p>
        </w:tc>
        <w:tc>
          <w:tcPr>
            <w:tcW w:w="482" w:type="dxa"/>
            <w:gridSpan w:val="2"/>
            <w:tcBorders>
              <w:top w:val="nil"/>
              <w:left w:val="nil"/>
              <w:bottom w:val="nil"/>
              <w:right w:val="nil"/>
            </w:tcBorders>
            <w:shd w:val="clear" w:color="auto" w:fill="auto"/>
            <w:noWrap/>
            <w:vAlign w:val="bottom"/>
            <w:hideMark/>
          </w:tcPr>
          <w:p w:rsidR="00BB2A00" w:rsidRPr="000129E9" w:rsidRDefault="00BB2A00" w:rsidP="00BB2A00">
            <w:pPr>
              <w:spacing w:after="0" w:line="240" w:lineRule="auto"/>
              <w:jc w:val="center"/>
              <w:rPr>
                <w:rFonts w:ascii="Calibri" w:eastAsia="Times New Roman" w:hAnsi="Calibri" w:cs="Times New Roman"/>
                <w:color w:val="000000"/>
                <w:sz w:val="20"/>
                <w:szCs w:val="20"/>
                <w:lang w:eastAsia="nl-NL"/>
              </w:rPr>
            </w:pPr>
            <w:r w:rsidRPr="000129E9">
              <w:rPr>
                <w:rFonts w:ascii="Calibri" w:eastAsia="Times New Roman" w:hAnsi="Calibri" w:cs="Times New Roman"/>
                <w:color w:val="000000"/>
                <w:sz w:val="20"/>
                <w:szCs w:val="20"/>
                <w:lang w:eastAsia="nl-NL"/>
              </w:rPr>
              <w:t>3</w:t>
            </w:r>
          </w:p>
        </w:tc>
        <w:tc>
          <w:tcPr>
            <w:tcW w:w="656" w:type="dxa"/>
            <w:gridSpan w:val="2"/>
            <w:tcBorders>
              <w:top w:val="nil"/>
              <w:left w:val="nil"/>
              <w:bottom w:val="nil"/>
              <w:right w:val="nil"/>
            </w:tcBorders>
            <w:shd w:val="clear" w:color="auto" w:fill="auto"/>
            <w:noWrap/>
            <w:vAlign w:val="bottom"/>
            <w:hideMark/>
          </w:tcPr>
          <w:p w:rsidR="00BB2A00" w:rsidRPr="001F68AA" w:rsidRDefault="00BB2A00" w:rsidP="00BB2A00">
            <w:pPr>
              <w:spacing w:after="0" w:line="240" w:lineRule="auto"/>
              <w:jc w:val="center"/>
              <w:rPr>
                <w:rFonts w:ascii="Calibri" w:eastAsia="Times New Roman" w:hAnsi="Calibri" w:cs="Times New Roman"/>
                <w:color w:val="000000"/>
                <w:sz w:val="20"/>
                <w:szCs w:val="20"/>
                <w:lang w:eastAsia="nl-NL"/>
              </w:rPr>
            </w:pPr>
            <w:r w:rsidRPr="000129E9">
              <w:rPr>
                <w:rFonts w:ascii="Calibri" w:eastAsia="Times New Roman" w:hAnsi="Calibri" w:cs="Times New Roman"/>
                <w:color w:val="000000"/>
                <w:sz w:val="20"/>
                <w:szCs w:val="20"/>
                <w:lang w:eastAsia="nl-NL"/>
              </w:rPr>
              <w:t>3</w:t>
            </w:r>
            <w:r w:rsidRPr="001F68AA">
              <w:rPr>
                <w:rFonts w:ascii="Calibri" w:eastAsia="Times New Roman" w:hAnsi="Calibri" w:cs="Times New Roman"/>
                <w:color w:val="000000"/>
                <w:sz w:val="20"/>
                <w:szCs w:val="20"/>
                <w:lang w:eastAsia="nl-NL"/>
              </w:rPr>
              <w:t>0</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21</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Percentages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28,2</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52,9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15,1</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11,3</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10,4</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28,3</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19,8</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Size</w:t>
            </w:r>
            <w:proofErr w:type="spellEnd"/>
            <w:r w:rsidRPr="00E1172F">
              <w:rPr>
                <w:rFonts w:ascii="Calibri" w:eastAsia="Times New Roman" w:hAnsi="Calibri" w:cs="Times New Roman"/>
                <w:b/>
                <w:bCs/>
                <w:color w:val="000000"/>
                <w:sz w:val="20"/>
                <w:szCs w:val="20"/>
                <w:lang w:val="nl-NL" w:eastAsia="nl-NL"/>
              </w:rPr>
              <w:t xml:space="preserve"> (</w:t>
            </w:r>
            <w:proofErr w:type="spellStart"/>
            <w:r w:rsidRPr="00E1172F">
              <w:rPr>
                <w:rFonts w:ascii="Calibri" w:eastAsia="Times New Roman" w:hAnsi="Calibri" w:cs="Times New Roman"/>
                <w:b/>
                <w:bCs/>
                <w:color w:val="000000"/>
                <w:sz w:val="20"/>
                <w:szCs w:val="20"/>
                <w:lang w:val="nl-NL" w:eastAsia="nl-NL"/>
              </w:rPr>
              <w:t>sales</w:t>
            </w:r>
            <w:proofErr w:type="spellEnd"/>
            <w:r w:rsidRPr="00E1172F">
              <w:rPr>
                <w:rFonts w:ascii="Calibri" w:eastAsia="Times New Roman" w:hAnsi="Calibri" w:cs="Times New Roman"/>
                <w:b/>
                <w:bCs/>
                <w:color w:val="000000"/>
                <w:sz w:val="20"/>
                <w:szCs w:val="20"/>
                <w:lang w:val="nl-NL" w:eastAsia="nl-NL"/>
              </w:rPr>
              <w:t xml:space="preserve"> in </w:t>
            </w:r>
            <w:proofErr w:type="spellStart"/>
            <w:r w:rsidRPr="00E1172F">
              <w:rPr>
                <w:rFonts w:ascii="Calibri" w:eastAsia="Times New Roman" w:hAnsi="Calibri" w:cs="Times New Roman"/>
                <w:b/>
                <w:bCs/>
                <w:color w:val="000000"/>
                <w:sz w:val="20"/>
                <w:szCs w:val="20"/>
                <w:lang w:val="nl-NL" w:eastAsia="nl-NL"/>
              </w:rPr>
              <w:t>million</w:t>
            </w:r>
            <w:proofErr w:type="spellEnd"/>
            <w:r w:rsidRPr="00E1172F">
              <w:rPr>
                <w:rFonts w:ascii="Calibri" w:eastAsia="Times New Roman" w:hAnsi="Calibri" w:cs="Times New Roman"/>
                <w:b/>
                <w:bCs/>
                <w:color w:val="000000"/>
                <w:sz w:val="20"/>
                <w:szCs w:val="20"/>
                <w:lang w:val="nl-NL" w:eastAsia="nl-NL"/>
              </w:rPr>
              <w:t xml:space="preserve"> $)</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&lt; 50.000</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12,9</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36,5</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8,5</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7,5</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14,2</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50.000 - 100.000</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11,8</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&gt; 100.000</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Financial Performances (ROA)</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 &lt;  0%</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 - 10%</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22,4</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34,1</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7,5</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17,0</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12,3</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&gt; 10% </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30,6</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11,3</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7,5</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eastAsia="nl-NL"/>
              </w:rPr>
            </w:pPr>
            <w:r w:rsidRPr="00E1172F">
              <w:rPr>
                <w:rFonts w:ascii="Calibri" w:eastAsia="Times New Roman" w:hAnsi="Calibri" w:cs="Times New Roman"/>
                <w:b/>
                <w:bCs/>
                <w:color w:val="000000"/>
                <w:sz w:val="20"/>
                <w:szCs w:val="20"/>
                <w:lang w:eastAsia="nl-NL"/>
              </w:rPr>
              <w:t>SG&amp;A expenses to sales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r w:rsidRPr="00E1172F">
              <w:rPr>
                <w:rFonts w:ascii="Calibri" w:eastAsia="Times New Roman" w:hAnsi="Calibri" w:cs="Times New Roman"/>
                <w:color w:val="000000"/>
                <w:sz w:val="20"/>
                <w:szCs w:val="20"/>
                <w:lang w:eastAsia="nl-NL"/>
              </w:rPr>
              <w:t> </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r w:rsidRPr="00E1172F">
              <w:rPr>
                <w:rFonts w:ascii="Calibri" w:eastAsia="Times New Roman" w:hAnsi="Calibri" w:cs="Times New Roman"/>
                <w:color w:val="000000"/>
                <w:sz w:val="20"/>
                <w:szCs w:val="20"/>
                <w:lang w:eastAsia="nl-NL"/>
              </w:rPr>
              <w:t> </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&lt; 15%</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12,9</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17,6</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15% - 30% </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8,2</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14,1</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13,2</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&gt; 30%</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8,2</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Unknown</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Regions</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Africa</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Asia</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Europe</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17,6</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23,5</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7,5</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13,2</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8,5</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Latin</w:t>
            </w:r>
            <w:proofErr w:type="spellEnd"/>
            <w:r w:rsidRPr="00E1172F">
              <w:rPr>
                <w:rFonts w:ascii="Calibri" w:eastAsia="Times New Roman" w:hAnsi="Calibri" w:cs="Times New Roman"/>
                <w:color w:val="000000"/>
                <w:sz w:val="20"/>
                <w:szCs w:val="20"/>
                <w:lang w:val="nl-NL" w:eastAsia="nl-NL"/>
              </w:rPr>
              <w:t xml:space="preserve"> </w:t>
            </w:r>
            <w:proofErr w:type="spellStart"/>
            <w:r w:rsidRPr="00E1172F">
              <w:rPr>
                <w:rFonts w:ascii="Calibri" w:eastAsia="Times New Roman" w:hAnsi="Calibri" w:cs="Times New Roman"/>
                <w:color w:val="000000"/>
                <w:sz w:val="20"/>
                <w:szCs w:val="20"/>
                <w:lang w:val="nl-NL" w:eastAsia="nl-NL"/>
              </w:rPr>
              <w:t>America</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Northern America</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5,9</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20,0</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10,4</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8,5</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Oceania</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Industry</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Oil &amp; Gas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Basic Materials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Industrials</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Consumer Goods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15,3</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Health Care</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Consumer Services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Telecommunications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3,5</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Utilities</w:t>
            </w:r>
            <w:proofErr w:type="spellEnd"/>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Financials</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4,7</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3,8</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r>
      <w:tr w:rsidR="00BB2A00" w:rsidRPr="00E1172F" w:rsidTr="00BB2A00">
        <w:trPr>
          <w:trHeight w:val="210"/>
        </w:trPr>
        <w:tc>
          <w:tcPr>
            <w:tcW w:w="2910"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Technology</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4"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52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713"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716"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7,1</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c>
          <w:tcPr>
            <w:tcW w:w="656"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0,9</w:t>
            </w:r>
          </w:p>
        </w:tc>
      </w:tr>
      <w:tr w:rsidR="00BB2A00" w:rsidRPr="00E1172F" w:rsidTr="00BB2A00">
        <w:trPr>
          <w:gridAfter w:val="2"/>
          <w:wAfter w:w="1005" w:type="dxa"/>
          <w:trHeight w:val="242"/>
        </w:trPr>
        <w:tc>
          <w:tcPr>
            <w:tcW w:w="2952" w:type="dxa"/>
            <w:gridSpan w:val="2"/>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lastRenderedPageBreak/>
              <w:t> </w:t>
            </w:r>
          </w:p>
        </w:tc>
        <w:tc>
          <w:tcPr>
            <w:tcW w:w="4104" w:type="dxa"/>
            <w:gridSpan w:val="14"/>
            <w:tcBorders>
              <w:top w:val="nil"/>
              <w:left w:val="nil"/>
              <w:bottom w:val="single" w:sz="4" w:space="0" w:color="auto"/>
              <w:right w:val="single" w:sz="4" w:space="0" w:color="000000"/>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2007 (N = 136)</w:t>
            </w:r>
          </w:p>
        </w:tc>
        <w:tc>
          <w:tcPr>
            <w:tcW w:w="4104" w:type="dxa"/>
            <w:gridSpan w:val="14"/>
            <w:tcBorders>
              <w:top w:val="nil"/>
              <w:left w:val="nil"/>
              <w:bottom w:val="single" w:sz="4" w:space="0" w:color="auto"/>
              <w:right w:val="single" w:sz="4" w:space="0" w:color="000000"/>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2008 (N = 167)</w:t>
            </w:r>
          </w:p>
        </w:tc>
      </w:tr>
      <w:tr w:rsidR="00BB2A00" w:rsidRPr="00E1172F" w:rsidTr="00BB2A00">
        <w:trPr>
          <w:gridAfter w:val="2"/>
          <w:wAfter w:w="1005" w:type="dxa"/>
          <w:trHeight w:val="242"/>
        </w:trPr>
        <w:tc>
          <w:tcPr>
            <w:tcW w:w="2952" w:type="dxa"/>
            <w:gridSpan w:val="2"/>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CSR level</w:t>
            </w:r>
          </w:p>
        </w:tc>
        <w:tc>
          <w:tcPr>
            <w:tcW w:w="662"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A+</w:t>
            </w:r>
          </w:p>
        </w:tc>
        <w:tc>
          <w:tcPr>
            <w:tcW w:w="485"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A</w:t>
            </w:r>
          </w:p>
        </w:tc>
        <w:tc>
          <w:tcPr>
            <w:tcW w:w="662"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B+</w:t>
            </w:r>
          </w:p>
        </w:tc>
        <w:tc>
          <w:tcPr>
            <w:tcW w:w="662"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B</w:t>
            </w:r>
          </w:p>
        </w:tc>
        <w:tc>
          <w:tcPr>
            <w:tcW w:w="485"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w:t>
            </w:r>
          </w:p>
        </w:tc>
        <w:tc>
          <w:tcPr>
            <w:tcW w:w="485"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w:t>
            </w:r>
          </w:p>
        </w:tc>
        <w:tc>
          <w:tcPr>
            <w:tcW w:w="663" w:type="dxa"/>
            <w:gridSpan w:val="2"/>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U</w:t>
            </w:r>
          </w:p>
        </w:tc>
        <w:tc>
          <w:tcPr>
            <w:tcW w:w="662"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A+</w:t>
            </w:r>
          </w:p>
        </w:tc>
        <w:tc>
          <w:tcPr>
            <w:tcW w:w="485"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A</w:t>
            </w:r>
          </w:p>
        </w:tc>
        <w:tc>
          <w:tcPr>
            <w:tcW w:w="662"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B+</w:t>
            </w:r>
          </w:p>
        </w:tc>
        <w:tc>
          <w:tcPr>
            <w:tcW w:w="662"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B</w:t>
            </w:r>
          </w:p>
        </w:tc>
        <w:tc>
          <w:tcPr>
            <w:tcW w:w="485"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w:t>
            </w:r>
          </w:p>
        </w:tc>
        <w:tc>
          <w:tcPr>
            <w:tcW w:w="485" w:type="dxa"/>
            <w:gridSpan w:val="2"/>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w:t>
            </w:r>
          </w:p>
        </w:tc>
        <w:tc>
          <w:tcPr>
            <w:tcW w:w="663" w:type="dxa"/>
            <w:gridSpan w:val="2"/>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U</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Frequency</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62</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Percentages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14,5</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12,3</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8,7</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43,5</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16,8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6,0</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37,1</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Size</w:t>
            </w:r>
            <w:proofErr w:type="spellEnd"/>
            <w:r w:rsidRPr="00E1172F">
              <w:rPr>
                <w:rFonts w:ascii="Calibri" w:eastAsia="Times New Roman" w:hAnsi="Calibri" w:cs="Times New Roman"/>
                <w:b/>
                <w:bCs/>
                <w:color w:val="000000"/>
                <w:sz w:val="20"/>
                <w:szCs w:val="20"/>
                <w:lang w:val="nl-NL" w:eastAsia="nl-NL"/>
              </w:rPr>
              <w:t xml:space="preserve"> (</w:t>
            </w:r>
            <w:proofErr w:type="spellStart"/>
            <w:r w:rsidRPr="00E1172F">
              <w:rPr>
                <w:rFonts w:ascii="Calibri" w:eastAsia="Times New Roman" w:hAnsi="Calibri" w:cs="Times New Roman"/>
                <w:b/>
                <w:bCs/>
                <w:color w:val="000000"/>
                <w:sz w:val="20"/>
                <w:szCs w:val="20"/>
                <w:lang w:val="nl-NL" w:eastAsia="nl-NL"/>
              </w:rPr>
              <w:t>sales</w:t>
            </w:r>
            <w:proofErr w:type="spellEnd"/>
            <w:r w:rsidRPr="00E1172F">
              <w:rPr>
                <w:rFonts w:ascii="Calibri" w:eastAsia="Times New Roman" w:hAnsi="Calibri" w:cs="Times New Roman"/>
                <w:b/>
                <w:bCs/>
                <w:color w:val="000000"/>
                <w:sz w:val="20"/>
                <w:szCs w:val="20"/>
                <w:lang w:val="nl-NL" w:eastAsia="nl-NL"/>
              </w:rPr>
              <w:t xml:space="preserve"> in </w:t>
            </w:r>
            <w:proofErr w:type="spellStart"/>
            <w:r w:rsidRPr="00E1172F">
              <w:rPr>
                <w:rFonts w:ascii="Calibri" w:eastAsia="Times New Roman" w:hAnsi="Calibri" w:cs="Times New Roman"/>
                <w:b/>
                <w:bCs/>
                <w:color w:val="000000"/>
                <w:sz w:val="20"/>
                <w:szCs w:val="20"/>
                <w:lang w:val="nl-NL" w:eastAsia="nl-NL"/>
              </w:rPr>
              <w:t>million</w:t>
            </w:r>
            <w:proofErr w:type="spellEnd"/>
            <w:r w:rsidRPr="00E1172F">
              <w:rPr>
                <w:rFonts w:ascii="Calibri" w:eastAsia="Times New Roman" w:hAnsi="Calibri" w:cs="Times New Roman"/>
                <w:b/>
                <w:bCs/>
                <w:color w:val="000000"/>
                <w:sz w:val="20"/>
                <w:szCs w:val="20"/>
                <w:lang w:val="nl-NL" w:eastAsia="nl-NL"/>
              </w:rPr>
              <w:t xml:space="preserve">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&lt; 50.000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10,1</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8,0</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28,3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50.000 - 100.000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&gt; 100.000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6,5</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5,4</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Financial Performances (ROA)</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 &lt;  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 - 10%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21,7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22,2</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&gt; 10%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5,1</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5,1</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18,1</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10,8</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eastAsia="nl-NL"/>
              </w:rPr>
            </w:pPr>
            <w:r w:rsidRPr="00E1172F">
              <w:rPr>
                <w:rFonts w:ascii="Calibri" w:eastAsia="Times New Roman" w:hAnsi="Calibri" w:cs="Times New Roman"/>
                <w:b/>
                <w:bCs/>
                <w:color w:val="000000"/>
                <w:sz w:val="20"/>
                <w:szCs w:val="20"/>
                <w:lang w:eastAsia="nl-NL"/>
              </w:rPr>
              <w:t>SG&amp;A expenses to sales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r w:rsidRPr="00E1172F">
              <w:rPr>
                <w:rFonts w:ascii="Calibri" w:eastAsia="Times New Roman" w:hAnsi="Calibri" w:cs="Times New Roman"/>
                <w:color w:val="000000"/>
                <w:sz w:val="20"/>
                <w:szCs w:val="20"/>
                <w:lang w:eastAsia="nl-NL"/>
              </w:rPr>
              <w:t>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r w:rsidRPr="00E1172F">
              <w:rPr>
                <w:rFonts w:ascii="Calibri" w:eastAsia="Times New Roman" w:hAnsi="Calibri" w:cs="Times New Roman"/>
                <w:color w:val="000000"/>
                <w:sz w:val="20"/>
                <w:szCs w:val="20"/>
                <w:lang w:eastAsia="nl-NL"/>
              </w:rPr>
              <w:t> </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&lt; 15%</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5,1</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15% - 30%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15,6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&gt; 30%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16,7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Unknown</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5,1</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Regions</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Africa</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Asia</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5,1</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Europe</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Latin</w:t>
            </w:r>
            <w:proofErr w:type="spellEnd"/>
            <w:r w:rsidRPr="00E1172F">
              <w:rPr>
                <w:rFonts w:ascii="Calibri" w:eastAsia="Times New Roman" w:hAnsi="Calibri" w:cs="Times New Roman"/>
                <w:color w:val="000000"/>
                <w:sz w:val="20"/>
                <w:szCs w:val="20"/>
                <w:lang w:val="nl-NL" w:eastAsia="nl-NL"/>
              </w:rPr>
              <w:t xml:space="preserve"> </w:t>
            </w:r>
            <w:proofErr w:type="spellStart"/>
            <w:r w:rsidRPr="00E1172F">
              <w:rPr>
                <w:rFonts w:ascii="Calibri" w:eastAsia="Times New Roman" w:hAnsi="Calibri" w:cs="Times New Roman"/>
                <w:color w:val="000000"/>
                <w:sz w:val="20"/>
                <w:szCs w:val="20"/>
                <w:lang w:val="nl-NL" w:eastAsia="nl-NL"/>
              </w:rPr>
              <w:t>America</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Northern America</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5,1</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6,5</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Oceania</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Industry</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Oil &amp; Gas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Basic Materials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6,5</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Industrials</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Consumer Goods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10,9</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Health Care</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Consumer Services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Telecommunications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Utilities</w:t>
            </w:r>
            <w:proofErr w:type="spellEnd"/>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Financials</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0,7</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5,8</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2,4</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3,0</w:t>
            </w:r>
          </w:p>
        </w:tc>
      </w:tr>
      <w:tr w:rsidR="00BB2A00" w:rsidRPr="00E1172F" w:rsidTr="00BB2A00">
        <w:trPr>
          <w:gridAfter w:val="2"/>
          <w:wAfter w:w="1005" w:type="dxa"/>
          <w:trHeight w:val="242"/>
        </w:trPr>
        <w:tc>
          <w:tcPr>
            <w:tcW w:w="2952"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Technology</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4,3</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w:t>
            </w:r>
          </w:p>
        </w:tc>
        <w:tc>
          <w:tcPr>
            <w:tcW w:w="662"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3,6</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5" w:type="dxa"/>
            <w:gridSpan w:val="2"/>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63" w:type="dxa"/>
            <w:gridSpan w:val="2"/>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6,6</w:t>
            </w:r>
          </w:p>
        </w:tc>
      </w:tr>
    </w:tbl>
    <w:p w:rsidR="00BB2A00" w:rsidRDefault="00BB2A00" w:rsidP="00BB2A00"/>
    <w:p w:rsidR="00BB2A00" w:rsidRDefault="00BB2A00" w:rsidP="00BB2A00"/>
    <w:tbl>
      <w:tblPr>
        <w:tblW w:w="7011" w:type="dxa"/>
        <w:tblInd w:w="55" w:type="dxa"/>
        <w:tblCellMar>
          <w:left w:w="70" w:type="dxa"/>
          <w:right w:w="70" w:type="dxa"/>
        </w:tblCellMar>
        <w:tblLook w:val="04A0"/>
      </w:tblPr>
      <w:tblGrid>
        <w:gridCol w:w="2933"/>
        <w:gridCol w:w="658"/>
        <w:gridCol w:w="482"/>
        <w:gridCol w:w="658"/>
        <w:gridCol w:w="658"/>
        <w:gridCol w:w="482"/>
        <w:gridCol w:w="482"/>
        <w:gridCol w:w="658"/>
      </w:tblGrid>
      <w:tr w:rsidR="00BB2A00" w:rsidRPr="00E1172F" w:rsidTr="00BB2A00">
        <w:trPr>
          <w:trHeight w:val="242"/>
        </w:trPr>
        <w:tc>
          <w:tcPr>
            <w:tcW w:w="2933" w:type="dxa"/>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lastRenderedPageBreak/>
              <w:t> </w:t>
            </w:r>
          </w:p>
        </w:tc>
        <w:tc>
          <w:tcPr>
            <w:tcW w:w="4077" w:type="dxa"/>
            <w:gridSpan w:val="7"/>
            <w:tcBorders>
              <w:top w:val="nil"/>
              <w:left w:val="nil"/>
              <w:bottom w:val="single" w:sz="4" w:space="0" w:color="auto"/>
              <w:right w:val="single" w:sz="4" w:space="0" w:color="000000"/>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2009 (N = 175)</w:t>
            </w:r>
          </w:p>
        </w:tc>
      </w:tr>
      <w:tr w:rsidR="00BB2A00" w:rsidRPr="00E1172F" w:rsidTr="00BB2A00">
        <w:trPr>
          <w:trHeight w:val="242"/>
        </w:trPr>
        <w:tc>
          <w:tcPr>
            <w:tcW w:w="2933" w:type="dxa"/>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CSR level</w:t>
            </w:r>
          </w:p>
        </w:tc>
        <w:tc>
          <w:tcPr>
            <w:tcW w:w="658" w:type="dxa"/>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A+</w:t>
            </w:r>
          </w:p>
        </w:tc>
        <w:tc>
          <w:tcPr>
            <w:tcW w:w="482" w:type="dxa"/>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A</w:t>
            </w:r>
          </w:p>
        </w:tc>
        <w:tc>
          <w:tcPr>
            <w:tcW w:w="658" w:type="dxa"/>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B+</w:t>
            </w:r>
          </w:p>
        </w:tc>
        <w:tc>
          <w:tcPr>
            <w:tcW w:w="658" w:type="dxa"/>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B</w:t>
            </w:r>
          </w:p>
        </w:tc>
        <w:tc>
          <w:tcPr>
            <w:tcW w:w="482" w:type="dxa"/>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w:t>
            </w:r>
          </w:p>
        </w:tc>
        <w:tc>
          <w:tcPr>
            <w:tcW w:w="482" w:type="dxa"/>
            <w:tcBorders>
              <w:top w:val="nil"/>
              <w:left w:val="nil"/>
              <w:bottom w:val="single" w:sz="4" w:space="0" w:color="auto"/>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C</w:t>
            </w:r>
          </w:p>
        </w:tc>
        <w:tc>
          <w:tcPr>
            <w:tcW w:w="658" w:type="dxa"/>
            <w:tcBorders>
              <w:top w:val="nil"/>
              <w:left w:val="nil"/>
              <w:bottom w:val="single" w:sz="4" w:space="0" w:color="auto"/>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U</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Frequency</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33</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55</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Percentages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14,9</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18,9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6,3</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31,4</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Size</w:t>
            </w:r>
            <w:proofErr w:type="spellEnd"/>
            <w:r w:rsidRPr="00E1172F">
              <w:rPr>
                <w:rFonts w:ascii="Calibri" w:eastAsia="Times New Roman" w:hAnsi="Calibri" w:cs="Times New Roman"/>
                <w:b/>
                <w:bCs/>
                <w:color w:val="000000"/>
                <w:sz w:val="20"/>
                <w:szCs w:val="20"/>
                <w:lang w:val="nl-NL" w:eastAsia="nl-NL"/>
              </w:rPr>
              <w:t xml:space="preserve"> (</w:t>
            </w:r>
            <w:proofErr w:type="spellStart"/>
            <w:r w:rsidRPr="00E1172F">
              <w:rPr>
                <w:rFonts w:ascii="Calibri" w:eastAsia="Times New Roman" w:hAnsi="Calibri" w:cs="Times New Roman"/>
                <w:b/>
                <w:bCs/>
                <w:color w:val="000000"/>
                <w:sz w:val="20"/>
                <w:szCs w:val="20"/>
                <w:lang w:val="nl-NL" w:eastAsia="nl-NL"/>
              </w:rPr>
              <w:t>sales</w:t>
            </w:r>
            <w:proofErr w:type="spellEnd"/>
            <w:r w:rsidRPr="00E1172F">
              <w:rPr>
                <w:rFonts w:ascii="Calibri" w:eastAsia="Times New Roman" w:hAnsi="Calibri" w:cs="Times New Roman"/>
                <w:b/>
                <w:bCs/>
                <w:color w:val="000000"/>
                <w:sz w:val="20"/>
                <w:szCs w:val="20"/>
                <w:lang w:val="nl-NL" w:eastAsia="nl-NL"/>
              </w:rPr>
              <w:t xml:space="preserve"> in </w:t>
            </w:r>
            <w:proofErr w:type="spellStart"/>
            <w:r w:rsidRPr="00E1172F">
              <w:rPr>
                <w:rFonts w:ascii="Calibri" w:eastAsia="Times New Roman" w:hAnsi="Calibri" w:cs="Times New Roman"/>
                <w:b/>
                <w:bCs/>
                <w:color w:val="000000"/>
                <w:sz w:val="20"/>
                <w:szCs w:val="20"/>
                <w:lang w:val="nl-NL" w:eastAsia="nl-NL"/>
              </w:rPr>
              <w:t>million</w:t>
            </w:r>
            <w:proofErr w:type="spellEnd"/>
            <w:r w:rsidRPr="00E1172F">
              <w:rPr>
                <w:rFonts w:ascii="Calibri" w:eastAsia="Times New Roman" w:hAnsi="Calibri" w:cs="Times New Roman"/>
                <w:b/>
                <w:bCs/>
                <w:color w:val="000000"/>
                <w:sz w:val="20"/>
                <w:szCs w:val="20"/>
                <w:lang w:val="nl-NL" w:eastAsia="nl-NL"/>
              </w:rPr>
              <w:t xml:space="preserve"> $)</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&lt; 50.000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22,9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50.000 - 100.000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6,3</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&gt; 100.000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r w:rsidRPr="00E1172F">
              <w:rPr>
                <w:rFonts w:ascii="Calibri" w:eastAsia="Times New Roman" w:hAnsi="Calibri" w:cs="Times New Roman"/>
                <w:b/>
                <w:bCs/>
                <w:color w:val="000000"/>
                <w:sz w:val="20"/>
                <w:szCs w:val="20"/>
                <w:lang w:val="nl-NL" w:eastAsia="nl-NL"/>
              </w:rPr>
              <w:t>Financial Performances (ROA)</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 &lt;  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6,3</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 - 10%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14,3</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7,4</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19,4</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&gt; 10% </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eastAsia="nl-NL"/>
              </w:rPr>
            </w:pPr>
            <w:r w:rsidRPr="00E1172F">
              <w:rPr>
                <w:rFonts w:ascii="Calibri" w:eastAsia="Times New Roman" w:hAnsi="Calibri" w:cs="Times New Roman"/>
                <w:b/>
                <w:bCs/>
                <w:color w:val="000000"/>
                <w:sz w:val="20"/>
                <w:szCs w:val="20"/>
                <w:lang w:eastAsia="nl-NL"/>
              </w:rPr>
              <w:t>SG&amp;A expenses to sales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eastAsia="nl-NL"/>
              </w:rPr>
            </w:pPr>
            <w:r w:rsidRPr="00E1172F">
              <w:rPr>
                <w:rFonts w:ascii="Calibri" w:eastAsia="Times New Roman" w:hAnsi="Calibri" w:cs="Times New Roman"/>
                <w:color w:val="000000"/>
                <w:sz w:val="20"/>
                <w:szCs w:val="20"/>
                <w:lang w:eastAsia="nl-NL"/>
              </w:rPr>
              <w:t> </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&lt; 15%</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6,3</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xml:space="preserve">15% - 30% </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6,3</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13,1</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&gt; 30%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Unknown</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4,6</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Regions</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Africa</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Asia</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10,3</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Europe</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13,1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8,0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5,7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Latin</w:t>
            </w:r>
            <w:proofErr w:type="spellEnd"/>
            <w:r w:rsidRPr="00E1172F">
              <w:rPr>
                <w:rFonts w:ascii="Calibri" w:eastAsia="Times New Roman" w:hAnsi="Calibri" w:cs="Times New Roman"/>
                <w:color w:val="000000"/>
                <w:sz w:val="20"/>
                <w:szCs w:val="20"/>
                <w:lang w:val="nl-NL" w:eastAsia="nl-NL"/>
              </w:rPr>
              <w:t xml:space="preserve"> </w:t>
            </w:r>
            <w:proofErr w:type="spellStart"/>
            <w:r w:rsidRPr="00E1172F">
              <w:rPr>
                <w:rFonts w:ascii="Calibri" w:eastAsia="Times New Roman" w:hAnsi="Calibri" w:cs="Times New Roman"/>
                <w:color w:val="000000"/>
                <w:sz w:val="20"/>
                <w:szCs w:val="20"/>
                <w:lang w:val="nl-NL" w:eastAsia="nl-NL"/>
              </w:rPr>
              <w:t>America</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Northern America</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4,0</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12,0</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14,3</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Oceania</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b/>
                <w:bCs/>
                <w:color w:val="000000"/>
                <w:sz w:val="20"/>
                <w:szCs w:val="20"/>
                <w:lang w:val="nl-NL" w:eastAsia="nl-NL"/>
              </w:rPr>
            </w:pPr>
            <w:proofErr w:type="spellStart"/>
            <w:r w:rsidRPr="00E1172F">
              <w:rPr>
                <w:rFonts w:ascii="Calibri" w:eastAsia="Times New Roman" w:hAnsi="Calibri" w:cs="Times New Roman"/>
                <w:b/>
                <w:bCs/>
                <w:color w:val="000000"/>
                <w:sz w:val="20"/>
                <w:szCs w:val="20"/>
                <w:lang w:val="nl-NL" w:eastAsia="nl-NL"/>
              </w:rPr>
              <w:t>Industry</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 </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Oil &amp; Gas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Basic Materials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Industrials</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3,4</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Consumer Goods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6,9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9,7</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Health Care</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Consumer Services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4,0</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Telecommunications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proofErr w:type="spellStart"/>
            <w:r w:rsidRPr="00E1172F">
              <w:rPr>
                <w:rFonts w:ascii="Calibri" w:eastAsia="Times New Roman" w:hAnsi="Calibri" w:cs="Times New Roman"/>
                <w:color w:val="000000"/>
                <w:sz w:val="20"/>
                <w:szCs w:val="20"/>
                <w:lang w:val="nl-NL" w:eastAsia="nl-NL"/>
              </w:rPr>
              <w:t>Utilities</w:t>
            </w:r>
            <w:proofErr w:type="spellEnd"/>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Financials</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1,7</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2,3</w:t>
            </w:r>
          </w:p>
        </w:tc>
      </w:tr>
      <w:tr w:rsidR="00BB2A00" w:rsidRPr="00E1172F" w:rsidTr="00BB2A00">
        <w:trPr>
          <w:trHeight w:val="242"/>
        </w:trPr>
        <w:tc>
          <w:tcPr>
            <w:tcW w:w="2933"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Technology</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658"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4,0</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0,6</w:t>
            </w:r>
          </w:p>
        </w:tc>
        <w:tc>
          <w:tcPr>
            <w:tcW w:w="482" w:type="dxa"/>
            <w:tcBorders>
              <w:top w:val="nil"/>
              <w:left w:val="nil"/>
              <w:bottom w:val="nil"/>
              <w:right w:val="nil"/>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1,1</w:t>
            </w:r>
          </w:p>
        </w:tc>
        <w:tc>
          <w:tcPr>
            <w:tcW w:w="658" w:type="dxa"/>
            <w:tcBorders>
              <w:top w:val="nil"/>
              <w:left w:val="nil"/>
              <w:bottom w:val="nil"/>
              <w:right w:val="single" w:sz="4" w:space="0" w:color="auto"/>
            </w:tcBorders>
            <w:shd w:val="clear" w:color="auto" w:fill="auto"/>
            <w:noWrap/>
            <w:vAlign w:val="bottom"/>
            <w:hideMark/>
          </w:tcPr>
          <w:p w:rsidR="00BB2A00" w:rsidRPr="00E1172F" w:rsidRDefault="00BB2A00" w:rsidP="00BB2A00">
            <w:pPr>
              <w:spacing w:after="0" w:line="240" w:lineRule="auto"/>
              <w:jc w:val="center"/>
              <w:rPr>
                <w:rFonts w:ascii="Calibri" w:eastAsia="Times New Roman" w:hAnsi="Calibri" w:cs="Times New Roman"/>
                <w:color w:val="000000"/>
                <w:sz w:val="20"/>
                <w:szCs w:val="20"/>
                <w:lang w:val="nl-NL" w:eastAsia="nl-NL"/>
              </w:rPr>
            </w:pPr>
            <w:r w:rsidRPr="00E1172F">
              <w:rPr>
                <w:rFonts w:ascii="Calibri" w:eastAsia="Times New Roman" w:hAnsi="Calibri" w:cs="Times New Roman"/>
                <w:color w:val="000000"/>
                <w:sz w:val="20"/>
                <w:szCs w:val="20"/>
                <w:lang w:val="nl-NL" w:eastAsia="nl-NL"/>
              </w:rPr>
              <w:t>2,9</w:t>
            </w:r>
          </w:p>
        </w:tc>
      </w:tr>
    </w:tbl>
    <w:p w:rsidR="00D8619E" w:rsidRPr="00D8619E" w:rsidRDefault="00D8619E" w:rsidP="009A361F">
      <w:pPr>
        <w:sectPr w:rsidR="00D8619E" w:rsidRPr="00D8619E" w:rsidSect="00E1172F">
          <w:pgSz w:w="15840" w:h="12240" w:orient="landscape"/>
          <w:pgMar w:top="1440" w:right="1440" w:bottom="1440" w:left="1440" w:header="708" w:footer="708" w:gutter="0"/>
          <w:cols w:space="708"/>
          <w:docGrid w:linePitch="360"/>
        </w:sectPr>
      </w:pPr>
    </w:p>
    <w:p w:rsidR="004C5363" w:rsidRPr="00D8619E" w:rsidRDefault="004C5363" w:rsidP="00866FED">
      <w:pPr>
        <w:spacing w:line="360" w:lineRule="auto"/>
        <w:rPr>
          <w:sz w:val="20"/>
          <w:szCs w:val="20"/>
        </w:rPr>
      </w:pPr>
    </w:p>
    <w:sectPr w:rsidR="004C5363" w:rsidRPr="00D8619E" w:rsidSect="004C5363">
      <w:pgSz w:w="12240" w:h="15840"/>
      <w:pgMar w:top="1440" w:right="1440" w:bottom="1440" w:left="1440" w:header="708" w:footer="708" w:gutter="0"/>
      <w:cols w:space="708"/>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56F2C" w:rsidRDefault="00156F2C" w:rsidP="00631FDC">
      <w:pPr>
        <w:spacing w:after="0" w:line="240" w:lineRule="auto"/>
      </w:pPr>
      <w:r>
        <w:separator/>
      </w:r>
    </w:p>
  </w:endnote>
  <w:endnote w:type="continuationSeparator" w:id="0">
    <w:p w:rsidR="00156F2C" w:rsidRDefault="00156F2C" w:rsidP="00631FDC">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TimesNewRomanPS-ItalicMT">
    <w:panose1 w:val="00000000000000000000"/>
    <w:charset w:val="00"/>
    <w:family w:val="roman"/>
    <w:notTrueType/>
    <w:pitch w:val="default"/>
    <w:sig w:usb0="00000003" w:usb1="00000000" w:usb2="00000000" w:usb3="00000000" w:csb0="00000001" w:csb1="00000000"/>
  </w:font>
  <w:font w:name="AmerigoBT-RomanA">
    <w:panose1 w:val="00000000000000000000"/>
    <w:charset w:val="00"/>
    <w:family w:val="swiss"/>
    <w:notTrueType/>
    <w:pitch w:val="default"/>
    <w:sig w:usb0="00000003" w:usb1="00000000" w:usb2="00000000" w:usb3="00000000" w:csb0="00000001" w:csb1="00000000"/>
  </w:font>
  <w:font w:name="AmerigoBT-ItalicA">
    <w:panose1 w:val="00000000000000000000"/>
    <w:charset w:val="00"/>
    <w:family w:val="swiss"/>
    <w:notTrueType/>
    <w:pitch w:val="default"/>
    <w:sig w:usb0="00000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26524204"/>
      <w:docPartObj>
        <w:docPartGallery w:val="Page Numbers (Bottom of Page)"/>
        <w:docPartUnique/>
      </w:docPartObj>
    </w:sdtPr>
    <w:sdtEndPr>
      <w:rPr>
        <w:color w:val="7F7F7F" w:themeColor="background1" w:themeShade="7F"/>
        <w:spacing w:val="60"/>
      </w:rPr>
    </w:sdtEndPr>
    <w:sdtContent>
      <w:p w:rsidR="00156F2C" w:rsidRDefault="001615B4">
        <w:pPr>
          <w:pStyle w:val="Footer"/>
          <w:pBdr>
            <w:top w:val="single" w:sz="4" w:space="1" w:color="D9D9D9" w:themeColor="background1" w:themeShade="D9"/>
          </w:pBdr>
          <w:rPr>
            <w:b/>
          </w:rPr>
        </w:pPr>
        <w:fldSimple w:instr=" PAGE   \* MERGEFORMAT ">
          <w:r w:rsidR="00592269" w:rsidRPr="00592269">
            <w:rPr>
              <w:b/>
              <w:noProof/>
            </w:rPr>
            <w:t>65</w:t>
          </w:r>
        </w:fldSimple>
        <w:r w:rsidR="00156F2C">
          <w:rPr>
            <w:b/>
          </w:rPr>
          <w:t xml:space="preserve"> | </w:t>
        </w:r>
        <w:r w:rsidR="00156F2C">
          <w:rPr>
            <w:color w:val="7F7F7F" w:themeColor="background1" w:themeShade="7F"/>
            <w:spacing w:val="60"/>
          </w:rPr>
          <w:t>Page</w:t>
        </w:r>
      </w:p>
    </w:sdtContent>
  </w:sdt>
  <w:p w:rsidR="00156F2C" w:rsidRDefault="00156F2C">
    <w:pPr>
      <w:pStyle w:val="Footer"/>
    </w:pPr>
  </w:p>
</w:ftr>
</file>

<file path=word/footer2.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56F2C" w:rsidRDefault="001615B4">
    <w:pPr>
      <w:pStyle w:val="Footer"/>
      <w:pBdr>
        <w:top w:val="single" w:sz="4" w:space="1" w:color="D9D9D9" w:themeColor="background1" w:themeShade="D9"/>
      </w:pBdr>
      <w:rPr>
        <w:b/>
      </w:rPr>
    </w:pPr>
    <w:fldSimple w:instr=" PAGE   \* MERGEFORMAT ">
      <w:r w:rsidR="00592269" w:rsidRPr="00592269">
        <w:rPr>
          <w:b/>
          <w:noProof/>
        </w:rPr>
        <w:t>91</w:t>
      </w:r>
    </w:fldSimple>
    <w:r w:rsidR="00156F2C">
      <w:rPr>
        <w:b/>
      </w:rPr>
      <w:t xml:space="preserve"> | </w:t>
    </w:r>
    <w:r w:rsidR="00156F2C">
      <w:rPr>
        <w:color w:val="7F7F7F" w:themeColor="background1" w:themeShade="7F"/>
        <w:spacing w:val="60"/>
      </w:rPr>
      <w:t>Page</w:t>
    </w:r>
  </w:p>
  <w:p w:rsidR="00156F2C" w:rsidRDefault="00156F2C">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56F2C" w:rsidRDefault="00156F2C" w:rsidP="00631FDC">
      <w:pPr>
        <w:spacing w:after="0" w:line="240" w:lineRule="auto"/>
      </w:pPr>
      <w:r>
        <w:separator/>
      </w:r>
    </w:p>
  </w:footnote>
  <w:footnote w:type="continuationSeparator" w:id="0">
    <w:p w:rsidR="00156F2C" w:rsidRDefault="00156F2C" w:rsidP="00631FDC">
      <w:pPr>
        <w:spacing w:after="0" w:line="240" w:lineRule="auto"/>
      </w:pPr>
      <w:r>
        <w:continuationSeparator/>
      </w:r>
    </w:p>
  </w:footnote>
  <w:footnote w:id="1">
    <w:p w:rsidR="00156F2C" w:rsidRPr="009C6CCC" w:rsidRDefault="00156F2C" w:rsidP="00631FDC">
      <w:pPr>
        <w:pStyle w:val="FootnoteText"/>
      </w:pPr>
      <w:r>
        <w:rPr>
          <w:rStyle w:val="FootnoteReference"/>
        </w:rPr>
        <w:footnoteRef/>
      </w:r>
      <w:r>
        <w:t xml:space="preserve"> </w:t>
      </w:r>
      <w:r w:rsidRPr="009C6CCC">
        <w:t>http://www.rabobank.nl/particulieren/servicemenu/sponsoring/sponsorfilosofie/</w:t>
      </w:r>
      <w:r>
        <w:t xml:space="preserve"> </w:t>
      </w:r>
      <w:proofErr w:type="spellStart"/>
      <w:r>
        <w:t>accesed</w:t>
      </w:r>
      <w:proofErr w:type="spellEnd"/>
      <w:r>
        <w:t xml:space="preserve"> on 14 March 2011</w:t>
      </w:r>
    </w:p>
  </w:footnote>
  <w:footnote w:id="2">
    <w:p w:rsidR="00156F2C" w:rsidRDefault="00156F2C" w:rsidP="00631FDC">
      <w:pPr>
        <w:pStyle w:val="FootnoteText"/>
        <w:tabs>
          <w:tab w:val="left" w:pos="6585"/>
        </w:tabs>
      </w:pPr>
      <w:r>
        <w:rPr>
          <w:rStyle w:val="FootnoteReference"/>
        </w:rPr>
        <w:footnoteRef/>
      </w:r>
      <w:r>
        <w:t xml:space="preserve"> </w:t>
      </w:r>
      <w:r w:rsidRPr="00462281">
        <w:t>http://www.globalreporting.org/AboutGRI/</w:t>
      </w:r>
      <w:r>
        <w:t xml:space="preserve"> accessed on 15 March 2011</w:t>
      </w:r>
      <w:r>
        <w:tab/>
      </w:r>
    </w:p>
  </w:footnote>
  <w:footnote w:id="3">
    <w:p w:rsidR="00156F2C" w:rsidRPr="003A2A0C" w:rsidRDefault="00156F2C" w:rsidP="00631FDC">
      <w:pPr>
        <w:pStyle w:val="FootnoteText"/>
        <w:rPr>
          <w:lang w:val="nl-NL"/>
        </w:rPr>
      </w:pPr>
      <w:r>
        <w:rPr>
          <w:rStyle w:val="FootnoteReference"/>
        </w:rPr>
        <w:footnoteRef/>
      </w:r>
      <w:r w:rsidRPr="003A2A0C">
        <w:rPr>
          <w:lang w:val="nl-NL"/>
        </w:rPr>
        <w:t xml:space="preserve"> </w:t>
      </w:r>
      <w:r w:rsidRPr="003A2A0C">
        <w:rPr>
          <w:i/>
          <w:lang w:val="nl-NL"/>
        </w:rPr>
        <w:t xml:space="preserve">Richtlijnen voor </w:t>
      </w:r>
      <w:proofErr w:type="spellStart"/>
      <w:r w:rsidRPr="003A2A0C">
        <w:rPr>
          <w:i/>
          <w:lang w:val="nl-NL"/>
        </w:rPr>
        <w:t>duurzaamheidsverslaggeving</w:t>
      </w:r>
      <w:proofErr w:type="spellEnd"/>
      <w:r w:rsidRPr="003A2A0C">
        <w:rPr>
          <w:lang w:val="nl-NL"/>
        </w:rPr>
        <w:t xml:space="preserve">, 2000-2006 GRI, </w:t>
      </w:r>
      <w:proofErr w:type="spellStart"/>
      <w:r w:rsidRPr="003A2A0C">
        <w:rPr>
          <w:lang w:val="nl-NL"/>
        </w:rPr>
        <w:t>version</w:t>
      </w:r>
      <w:proofErr w:type="spellEnd"/>
      <w:r w:rsidRPr="003A2A0C">
        <w:rPr>
          <w:lang w:val="nl-NL"/>
        </w:rPr>
        <w:t xml:space="preserve"> 3.0</w:t>
      </w:r>
    </w:p>
  </w:footnote>
  <w:footnote w:id="4">
    <w:p w:rsidR="00156F2C" w:rsidRDefault="00156F2C" w:rsidP="00631FDC">
      <w:pPr>
        <w:pStyle w:val="FootnoteText"/>
        <w:rPr>
          <w:lang w:val="nl-NL"/>
        </w:rPr>
      </w:pPr>
      <w:r>
        <w:rPr>
          <w:rStyle w:val="FootnoteReference"/>
        </w:rPr>
        <w:footnoteRef/>
      </w:r>
      <w:r w:rsidRPr="00606A5E">
        <w:rPr>
          <w:lang w:val="nl-NL"/>
        </w:rPr>
        <w:t xml:space="preserve"> http://www.globalreporting.org/NR/rdonlyres/D2BC0DF8-FF2C-4BAB-B2B4-27DA868C2A5F/5683/G3_Guidelines</w:t>
      </w:r>
    </w:p>
    <w:p w:rsidR="00156F2C" w:rsidRPr="00A2507B" w:rsidRDefault="00156F2C" w:rsidP="00631FDC">
      <w:pPr>
        <w:pStyle w:val="FootnoteText"/>
      </w:pPr>
      <w:r w:rsidRPr="00606A5E">
        <w:t>_English.</w:t>
      </w:r>
      <w:r>
        <w:t>pdf  accessed on 15 March 2011</w:t>
      </w:r>
    </w:p>
  </w:footnote>
  <w:footnote w:id="5">
    <w:p w:rsidR="00156F2C" w:rsidRPr="00394B7E" w:rsidRDefault="00156F2C" w:rsidP="00631FDC">
      <w:pPr>
        <w:pStyle w:val="FootnoteText"/>
      </w:pPr>
      <w:r>
        <w:rPr>
          <w:rStyle w:val="FootnoteReference"/>
        </w:rPr>
        <w:footnoteRef/>
      </w:r>
      <w:r>
        <w:t xml:space="preserve"> Nine components of the reputation index</w:t>
      </w:r>
      <w:r w:rsidRPr="00C250A5">
        <w:t xml:space="preserve">: innovation, people management, </w:t>
      </w:r>
      <w:r>
        <w:t xml:space="preserve">use of corporate assets, social responsibility, quality of management, financial soundness, long-term investments, quality of products/services and global competitiveness. Source: </w:t>
      </w:r>
      <w:r w:rsidRPr="00394B7E">
        <w:t>http://money.cnn.com/magazines/fortune/mostadmired</w:t>
      </w:r>
    </w:p>
  </w:footnote>
</w:footnote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3952317"/>
    <w:multiLevelType w:val="hybridMultilevel"/>
    <w:tmpl w:val="DD40893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9190B5A"/>
    <w:multiLevelType w:val="multilevel"/>
    <w:tmpl w:val="5AFAAB98"/>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2">
    <w:nsid w:val="35566771"/>
    <w:multiLevelType w:val="hybridMultilevel"/>
    <w:tmpl w:val="A3883776"/>
    <w:lvl w:ilvl="0" w:tplc="04130001">
      <w:start w:val="1"/>
      <w:numFmt w:val="bullet"/>
      <w:lvlText w:val=""/>
      <w:lvlJc w:val="left"/>
      <w:pPr>
        <w:ind w:left="750" w:hanging="360"/>
      </w:pPr>
      <w:rPr>
        <w:rFonts w:ascii="Symbol" w:hAnsi="Symbol" w:hint="default"/>
      </w:rPr>
    </w:lvl>
    <w:lvl w:ilvl="1" w:tplc="04130003" w:tentative="1">
      <w:start w:val="1"/>
      <w:numFmt w:val="bullet"/>
      <w:lvlText w:val="o"/>
      <w:lvlJc w:val="left"/>
      <w:pPr>
        <w:ind w:left="1470" w:hanging="360"/>
      </w:pPr>
      <w:rPr>
        <w:rFonts w:ascii="Courier New" w:hAnsi="Courier New" w:cs="Courier New" w:hint="default"/>
      </w:rPr>
    </w:lvl>
    <w:lvl w:ilvl="2" w:tplc="04130005" w:tentative="1">
      <w:start w:val="1"/>
      <w:numFmt w:val="bullet"/>
      <w:lvlText w:val=""/>
      <w:lvlJc w:val="left"/>
      <w:pPr>
        <w:ind w:left="2190" w:hanging="360"/>
      </w:pPr>
      <w:rPr>
        <w:rFonts w:ascii="Wingdings" w:hAnsi="Wingdings" w:hint="default"/>
      </w:rPr>
    </w:lvl>
    <w:lvl w:ilvl="3" w:tplc="04130001" w:tentative="1">
      <w:start w:val="1"/>
      <w:numFmt w:val="bullet"/>
      <w:lvlText w:val=""/>
      <w:lvlJc w:val="left"/>
      <w:pPr>
        <w:ind w:left="2910" w:hanging="360"/>
      </w:pPr>
      <w:rPr>
        <w:rFonts w:ascii="Symbol" w:hAnsi="Symbol" w:hint="default"/>
      </w:rPr>
    </w:lvl>
    <w:lvl w:ilvl="4" w:tplc="04130003" w:tentative="1">
      <w:start w:val="1"/>
      <w:numFmt w:val="bullet"/>
      <w:lvlText w:val="o"/>
      <w:lvlJc w:val="left"/>
      <w:pPr>
        <w:ind w:left="3630" w:hanging="360"/>
      </w:pPr>
      <w:rPr>
        <w:rFonts w:ascii="Courier New" w:hAnsi="Courier New" w:cs="Courier New" w:hint="default"/>
      </w:rPr>
    </w:lvl>
    <w:lvl w:ilvl="5" w:tplc="04130005" w:tentative="1">
      <w:start w:val="1"/>
      <w:numFmt w:val="bullet"/>
      <w:lvlText w:val=""/>
      <w:lvlJc w:val="left"/>
      <w:pPr>
        <w:ind w:left="4350" w:hanging="360"/>
      </w:pPr>
      <w:rPr>
        <w:rFonts w:ascii="Wingdings" w:hAnsi="Wingdings" w:hint="default"/>
      </w:rPr>
    </w:lvl>
    <w:lvl w:ilvl="6" w:tplc="04130001" w:tentative="1">
      <w:start w:val="1"/>
      <w:numFmt w:val="bullet"/>
      <w:lvlText w:val=""/>
      <w:lvlJc w:val="left"/>
      <w:pPr>
        <w:ind w:left="5070" w:hanging="360"/>
      </w:pPr>
      <w:rPr>
        <w:rFonts w:ascii="Symbol" w:hAnsi="Symbol" w:hint="default"/>
      </w:rPr>
    </w:lvl>
    <w:lvl w:ilvl="7" w:tplc="04130003" w:tentative="1">
      <w:start w:val="1"/>
      <w:numFmt w:val="bullet"/>
      <w:lvlText w:val="o"/>
      <w:lvlJc w:val="left"/>
      <w:pPr>
        <w:ind w:left="5790" w:hanging="360"/>
      </w:pPr>
      <w:rPr>
        <w:rFonts w:ascii="Courier New" w:hAnsi="Courier New" w:cs="Courier New" w:hint="default"/>
      </w:rPr>
    </w:lvl>
    <w:lvl w:ilvl="8" w:tplc="04130005" w:tentative="1">
      <w:start w:val="1"/>
      <w:numFmt w:val="bullet"/>
      <w:lvlText w:val=""/>
      <w:lvlJc w:val="left"/>
      <w:pPr>
        <w:ind w:left="6510" w:hanging="360"/>
      </w:pPr>
      <w:rPr>
        <w:rFonts w:ascii="Wingdings" w:hAnsi="Wingdings" w:hint="default"/>
      </w:rPr>
    </w:lvl>
  </w:abstractNum>
  <w:abstractNum w:abstractNumId="3">
    <w:nsid w:val="5D6C4ECD"/>
    <w:multiLevelType w:val="multilevel"/>
    <w:tmpl w:val="A9F6ECEA"/>
    <w:lvl w:ilvl="0">
      <w:start w:val="1"/>
      <w:numFmt w:val="decimal"/>
      <w:lvlText w:val="%1"/>
      <w:lvlJc w:val="left"/>
      <w:pPr>
        <w:ind w:left="435" w:hanging="435"/>
      </w:pPr>
      <w:rPr>
        <w:rFonts w:hint="default"/>
      </w:rPr>
    </w:lvl>
    <w:lvl w:ilvl="1">
      <w:start w:val="1"/>
      <w:numFmt w:val="decimal"/>
      <w:lvlText w:val="%1.%2"/>
      <w:lvlJc w:val="left"/>
      <w:pPr>
        <w:ind w:left="435" w:hanging="435"/>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720" w:hanging="72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080" w:hanging="108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440" w:hanging="1440"/>
      </w:pPr>
      <w:rPr>
        <w:rFonts w:hint="default"/>
      </w:rPr>
    </w:lvl>
    <w:lvl w:ilvl="8">
      <w:start w:val="1"/>
      <w:numFmt w:val="decimal"/>
      <w:lvlText w:val="%1.%2.%3.%4.%5.%6.%7.%8.%9"/>
      <w:lvlJc w:val="left"/>
      <w:pPr>
        <w:ind w:left="1440" w:hanging="1440"/>
      </w:pPr>
      <w:rPr>
        <w:rFonts w:hint="default"/>
      </w:rPr>
    </w:lvl>
  </w:abstractNum>
  <w:abstractNum w:abstractNumId="4">
    <w:nsid w:val="67265E32"/>
    <w:multiLevelType w:val="singleLevel"/>
    <w:tmpl w:val="D69EEA5E"/>
    <w:lvl w:ilvl="0">
      <w:start w:val="1"/>
      <w:numFmt w:val="bullet"/>
      <w:lvlText w:val=""/>
      <w:lvlJc w:val="left"/>
      <w:pPr>
        <w:tabs>
          <w:tab w:val="num" w:pos="340"/>
        </w:tabs>
        <w:ind w:left="340" w:hanging="340"/>
      </w:pPr>
      <w:rPr>
        <w:rFonts w:ascii="Symbol" w:hAnsi="Symbol" w:hint="default"/>
        <w:color w:val="auto"/>
        <w:sz w:val="22"/>
      </w:rPr>
    </w:lvl>
  </w:abstractNum>
  <w:abstractNum w:abstractNumId="5">
    <w:nsid w:val="67AE48B8"/>
    <w:multiLevelType w:val="singleLevel"/>
    <w:tmpl w:val="0F58E58C"/>
    <w:lvl w:ilvl="0">
      <w:start w:val="1"/>
      <w:numFmt w:val="bullet"/>
      <w:lvlText w:val=""/>
      <w:lvlJc w:val="left"/>
      <w:pPr>
        <w:tabs>
          <w:tab w:val="num" w:pos="340"/>
        </w:tabs>
        <w:ind w:left="340" w:hanging="340"/>
      </w:pPr>
      <w:rPr>
        <w:rFonts w:ascii="Symbol" w:hAnsi="Symbol" w:hint="default"/>
        <w:color w:val="auto"/>
        <w:sz w:val="22"/>
      </w:rPr>
    </w:lvl>
  </w:abstractNum>
  <w:abstractNum w:abstractNumId="6">
    <w:nsid w:val="7B7D3147"/>
    <w:multiLevelType w:val="singleLevel"/>
    <w:tmpl w:val="CFA47E8A"/>
    <w:lvl w:ilvl="0">
      <w:start w:val="1"/>
      <w:numFmt w:val="bullet"/>
      <w:lvlText w:val=""/>
      <w:lvlJc w:val="left"/>
      <w:pPr>
        <w:tabs>
          <w:tab w:val="num" w:pos="340"/>
        </w:tabs>
        <w:ind w:left="340" w:hanging="340"/>
      </w:pPr>
      <w:rPr>
        <w:rFonts w:ascii="Symbol" w:hAnsi="Symbol" w:hint="default"/>
        <w:color w:val="auto"/>
        <w:sz w:val="22"/>
      </w:rPr>
    </w:lvl>
  </w:abstractNum>
  <w:num w:numId="1">
    <w:abstractNumId w:val="0"/>
  </w:num>
  <w:num w:numId="2">
    <w:abstractNumId w:val="2"/>
  </w:num>
  <w:num w:numId="3">
    <w:abstractNumId w:val="1"/>
  </w:num>
  <w:num w:numId="4">
    <w:abstractNumId w:val="3"/>
  </w:num>
  <w:num w:numId="5">
    <w:abstractNumId w:val="4"/>
  </w:num>
  <w:num w:numId="6">
    <w:abstractNumId w:val="5"/>
  </w:num>
  <w:num w:numId="7">
    <w:abstractNumId w:val="6"/>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70"/>
  <w:proofState w:spelling="clean"/>
  <w:defaultTabStop w:val="720"/>
  <w:hyphenationZone w:val="425"/>
  <w:drawingGridHorizontalSpacing w:val="110"/>
  <w:displayHorizontalDrawingGridEvery w:val="2"/>
  <w:characterSpacingControl w:val="doNotCompress"/>
  <w:footnotePr>
    <w:footnote w:id="-1"/>
    <w:footnote w:id="0"/>
  </w:footnotePr>
  <w:endnotePr>
    <w:endnote w:id="-1"/>
    <w:endnote w:id="0"/>
  </w:endnotePr>
  <w:compat/>
  <w:rsids>
    <w:rsidRoot w:val="00631FDC"/>
    <w:rsid w:val="000129E9"/>
    <w:rsid w:val="0001438A"/>
    <w:rsid w:val="00015B79"/>
    <w:rsid w:val="000169AB"/>
    <w:rsid w:val="00016B22"/>
    <w:rsid w:val="0002556C"/>
    <w:rsid w:val="0003061A"/>
    <w:rsid w:val="000355DB"/>
    <w:rsid w:val="0003573A"/>
    <w:rsid w:val="00040A02"/>
    <w:rsid w:val="0005042F"/>
    <w:rsid w:val="00050537"/>
    <w:rsid w:val="000564C6"/>
    <w:rsid w:val="00060859"/>
    <w:rsid w:val="0006399B"/>
    <w:rsid w:val="000734A5"/>
    <w:rsid w:val="00085067"/>
    <w:rsid w:val="000C266C"/>
    <w:rsid w:val="000C5258"/>
    <w:rsid w:val="000D2085"/>
    <w:rsid w:val="000E1670"/>
    <w:rsid w:val="000E4342"/>
    <w:rsid w:val="00102D9E"/>
    <w:rsid w:val="00103D5D"/>
    <w:rsid w:val="00106029"/>
    <w:rsid w:val="00107C65"/>
    <w:rsid w:val="00112437"/>
    <w:rsid w:val="0011271A"/>
    <w:rsid w:val="0012118D"/>
    <w:rsid w:val="0013233D"/>
    <w:rsid w:val="00136595"/>
    <w:rsid w:val="00156F2C"/>
    <w:rsid w:val="001615B4"/>
    <w:rsid w:val="00173066"/>
    <w:rsid w:val="0018113E"/>
    <w:rsid w:val="00190304"/>
    <w:rsid w:val="001937E3"/>
    <w:rsid w:val="001A4B1F"/>
    <w:rsid w:val="001C35C4"/>
    <w:rsid w:val="001C4858"/>
    <w:rsid w:val="001D33AF"/>
    <w:rsid w:val="001E359E"/>
    <w:rsid w:val="001E5DC1"/>
    <w:rsid w:val="001F46E8"/>
    <w:rsid w:val="001F4B48"/>
    <w:rsid w:val="001F53D1"/>
    <w:rsid w:val="001F573F"/>
    <w:rsid w:val="001F622A"/>
    <w:rsid w:val="001F68AA"/>
    <w:rsid w:val="00212F01"/>
    <w:rsid w:val="002144BA"/>
    <w:rsid w:val="00216100"/>
    <w:rsid w:val="00222DB1"/>
    <w:rsid w:val="002369A6"/>
    <w:rsid w:val="00243AA0"/>
    <w:rsid w:val="00253B46"/>
    <w:rsid w:val="002576E9"/>
    <w:rsid w:val="00263474"/>
    <w:rsid w:val="00275197"/>
    <w:rsid w:val="00277F7C"/>
    <w:rsid w:val="0028384B"/>
    <w:rsid w:val="00287F52"/>
    <w:rsid w:val="002922E1"/>
    <w:rsid w:val="00295B2A"/>
    <w:rsid w:val="002B5236"/>
    <w:rsid w:val="002C2A9D"/>
    <w:rsid w:val="002C3F91"/>
    <w:rsid w:val="002D0C7A"/>
    <w:rsid w:val="002E1B34"/>
    <w:rsid w:val="002E5331"/>
    <w:rsid w:val="002E7886"/>
    <w:rsid w:val="002F0356"/>
    <w:rsid w:val="0030203D"/>
    <w:rsid w:val="003023E8"/>
    <w:rsid w:val="00314972"/>
    <w:rsid w:val="0031659A"/>
    <w:rsid w:val="00326101"/>
    <w:rsid w:val="00342485"/>
    <w:rsid w:val="0036129C"/>
    <w:rsid w:val="00370C66"/>
    <w:rsid w:val="00375C00"/>
    <w:rsid w:val="003803D3"/>
    <w:rsid w:val="0039027B"/>
    <w:rsid w:val="003A7835"/>
    <w:rsid w:val="003B1DF2"/>
    <w:rsid w:val="003B21DA"/>
    <w:rsid w:val="003C052F"/>
    <w:rsid w:val="003D3FF2"/>
    <w:rsid w:val="003F085B"/>
    <w:rsid w:val="00400FF2"/>
    <w:rsid w:val="00405379"/>
    <w:rsid w:val="00415398"/>
    <w:rsid w:val="0042640A"/>
    <w:rsid w:val="004342B4"/>
    <w:rsid w:val="0044455B"/>
    <w:rsid w:val="00452989"/>
    <w:rsid w:val="00465B57"/>
    <w:rsid w:val="00467D04"/>
    <w:rsid w:val="00467E1F"/>
    <w:rsid w:val="00471B45"/>
    <w:rsid w:val="00472061"/>
    <w:rsid w:val="00472F1E"/>
    <w:rsid w:val="00496023"/>
    <w:rsid w:val="004A0DD6"/>
    <w:rsid w:val="004B57F6"/>
    <w:rsid w:val="004B6B65"/>
    <w:rsid w:val="004C5363"/>
    <w:rsid w:val="004C7AD8"/>
    <w:rsid w:val="004D06F7"/>
    <w:rsid w:val="004D0B70"/>
    <w:rsid w:val="004D2215"/>
    <w:rsid w:val="004D4DEF"/>
    <w:rsid w:val="004F7765"/>
    <w:rsid w:val="005064ED"/>
    <w:rsid w:val="005065F9"/>
    <w:rsid w:val="005169C4"/>
    <w:rsid w:val="005251D5"/>
    <w:rsid w:val="00543FDE"/>
    <w:rsid w:val="00546D16"/>
    <w:rsid w:val="00554D37"/>
    <w:rsid w:val="0056191A"/>
    <w:rsid w:val="00564BE0"/>
    <w:rsid w:val="005651BD"/>
    <w:rsid w:val="00567B6D"/>
    <w:rsid w:val="005753C3"/>
    <w:rsid w:val="00575DBA"/>
    <w:rsid w:val="005835F4"/>
    <w:rsid w:val="00590058"/>
    <w:rsid w:val="00592269"/>
    <w:rsid w:val="005923A8"/>
    <w:rsid w:val="00592F3B"/>
    <w:rsid w:val="00594183"/>
    <w:rsid w:val="005A32A8"/>
    <w:rsid w:val="005A5A7F"/>
    <w:rsid w:val="005B190F"/>
    <w:rsid w:val="005B1A4A"/>
    <w:rsid w:val="005B3516"/>
    <w:rsid w:val="005B37EF"/>
    <w:rsid w:val="005B668E"/>
    <w:rsid w:val="005B68C3"/>
    <w:rsid w:val="005C6A29"/>
    <w:rsid w:val="005D5DCB"/>
    <w:rsid w:val="005D6FD2"/>
    <w:rsid w:val="005E2D11"/>
    <w:rsid w:val="005E2F3B"/>
    <w:rsid w:val="005E7ACD"/>
    <w:rsid w:val="005F0D4C"/>
    <w:rsid w:val="005F0D6D"/>
    <w:rsid w:val="005F4851"/>
    <w:rsid w:val="006018CF"/>
    <w:rsid w:val="006058C4"/>
    <w:rsid w:val="00615883"/>
    <w:rsid w:val="00617091"/>
    <w:rsid w:val="00631FDC"/>
    <w:rsid w:val="00633B08"/>
    <w:rsid w:val="0064226C"/>
    <w:rsid w:val="00646F9D"/>
    <w:rsid w:val="0065499F"/>
    <w:rsid w:val="006651A5"/>
    <w:rsid w:val="00685210"/>
    <w:rsid w:val="006854D0"/>
    <w:rsid w:val="00690EEF"/>
    <w:rsid w:val="00691A7B"/>
    <w:rsid w:val="00694477"/>
    <w:rsid w:val="006A5B57"/>
    <w:rsid w:val="006A6B15"/>
    <w:rsid w:val="006B0A8D"/>
    <w:rsid w:val="006B3CE9"/>
    <w:rsid w:val="006B4D49"/>
    <w:rsid w:val="006D013B"/>
    <w:rsid w:val="006D6491"/>
    <w:rsid w:val="006F0C9C"/>
    <w:rsid w:val="006F4DCC"/>
    <w:rsid w:val="00702C71"/>
    <w:rsid w:val="007031CE"/>
    <w:rsid w:val="00714C0C"/>
    <w:rsid w:val="007208C3"/>
    <w:rsid w:val="00730E84"/>
    <w:rsid w:val="007313B3"/>
    <w:rsid w:val="00751C4D"/>
    <w:rsid w:val="00760063"/>
    <w:rsid w:val="0077750E"/>
    <w:rsid w:val="0077786E"/>
    <w:rsid w:val="00781649"/>
    <w:rsid w:val="007947E1"/>
    <w:rsid w:val="00795AB5"/>
    <w:rsid w:val="007A2AF4"/>
    <w:rsid w:val="007A796C"/>
    <w:rsid w:val="007B1849"/>
    <w:rsid w:val="007B3633"/>
    <w:rsid w:val="007B4F55"/>
    <w:rsid w:val="007C1050"/>
    <w:rsid w:val="007C50DC"/>
    <w:rsid w:val="007C59F2"/>
    <w:rsid w:val="007C60A3"/>
    <w:rsid w:val="007D4334"/>
    <w:rsid w:val="007E2FB6"/>
    <w:rsid w:val="00801F1A"/>
    <w:rsid w:val="008035F4"/>
    <w:rsid w:val="00835DD6"/>
    <w:rsid w:val="00843481"/>
    <w:rsid w:val="008516B2"/>
    <w:rsid w:val="0085319B"/>
    <w:rsid w:val="00854BE4"/>
    <w:rsid w:val="008630DE"/>
    <w:rsid w:val="00866FED"/>
    <w:rsid w:val="00867DAE"/>
    <w:rsid w:val="0087315F"/>
    <w:rsid w:val="00873FC7"/>
    <w:rsid w:val="00877007"/>
    <w:rsid w:val="00881636"/>
    <w:rsid w:val="00895B87"/>
    <w:rsid w:val="00897EF2"/>
    <w:rsid w:val="008A0E8C"/>
    <w:rsid w:val="008A3E2A"/>
    <w:rsid w:val="008A55E1"/>
    <w:rsid w:val="008A5887"/>
    <w:rsid w:val="008B1E87"/>
    <w:rsid w:val="008B7F16"/>
    <w:rsid w:val="008C2949"/>
    <w:rsid w:val="008C29AA"/>
    <w:rsid w:val="008D240E"/>
    <w:rsid w:val="008D50CD"/>
    <w:rsid w:val="008D7978"/>
    <w:rsid w:val="008E0BDF"/>
    <w:rsid w:val="008E574D"/>
    <w:rsid w:val="008F0492"/>
    <w:rsid w:val="00905135"/>
    <w:rsid w:val="009114A6"/>
    <w:rsid w:val="00915FF4"/>
    <w:rsid w:val="009162FE"/>
    <w:rsid w:val="00917810"/>
    <w:rsid w:val="00921768"/>
    <w:rsid w:val="009268C9"/>
    <w:rsid w:val="00930016"/>
    <w:rsid w:val="00931108"/>
    <w:rsid w:val="009666A8"/>
    <w:rsid w:val="00970A62"/>
    <w:rsid w:val="009776A0"/>
    <w:rsid w:val="009823BC"/>
    <w:rsid w:val="009855E9"/>
    <w:rsid w:val="00991C23"/>
    <w:rsid w:val="00994F93"/>
    <w:rsid w:val="009A2B49"/>
    <w:rsid w:val="009A2CDE"/>
    <w:rsid w:val="009A361F"/>
    <w:rsid w:val="009A53AB"/>
    <w:rsid w:val="009C6871"/>
    <w:rsid w:val="009E48D5"/>
    <w:rsid w:val="009E7EAE"/>
    <w:rsid w:val="009F1470"/>
    <w:rsid w:val="009F4376"/>
    <w:rsid w:val="00A01471"/>
    <w:rsid w:val="00A21CC6"/>
    <w:rsid w:val="00A247B7"/>
    <w:rsid w:val="00A25F9A"/>
    <w:rsid w:val="00A403B2"/>
    <w:rsid w:val="00A53668"/>
    <w:rsid w:val="00A6354C"/>
    <w:rsid w:val="00A6560A"/>
    <w:rsid w:val="00A72848"/>
    <w:rsid w:val="00A757D9"/>
    <w:rsid w:val="00A842CE"/>
    <w:rsid w:val="00A860CD"/>
    <w:rsid w:val="00A9143C"/>
    <w:rsid w:val="00A97FBC"/>
    <w:rsid w:val="00AB1203"/>
    <w:rsid w:val="00AB4870"/>
    <w:rsid w:val="00AB5071"/>
    <w:rsid w:val="00AE28ED"/>
    <w:rsid w:val="00AF0563"/>
    <w:rsid w:val="00AF0A84"/>
    <w:rsid w:val="00B0641F"/>
    <w:rsid w:val="00B12C99"/>
    <w:rsid w:val="00B1447E"/>
    <w:rsid w:val="00B148CF"/>
    <w:rsid w:val="00B34975"/>
    <w:rsid w:val="00B36954"/>
    <w:rsid w:val="00B47A27"/>
    <w:rsid w:val="00B56947"/>
    <w:rsid w:val="00B56BAF"/>
    <w:rsid w:val="00B65605"/>
    <w:rsid w:val="00B66BCA"/>
    <w:rsid w:val="00B76A0E"/>
    <w:rsid w:val="00B81AB2"/>
    <w:rsid w:val="00B85DE1"/>
    <w:rsid w:val="00B876E8"/>
    <w:rsid w:val="00B951F5"/>
    <w:rsid w:val="00B96CFF"/>
    <w:rsid w:val="00BA499F"/>
    <w:rsid w:val="00BB2A00"/>
    <w:rsid w:val="00BB2F7E"/>
    <w:rsid w:val="00BB670A"/>
    <w:rsid w:val="00BC5BAA"/>
    <w:rsid w:val="00BD131E"/>
    <w:rsid w:val="00BD3EFF"/>
    <w:rsid w:val="00BF2269"/>
    <w:rsid w:val="00BF5BFF"/>
    <w:rsid w:val="00BF6646"/>
    <w:rsid w:val="00BF6CB3"/>
    <w:rsid w:val="00C20B82"/>
    <w:rsid w:val="00C214CA"/>
    <w:rsid w:val="00C27D1E"/>
    <w:rsid w:val="00C53126"/>
    <w:rsid w:val="00C659D5"/>
    <w:rsid w:val="00C73316"/>
    <w:rsid w:val="00C832F1"/>
    <w:rsid w:val="00C86669"/>
    <w:rsid w:val="00C9001D"/>
    <w:rsid w:val="00C92944"/>
    <w:rsid w:val="00C9430B"/>
    <w:rsid w:val="00CA16F6"/>
    <w:rsid w:val="00CC5145"/>
    <w:rsid w:val="00CC56B2"/>
    <w:rsid w:val="00CC7AAE"/>
    <w:rsid w:val="00CE63FB"/>
    <w:rsid w:val="00CE7299"/>
    <w:rsid w:val="00CF06DF"/>
    <w:rsid w:val="00CF55BC"/>
    <w:rsid w:val="00D11C87"/>
    <w:rsid w:val="00D12DB9"/>
    <w:rsid w:val="00D203EA"/>
    <w:rsid w:val="00D217BD"/>
    <w:rsid w:val="00D43B55"/>
    <w:rsid w:val="00D62D7E"/>
    <w:rsid w:val="00D64DB3"/>
    <w:rsid w:val="00D72673"/>
    <w:rsid w:val="00D8619E"/>
    <w:rsid w:val="00D96C08"/>
    <w:rsid w:val="00DA5292"/>
    <w:rsid w:val="00DA63B8"/>
    <w:rsid w:val="00DA73FC"/>
    <w:rsid w:val="00DA7440"/>
    <w:rsid w:val="00DB5E96"/>
    <w:rsid w:val="00DB659C"/>
    <w:rsid w:val="00DC474C"/>
    <w:rsid w:val="00DC5273"/>
    <w:rsid w:val="00DC54DE"/>
    <w:rsid w:val="00DC699B"/>
    <w:rsid w:val="00DD2AE1"/>
    <w:rsid w:val="00DE57DC"/>
    <w:rsid w:val="00DF2554"/>
    <w:rsid w:val="00E043D6"/>
    <w:rsid w:val="00E1172F"/>
    <w:rsid w:val="00E20E3A"/>
    <w:rsid w:val="00E252BD"/>
    <w:rsid w:val="00E364CA"/>
    <w:rsid w:val="00E4031B"/>
    <w:rsid w:val="00E41B77"/>
    <w:rsid w:val="00E549DA"/>
    <w:rsid w:val="00E62B9A"/>
    <w:rsid w:val="00E768EE"/>
    <w:rsid w:val="00E979EE"/>
    <w:rsid w:val="00EB3274"/>
    <w:rsid w:val="00EB4F18"/>
    <w:rsid w:val="00EB7A4D"/>
    <w:rsid w:val="00EC5272"/>
    <w:rsid w:val="00ED56EC"/>
    <w:rsid w:val="00EE70B2"/>
    <w:rsid w:val="00EF21FC"/>
    <w:rsid w:val="00EF34D8"/>
    <w:rsid w:val="00EF6EF3"/>
    <w:rsid w:val="00F14A31"/>
    <w:rsid w:val="00F40B6E"/>
    <w:rsid w:val="00F41726"/>
    <w:rsid w:val="00F429D0"/>
    <w:rsid w:val="00F46F6B"/>
    <w:rsid w:val="00F62571"/>
    <w:rsid w:val="00F65FF2"/>
    <w:rsid w:val="00F7329F"/>
    <w:rsid w:val="00F84681"/>
    <w:rsid w:val="00F8547C"/>
    <w:rsid w:val="00F854E7"/>
    <w:rsid w:val="00F95437"/>
    <w:rsid w:val="00F9737C"/>
    <w:rsid w:val="00FA34D7"/>
    <w:rsid w:val="00FB129D"/>
    <w:rsid w:val="00FB4200"/>
    <w:rsid w:val="00FC0132"/>
    <w:rsid w:val="00FD06F9"/>
    <w:rsid w:val="00FD3330"/>
    <w:rsid w:val="00FD6E0A"/>
    <w:rsid w:val="00FE1C59"/>
    <w:rsid w:val="00FE4118"/>
    <w:rsid w:val="00FE520C"/>
    <w:rsid w:val="00FF1AB9"/>
    <w:rsid w:val="00FF2057"/>
    <w:rsid w:val="00FF2FB3"/>
    <w:rsid w:val="00FF5235"/>
  </w:rsids>
  <m:mathPr>
    <m:mathFont m:val="Cambria Math"/>
    <m:brkBin m:val="before"/>
    <m:brkBinSub m:val="--"/>
    <m:smallFrac m:val="off"/>
    <m:dispDef/>
    <m:lMargin m:val="0"/>
    <m:rMargin m:val="0"/>
    <m:defJc m:val="centerGroup"/>
    <m:wrapIndent m:val="1440"/>
    <m:intLim m:val="subSup"/>
    <m:naryLim m:val="undOvr"/>
  </m:mathPr>
  <w:themeFontLang w:val="nl-NL"/>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qFormat="1"/>
    <w:lsdException w:name="toc 2" w:uiPriority="39" w:qFormat="1"/>
    <w:lsdException w:name="toc 3" w:uiPriority="39" w:qFormat="1"/>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31FDC"/>
  </w:style>
  <w:style w:type="paragraph" w:styleId="Heading1">
    <w:name w:val="heading 1"/>
    <w:basedOn w:val="Normal"/>
    <w:next w:val="Normal"/>
    <w:link w:val="Heading1Char"/>
    <w:uiPriority w:val="9"/>
    <w:qFormat/>
    <w:rsid w:val="00631FDC"/>
    <w:pPr>
      <w:keepNext/>
      <w:spacing w:before="240" w:after="60"/>
      <w:outlineLvl w:val="0"/>
    </w:pPr>
    <w:rPr>
      <w:rFonts w:asciiTheme="majorHAnsi" w:eastAsiaTheme="majorEastAsia" w:hAnsiTheme="majorHAnsi" w:cstheme="majorBidi"/>
      <w:b/>
      <w:bCs/>
      <w:kern w:val="32"/>
      <w:sz w:val="32"/>
      <w:szCs w:val="32"/>
    </w:rPr>
  </w:style>
  <w:style w:type="paragraph" w:styleId="Heading2">
    <w:name w:val="heading 2"/>
    <w:basedOn w:val="Normal"/>
    <w:next w:val="Normal"/>
    <w:link w:val="Heading2Char"/>
    <w:uiPriority w:val="9"/>
    <w:unhideWhenUsed/>
    <w:qFormat/>
    <w:rsid w:val="00631FDC"/>
    <w:pPr>
      <w:keepNext/>
      <w:spacing w:before="240" w:after="60"/>
      <w:outlineLvl w:val="1"/>
    </w:pPr>
    <w:rPr>
      <w:rFonts w:asciiTheme="majorHAnsi" w:eastAsiaTheme="majorEastAsia" w:hAnsiTheme="majorHAnsi" w:cstheme="majorBidi"/>
      <w:b/>
      <w:bCs/>
      <w:i/>
      <w:iCs/>
      <w:sz w:val="28"/>
      <w:szCs w:val="28"/>
    </w:rPr>
  </w:style>
  <w:style w:type="paragraph" w:styleId="Heading3">
    <w:name w:val="heading 3"/>
    <w:basedOn w:val="Normal"/>
    <w:next w:val="Normal"/>
    <w:link w:val="Heading3Char"/>
    <w:uiPriority w:val="9"/>
    <w:unhideWhenUsed/>
    <w:qFormat/>
    <w:rsid w:val="00631FDC"/>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unhideWhenUsed/>
    <w:qFormat/>
    <w:rsid w:val="00631FDC"/>
    <w:pPr>
      <w:keepNext/>
      <w:keepLines/>
      <w:spacing w:before="200" w:after="0"/>
      <w:outlineLvl w:val="3"/>
    </w:pPr>
    <w:rPr>
      <w:rFonts w:asciiTheme="majorHAnsi" w:eastAsiaTheme="majorEastAsia" w:hAnsiTheme="majorHAnsi" w:cstheme="majorBidi"/>
      <w:b/>
      <w:bCs/>
      <w:i/>
      <w:i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631FDC"/>
    <w:rPr>
      <w:rFonts w:asciiTheme="majorHAnsi" w:eastAsiaTheme="majorEastAsia" w:hAnsiTheme="majorHAnsi" w:cstheme="majorBidi"/>
      <w:b/>
      <w:bCs/>
      <w:kern w:val="32"/>
      <w:sz w:val="32"/>
      <w:szCs w:val="32"/>
    </w:rPr>
  </w:style>
  <w:style w:type="character" w:customStyle="1" w:styleId="Heading2Char">
    <w:name w:val="Heading 2 Char"/>
    <w:basedOn w:val="DefaultParagraphFont"/>
    <w:link w:val="Heading2"/>
    <w:uiPriority w:val="9"/>
    <w:rsid w:val="00631FDC"/>
    <w:rPr>
      <w:rFonts w:asciiTheme="majorHAnsi" w:eastAsiaTheme="majorEastAsia" w:hAnsiTheme="majorHAnsi" w:cstheme="majorBidi"/>
      <w:b/>
      <w:bCs/>
      <w:i/>
      <w:iCs/>
      <w:sz w:val="28"/>
      <w:szCs w:val="28"/>
    </w:rPr>
  </w:style>
  <w:style w:type="character" w:customStyle="1" w:styleId="Heading3Char">
    <w:name w:val="Heading 3 Char"/>
    <w:basedOn w:val="DefaultParagraphFont"/>
    <w:link w:val="Heading3"/>
    <w:uiPriority w:val="9"/>
    <w:rsid w:val="00631FDC"/>
    <w:rPr>
      <w:rFonts w:asciiTheme="majorHAnsi" w:eastAsiaTheme="majorEastAsia" w:hAnsiTheme="majorHAnsi" w:cstheme="majorBidi"/>
      <w:b/>
      <w:bCs/>
      <w:color w:val="4F81BD" w:themeColor="accent1"/>
    </w:rPr>
  </w:style>
  <w:style w:type="character" w:customStyle="1" w:styleId="Heading4Char">
    <w:name w:val="Heading 4 Char"/>
    <w:basedOn w:val="DefaultParagraphFont"/>
    <w:link w:val="Heading4"/>
    <w:uiPriority w:val="9"/>
    <w:rsid w:val="00631FDC"/>
    <w:rPr>
      <w:rFonts w:asciiTheme="majorHAnsi" w:eastAsiaTheme="majorEastAsia" w:hAnsiTheme="majorHAnsi" w:cstheme="majorBidi"/>
      <w:b/>
      <w:bCs/>
      <w:i/>
      <w:iCs/>
      <w:color w:val="4F81BD" w:themeColor="accent1"/>
    </w:rPr>
  </w:style>
  <w:style w:type="paragraph" w:styleId="FootnoteText">
    <w:name w:val="footnote text"/>
    <w:basedOn w:val="Normal"/>
    <w:link w:val="FootnoteTextChar"/>
    <w:uiPriority w:val="99"/>
    <w:unhideWhenUsed/>
    <w:rsid w:val="00631FDC"/>
    <w:pPr>
      <w:spacing w:after="0" w:line="240" w:lineRule="auto"/>
    </w:pPr>
    <w:rPr>
      <w:sz w:val="20"/>
      <w:szCs w:val="20"/>
    </w:rPr>
  </w:style>
  <w:style w:type="character" w:customStyle="1" w:styleId="FootnoteTextChar">
    <w:name w:val="Footnote Text Char"/>
    <w:basedOn w:val="DefaultParagraphFont"/>
    <w:link w:val="FootnoteText"/>
    <w:uiPriority w:val="99"/>
    <w:rsid w:val="00631FDC"/>
    <w:rPr>
      <w:sz w:val="20"/>
      <w:szCs w:val="20"/>
    </w:rPr>
  </w:style>
  <w:style w:type="character" w:styleId="FootnoteReference">
    <w:name w:val="footnote reference"/>
    <w:basedOn w:val="DefaultParagraphFont"/>
    <w:uiPriority w:val="99"/>
    <w:semiHidden/>
    <w:unhideWhenUsed/>
    <w:rsid w:val="00631FDC"/>
    <w:rPr>
      <w:vertAlign w:val="superscript"/>
    </w:rPr>
  </w:style>
  <w:style w:type="paragraph" w:styleId="Footer">
    <w:name w:val="footer"/>
    <w:basedOn w:val="Normal"/>
    <w:link w:val="FooterChar"/>
    <w:uiPriority w:val="99"/>
    <w:unhideWhenUsed/>
    <w:rsid w:val="00631FDC"/>
    <w:pPr>
      <w:tabs>
        <w:tab w:val="center" w:pos="4680"/>
        <w:tab w:val="right" w:pos="9360"/>
      </w:tabs>
      <w:spacing w:after="0" w:line="240" w:lineRule="auto"/>
    </w:pPr>
  </w:style>
  <w:style w:type="character" w:customStyle="1" w:styleId="FooterChar">
    <w:name w:val="Footer Char"/>
    <w:basedOn w:val="DefaultParagraphFont"/>
    <w:link w:val="Footer"/>
    <w:uiPriority w:val="99"/>
    <w:rsid w:val="00631FDC"/>
  </w:style>
  <w:style w:type="paragraph" w:styleId="TOC2">
    <w:name w:val="toc 2"/>
    <w:basedOn w:val="Normal"/>
    <w:next w:val="Normal"/>
    <w:autoRedefine/>
    <w:uiPriority w:val="39"/>
    <w:unhideWhenUsed/>
    <w:qFormat/>
    <w:rsid w:val="00631FDC"/>
    <w:pPr>
      <w:spacing w:after="100"/>
      <w:ind w:left="220"/>
    </w:pPr>
    <w:rPr>
      <w:rFonts w:eastAsiaTheme="minorEastAsia"/>
    </w:rPr>
  </w:style>
  <w:style w:type="paragraph" w:styleId="TOC1">
    <w:name w:val="toc 1"/>
    <w:basedOn w:val="Normal"/>
    <w:next w:val="Normal"/>
    <w:autoRedefine/>
    <w:uiPriority w:val="39"/>
    <w:unhideWhenUsed/>
    <w:qFormat/>
    <w:rsid w:val="00631FDC"/>
    <w:pPr>
      <w:spacing w:after="100"/>
    </w:pPr>
    <w:rPr>
      <w:rFonts w:eastAsiaTheme="minorEastAsia"/>
    </w:rPr>
  </w:style>
  <w:style w:type="paragraph" w:styleId="TOC3">
    <w:name w:val="toc 3"/>
    <w:basedOn w:val="Normal"/>
    <w:next w:val="Normal"/>
    <w:autoRedefine/>
    <w:uiPriority w:val="39"/>
    <w:unhideWhenUsed/>
    <w:qFormat/>
    <w:rsid w:val="00631FDC"/>
    <w:pPr>
      <w:spacing w:after="100"/>
      <w:ind w:left="440"/>
    </w:pPr>
    <w:rPr>
      <w:rFonts w:eastAsiaTheme="minorEastAsia"/>
    </w:rPr>
  </w:style>
  <w:style w:type="character" w:styleId="Hyperlink">
    <w:name w:val="Hyperlink"/>
    <w:basedOn w:val="DefaultParagraphFont"/>
    <w:uiPriority w:val="99"/>
    <w:unhideWhenUsed/>
    <w:rsid w:val="00631FDC"/>
    <w:rPr>
      <w:color w:val="0000FF" w:themeColor="hyperlink"/>
      <w:u w:val="single"/>
    </w:rPr>
  </w:style>
  <w:style w:type="paragraph" w:styleId="ListParagraph">
    <w:name w:val="List Paragraph"/>
    <w:basedOn w:val="Normal"/>
    <w:uiPriority w:val="99"/>
    <w:qFormat/>
    <w:rsid w:val="00631FDC"/>
    <w:pPr>
      <w:ind w:left="720"/>
      <w:contextualSpacing/>
    </w:pPr>
  </w:style>
  <w:style w:type="paragraph" w:styleId="Header">
    <w:name w:val="header"/>
    <w:basedOn w:val="Normal"/>
    <w:link w:val="HeaderChar"/>
    <w:uiPriority w:val="99"/>
    <w:semiHidden/>
    <w:unhideWhenUsed/>
    <w:rsid w:val="00631FD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631FDC"/>
  </w:style>
  <w:style w:type="paragraph" w:styleId="Caption">
    <w:name w:val="caption"/>
    <w:basedOn w:val="Normal"/>
    <w:next w:val="Normal"/>
    <w:uiPriority w:val="35"/>
    <w:unhideWhenUsed/>
    <w:qFormat/>
    <w:rsid w:val="00112437"/>
    <w:pPr>
      <w:spacing w:line="240" w:lineRule="auto"/>
    </w:pPr>
    <w:rPr>
      <w:b/>
      <w:bCs/>
      <w:color w:val="4F81BD" w:themeColor="accent1"/>
      <w:sz w:val="18"/>
      <w:szCs w:val="18"/>
    </w:rPr>
  </w:style>
  <w:style w:type="paragraph" w:styleId="NoSpacing">
    <w:name w:val="No Spacing"/>
    <w:link w:val="NoSpacingChar"/>
    <w:uiPriority w:val="1"/>
    <w:qFormat/>
    <w:rsid w:val="008F0492"/>
    <w:pPr>
      <w:spacing w:after="0" w:line="240" w:lineRule="auto"/>
    </w:pPr>
    <w:rPr>
      <w:rFonts w:eastAsiaTheme="minorEastAsia"/>
      <w:lang w:val="nl-NL"/>
    </w:rPr>
  </w:style>
  <w:style w:type="character" w:customStyle="1" w:styleId="NoSpacingChar">
    <w:name w:val="No Spacing Char"/>
    <w:basedOn w:val="DefaultParagraphFont"/>
    <w:link w:val="NoSpacing"/>
    <w:uiPriority w:val="1"/>
    <w:rsid w:val="008F0492"/>
    <w:rPr>
      <w:rFonts w:eastAsiaTheme="minorEastAsia"/>
      <w:lang w:val="nl-NL"/>
    </w:rPr>
  </w:style>
  <w:style w:type="character" w:customStyle="1" w:styleId="apple-style-span">
    <w:name w:val="apple-style-span"/>
    <w:basedOn w:val="DefaultParagraphFont"/>
    <w:rsid w:val="0056191A"/>
    <w:rPr>
      <w:rFonts w:cs="Times New Roman"/>
    </w:rPr>
  </w:style>
  <w:style w:type="paragraph" w:styleId="BalloonText">
    <w:name w:val="Balloon Text"/>
    <w:basedOn w:val="Normal"/>
    <w:link w:val="BalloonTextChar"/>
    <w:uiPriority w:val="99"/>
    <w:semiHidden/>
    <w:unhideWhenUsed/>
    <w:rsid w:val="00DB5E96"/>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DB5E96"/>
    <w:rPr>
      <w:rFonts w:ascii="Tahoma" w:hAnsi="Tahoma" w:cs="Tahoma"/>
      <w:sz w:val="16"/>
      <w:szCs w:val="16"/>
    </w:rPr>
  </w:style>
  <w:style w:type="character" w:styleId="CommentReference">
    <w:name w:val="annotation reference"/>
    <w:basedOn w:val="DefaultParagraphFont"/>
    <w:uiPriority w:val="99"/>
    <w:semiHidden/>
    <w:unhideWhenUsed/>
    <w:rsid w:val="00DB5E96"/>
    <w:rPr>
      <w:sz w:val="16"/>
      <w:szCs w:val="16"/>
    </w:rPr>
  </w:style>
  <w:style w:type="paragraph" w:styleId="CommentText">
    <w:name w:val="annotation text"/>
    <w:basedOn w:val="Normal"/>
    <w:link w:val="CommentTextChar"/>
    <w:uiPriority w:val="99"/>
    <w:semiHidden/>
    <w:unhideWhenUsed/>
    <w:rsid w:val="00DB5E96"/>
    <w:pPr>
      <w:spacing w:line="240" w:lineRule="auto"/>
    </w:pPr>
    <w:rPr>
      <w:sz w:val="20"/>
      <w:szCs w:val="20"/>
    </w:rPr>
  </w:style>
  <w:style w:type="character" w:customStyle="1" w:styleId="CommentTextChar">
    <w:name w:val="Comment Text Char"/>
    <w:basedOn w:val="DefaultParagraphFont"/>
    <w:link w:val="CommentText"/>
    <w:uiPriority w:val="99"/>
    <w:semiHidden/>
    <w:rsid w:val="00DB5E96"/>
    <w:rPr>
      <w:sz w:val="20"/>
      <w:szCs w:val="20"/>
    </w:rPr>
  </w:style>
  <w:style w:type="paragraph" w:styleId="CommentSubject">
    <w:name w:val="annotation subject"/>
    <w:basedOn w:val="CommentText"/>
    <w:next w:val="CommentText"/>
    <w:link w:val="CommentSubjectChar"/>
    <w:uiPriority w:val="99"/>
    <w:semiHidden/>
    <w:unhideWhenUsed/>
    <w:rsid w:val="00DB5E96"/>
    <w:rPr>
      <w:b/>
      <w:bCs/>
    </w:rPr>
  </w:style>
  <w:style w:type="character" w:customStyle="1" w:styleId="CommentSubjectChar">
    <w:name w:val="Comment Subject Char"/>
    <w:basedOn w:val="CommentTextChar"/>
    <w:link w:val="CommentSubject"/>
    <w:uiPriority w:val="99"/>
    <w:semiHidden/>
    <w:rsid w:val="00DB5E96"/>
    <w:rPr>
      <w:b/>
      <w:bCs/>
    </w:rPr>
  </w:style>
  <w:style w:type="paragraph" w:styleId="Revision">
    <w:name w:val="Revision"/>
    <w:hidden/>
    <w:uiPriority w:val="99"/>
    <w:semiHidden/>
    <w:rsid w:val="00DB5E96"/>
    <w:pPr>
      <w:spacing w:after="0" w:line="240" w:lineRule="auto"/>
    </w:pPr>
  </w:style>
  <w:style w:type="character" w:styleId="LineNumber">
    <w:name w:val="line number"/>
    <w:basedOn w:val="DefaultParagraphFont"/>
    <w:uiPriority w:val="99"/>
    <w:semiHidden/>
    <w:unhideWhenUsed/>
    <w:rsid w:val="006058C4"/>
  </w:style>
</w:styles>
</file>

<file path=word/webSettings.xml><?xml version="1.0" encoding="utf-8"?>
<w:webSettings xmlns:r="http://schemas.openxmlformats.org/officeDocument/2006/relationships" xmlns:w="http://schemas.openxmlformats.org/wordprocessingml/2006/main">
  <w:divs>
    <w:div w:id="4406370">
      <w:bodyDiv w:val="1"/>
      <w:marLeft w:val="0"/>
      <w:marRight w:val="0"/>
      <w:marTop w:val="0"/>
      <w:marBottom w:val="0"/>
      <w:divBdr>
        <w:top w:val="none" w:sz="0" w:space="0" w:color="auto"/>
        <w:left w:val="none" w:sz="0" w:space="0" w:color="auto"/>
        <w:bottom w:val="none" w:sz="0" w:space="0" w:color="auto"/>
        <w:right w:val="none" w:sz="0" w:space="0" w:color="auto"/>
      </w:divBdr>
    </w:div>
    <w:div w:id="4946315">
      <w:bodyDiv w:val="1"/>
      <w:marLeft w:val="0"/>
      <w:marRight w:val="0"/>
      <w:marTop w:val="0"/>
      <w:marBottom w:val="0"/>
      <w:divBdr>
        <w:top w:val="none" w:sz="0" w:space="0" w:color="auto"/>
        <w:left w:val="none" w:sz="0" w:space="0" w:color="auto"/>
        <w:bottom w:val="none" w:sz="0" w:space="0" w:color="auto"/>
        <w:right w:val="none" w:sz="0" w:space="0" w:color="auto"/>
      </w:divBdr>
    </w:div>
    <w:div w:id="12418154">
      <w:bodyDiv w:val="1"/>
      <w:marLeft w:val="0"/>
      <w:marRight w:val="0"/>
      <w:marTop w:val="0"/>
      <w:marBottom w:val="0"/>
      <w:divBdr>
        <w:top w:val="none" w:sz="0" w:space="0" w:color="auto"/>
        <w:left w:val="none" w:sz="0" w:space="0" w:color="auto"/>
        <w:bottom w:val="none" w:sz="0" w:space="0" w:color="auto"/>
        <w:right w:val="none" w:sz="0" w:space="0" w:color="auto"/>
      </w:divBdr>
    </w:div>
    <w:div w:id="14620569">
      <w:bodyDiv w:val="1"/>
      <w:marLeft w:val="0"/>
      <w:marRight w:val="0"/>
      <w:marTop w:val="0"/>
      <w:marBottom w:val="0"/>
      <w:divBdr>
        <w:top w:val="none" w:sz="0" w:space="0" w:color="auto"/>
        <w:left w:val="none" w:sz="0" w:space="0" w:color="auto"/>
        <w:bottom w:val="none" w:sz="0" w:space="0" w:color="auto"/>
        <w:right w:val="none" w:sz="0" w:space="0" w:color="auto"/>
      </w:divBdr>
    </w:div>
    <w:div w:id="94373427">
      <w:bodyDiv w:val="1"/>
      <w:marLeft w:val="0"/>
      <w:marRight w:val="0"/>
      <w:marTop w:val="0"/>
      <w:marBottom w:val="0"/>
      <w:divBdr>
        <w:top w:val="none" w:sz="0" w:space="0" w:color="auto"/>
        <w:left w:val="none" w:sz="0" w:space="0" w:color="auto"/>
        <w:bottom w:val="none" w:sz="0" w:space="0" w:color="auto"/>
        <w:right w:val="none" w:sz="0" w:space="0" w:color="auto"/>
      </w:divBdr>
    </w:div>
    <w:div w:id="118888754">
      <w:bodyDiv w:val="1"/>
      <w:marLeft w:val="0"/>
      <w:marRight w:val="0"/>
      <w:marTop w:val="0"/>
      <w:marBottom w:val="0"/>
      <w:divBdr>
        <w:top w:val="none" w:sz="0" w:space="0" w:color="auto"/>
        <w:left w:val="none" w:sz="0" w:space="0" w:color="auto"/>
        <w:bottom w:val="none" w:sz="0" w:space="0" w:color="auto"/>
        <w:right w:val="none" w:sz="0" w:space="0" w:color="auto"/>
      </w:divBdr>
    </w:div>
    <w:div w:id="208104867">
      <w:bodyDiv w:val="1"/>
      <w:marLeft w:val="0"/>
      <w:marRight w:val="0"/>
      <w:marTop w:val="0"/>
      <w:marBottom w:val="0"/>
      <w:divBdr>
        <w:top w:val="none" w:sz="0" w:space="0" w:color="auto"/>
        <w:left w:val="none" w:sz="0" w:space="0" w:color="auto"/>
        <w:bottom w:val="none" w:sz="0" w:space="0" w:color="auto"/>
        <w:right w:val="none" w:sz="0" w:space="0" w:color="auto"/>
      </w:divBdr>
    </w:div>
    <w:div w:id="387533418">
      <w:bodyDiv w:val="1"/>
      <w:marLeft w:val="0"/>
      <w:marRight w:val="0"/>
      <w:marTop w:val="0"/>
      <w:marBottom w:val="0"/>
      <w:divBdr>
        <w:top w:val="none" w:sz="0" w:space="0" w:color="auto"/>
        <w:left w:val="none" w:sz="0" w:space="0" w:color="auto"/>
        <w:bottom w:val="none" w:sz="0" w:space="0" w:color="auto"/>
        <w:right w:val="none" w:sz="0" w:space="0" w:color="auto"/>
      </w:divBdr>
    </w:div>
    <w:div w:id="425465094">
      <w:bodyDiv w:val="1"/>
      <w:marLeft w:val="0"/>
      <w:marRight w:val="0"/>
      <w:marTop w:val="0"/>
      <w:marBottom w:val="0"/>
      <w:divBdr>
        <w:top w:val="none" w:sz="0" w:space="0" w:color="auto"/>
        <w:left w:val="none" w:sz="0" w:space="0" w:color="auto"/>
        <w:bottom w:val="none" w:sz="0" w:space="0" w:color="auto"/>
        <w:right w:val="none" w:sz="0" w:space="0" w:color="auto"/>
      </w:divBdr>
    </w:div>
    <w:div w:id="497887622">
      <w:bodyDiv w:val="1"/>
      <w:marLeft w:val="0"/>
      <w:marRight w:val="0"/>
      <w:marTop w:val="0"/>
      <w:marBottom w:val="0"/>
      <w:divBdr>
        <w:top w:val="none" w:sz="0" w:space="0" w:color="auto"/>
        <w:left w:val="none" w:sz="0" w:space="0" w:color="auto"/>
        <w:bottom w:val="none" w:sz="0" w:space="0" w:color="auto"/>
        <w:right w:val="none" w:sz="0" w:space="0" w:color="auto"/>
      </w:divBdr>
    </w:div>
    <w:div w:id="716439827">
      <w:bodyDiv w:val="1"/>
      <w:marLeft w:val="0"/>
      <w:marRight w:val="0"/>
      <w:marTop w:val="0"/>
      <w:marBottom w:val="0"/>
      <w:divBdr>
        <w:top w:val="none" w:sz="0" w:space="0" w:color="auto"/>
        <w:left w:val="none" w:sz="0" w:space="0" w:color="auto"/>
        <w:bottom w:val="none" w:sz="0" w:space="0" w:color="auto"/>
        <w:right w:val="none" w:sz="0" w:space="0" w:color="auto"/>
      </w:divBdr>
    </w:div>
    <w:div w:id="773596576">
      <w:bodyDiv w:val="1"/>
      <w:marLeft w:val="0"/>
      <w:marRight w:val="0"/>
      <w:marTop w:val="0"/>
      <w:marBottom w:val="0"/>
      <w:divBdr>
        <w:top w:val="none" w:sz="0" w:space="0" w:color="auto"/>
        <w:left w:val="none" w:sz="0" w:space="0" w:color="auto"/>
        <w:bottom w:val="none" w:sz="0" w:space="0" w:color="auto"/>
        <w:right w:val="none" w:sz="0" w:space="0" w:color="auto"/>
      </w:divBdr>
    </w:div>
    <w:div w:id="776296022">
      <w:bodyDiv w:val="1"/>
      <w:marLeft w:val="0"/>
      <w:marRight w:val="0"/>
      <w:marTop w:val="0"/>
      <w:marBottom w:val="0"/>
      <w:divBdr>
        <w:top w:val="none" w:sz="0" w:space="0" w:color="auto"/>
        <w:left w:val="none" w:sz="0" w:space="0" w:color="auto"/>
        <w:bottom w:val="none" w:sz="0" w:space="0" w:color="auto"/>
        <w:right w:val="none" w:sz="0" w:space="0" w:color="auto"/>
      </w:divBdr>
    </w:div>
    <w:div w:id="845824077">
      <w:bodyDiv w:val="1"/>
      <w:marLeft w:val="0"/>
      <w:marRight w:val="0"/>
      <w:marTop w:val="0"/>
      <w:marBottom w:val="0"/>
      <w:divBdr>
        <w:top w:val="none" w:sz="0" w:space="0" w:color="auto"/>
        <w:left w:val="none" w:sz="0" w:space="0" w:color="auto"/>
        <w:bottom w:val="none" w:sz="0" w:space="0" w:color="auto"/>
        <w:right w:val="none" w:sz="0" w:space="0" w:color="auto"/>
      </w:divBdr>
    </w:div>
    <w:div w:id="914898332">
      <w:bodyDiv w:val="1"/>
      <w:marLeft w:val="0"/>
      <w:marRight w:val="0"/>
      <w:marTop w:val="0"/>
      <w:marBottom w:val="0"/>
      <w:divBdr>
        <w:top w:val="none" w:sz="0" w:space="0" w:color="auto"/>
        <w:left w:val="none" w:sz="0" w:space="0" w:color="auto"/>
        <w:bottom w:val="none" w:sz="0" w:space="0" w:color="auto"/>
        <w:right w:val="none" w:sz="0" w:space="0" w:color="auto"/>
      </w:divBdr>
    </w:div>
    <w:div w:id="943852273">
      <w:bodyDiv w:val="1"/>
      <w:marLeft w:val="0"/>
      <w:marRight w:val="0"/>
      <w:marTop w:val="0"/>
      <w:marBottom w:val="0"/>
      <w:divBdr>
        <w:top w:val="none" w:sz="0" w:space="0" w:color="auto"/>
        <w:left w:val="none" w:sz="0" w:space="0" w:color="auto"/>
        <w:bottom w:val="none" w:sz="0" w:space="0" w:color="auto"/>
        <w:right w:val="none" w:sz="0" w:space="0" w:color="auto"/>
      </w:divBdr>
    </w:div>
    <w:div w:id="960646764">
      <w:bodyDiv w:val="1"/>
      <w:marLeft w:val="0"/>
      <w:marRight w:val="0"/>
      <w:marTop w:val="0"/>
      <w:marBottom w:val="0"/>
      <w:divBdr>
        <w:top w:val="none" w:sz="0" w:space="0" w:color="auto"/>
        <w:left w:val="none" w:sz="0" w:space="0" w:color="auto"/>
        <w:bottom w:val="none" w:sz="0" w:space="0" w:color="auto"/>
        <w:right w:val="none" w:sz="0" w:space="0" w:color="auto"/>
      </w:divBdr>
    </w:div>
    <w:div w:id="1028262395">
      <w:bodyDiv w:val="1"/>
      <w:marLeft w:val="0"/>
      <w:marRight w:val="0"/>
      <w:marTop w:val="0"/>
      <w:marBottom w:val="0"/>
      <w:divBdr>
        <w:top w:val="none" w:sz="0" w:space="0" w:color="auto"/>
        <w:left w:val="none" w:sz="0" w:space="0" w:color="auto"/>
        <w:bottom w:val="none" w:sz="0" w:space="0" w:color="auto"/>
        <w:right w:val="none" w:sz="0" w:space="0" w:color="auto"/>
      </w:divBdr>
    </w:div>
    <w:div w:id="1047991656">
      <w:bodyDiv w:val="1"/>
      <w:marLeft w:val="0"/>
      <w:marRight w:val="0"/>
      <w:marTop w:val="0"/>
      <w:marBottom w:val="0"/>
      <w:divBdr>
        <w:top w:val="none" w:sz="0" w:space="0" w:color="auto"/>
        <w:left w:val="none" w:sz="0" w:space="0" w:color="auto"/>
        <w:bottom w:val="none" w:sz="0" w:space="0" w:color="auto"/>
        <w:right w:val="none" w:sz="0" w:space="0" w:color="auto"/>
      </w:divBdr>
    </w:div>
    <w:div w:id="1093550679">
      <w:bodyDiv w:val="1"/>
      <w:marLeft w:val="0"/>
      <w:marRight w:val="0"/>
      <w:marTop w:val="0"/>
      <w:marBottom w:val="0"/>
      <w:divBdr>
        <w:top w:val="none" w:sz="0" w:space="0" w:color="auto"/>
        <w:left w:val="none" w:sz="0" w:space="0" w:color="auto"/>
        <w:bottom w:val="none" w:sz="0" w:space="0" w:color="auto"/>
        <w:right w:val="none" w:sz="0" w:space="0" w:color="auto"/>
      </w:divBdr>
    </w:div>
    <w:div w:id="1217232726">
      <w:bodyDiv w:val="1"/>
      <w:marLeft w:val="0"/>
      <w:marRight w:val="0"/>
      <w:marTop w:val="0"/>
      <w:marBottom w:val="0"/>
      <w:divBdr>
        <w:top w:val="none" w:sz="0" w:space="0" w:color="auto"/>
        <w:left w:val="none" w:sz="0" w:space="0" w:color="auto"/>
        <w:bottom w:val="none" w:sz="0" w:space="0" w:color="auto"/>
        <w:right w:val="none" w:sz="0" w:space="0" w:color="auto"/>
      </w:divBdr>
    </w:div>
    <w:div w:id="1249314461">
      <w:bodyDiv w:val="1"/>
      <w:marLeft w:val="0"/>
      <w:marRight w:val="0"/>
      <w:marTop w:val="0"/>
      <w:marBottom w:val="0"/>
      <w:divBdr>
        <w:top w:val="none" w:sz="0" w:space="0" w:color="auto"/>
        <w:left w:val="none" w:sz="0" w:space="0" w:color="auto"/>
        <w:bottom w:val="none" w:sz="0" w:space="0" w:color="auto"/>
        <w:right w:val="none" w:sz="0" w:space="0" w:color="auto"/>
      </w:divBdr>
    </w:div>
    <w:div w:id="1345208037">
      <w:bodyDiv w:val="1"/>
      <w:marLeft w:val="0"/>
      <w:marRight w:val="0"/>
      <w:marTop w:val="0"/>
      <w:marBottom w:val="0"/>
      <w:divBdr>
        <w:top w:val="none" w:sz="0" w:space="0" w:color="auto"/>
        <w:left w:val="none" w:sz="0" w:space="0" w:color="auto"/>
        <w:bottom w:val="none" w:sz="0" w:space="0" w:color="auto"/>
        <w:right w:val="none" w:sz="0" w:space="0" w:color="auto"/>
      </w:divBdr>
    </w:div>
    <w:div w:id="1370030986">
      <w:bodyDiv w:val="1"/>
      <w:marLeft w:val="0"/>
      <w:marRight w:val="0"/>
      <w:marTop w:val="0"/>
      <w:marBottom w:val="0"/>
      <w:divBdr>
        <w:top w:val="none" w:sz="0" w:space="0" w:color="auto"/>
        <w:left w:val="none" w:sz="0" w:space="0" w:color="auto"/>
        <w:bottom w:val="none" w:sz="0" w:space="0" w:color="auto"/>
        <w:right w:val="none" w:sz="0" w:space="0" w:color="auto"/>
      </w:divBdr>
    </w:div>
    <w:div w:id="1393039598">
      <w:bodyDiv w:val="1"/>
      <w:marLeft w:val="0"/>
      <w:marRight w:val="0"/>
      <w:marTop w:val="0"/>
      <w:marBottom w:val="0"/>
      <w:divBdr>
        <w:top w:val="none" w:sz="0" w:space="0" w:color="auto"/>
        <w:left w:val="none" w:sz="0" w:space="0" w:color="auto"/>
        <w:bottom w:val="none" w:sz="0" w:space="0" w:color="auto"/>
        <w:right w:val="none" w:sz="0" w:space="0" w:color="auto"/>
      </w:divBdr>
    </w:div>
    <w:div w:id="1470633975">
      <w:bodyDiv w:val="1"/>
      <w:marLeft w:val="0"/>
      <w:marRight w:val="0"/>
      <w:marTop w:val="0"/>
      <w:marBottom w:val="0"/>
      <w:divBdr>
        <w:top w:val="none" w:sz="0" w:space="0" w:color="auto"/>
        <w:left w:val="none" w:sz="0" w:space="0" w:color="auto"/>
        <w:bottom w:val="none" w:sz="0" w:space="0" w:color="auto"/>
        <w:right w:val="none" w:sz="0" w:space="0" w:color="auto"/>
      </w:divBdr>
    </w:div>
    <w:div w:id="1574196188">
      <w:bodyDiv w:val="1"/>
      <w:marLeft w:val="0"/>
      <w:marRight w:val="0"/>
      <w:marTop w:val="0"/>
      <w:marBottom w:val="0"/>
      <w:divBdr>
        <w:top w:val="none" w:sz="0" w:space="0" w:color="auto"/>
        <w:left w:val="none" w:sz="0" w:space="0" w:color="auto"/>
        <w:bottom w:val="none" w:sz="0" w:space="0" w:color="auto"/>
        <w:right w:val="none" w:sz="0" w:space="0" w:color="auto"/>
      </w:divBdr>
    </w:div>
    <w:div w:id="1642153052">
      <w:bodyDiv w:val="1"/>
      <w:marLeft w:val="0"/>
      <w:marRight w:val="0"/>
      <w:marTop w:val="0"/>
      <w:marBottom w:val="0"/>
      <w:divBdr>
        <w:top w:val="none" w:sz="0" w:space="0" w:color="auto"/>
        <w:left w:val="none" w:sz="0" w:space="0" w:color="auto"/>
        <w:bottom w:val="none" w:sz="0" w:space="0" w:color="auto"/>
        <w:right w:val="none" w:sz="0" w:space="0" w:color="auto"/>
      </w:divBdr>
    </w:div>
    <w:div w:id="1677229901">
      <w:bodyDiv w:val="1"/>
      <w:marLeft w:val="0"/>
      <w:marRight w:val="0"/>
      <w:marTop w:val="0"/>
      <w:marBottom w:val="0"/>
      <w:divBdr>
        <w:top w:val="none" w:sz="0" w:space="0" w:color="auto"/>
        <w:left w:val="none" w:sz="0" w:space="0" w:color="auto"/>
        <w:bottom w:val="none" w:sz="0" w:space="0" w:color="auto"/>
        <w:right w:val="none" w:sz="0" w:space="0" w:color="auto"/>
      </w:divBdr>
    </w:div>
    <w:div w:id="1678728020">
      <w:bodyDiv w:val="1"/>
      <w:marLeft w:val="0"/>
      <w:marRight w:val="0"/>
      <w:marTop w:val="0"/>
      <w:marBottom w:val="0"/>
      <w:divBdr>
        <w:top w:val="none" w:sz="0" w:space="0" w:color="auto"/>
        <w:left w:val="none" w:sz="0" w:space="0" w:color="auto"/>
        <w:bottom w:val="none" w:sz="0" w:space="0" w:color="auto"/>
        <w:right w:val="none" w:sz="0" w:space="0" w:color="auto"/>
      </w:divBdr>
    </w:div>
    <w:div w:id="1779449838">
      <w:bodyDiv w:val="1"/>
      <w:marLeft w:val="0"/>
      <w:marRight w:val="0"/>
      <w:marTop w:val="0"/>
      <w:marBottom w:val="0"/>
      <w:divBdr>
        <w:top w:val="none" w:sz="0" w:space="0" w:color="auto"/>
        <w:left w:val="none" w:sz="0" w:space="0" w:color="auto"/>
        <w:bottom w:val="none" w:sz="0" w:space="0" w:color="auto"/>
        <w:right w:val="none" w:sz="0" w:space="0" w:color="auto"/>
      </w:divBdr>
    </w:div>
    <w:div w:id="1784497034">
      <w:bodyDiv w:val="1"/>
      <w:marLeft w:val="0"/>
      <w:marRight w:val="0"/>
      <w:marTop w:val="0"/>
      <w:marBottom w:val="0"/>
      <w:divBdr>
        <w:top w:val="none" w:sz="0" w:space="0" w:color="auto"/>
        <w:left w:val="none" w:sz="0" w:space="0" w:color="auto"/>
        <w:bottom w:val="none" w:sz="0" w:space="0" w:color="auto"/>
        <w:right w:val="none" w:sz="0" w:space="0" w:color="auto"/>
      </w:divBdr>
    </w:div>
    <w:div w:id="1835225381">
      <w:bodyDiv w:val="1"/>
      <w:marLeft w:val="0"/>
      <w:marRight w:val="0"/>
      <w:marTop w:val="0"/>
      <w:marBottom w:val="0"/>
      <w:divBdr>
        <w:top w:val="none" w:sz="0" w:space="0" w:color="auto"/>
        <w:left w:val="none" w:sz="0" w:space="0" w:color="auto"/>
        <w:bottom w:val="none" w:sz="0" w:space="0" w:color="auto"/>
        <w:right w:val="none" w:sz="0" w:space="0" w:color="auto"/>
      </w:divBdr>
    </w:div>
    <w:div w:id="1968511295">
      <w:bodyDiv w:val="1"/>
      <w:marLeft w:val="0"/>
      <w:marRight w:val="0"/>
      <w:marTop w:val="0"/>
      <w:marBottom w:val="0"/>
      <w:divBdr>
        <w:top w:val="none" w:sz="0" w:space="0" w:color="auto"/>
        <w:left w:val="none" w:sz="0" w:space="0" w:color="auto"/>
        <w:bottom w:val="none" w:sz="0" w:space="0" w:color="auto"/>
        <w:right w:val="none" w:sz="0" w:space="0" w:color="auto"/>
      </w:divBdr>
    </w:div>
    <w:div w:id="2019038796">
      <w:bodyDiv w:val="1"/>
      <w:marLeft w:val="0"/>
      <w:marRight w:val="0"/>
      <w:marTop w:val="0"/>
      <w:marBottom w:val="0"/>
      <w:divBdr>
        <w:top w:val="none" w:sz="0" w:space="0" w:color="auto"/>
        <w:left w:val="none" w:sz="0" w:space="0" w:color="auto"/>
        <w:bottom w:val="none" w:sz="0" w:space="0" w:color="auto"/>
        <w:right w:val="none" w:sz="0" w:space="0" w:color="auto"/>
      </w:divBdr>
    </w:div>
    <w:div w:id="2043825721">
      <w:bodyDiv w:val="1"/>
      <w:marLeft w:val="0"/>
      <w:marRight w:val="0"/>
      <w:marTop w:val="0"/>
      <w:marBottom w:val="0"/>
      <w:divBdr>
        <w:top w:val="none" w:sz="0" w:space="0" w:color="auto"/>
        <w:left w:val="none" w:sz="0" w:space="0" w:color="auto"/>
        <w:bottom w:val="none" w:sz="0" w:space="0" w:color="auto"/>
        <w:right w:val="none" w:sz="0" w:space="0" w:color="auto"/>
      </w:divBdr>
    </w:div>
    <w:div w:id="2045208080">
      <w:bodyDiv w:val="1"/>
      <w:marLeft w:val="0"/>
      <w:marRight w:val="0"/>
      <w:marTop w:val="0"/>
      <w:marBottom w:val="0"/>
      <w:divBdr>
        <w:top w:val="none" w:sz="0" w:space="0" w:color="auto"/>
        <w:left w:val="none" w:sz="0" w:space="0" w:color="auto"/>
        <w:bottom w:val="none" w:sz="0" w:space="0" w:color="auto"/>
        <w:right w:val="none" w:sz="0" w:space="0" w:color="auto"/>
      </w:divBdr>
    </w:div>
    <w:div w:id="211474378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diagramData" Target="diagrams/data1.xml"/><Relationship Id="rId13" Type="http://schemas.openxmlformats.org/officeDocument/2006/relationships/chart" Target="charts/chart1.xml"/><Relationship Id="rId3" Type="http://schemas.openxmlformats.org/officeDocument/2006/relationships/styles" Target="styles.xml"/><Relationship Id="rId7" Type="http://schemas.openxmlformats.org/officeDocument/2006/relationships/endnotes" Target="endnotes.xml"/><Relationship Id="rId12" Type="http://schemas.microsoft.com/office/2007/relationships/diagramDrawing" Target="diagrams/drawing1.xml"/><Relationship Id="rId17" Type="http://schemas.openxmlformats.org/officeDocument/2006/relationships/theme" Target="theme/theme1.xml"/><Relationship Id="rId2" Type="http://schemas.openxmlformats.org/officeDocument/2006/relationships/numbering" Target="numbering.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diagramColors" Target="diagrams/colors1.xml"/><Relationship Id="rId5" Type="http://schemas.openxmlformats.org/officeDocument/2006/relationships/webSettings" Target="webSettings.xml"/><Relationship Id="rId15" Type="http://schemas.openxmlformats.org/officeDocument/2006/relationships/footer" Target="footer2.xml"/><Relationship Id="rId10" Type="http://schemas.openxmlformats.org/officeDocument/2006/relationships/diagramQuickStyle" Target="diagrams/quickStyle1.xml"/><Relationship Id="rId4" Type="http://schemas.openxmlformats.org/officeDocument/2006/relationships/settings" Target="settings.xml"/><Relationship Id="rId9" Type="http://schemas.openxmlformats.org/officeDocument/2006/relationships/diagramLayout" Target="diagrams/layout1.xml"/><Relationship Id="rId14" Type="http://schemas.openxmlformats.org/officeDocument/2006/relationships/footer" Target="footer1.xml"/></Relationships>
</file>

<file path=word/charts/_rels/chart1.xml.rels><?xml version="1.0" encoding="UTF-8" standalone="yes"?>
<Relationships xmlns="http://schemas.openxmlformats.org/package/2006/relationships"><Relationship Id="rId1" Type="http://schemas.openxmlformats.org/officeDocument/2006/relationships/oleObject" Target="file:///H:\thesis\tabel%20discriptive.xlsx" TargetMode="External"/></Relationships>
</file>

<file path=word/charts/chart1.xml><?xml version="1.0" encoding="utf-8"?>
<c:chartSpace xmlns:c="http://schemas.openxmlformats.org/drawingml/2006/chart" xmlns:a="http://schemas.openxmlformats.org/drawingml/2006/main" xmlns:r="http://schemas.openxmlformats.org/officeDocument/2006/relationships">
  <c:date1904 val="1"/>
  <c:lang val="en-US"/>
  <c:style val="35"/>
  <c:chart>
    <c:title>
      <c:tx>
        <c:rich>
          <a:bodyPr/>
          <a:lstStyle/>
          <a:p>
            <a:pPr>
              <a:defRPr/>
            </a:pPr>
            <a:r>
              <a:rPr lang="nl-NL" sz="1200"/>
              <a:t>Distribution</a:t>
            </a:r>
            <a:r>
              <a:rPr lang="nl-NL" sz="1200" baseline="0"/>
              <a:t> of CSR report level over the years </a:t>
            </a:r>
            <a:endParaRPr lang="nl-NL" sz="1200"/>
          </a:p>
        </c:rich>
      </c:tx>
      <c:layout/>
    </c:title>
    <c:plotArea>
      <c:layout/>
      <c:barChart>
        <c:barDir val="col"/>
        <c:grouping val="clustered"/>
        <c:ser>
          <c:idx val="0"/>
          <c:order val="0"/>
          <c:tx>
            <c:strRef>
              <c:f>Sheet5!$O$39</c:f>
              <c:strCache>
                <c:ptCount val="1"/>
                <c:pt idx="0">
                  <c:v>2005</c:v>
                </c:pt>
              </c:strCache>
            </c:strRef>
          </c:tx>
          <c:cat>
            <c:strRef>
              <c:f>Sheet5!$P$38:$X$38</c:f>
              <c:strCache>
                <c:ptCount val="9"/>
                <c:pt idx="0">
                  <c:v>A+</c:v>
                </c:pt>
                <c:pt idx="1">
                  <c:v>A</c:v>
                </c:pt>
                <c:pt idx="2">
                  <c:v>B+</c:v>
                </c:pt>
                <c:pt idx="3">
                  <c:v>B</c:v>
                </c:pt>
                <c:pt idx="4">
                  <c:v>C+</c:v>
                </c:pt>
                <c:pt idx="5">
                  <c:v>C</c:v>
                </c:pt>
                <c:pt idx="6">
                  <c:v>U</c:v>
                </c:pt>
                <c:pt idx="7">
                  <c:v>IA</c:v>
                </c:pt>
                <c:pt idx="8">
                  <c:v>CI</c:v>
                </c:pt>
              </c:strCache>
            </c:strRef>
          </c:cat>
          <c:val>
            <c:numRef>
              <c:f>Sheet5!$P$39:$X$39</c:f>
              <c:numCache>
                <c:formatCode>General</c:formatCode>
                <c:ptCount val="9"/>
                <c:pt idx="0" formatCode="0.0">
                  <c:v>2.3529411764705785</c:v>
                </c:pt>
                <c:pt idx="2" formatCode="0.0">
                  <c:v>3.5294117647058822</c:v>
                </c:pt>
                <c:pt idx="3" formatCode="0.0">
                  <c:v>2.3529411764705785</c:v>
                </c:pt>
                <c:pt idx="4" formatCode="0.0">
                  <c:v>1.1764705882352986</c:v>
                </c:pt>
                <c:pt idx="6" formatCode="0.0">
                  <c:v>9.4117647058823533</c:v>
                </c:pt>
                <c:pt idx="7" formatCode="0.0">
                  <c:v>28.235294117647058</c:v>
                </c:pt>
                <c:pt idx="8" formatCode="0.0">
                  <c:v>52.941176470588225</c:v>
                </c:pt>
              </c:numCache>
            </c:numRef>
          </c:val>
        </c:ser>
        <c:ser>
          <c:idx val="1"/>
          <c:order val="1"/>
          <c:tx>
            <c:strRef>
              <c:f>Sheet5!$O$40</c:f>
              <c:strCache>
                <c:ptCount val="1"/>
                <c:pt idx="0">
                  <c:v>2006</c:v>
                </c:pt>
              </c:strCache>
            </c:strRef>
          </c:tx>
          <c:cat>
            <c:strRef>
              <c:f>Sheet5!$P$38:$X$38</c:f>
              <c:strCache>
                <c:ptCount val="9"/>
                <c:pt idx="0">
                  <c:v>A+</c:v>
                </c:pt>
                <c:pt idx="1">
                  <c:v>A</c:v>
                </c:pt>
                <c:pt idx="2">
                  <c:v>B+</c:v>
                </c:pt>
                <c:pt idx="3">
                  <c:v>B</c:v>
                </c:pt>
                <c:pt idx="4">
                  <c:v>C+</c:v>
                </c:pt>
                <c:pt idx="5">
                  <c:v>C</c:v>
                </c:pt>
                <c:pt idx="6">
                  <c:v>U</c:v>
                </c:pt>
                <c:pt idx="7">
                  <c:v>IA</c:v>
                </c:pt>
                <c:pt idx="8">
                  <c:v>CI</c:v>
                </c:pt>
              </c:strCache>
            </c:strRef>
          </c:cat>
          <c:val>
            <c:numRef>
              <c:f>Sheet5!$P$40:$X$40</c:f>
              <c:numCache>
                <c:formatCode>0.0</c:formatCode>
                <c:ptCount val="9"/>
                <c:pt idx="0">
                  <c:v>15.09433962264151</c:v>
                </c:pt>
                <c:pt idx="1">
                  <c:v>3.7735849056603881</c:v>
                </c:pt>
                <c:pt idx="2">
                  <c:v>11.320754716981154</c:v>
                </c:pt>
                <c:pt idx="3">
                  <c:v>10.377358490566039</c:v>
                </c:pt>
                <c:pt idx="4">
                  <c:v>3.7735849056603881</c:v>
                </c:pt>
                <c:pt idx="5">
                  <c:v>2.8301886792452731</c:v>
                </c:pt>
                <c:pt idx="6">
                  <c:v>28.301886792452926</c:v>
                </c:pt>
                <c:pt idx="7">
                  <c:v>4.7169811320754675</c:v>
                </c:pt>
                <c:pt idx="8">
                  <c:v>19.811320754716991</c:v>
                </c:pt>
              </c:numCache>
            </c:numRef>
          </c:val>
        </c:ser>
        <c:ser>
          <c:idx val="2"/>
          <c:order val="2"/>
          <c:tx>
            <c:strRef>
              <c:f>Sheet5!$O$41</c:f>
              <c:strCache>
                <c:ptCount val="1"/>
                <c:pt idx="0">
                  <c:v>2007</c:v>
                </c:pt>
              </c:strCache>
            </c:strRef>
          </c:tx>
          <c:cat>
            <c:strRef>
              <c:f>Sheet5!$P$38:$X$38</c:f>
              <c:strCache>
                <c:ptCount val="9"/>
                <c:pt idx="0">
                  <c:v>A+</c:v>
                </c:pt>
                <c:pt idx="1">
                  <c:v>A</c:v>
                </c:pt>
                <c:pt idx="2">
                  <c:v>B+</c:v>
                </c:pt>
                <c:pt idx="3">
                  <c:v>B</c:v>
                </c:pt>
                <c:pt idx="4">
                  <c:v>C+</c:v>
                </c:pt>
                <c:pt idx="5">
                  <c:v>C</c:v>
                </c:pt>
                <c:pt idx="6">
                  <c:v>U</c:v>
                </c:pt>
                <c:pt idx="7">
                  <c:v>IA</c:v>
                </c:pt>
                <c:pt idx="8">
                  <c:v>CI</c:v>
                </c:pt>
              </c:strCache>
            </c:strRef>
          </c:cat>
          <c:val>
            <c:numRef>
              <c:f>Sheet5!$P$41:$X$41</c:f>
              <c:numCache>
                <c:formatCode>0.0</c:formatCode>
                <c:ptCount val="9"/>
                <c:pt idx="0">
                  <c:v>13.043478260869565</c:v>
                </c:pt>
                <c:pt idx="1">
                  <c:v>4.3478260869565215</c:v>
                </c:pt>
                <c:pt idx="2">
                  <c:v>14.492753623188406</c:v>
                </c:pt>
                <c:pt idx="3">
                  <c:v>12.318840579710146</c:v>
                </c:pt>
                <c:pt idx="4">
                  <c:v>2.1739130434782608</c:v>
                </c:pt>
                <c:pt idx="5">
                  <c:v>8.6956521739130448</c:v>
                </c:pt>
                <c:pt idx="6">
                  <c:v>43.478260869565204</c:v>
                </c:pt>
              </c:numCache>
            </c:numRef>
          </c:val>
        </c:ser>
        <c:ser>
          <c:idx val="3"/>
          <c:order val="3"/>
          <c:tx>
            <c:strRef>
              <c:f>Sheet5!$O$42</c:f>
              <c:strCache>
                <c:ptCount val="1"/>
                <c:pt idx="0">
                  <c:v>2008</c:v>
                </c:pt>
              </c:strCache>
            </c:strRef>
          </c:tx>
          <c:cat>
            <c:strRef>
              <c:f>Sheet5!$P$38:$X$38</c:f>
              <c:strCache>
                <c:ptCount val="9"/>
                <c:pt idx="0">
                  <c:v>A+</c:v>
                </c:pt>
                <c:pt idx="1">
                  <c:v>A</c:v>
                </c:pt>
                <c:pt idx="2">
                  <c:v>B+</c:v>
                </c:pt>
                <c:pt idx="3">
                  <c:v>B</c:v>
                </c:pt>
                <c:pt idx="4">
                  <c:v>C+</c:v>
                </c:pt>
                <c:pt idx="5">
                  <c:v>C</c:v>
                </c:pt>
                <c:pt idx="6">
                  <c:v>U</c:v>
                </c:pt>
                <c:pt idx="7">
                  <c:v>IA</c:v>
                </c:pt>
                <c:pt idx="8">
                  <c:v>CI</c:v>
                </c:pt>
              </c:strCache>
            </c:strRef>
          </c:cat>
          <c:val>
            <c:numRef>
              <c:f>Sheet5!$P$42:$X$42</c:f>
              <c:numCache>
                <c:formatCode>0.0</c:formatCode>
                <c:ptCount val="9"/>
                <c:pt idx="0">
                  <c:v>17.365269461077826</c:v>
                </c:pt>
                <c:pt idx="1">
                  <c:v>4.1916167664670656</c:v>
                </c:pt>
                <c:pt idx="2">
                  <c:v>17.365269461077826</c:v>
                </c:pt>
                <c:pt idx="3">
                  <c:v>16.766467065868262</c:v>
                </c:pt>
                <c:pt idx="4">
                  <c:v>1.1976047904191547</c:v>
                </c:pt>
                <c:pt idx="5">
                  <c:v>5.9880239520958094</c:v>
                </c:pt>
                <c:pt idx="6">
                  <c:v>37.125748502994149</c:v>
                </c:pt>
              </c:numCache>
            </c:numRef>
          </c:val>
        </c:ser>
        <c:ser>
          <c:idx val="4"/>
          <c:order val="4"/>
          <c:tx>
            <c:strRef>
              <c:f>Sheet5!$O$43</c:f>
              <c:strCache>
                <c:ptCount val="1"/>
                <c:pt idx="0">
                  <c:v>2009</c:v>
                </c:pt>
              </c:strCache>
            </c:strRef>
          </c:tx>
          <c:cat>
            <c:strRef>
              <c:f>Sheet5!$P$38:$X$38</c:f>
              <c:strCache>
                <c:ptCount val="9"/>
                <c:pt idx="0">
                  <c:v>A+</c:v>
                </c:pt>
                <c:pt idx="1">
                  <c:v>A</c:v>
                </c:pt>
                <c:pt idx="2">
                  <c:v>B+</c:v>
                </c:pt>
                <c:pt idx="3">
                  <c:v>B</c:v>
                </c:pt>
                <c:pt idx="4">
                  <c:v>C+</c:v>
                </c:pt>
                <c:pt idx="5">
                  <c:v>C</c:v>
                </c:pt>
                <c:pt idx="6">
                  <c:v>U</c:v>
                </c:pt>
                <c:pt idx="7">
                  <c:v>IA</c:v>
                </c:pt>
                <c:pt idx="8">
                  <c:v>CI</c:v>
                </c:pt>
              </c:strCache>
            </c:strRef>
          </c:cat>
          <c:val>
            <c:numRef>
              <c:f>Sheet5!$P$43:$X$43</c:f>
              <c:numCache>
                <c:formatCode>0.0</c:formatCode>
                <c:ptCount val="9"/>
                <c:pt idx="0">
                  <c:v>19.428571428571427</c:v>
                </c:pt>
                <c:pt idx="1">
                  <c:v>5.7142857142857055</c:v>
                </c:pt>
                <c:pt idx="2">
                  <c:v>14.857142857142918</c:v>
                </c:pt>
                <c:pt idx="3">
                  <c:v>18.857142857142829</c:v>
                </c:pt>
                <c:pt idx="4">
                  <c:v>3.4285714285714395</c:v>
                </c:pt>
                <c:pt idx="5">
                  <c:v>6.2857142857142874</c:v>
                </c:pt>
                <c:pt idx="6">
                  <c:v>31.428571428571427</c:v>
                </c:pt>
              </c:numCache>
            </c:numRef>
          </c:val>
        </c:ser>
        <c:axId val="160620544"/>
        <c:axId val="160622464"/>
      </c:barChart>
      <c:catAx>
        <c:axId val="160620544"/>
        <c:scaling>
          <c:orientation val="minMax"/>
        </c:scaling>
        <c:axPos val="b"/>
        <c:title>
          <c:tx>
            <c:rich>
              <a:bodyPr/>
              <a:lstStyle/>
              <a:p>
                <a:pPr>
                  <a:defRPr/>
                </a:pPr>
                <a:r>
                  <a:rPr lang="nl-NL"/>
                  <a:t>CSR Report</a:t>
                </a:r>
                <a:r>
                  <a:rPr lang="nl-NL" baseline="0"/>
                  <a:t> Levels</a:t>
                </a:r>
                <a:endParaRPr lang="nl-NL"/>
              </a:p>
            </c:rich>
          </c:tx>
          <c:layout/>
        </c:title>
        <c:numFmt formatCode="General" sourceLinked="1"/>
        <c:majorTickMark val="none"/>
        <c:tickLblPos val="nextTo"/>
        <c:crossAx val="160622464"/>
        <c:crosses val="autoZero"/>
        <c:auto val="1"/>
        <c:lblAlgn val="ctr"/>
        <c:lblOffset val="100"/>
      </c:catAx>
      <c:valAx>
        <c:axId val="160622464"/>
        <c:scaling>
          <c:orientation val="minMax"/>
        </c:scaling>
        <c:axPos val="l"/>
        <c:majorGridlines/>
        <c:title>
          <c:tx>
            <c:rich>
              <a:bodyPr/>
              <a:lstStyle/>
              <a:p>
                <a:pPr>
                  <a:defRPr/>
                </a:pPr>
                <a:r>
                  <a:rPr lang="en-US"/>
                  <a:t>% of total CSR reports</a:t>
                </a:r>
              </a:p>
            </c:rich>
          </c:tx>
          <c:layout/>
        </c:title>
        <c:numFmt formatCode="0.0" sourceLinked="1"/>
        <c:tickLblPos val="nextTo"/>
        <c:crossAx val="160620544"/>
        <c:crosses val="autoZero"/>
        <c:crossBetween val="between"/>
      </c:valAx>
    </c:plotArea>
    <c:legend>
      <c:legendPos val="r"/>
      <c:layout/>
    </c:legend>
    <c:plotVisOnly val="1"/>
  </c:chart>
  <c:externalData r:id="rId1"/>
</c:chartSpace>
</file>

<file path=word/diagrams/colors1.xml><?xml version="1.0" encoding="utf-8"?>
<dgm:colorsDef xmlns:dgm="http://schemas.openxmlformats.org/drawingml/2006/diagram" xmlns:a="http://schemas.openxmlformats.org/drawingml/2006/main" uniqueId="urn:microsoft.com/office/officeart/2005/8/colors/accent1_2">
  <dgm:title val=""/>
  <dgm:desc val=""/>
  <dgm:catLst>
    <dgm:cat type="accent1" pri="11200"/>
  </dgm:catLst>
  <dgm:styleLbl name="node0">
    <dgm:fillClrLst meth="repeat">
      <a:schemeClr val="accent1"/>
    </dgm:fillClrLst>
    <dgm:linClrLst meth="repeat">
      <a:schemeClr val="lt1"/>
    </dgm:linClrLst>
    <dgm:effectClrLst/>
    <dgm:txLinClrLst/>
    <dgm:txFillClrLst/>
    <dgm:txEffectClrLst/>
  </dgm:styleLbl>
  <dgm:styleLbl name="alignNode1">
    <dgm:fillClrLst meth="repeat">
      <a:schemeClr val="accent1"/>
    </dgm:fillClrLst>
    <dgm:linClrLst meth="repeat">
      <a:schemeClr val="accent1"/>
    </dgm:linClrLst>
    <dgm:effectClrLst/>
    <dgm:txLinClrLst/>
    <dgm:txFillClrLst/>
    <dgm:txEffectClrLst/>
  </dgm:styleLbl>
  <dgm:styleLbl name="node1">
    <dgm:fillClrLst meth="repeat">
      <a:schemeClr val="accent1"/>
    </dgm:fillClrLst>
    <dgm:linClrLst meth="repeat">
      <a:schemeClr val="lt1"/>
    </dgm:linClrLst>
    <dgm:effectClrLst/>
    <dgm:txLinClrLst/>
    <dgm:txFillClrLst/>
    <dgm:txEffectClrLst/>
  </dgm:styleLbl>
  <dgm:styleLbl name="lnNode1">
    <dgm:fillClrLst meth="repeat">
      <a:schemeClr val="accent1"/>
    </dgm:fillClrLst>
    <dgm:linClrLst meth="repeat">
      <a:schemeClr val="lt1"/>
    </dgm:linClrLst>
    <dgm:effectClrLst/>
    <dgm:txLinClrLst/>
    <dgm:txFillClrLst/>
    <dgm:txEffectClrLst/>
  </dgm:styleLbl>
  <dgm:styleLbl name="vennNode1">
    <dgm:fillClrLst meth="repeat">
      <a:schemeClr val="accent1">
        <a:alpha val="50000"/>
      </a:schemeClr>
    </dgm:fillClrLst>
    <dgm:linClrLst meth="repeat">
      <a:schemeClr val="lt1"/>
    </dgm:linClrLst>
    <dgm:effectClrLst/>
    <dgm:txLinClrLst/>
    <dgm:txFillClrLst/>
    <dgm:txEffectClrLst/>
  </dgm:styleLbl>
  <dgm:styleLbl name="node2">
    <dgm:fillClrLst meth="repeat">
      <a:schemeClr val="accent1"/>
    </dgm:fillClrLst>
    <dgm:linClrLst meth="repeat">
      <a:schemeClr val="lt1"/>
    </dgm:linClrLst>
    <dgm:effectClrLst/>
    <dgm:txLinClrLst/>
    <dgm:txFillClrLst/>
    <dgm:txEffectClrLst/>
  </dgm:styleLbl>
  <dgm:styleLbl name="node3">
    <dgm:fillClrLst meth="repeat">
      <a:schemeClr val="accent1"/>
    </dgm:fillClrLst>
    <dgm:linClrLst meth="repeat">
      <a:schemeClr val="lt1"/>
    </dgm:linClrLst>
    <dgm:effectClrLst/>
    <dgm:txLinClrLst/>
    <dgm:txFillClrLst/>
    <dgm:txEffectClrLst/>
  </dgm:styleLbl>
  <dgm:styleLbl name="node4">
    <dgm:fillClrLst meth="repeat">
      <a:schemeClr val="accent1"/>
    </dgm:fillClrLst>
    <dgm:linClrLst meth="repeat">
      <a:schemeClr val="lt1"/>
    </dgm:linClrLst>
    <dgm:effectClrLst/>
    <dgm:txLinClrLst/>
    <dgm:txFillClrLst/>
    <dgm:txEffectClrLst/>
  </dgm:styleLbl>
  <dgm:styleLbl name="f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align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bgImgPlace1">
    <dgm:fillClrLst meth="repeat">
      <a:schemeClr val="accent1">
        <a:tint val="5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1">
        <a:tint val="60000"/>
      </a:schemeClr>
    </dgm:fillClrLst>
    <dgm:linClrLst meth="repeat">
      <a:schemeClr val="accent1">
        <a:tint val="60000"/>
      </a:schemeClr>
    </dgm:linClrLst>
    <dgm:effectClrLst/>
    <dgm:txLinClrLst/>
    <dgm:txFillClrLst/>
    <dgm:txEffectClrLst/>
  </dgm:styleLbl>
  <dgm:styleLbl name="fgSibTrans2D1">
    <dgm:fillClrLst meth="repeat">
      <a:schemeClr val="accent1">
        <a:tint val="60000"/>
      </a:schemeClr>
    </dgm:fillClrLst>
    <dgm:linClrLst meth="repeat">
      <a:schemeClr val="accent1">
        <a:tint val="60000"/>
      </a:schemeClr>
    </dgm:linClrLst>
    <dgm:effectClrLst/>
    <dgm:txLinClrLst/>
    <dgm:txFillClrLst/>
    <dgm:txEffectClrLst/>
  </dgm:styleLbl>
  <dgm:styleLbl name="bgSibTrans2D1">
    <dgm:fillClrLst meth="repeat">
      <a:schemeClr val="accent1">
        <a:tint val="60000"/>
      </a:schemeClr>
    </dgm:fillClrLst>
    <dgm:linClrLst meth="repeat">
      <a:schemeClr val="accent1">
        <a:tint val="60000"/>
      </a:schemeClr>
    </dgm:linClrLst>
    <dgm:effectClrLst/>
    <dgm:txLinClrLst/>
    <dgm:txFillClrLst/>
    <dgm:txEffectClrLst/>
  </dgm:styleLbl>
  <dgm:styleLbl name="sibTrans1D1">
    <dgm:fillClrLst meth="repeat">
      <a:schemeClr val="accent1"/>
    </dgm:fillClrLst>
    <dgm:linClrLst meth="repeat">
      <a:schemeClr val="accent1"/>
    </dgm:linClrLst>
    <dgm:effectClrLst/>
    <dgm:txLinClrLst/>
    <dgm:txFillClrLst meth="repeat">
      <a:schemeClr val="tx1"/>
    </dgm:txFillClrLst>
    <dgm:txEffectClrLst/>
  </dgm:styleLbl>
  <dgm:styleLbl name="callout">
    <dgm:fillClrLst meth="repeat">
      <a:schemeClr val="accent1"/>
    </dgm:fillClrLst>
    <dgm:linClrLst meth="repeat">
      <a:schemeClr val="accent1">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1"/>
    </dgm:fillClrLst>
    <dgm:linClrLst meth="repeat">
      <a:schemeClr val="lt1"/>
    </dgm:linClrLst>
    <dgm:effectClrLst/>
    <dgm:txLinClrLst/>
    <dgm:txFillClrLst/>
    <dgm:txEffectClrLst/>
  </dgm:styleLbl>
  <dgm:styleLbl name="asst2">
    <dgm:fillClrLst meth="repeat">
      <a:schemeClr val="accent1"/>
    </dgm:fillClrLst>
    <dgm:linClrLst meth="repeat">
      <a:schemeClr val="lt1"/>
    </dgm:linClrLst>
    <dgm:effectClrLst/>
    <dgm:txLinClrLst/>
    <dgm:txFillClrLst/>
    <dgm:txEffectClrLst/>
  </dgm:styleLbl>
  <dgm:styleLbl name="asst3">
    <dgm:fillClrLst meth="repeat">
      <a:schemeClr val="accent1"/>
    </dgm:fillClrLst>
    <dgm:linClrLst meth="repeat">
      <a:schemeClr val="lt1"/>
    </dgm:linClrLst>
    <dgm:effectClrLst/>
    <dgm:txLinClrLst/>
    <dgm:txFillClrLst/>
    <dgm:txEffectClrLst/>
  </dgm:styleLbl>
  <dgm:styleLbl name="asst4">
    <dgm:fillClrLst meth="repeat">
      <a:schemeClr val="accent1"/>
    </dgm:fillClrLst>
    <dgm:linClrLst meth="repeat">
      <a:schemeClr val="lt1"/>
    </dgm:linClrLst>
    <dgm:effectClrLst/>
    <dgm:txLinClrLst/>
    <dgm:txFillClrLst/>
    <dgm:txEffectClrLst/>
  </dgm:styleLbl>
  <dgm:styleLbl name="parChTrans2D1">
    <dgm:fillClrLst meth="repeat">
      <a:schemeClr val="accent1">
        <a:tint val="60000"/>
      </a:schemeClr>
    </dgm:fillClrLst>
    <dgm:linClrLst meth="repeat">
      <a:schemeClr val="accent1">
        <a:tint val="60000"/>
      </a:schemeClr>
    </dgm:linClrLst>
    <dgm:effectClrLst/>
    <dgm:txLinClrLst/>
    <dgm:txFillClrLst meth="repeat">
      <a:schemeClr val="lt1"/>
    </dgm:txFillClrLst>
    <dgm:txEffectClrLst/>
  </dgm:styleLbl>
  <dgm:styleLbl name="parChTrans2D2">
    <dgm:fillClrLst meth="repeat">
      <a:schemeClr val="accent1"/>
    </dgm:fillClrLst>
    <dgm:linClrLst meth="repeat">
      <a:schemeClr val="accent1"/>
    </dgm:linClrLst>
    <dgm:effectClrLst/>
    <dgm:txLinClrLst/>
    <dgm:txFillClrLst meth="repeat">
      <a:schemeClr val="lt1"/>
    </dgm:txFillClrLst>
    <dgm:txEffectClrLst/>
  </dgm:styleLbl>
  <dgm:styleLbl name="parChTrans2D3">
    <dgm:fillClrLst meth="repeat">
      <a:schemeClr val="accent1"/>
    </dgm:fillClrLst>
    <dgm:linClrLst meth="repeat">
      <a:schemeClr val="accent1"/>
    </dgm:linClrLst>
    <dgm:effectClrLst/>
    <dgm:txLinClrLst/>
    <dgm:txFillClrLst meth="repeat">
      <a:schemeClr val="lt1"/>
    </dgm:txFillClrLst>
    <dgm:txEffectClrLst/>
  </dgm:styleLbl>
  <dgm:styleLbl name="parChTrans2D4">
    <dgm:fillClrLst meth="repeat">
      <a:schemeClr val="accent1"/>
    </dgm:fillClrLst>
    <dgm:linClrLst meth="repeat">
      <a:schemeClr val="accent1"/>
    </dgm:linClrLst>
    <dgm:effectClrLst/>
    <dgm:txLinClrLst/>
    <dgm:txFillClrLst meth="repeat">
      <a:schemeClr val="lt1"/>
    </dgm:txFillClrLst>
    <dgm:txEffectClrLst/>
  </dgm:styleLbl>
  <dgm:styleLbl name="parChTrans1D1">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2">
    <dgm:fillClrLst meth="repeat">
      <a:schemeClr val="accent1"/>
    </dgm:fillClrLst>
    <dgm:linClrLst meth="repeat">
      <a:schemeClr val="accent1">
        <a:shade val="60000"/>
      </a:schemeClr>
    </dgm:linClrLst>
    <dgm:effectClrLst/>
    <dgm:txLinClrLst/>
    <dgm:txFillClrLst meth="repeat">
      <a:schemeClr val="tx1"/>
    </dgm:txFillClrLst>
    <dgm:txEffectClrLst/>
  </dgm:styleLbl>
  <dgm:styleLbl name="parChTrans1D3">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parChTrans1D4">
    <dgm:fillClrLst meth="repeat">
      <a:schemeClr val="accent1"/>
    </dgm:fillClrLst>
    <dgm:linClrLst meth="repeat">
      <a:schemeClr val="accent1">
        <a:shade val="80000"/>
      </a:schemeClr>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solidFgAcc1">
    <dgm:fillClrLst meth="repeat">
      <a:schemeClr val="lt1"/>
    </dgm:fillClrLst>
    <dgm:linClrLst meth="repeat">
      <a:schemeClr val="accent1"/>
    </dgm:linClrLst>
    <dgm:effectClrLst/>
    <dgm:txLinClrLst/>
    <dgm:txFillClrLst meth="repeat">
      <a:schemeClr val="dk1"/>
    </dgm:txFillClrLst>
    <dgm:txEffectClrLst/>
  </dgm:styleLbl>
  <dgm:styleLbl name="solidAlignAcc1">
    <dgm:fillClrLst meth="repeat">
      <a:schemeClr val="lt1"/>
    </dgm:fillClrLst>
    <dgm:linClrLst meth="repeat">
      <a:schemeClr val="accent1"/>
    </dgm:linClrLst>
    <dgm:effectClrLst/>
    <dgm:txLinClrLst/>
    <dgm:txFillClrLst meth="repeat">
      <a:schemeClr val="dk1"/>
    </dgm:txFillClrLst>
    <dgm:txEffectClrLst/>
  </dgm:styleLbl>
  <dgm:styleLbl name="solidBgAcc1">
    <dgm:fillClrLst meth="repeat">
      <a:schemeClr val="lt1"/>
    </dgm:fillClrLst>
    <dgm:linClrLst meth="repeat">
      <a:schemeClr val="accent1"/>
    </dgm:linClrLst>
    <dgm:effectClrLst/>
    <dgm:txLinClrLst/>
    <dgm:txFillClrLst meth="repeat">
      <a:schemeClr val="dk1"/>
    </dgm:txFillClrLst>
    <dgm:txEffectClrLst/>
  </dgm:styleLbl>
  <dgm:styleLbl name="f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align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bgAccFollowNode1">
    <dgm:fillClrLst meth="repeat">
      <a:schemeClr val="accent1">
        <a:alpha val="90000"/>
        <a:tint val="40000"/>
      </a:schemeClr>
    </dgm:fillClrLst>
    <dgm:linClrLst meth="repeat">
      <a:schemeClr val="accent1">
        <a:alpha val="90000"/>
        <a:tint val="40000"/>
      </a:schemeClr>
    </dgm:linClrLst>
    <dgm:effectClrLst/>
    <dgm:txLinClrLst/>
    <dgm:txFillClrLst meth="repeat">
      <a:schemeClr val="dk1"/>
    </dgm:txFillClrLst>
    <dgm:txEffectClrLst/>
  </dgm:styleLbl>
  <dgm:styleLbl name="fgAcc0">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2">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3">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fgAcc4">
    <dgm:fillClrLst meth="repeat">
      <a:schemeClr val="lt1">
        <a:alpha val="90000"/>
      </a:schemeClr>
    </dgm:fillClrLst>
    <dgm:linClrLst meth="repeat">
      <a:schemeClr val="accent1"/>
    </dgm:linClrLst>
    <dgm:effectClrLst/>
    <dgm:txLinClrLst/>
    <dgm:txFillClrLst meth="repeat">
      <a:schemeClr val="dk1"/>
    </dgm:txFillClrLst>
    <dgm:txEffectClrLst/>
  </dgm:styleLbl>
  <dgm:styleLbl name="bgShp">
    <dgm:fillClrLst meth="repeat">
      <a:schemeClr val="accent1">
        <a:tint val="40000"/>
      </a:schemeClr>
    </dgm:fillClrLst>
    <dgm:linClrLst meth="repeat">
      <a:schemeClr val="accent1"/>
    </dgm:linClrLst>
    <dgm:effectClrLst/>
    <dgm:txLinClrLst/>
    <dgm:txFillClrLst meth="repeat">
      <a:schemeClr val="dk1"/>
    </dgm:txFillClrLst>
    <dgm:txEffectClrLst/>
  </dgm:styleLbl>
  <dgm:styleLbl name="dkBgShp">
    <dgm:fillClrLst meth="repeat">
      <a:schemeClr val="accent1">
        <a:shade val="80000"/>
      </a:schemeClr>
    </dgm:fillClrLst>
    <dgm:linClrLst meth="repeat">
      <a:schemeClr val="accent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1"/>
    </dgm:linClrLst>
    <dgm:effectClrLst/>
    <dgm:txLinClrLst/>
    <dgm:txFillClrLst meth="repeat">
      <a:schemeClr val="lt1"/>
    </dgm:txFillClrLst>
    <dgm:txEffectClrLst/>
  </dgm:styleLbl>
  <dgm:styleLbl name="fgShp">
    <dgm:fillClrLst meth="repeat">
      <a:schemeClr val="accent1">
        <a:tint val="6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360F31E3-90F8-41BB-A316-064158D498C6}" type="doc">
      <dgm:prSet loTypeId="urn:microsoft.com/office/officeart/2005/8/layout/process2" loCatId="process" qsTypeId="urn:microsoft.com/office/officeart/2005/8/quickstyle/simple1" qsCatId="simple" csTypeId="urn:microsoft.com/office/officeart/2005/8/colors/accent1_2" csCatId="accent1" phldr="1"/>
      <dgm:spPr/>
      <dgm:t>
        <a:bodyPr/>
        <a:lstStyle/>
        <a:p>
          <a:endParaRPr lang="nl-NL"/>
        </a:p>
      </dgm:t>
    </dgm:pt>
    <dgm:pt modelId="{3F8ECF8A-706F-4908-86D7-7C4FF19EDFB1}">
      <dgm:prSet phldrT="[Tekst]"/>
      <dgm:spPr>
        <a:solidFill>
          <a:schemeClr val="tx2">
            <a:lumMod val="40000"/>
            <a:lumOff val="60000"/>
          </a:schemeClr>
        </a:solidFill>
      </dgm:spPr>
      <dgm:t>
        <a:bodyPr/>
        <a:lstStyle/>
        <a:p>
          <a:pPr algn="ctr"/>
          <a:r>
            <a:rPr lang="nl-NL"/>
            <a:t>CSR Decision Phase</a:t>
          </a:r>
        </a:p>
      </dgm:t>
    </dgm:pt>
    <dgm:pt modelId="{960E82F3-8387-4C82-A002-23C5B4CCCF16}" type="parTrans" cxnId="{4784AC48-04B6-410C-8AF1-FB0ABC8B1311}">
      <dgm:prSet/>
      <dgm:spPr/>
      <dgm:t>
        <a:bodyPr/>
        <a:lstStyle/>
        <a:p>
          <a:endParaRPr lang="nl-NL"/>
        </a:p>
      </dgm:t>
    </dgm:pt>
    <dgm:pt modelId="{2A89E951-DEC1-4637-A1B0-DC83854D24A3}" type="sibTrans" cxnId="{4784AC48-04B6-410C-8AF1-FB0ABC8B1311}">
      <dgm:prSet/>
      <dgm:spPr/>
      <dgm:t>
        <a:bodyPr/>
        <a:lstStyle/>
        <a:p>
          <a:endParaRPr lang="nl-NL"/>
        </a:p>
      </dgm:t>
    </dgm:pt>
    <dgm:pt modelId="{510F5437-9A65-49BD-9A46-B7E7FDDDE68C}">
      <dgm:prSet phldrT="[Tekst]"/>
      <dgm:spPr>
        <a:solidFill>
          <a:schemeClr val="tx2"/>
        </a:solidFill>
      </dgm:spPr>
      <dgm:t>
        <a:bodyPr/>
        <a:lstStyle/>
        <a:p>
          <a:pPr algn="l"/>
          <a:endParaRPr lang="nl-NL"/>
        </a:p>
      </dgm:t>
    </dgm:pt>
    <dgm:pt modelId="{2703AB4F-3CDB-4169-A232-1EC0E683B1B4}" type="parTrans" cxnId="{AFF378F0-DC97-4609-8966-4FDCE6E7F2AF}">
      <dgm:prSet/>
      <dgm:spPr/>
      <dgm:t>
        <a:bodyPr/>
        <a:lstStyle/>
        <a:p>
          <a:endParaRPr lang="nl-NL"/>
        </a:p>
      </dgm:t>
    </dgm:pt>
    <dgm:pt modelId="{16B631B8-D4D6-4701-805A-2BBB4797975C}" type="sibTrans" cxnId="{AFF378F0-DC97-4609-8966-4FDCE6E7F2AF}">
      <dgm:prSet/>
      <dgm:spPr/>
      <dgm:t>
        <a:bodyPr/>
        <a:lstStyle/>
        <a:p>
          <a:endParaRPr lang="nl-NL"/>
        </a:p>
      </dgm:t>
    </dgm:pt>
    <dgm:pt modelId="{686B80D5-547B-4B10-843B-694CC893F737}">
      <dgm:prSet/>
      <dgm:spPr>
        <a:solidFill>
          <a:schemeClr val="tx2"/>
        </a:solidFill>
      </dgm:spPr>
      <dgm:t>
        <a:bodyPr/>
        <a:lstStyle/>
        <a:p>
          <a:pPr algn="ctr"/>
          <a:r>
            <a:rPr lang="nl-NL"/>
            <a:t>CSR Strategy</a:t>
          </a:r>
        </a:p>
      </dgm:t>
    </dgm:pt>
    <dgm:pt modelId="{88E715A8-1234-418B-823A-381DD5FD41CB}" type="parTrans" cxnId="{703E07E4-17CE-4F0F-980B-C4D25433AAA3}">
      <dgm:prSet/>
      <dgm:spPr/>
      <dgm:t>
        <a:bodyPr/>
        <a:lstStyle/>
        <a:p>
          <a:endParaRPr lang="nl-NL"/>
        </a:p>
      </dgm:t>
    </dgm:pt>
    <dgm:pt modelId="{2B029396-E068-48AD-B083-20149769B395}" type="sibTrans" cxnId="{703E07E4-17CE-4F0F-980B-C4D25433AAA3}">
      <dgm:prSet/>
      <dgm:spPr/>
      <dgm:t>
        <a:bodyPr/>
        <a:lstStyle/>
        <a:p>
          <a:endParaRPr lang="nl-NL"/>
        </a:p>
      </dgm:t>
    </dgm:pt>
    <dgm:pt modelId="{16B85F96-1E8E-40A0-860A-49D27057774E}">
      <dgm:prSet phldrT="[Tekst]"/>
      <dgm:spPr>
        <a:solidFill>
          <a:schemeClr val="tx2">
            <a:lumMod val="40000"/>
            <a:lumOff val="60000"/>
          </a:schemeClr>
        </a:solidFill>
      </dgm:spPr>
      <dgm:t>
        <a:bodyPr/>
        <a:lstStyle/>
        <a:p>
          <a:pPr algn="ctr"/>
          <a:r>
            <a:rPr lang="nl-NL"/>
            <a:t>CSR Adoption Phase</a:t>
          </a:r>
        </a:p>
      </dgm:t>
    </dgm:pt>
    <dgm:pt modelId="{1D382147-AF1E-493C-8422-D9E24BFF3FB8}" type="parTrans" cxnId="{20B61FED-5C8D-4FA5-AC65-455B4FA77FB7}">
      <dgm:prSet/>
      <dgm:spPr/>
      <dgm:t>
        <a:bodyPr/>
        <a:lstStyle/>
        <a:p>
          <a:endParaRPr lang="nl-NL"/>
        </a:p>
      </dgm:t>
    </dgm:pt>
    <dgm:pt modelId="{EB0EEB2D-7C5D-4E44-BB70-9A3C44A1DC92}" type="sibTrans" cxnId="{20B61FED-5C8D-4FA5-AC65-455B4FA77FB7}">
      <dgm:prSet/>
      <dgm:spPr/>
      <dgm:t>
        <a:bodyPr/>
        <a:lstStyle/>
        <a:p>
          <a:endParaRPr lang="nl-NL"/>
        </a:p>
      </dgm:t>
    </dgm:pt>
    <dgm:pt modelId="{925CD57A-5A35-4D8D-9646-239DFB62875F}">
      <dgm:prSet phldrT="[Tekst]"/>
      <dgm:spPr>
        <a:solidFill>
          <a:schemeClr val="tx2">
            <a:lumMod val="40000"/>
            <a:lumOff val="60000"/>
          </a:schemeClr>
        </a:solidFill>
      </dgm:spPr>
      <dgm:t>
        <a:bodyPr/>
        <a:lstStyle/>
        <a:p>
          <a:pPr algn="ctr"/>
          <a:r>
            <a:rPr lang="nl-NL"/>
            <a:t>CSR Commitment Phase</a:t>
          </a:r>
        </a:p>
      </dgm:t>
    </dgm:pt>
    <dgm:pt modelId="{CA8FB667-BFF7-4866-ADD3-B3AF0523C3DD}" type="parTrans" cxnId="{01F1A0F8-C780-424D-8EE3-C9F64E01FB6A}">
      <dgm:prSet/>
      <dgm:spPr/>
      <dgm:t>
        <a:bodyPr/>
        <a:lstStyle/>
        <a:p>
          <a:endParaRPr lang="nl-NL"/>
        </a:p>
      </dgm:t>
    </dgm:pt>
    <dgm:pt modelId="{72A91F3C-7496-4A1F-94A5-A00F74161380}" type="sibTrans" cxnId="{01F1A0F8-C780-424D-8EE3-C9F64E01FB6A}">
      <dgm:prSet/>
      <dgm:spPr/>
      <dgm:t>
        <a:bodyPr/>
        <a:lstStyle/>
        <a:p>
          <a:endParaRPr lang="nl-NL"/>
        </a:p>
      </dgm:t>
    </dgm:pt>
    <dgm:pt modelId="{71A7AAE3-DBFD-422F-AC00-3CB955E0BA75}" type="pres">
      <dgm:prSet presAssocID="{360F31E3-90F8-41BB-A316-064158D498C6}" presName="linearFlow" presStyleCnt="0">
        <dgm:presLayoutVars>
          <dgm:resizeHandles val="exact"/>
        </dgm:presLayoutVars>
      </dgm:prSet>
      <dgm:spPr/>
      <dgm:t>
        <a:bodyPr/>
        <a:lstStyle/>
        <a:p>
          <a:endParaRPr lang="nl-NL"/>
        </a:p>
      </dgm:t>
    </dgm:pt>
    <dgm:pt modelId="{43FA4F7A-0ED2-48A6-9A07-944981A12B5A}" type="pres">
      <dgm:prSet presAssocID="{3F8ECF8A-706F-4908-86D7-7C4FF19EDFB1}" presName="node" presStyleLbl="node1" presStyleIdx="0" presStyleCnt="4">
        <dgm:presLayoutVars>
          <dgm:bulletEnabled val="1"/>
        </dgm:presLayoutVars>
      </dgm:prSet>
      <dgm:spPr/>
      <dgm:t>
        <a:bodyPr/>
        <a:lstStyle/>
        <a:p>
          <a:endParaRPr lang="nl-NL"/>
        </a:p>
      </dgm:t>
    </dgm:pt>
    <dgm:pt modelId="{CE648EF9-EB94-4F31-8786-D2E407700F09}" type="pres">
      <dgm:prSet presAssocID="{2A89E951-DEC1-4637-A1B0-DC83854D24A3}" presName="sibTrans" presStyleLbl="sibTrans2D1" presStyleIdx="0" presStyleCnt="3"/>
      <dgm:spPr/>
      <dgm:t>
        <a:bodyPr/>
        <a:lstStyle/>
        <a:p>
          <a:endParaRPr lang="nl-NL"/>
        </a:p>
      </dgm:t>
    </dgm:pt>
    <dgm:pt modelId="{4B0F7229-B3AB-45B5-8799-9AF61A2F734F}" type="pres">
      <dgm:prSet presAssocID="{2A89E951-DEC1-4637-A1B0-DC83854D24A3}" presName="connectorText" presStyleLbl="sibTrans2D1" presStyleIdx="0" presStyleCnt="3"/>
      <dgm:spPr/>
      <dgm:t>
        <a:bodyPr/>
        <a:lstStyle/>
        <a:p>
          <a:endParaRPr lang="nl-NL"/>
        </a:p>
      </dgm:t>
    </dgm:pt>
    <dgm:pt modelId="{61CEA0EF-2153-43CC-B96D-7850591DFB7E}" type="pres">
      <dgm:prSet presAssocID="{16B85F96-1E8E-40A0-860A-49D27057774E}" presName="node" presStyleLbl="node1" presStyleIdx="1" presStyleCnt="4">
        <dgm:presLayoutVars>
          <dgm:bulletEnabled val="1"/>
        </dgm:presLayoutVars>
      </dgm:prSet>
      <dgm:spPr/>
      <dgm:t>
        <a:bodyPr/>
        <a:lstStyle/>
        <a:p>
          <a:endParaRPr lang="nl-NL"/>
        </a:p>
      </dgm:t>
    </dgm:pt>
    <dgm:pt modelId="{8266251F-E5F4-4F05-86CF-F53F88688454}" type="pres">
      <dgm:prSet presAssocID="{EB0EEB2D-7C5D-4E44-BB70-9A3C44A1DC92}" presName="sibTrans" presStyleLbl="sibTrans2D1" presStyleIdx="1" presStyleCnt="3"/>
      <dgm:spPr/>
      <dgm:t>
        <a:bodyPr/>
        <a:lstStyle/>
        <a:p>
          <a:endParaRPr lang="nl-NL"/>
        </a:p>
      </dgm:t>
    </dgm:pt>
    <dgm:pt modelId="{3BC0C119-F51B-4E7C-B420-988D5E40F488}" type="pres">
      <dgm:prSet presAssocID="{EB0EEB2D-7C5D-4E44-BB70-9A3C44A1DC92}" presName="connectorText" presStyleLbl="sibTrans2D1" presStyleIdx="1" presStyleCnt="3"/>
      <dgm:spPr/>
      <dgm:t>
        <a:bodyPr/>
        <a:lstStyle/>
        <a:p>
          <a:endParaRPr lang="nl-NL"/>
        </a:p>
      </dgm:t>
    </dgm:pt>
    <dgm:pt modelId="{4A914E83-EFE4-4B9C-8898-D38DA12436E5}" type="pres">
      <dgm:prSet presAssocID="{925CD57A-5A35-4D8D-9646-239DFB62875F}" presName="node" presStyleLbl="node1" presStyleIdx="2" presStyleCnt="4">
        <dgm:presLayoutVars>
          <dgm:bulletEnabled val="1"/>
        </dgm:presLayoutVars>
      </dgm:prSet>
      <dgm:spPr/>
      <dgm:t>
        <a:bodyPr/>
        <a:lstStyle/>
        <a:p>
          <a:endParaRPr lang="nl-NL"/>
        </a:p>
      </dgm:t>
    </dgm:pt>
    <dgm:pt modelId="{30C2263D-62C8-4947-922A-D7658474E320}" type="pres">
      <dgm:prSet presAssocID="{72A91F3C-7496-4A1F-94A5-A00F74161380}" presName="sibTrans" presStyleLbl="sibTrans2D1" presStyleIdx="2" presStyleCnt="3"/>
      <dgm:spPr/>
      <dgm:t>
        <a:bodyPr/>
        <a:lstStyle/>
        <a:p>
          <a:endParaRPr lang="nl-NL"/>
        </a:p>
      </dgm:t>
    </dgm:pt>
    <dgm:pt modelId="{FA1F0AB8-1F08-4D9E-A6EB-944039908052}" type="pres">
      <dgm:prSet presAssocID="{72A91F3C-7496-4A1F-94A5-A00F74161380}" presName="connectorText" presStyleLbl="sibTrans2D1" presStyleIdx="2" presStyleCnt="3"/>
      <dgm:spPr/>
      <dgm:t>
        <a:bodyPr/>
        <a:lstStyle/>
        <a:p>
          <a:endParaRPr lang="nl-NL"/>
        </a:p>
      </dgm:t>
    </dgm:pt>
    <dgm:pt modelId="{84A6E3F4-BF22-42FA-BA4C-81D6ACA9A56A}" type="pres">
      <dgm:prSet presAssocID="{686B80D5-547B-4B10-843B-694CC893F737}" presName="node" presStyleLbl="node1" presStyleIdx="3" presStyleCnt="4">
        <dgm:presLayoutVars>
          <dgm:bulletEnabled val="1"/>
        </dgm:presLayoutVars>
      </dgm:prSet>
      <dgm:spPr/>
      <dgm:t>
        <a:bodyPr/>
        <a:lstStyle/>
        <a:p>
          <a:endParaRPr lang="nl-NL"/>
        </a:p>
      </dgm:t>
    </dgm:pt>
  </dgm:ptLst>
  <dgm:cxnLst>
    <dgm:cxn modelId="{5902E7F9-21FA-4595-BE11-1E17E9F1DDE9}" type="presOf" srcId="{360F31E3-90F8-41BB-A316-064158D498C6}" destId="{71A7AAE3-DBFD-422F-AC00-3CB955E0BA75}" srcOrd="0" destOrd="0" presId="urn:microsoft.com/office/officeart/2005/8/layout/process2"/>
    <dgm:cxn modelId="{AFF378F0-DC97-4609-8966-4FDCE6E7F2AF}" srcId="{686B80D5-547B-4B10-843B-694CC893F737}" destId="{510F5437-9A65-49BD-9A46-B7E7FDDDE68C}" srcOrd="0" destOrd="0" parTransId="{2703AB4F-3CDB-4169-A232-1EC0E683B1B4}" sibTransId="{16B631B8-D4D6-4701-805A-2BBB4797975C}"/>
    <dgm:cxn modelId="{703E07E4-17CE-4F0F-980B-C4D25433AAA3}" srcId="{360F31E3-90F8-41BB-A316-064158D498C6}" destId="{686B80D5-547B-4B10-843B-694CC893F737}" srcOrd="3" destOrd="0" parTransId="{88E715A8-1234-418B-823A-381DD5FD41CB}" sibTransId="{2B029396-E068-48AD-B083-20149769B395}"/>
    <dgm:cxn modelId="{01F1A0F8-C780-424D-8EE3-C9F64E01FB6A}" srcId="{360F31E3-90F8-41BB-A316-064158D498C6}" destId="{925CD57A-5A35-4D8D-9646-239DFB62875F}" srcOrd="2" destOrd="0" parTransId="{CA8FB667-BFF7-4866-ADD3-B3AF0523C3DD}" sibTransId="{72A91F3C-7496-4A1F-94A5-A00F74161380}"/>
    <dgm:cxn modelId="{FCF28399-2CEC-4DDE-9305-4F2BFFDCF1F2}" type="presOf" srcId="{EB0EEB2D-7C5D-4E44-BB70-9A3C44A1DC92}" destId="{3BC0C119-F51B-4E7C-B420-988D5E40F488}" srcOrd="1" destOrd="0" presId="urn:microsoft.com/office/officeart/2005/8/layout/process2"/>
    <dgm:cxn modelId="{46F4F395-E412-426C-890F-727F2D468495}" type="presOf" srcId="{72A91F3C-7496-4A1F-94A5-A00F74161380}" destId="{FA1F0AB8-1F08-4D9E-A6EB-944039908052}" srcOrd="1" destOrd="0" presId="urn:microsoft.com/office/officeart/2005/8/layout/process2"/>
    <dgm:cxn modelId="{4784AC48-04B6-410C-8AF1-FB0ABC8B1311}" srcId="{360F31E3-90F8-41BB-A316-064158D498C6}" destId="{3F8ECF8A-706F-4908-86D7-7C4FF19EDFB1}" srcOrd="0" destOrd="0" parTransId="{960E82F3-8387-4C82-A002-23C5B4CCCF16}" sibTransId="{2A89E951-DEC1-4637-A1B0-DC83854D24A3}"/>
    <dgm:cxn modelId="{9F5BF946-3E0F-4455-9377-75FE353E0970}" type="presOf" srcId="{2A89E951-DEC1-4637-A1B0-DC83854D24A3}" destId="{CE648EF9-EB94-4F31-8786-D2E407700F09}" srcOrd="0" destOrd="0" presId="urn:microsoft.com/office/officeart/2005/8/layout/process2"/>
    <dgm:cxn modelId="{180247C8-6031-478F-84BB-98525D59CA37}" type="presOf" srcId="{72A91F3C-7496-4A1F-94A5-A00F74161380}" destId="{30C2263D-62C8-4947-922A-D7658474E320}" srcOrd="0" destOrd="0" presId="urn:microsoft.com/office/officeart/2005/8/layout/process2"/>
    <dgm:cxn modelId="{CF405763-B3C9-484E-A1B7-506839FA2DA8}" type="presOf" srcId="{EB0EEB2D-7C5D-4E44-BB70-9A3C44A1DC92}" destId="{8266251F-E5F4-4F05-86CF-F53F88688454}" srcOrd="0" destOrd="0" presId="urn:microsoft.com/office/officeart/2005/8/layout/process2"/>
    <dgm:cxn modelId="{D91395AB-9243-4A6F-89A0-E5D67BEF6181}" type="presOf" srcId="{925CD57A-5A35-4D8D-9646-239DFB62875F}" destId="{4A914E83-EFE4-4B9C-8898-D38DA12436E5}" srcOrd="0" destOrd="0" presId="urn:microsoft.com/office/officeart/2005/8/layout/process2"/>
    <dgm:cxn modelId="{AC43E5D4-D992-4995-B642-CB02F138E1E6}" type="presOf" srcId="{16B85F96-1E8E-40A0-860A-49D27057774E}" destId="{61CEA0EF-2153-43CC-B96D-7850591DFB7E}" srcOrd="0" destOrd="0" presId="urn:microsoft.com/office/officeart/2005/8/layout/process2"/>
    <dgm:cxn modelId="{AF006599-A2F3-4C49-8511-34080D5F2731}" type="presOf" srcId="{686B80D5-547B-4B10-843B-694CC893F737}" destId="{84A6E3F4-BF22-42FA-BA4C-81D6ACA9A56A}" srcOrd="0" destOrd="0" presId="urn:microsoft.com/office/officeart/2005/8/layout/process2"/>
    <dgm:cxn modelId="{18307A8F-04BD-43F3-BB17-C36D328E8E09}" type="presOf" srcId="{2A89E951-DEC1-4637-A1B0-DC83854D24A3}" destId="{4B0F7229-B3AB-45B5-8799-9AF61A2F734F}" srcOrd="1" destOrd="0" presId="urn:microsoft.com/office/officeart/2005/8/layout/process2"/>
    <dgm:cxn modelId="{20B61FED-5C8D-4FA5-AC65-455B4FA77FB7}" srcId="{360F31E3-90F8-41BB-A316-064158D498C6}" destId="{16B85F96-1E8E-40A0-860A-49D27057774E}" srcOrd="1" destOrd="0" parTransId="{1D382147-AF1E-493C-8422-D9E24BFF3FB8}" sibTransId="{EB0EEB2D-7C5D-4E44-BB70-9A3C44A1DC92}"/>
    <dgm:cxn modelId="{A624D67B-20F4-4FFC-9A4B-DE4EDEF28F5D}" type="presOf" srcId="{510F5437-9A65-49BD-9A46-B7E7FDDDE68C}" destId="{84A6E3F4-BF22-42FA-BA4C-81D6ACA9A56A}" srcOrd="0" destOrd="1" presId="urn:microsoft.com/office/officeart/2005/8/layout/process2"/>
    <dgm:cxn modelId="{A18C0819-0DD2-4D23-9E5B-9DC0C11A72DB}" type="presOf" srcId="{3F8ECF8A-706F-4908-86D7-7C4FF19EDFB1}" destId="{43FA4F7A-0ED2-48A6-9A07-944981A12B5A}" srcOrd="0" destOrd="0" presId="urn:microsoft.com/office/officeart/2005/8/layout/process2"/>
    <dgm:cxn modelId="{4E70F94E-33BC-44B0-92F0-6D5FE318DAB9}" type="presParOf" srcId="{71A7AAE3-DBFD-422F-AC00-3CB955E0BA75}" destId="{43FA4F7A-0ED2-48A6-9A07-944981A12B5A}" srcOrd="0" destOrd="0" presId="urn:microsoft.com/office/officeart/2005/8/layout/process2"/>
    <dgm:cxn modelId="{849FA33E-7D3C-457C-BDCB-0EC395E55133}" type="presParOf" srcId="{71A7AAE3-DBFD-422F-AC00-3CB955E0BA75}" destId="{CE648EF9-EB94-4F31-8786-D2E407700F09}" srcOrd="1" destOrd="0" presId="urn:microsoft.com/office/officeart/2005/8/layout/process2"/>
    <dgm:cxn modelId="{919C81F6-5458-40E0-A171-90484465C172}" type="presParOf" srcId="{CE648EF9-EB94-4F31-8786-D2E407700F09}" destId="{4B0F7229-B3AB-45B5-8799-9AF61A2F734F}" srcOrd="0" destOrd="0" presId="urn:microsoft.com/office/officeart/2005/8/layout/process2"/>
    <dgm:cxn modelId="{4198D292-6187-467E-B52C-EDB2D954EA42}" type="presParOf" srcId="{71A7AAE3-DBFD-422F-AC00-3CB955E0BA75}" destId="{61CEA0EF-2153-43CC-B96D-7850591DFB7E}" srcOrd="2" destOrd="0" presId="urn:microsoft.com/office/officeart/2005/8/layout/process2"/>
    <dgm:cxn modelId="{8BF4D7DA-2B74-41A2-A105-289B150A3E54}" type="presParOf" srcId="{71A7AAE3-DBFD-422F-AC00-3CB955E0BA75}" destId="{8266251F-E5F4-4F05-86CF-F53F88688454}" srcOrd="3" destOrd="0" presId="urn:microsoft.com/office/officeart/2005/8/layout/process2"/>
    <dgm:cxn modelId="{EE81EBCF-C918-40D0-9E41-F1B45AA86B1A}" type="presParOf" srcId="{8266251F-E5F4-4F05-86CF-F53F88688454}" destId="{3BC0C119-F51B-4E7C-B420-988D5E40F488}" srcOrd="0" destOrd="0" presId="urn:microsoft.com/office/officeart/2005/8/layout/process2"/>
    <dgm:cxn modelId="{56EBD656-5318-46F4-A77D-33EFD4073E3E}" type="presParOf" srcId="{71A7AAE3-DBFD-422F-AC00-3CB955E0BA75}" destId="{4A914E83-EFE4-4B9C-8898-D38DA12436E5}" srcOrd="4" destOrd="0" presId="urn:microsoft.com/office/officeart/2005/8/layout/process2"/>
    <dgm:cxn modelId="{4E2FB1C7-CEAA-498E-A246-A2E8C5006899}" type="presParOf" srcId="{71A7AAE3-DBFD-422F-AC00-3CB955E0BA75}" destId="{30C2263D-62C8-4947-922A-D7658474E320}" srcOrd="5" destOrd="0" presId="urn:microsoft.com/office/officeart/2005/8/layout/process2"/>
    <dgm:cxn modelId="{3859EC51-FE09-41DC-9910-052954C94E51}" type="presParOf" srcId="{30C2263D-62C8-4947-922A-D7658474E320}" destId="{FA1F0AB8-1F08-4D9E-A6EB-944039908052}" srcOrd="0" destOrd="0" presId="urn:microsoft.com/office/officeart/2005/8/layout/process2"/>
    <dgm:cxn modelId="{63F18322-CC1E-4C58-85F8-70263FE5A57B}" type="presParOf" srcId="{71A7AAE3-DBFD-422F-AC00-3CB955E0BA75}" destId="{84A6E3F4-BF22-42FA-BA4C-81D6ACA9A56A}" srcOrd="6" destOrd="0" presId="urn:microsoft.com/office/officeart/2005/8/layout/process2"/>
  </dgm:cxnLst>
  <dgm:bg/>
  <dgm:whole/>
  <dgm:extLst>
    <a:ext uri="http://schemas.microsoft.com/office/drawing/2008/diagram">
      <dsp:dataModelExt xmlns:dsp="http://schemas.microsoft.com/office/drawing/2008/diagram" xmlns="" relId="rId12" minVer="http://schemas.openxmlformats.org/drawingml/2006/diagram"/>
    </a:ext>
  </dgm:extLst>
</dgm:dataModel>
</file>

<file path=word/diagrams/drawing1.xml><?xml version="1.0" encoding="utf-8"?>
<dsp:drawing xmlns:dgm="http://schemas.openxmlformats.org/drawingml/2006/diagram" xmlns:a="http://schemas.openxmlformats.org/drawingml/2006/main" xmlns:dsp="http://schemas.microsoft.com/office/drawing/2008/diagram">
  <dsp:spTree>
    <dsp:nvGrpSpPr>
      <dsp:cNvPr id="0" name=""/>
      <dsp:cNvGrpSpPr/>
    </dsp:nvGrpSpPr>
    <dsp:grpSpPr/>
    <dsp:sp modelId="{43FA4F7A-0ED2-48A6-9A07-944981A12B5A}">
      <dsp:nvSpPr>
        <dsp:cNvPr id="0" name=""/>
        <dsp:cNvSpPr/>
      </dsp:nvSpPr>
      <dsp:spPr>
        <a:xfrm>
          <a:off x="2035507" y="1559"/>
          <a:ext cx="1415385" cy="580307"/>
        </a:xfrm>
        <a:prstGeom prst="roundRect">
          <a:avLst>
            <a:gd name="adj" fmla="val 10000"/>
          </a:avLst>
        </a:prstGeom>
        <a:solidFill>
          <a:schemeClr val="tx2">
            <a:lumMod val="40000"/>
            <a:lumOff val="6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nl-NL" sz="1400" kern="1200"/>
            <a:t>CSR Decision Phase</a:t>
          </a:r>
        </a:p>
      </dsp:txBody>
      <dsp:txXfrm>
        <a:off x="2035507" y="1559"/>
        <a:ext cx="1415385" cy="580307"/>
      </dsp:txXfrm>
    </dsp:sp>
    <dsp:sp modelId="{CE648EF9-EB94-4F31-8786-D2E407700F09}">
      <dsp:nvSpPr>
        <dsp:cNvPr id="0" name=""/>
        <dsp:cNvSpPr/>
      </dsp:nvSpPr>
      <dsp:spPr>
        <a:xfrm rot="5400000">
          <a:off x="2634392" y="596375"/>
          <a:ext cx="217615" cy="26113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nl-NL" sz="1000" kern="1200"/>
        </a:p>
      </dsp:txBody>
      <dsp:txXfrm rot="5400000">
        <a:off x="2634392" y="596375"/>
        <a:ext cx="217615" cy="261138"/>
      </dsp:txXfrm>
    </dsp:sp>
    <dsp:sp modelId="{61CEA0EF-2153-43CC-B96D-7850591DFB7E}">
      <dsp:nvSpPr>
        <dsp:cNvPr id="0" name=""/>
        <dsp:cNvSpPr/>
      </dsp:nvSpPr>
      <dsp:spPr>
        <a:xfrm>
          <a:off x="2035507" y="872021"/>
          <a:ext cx="1415385" cy="580307"/>
        </a:xfrm>
        <a:prstGeom prst="roundRect">
          <a:avLst>
            <a:gd name="adj" fmla="val 10000"/>
          </a:avLst>
        </a:prstGeom>
        <a:solidFill>
          <a:schemeClr val="tx2">
            <a:lumMod val="40000"/>
            <a:lumOff val="6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nl-NL" sz="1400" kern="1200"/>
            <a:t>CSR Adoption Phase</a:t>
          </a:r>
        </a:p>
      </dsp:txBody>
      <dsp:txXfrm>
        <a:off x="2035507" y="872021"/>
        <a:ext cx="1415385" cy="580307"/>
      </dsp:txXfrm>
    </dsp:sp>
    <dsp:sp modelId="{8266251F-E5F4-4F05-86CF-F53F88688454}">
      <dsp:nvSpPr>
        <dsp:cNvPr id="0" name=""/>
        <dsp:cNvSpPr/>
      </dsp:nvSpPr>
      <dsp:spPr>
        <a:xfrm rot="5400000">
          <a:off x="2634392" y="1466836"/>
          <a:ext cx="217615" cy="26113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nl-NL" sz="1000" kern="1200"/>
        </a:p>
      </dsp:txBody>
      <dsp:txXfrm rot="5400000">
        <a:off x="2634392" y="1466836"/>
        <a:ext cx="217615" cy="261138"/>
      </dsp:txXfrm>
    </dsp:sp>
    <dsp:sp modelId="{4A914E83-EFE4-4B9C-8898-D38DA12436E5}">
      <dsp:nvSpPr>
        <dsp:cNvPr id="0" name=""/>
        <dsp:cNvSpPr/>
      </dsp:nvSpPr>
      <dsp:spPr>
        <a:xfrm>
          <a:off x="2035507" y="1742482"/>
          <a:ext cx="1415385" cy="580307"/>
        </a:xfrm>
        <a:prstGeom prst="roundRect">
          <a:avLst>
            <a:gd name="adj" fmla="val 10000"/>
          </a:avLst>
        </a:prstGeom>
        <a:solidFill>
          <a:schemeClr val="tx2">
            <a:lumMod val="40000"/>
            <a:lumOff val="60000"/>
          </a:schemeClr>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nl-NL" sz="1400" kern="1200"/>
            <a:t>CSR Commitment Phase</a:t>
          </a:r>
        </a:p>
      </dsp:txBody>
      <dsp:txXfrm>
        <a:off x="2035507" y="1742482"/>
        <a:ext cx="1415385" cy="580307"/>
      </dsp:txXfrm>
    </dsp:sp>
    <dsp:sp modelId="{30C2263D-62C8-4947-922A-D7658474E320}">
      <dsp:nvSpPr>
        <dsp:cNvPr id="0" name=""/>
        <dsp:cNvSpPr/>
      </dsp:nvSpPr>
      <dsp:spPr>
        <a:xfrm rot="5400000">
          <a:off x="2634392" y="2337298"/>
          <a:ext cx="217615" cy="261138"/>
        </a:xfrm>
        <a:prstGeom prst="rightArrow">
          <a:avLst>
            <a:gd name="adj1" fmla="val 60000"/>
            <a:gd name="adj2" fmla="val 50000"/>
          </a:avLst>
        </a:prstGeom>
        <a:solidFill>
          <a:schemeClr val="accent1">
            <a:tint val="60000"/>
            <a:hueOff val="0"/>
            <a:satOff val="0"/>
            <a:lumOff val="0"/>
            <a:alphaOff val="0"/>
          </a:schemeClr>
        </a:solidFill>
        <a:ln>
          <a:noFill/>
        </a:ln>
        <a:effectLst/>
      </dsp:spPr>
      <dsp:style>
        <a:lnRef idx="0">
          <a:scrgbClr r="0" g="0" b="0"/>
        </a:lnRef>
        <a:fillRef idx="1">
          <a:scrgbClr r="0" g="0" b="0"/>
        </a:fillRef>
        <a:effectRef idx="0">
          <a:scrgbClr r="0" g="0" b="0"/>
        </a:effectRef>
        <a:fontRef idx="minor">
          <a:schemeClr val="lt1"/>
        </a:fontRef>
      </dsp:style>
      <dsp:txBody>
        <a:bodyPr spcFirstLastPara="0" vert="horz" wrap="square" lIns="0" tIns="0" rIns="0" bIns="0" numCol="1" spcCol="1270" anchor="ctr" anchorCtr="0">
          <a:noAutofit/>
        </a:bodyPr>
        <a:lstStyle/>
        <a:p>
          <a:pPr lvl="0" algn="ctr" defTabSz="444500">
            <a:lnSpc>
              <a:spcPct val="90000"/>
            </a:lnSpc>
            <a:spcBef>
              <a:spcPct val="0"/>
            </a:spcBef>
            <a:spcAft>
              <a:spcPct val="35000"/>
            </a:spcAft>
          </a:pPr>
          <a:endParaRPr lang="nl-NL" sz="1000" kern="1200"/>
        </a:p>
      </dsp:txBody>
      <dsp:txXfrm rot="5400000">
        <a:off x="2634392" y="2337298"/>
        <a:ext cx="217615" cy="261138"/>
      </dsp:txXfrm>
    </dsp:sp>
    <dsp:sp modelId="{84A6E3F4-BF22-42FA-BA4C-81D6ACA9A56A}">
      <dsp:nvSpPr>
        <dsp:cNvPr id="0" name=""/>
        <dsp:cNvSpPr/>
      </dsp:nvSpPr>
      <dsp:spPr>
        <a:xfrm>
          <a:off x="2035507" y="2612944"/>
          <a:ext cx="1415385" cy="580307"/>
        </a:xfrm>
        <a:prstGeom prst="roundRect">
          <a:avLst>
            <a:gd name="adj" fmla="val 10000"/>
          </a:avLst>
        </a:prstGeom>
        <a:solidFill>
          <a:schemeClr val="tx2"/>
        </a:solidFill>
        <a:ln w="25400" cap="flat" cmpd="sng" algn="ctr">
          <a:solidFill>
            <a:schemeClr val="lt1">
              <a:hueOff val="0"/>
              <a:satOff val="0"/>
              <a:lumOff val="0"/>
              <a:alphaOff val="0"/>
            </a:schemeClr>
          </a:solidFill>
          <a:prstDash val="solid"/>
        </a:ln>
        <a:effectLst/>
      </dsp:spPr>
      <dsp:style>
        <a:lnRef idx="2">
          <a:scrgbClr r="0" g="0" b="0"/>
        </a:lnRef>
        <a:fillRef idx="1">
          <a:scrgbClr r="0" g="0" b="0"/>
        </a:fillRef>
        <a:effectRef idx="0">
          <a:scrgbClr r="0" g="0" b="0"/>
        </a:effectRef>
        <a:fontRef idx="minor">
          <a:schemeClr val="lt1"/>
        </a:fontRef>
      </dsp:style>
      <dsp:txBody>
        <a:bodyPr spcFirstLastPara="0" vert="horz" wrap="square" lIns="53340" tIns="53340" rIns="53340" bIns="53340" numCol="1" spcCol="1270" anchor="ctr" anchorCtr="0">
          <a:noAutofit/>
        </a:bodyPr>
        <a:lstStyle/>
        <a:p>
          <a:pPr lvl="0" algn="ctr" defTabSz="622300">
            <a:lnSpc>
              <a:spcPct val="90000"/>
            </a:lnSpc>
            <a:spcBef>
              <a:spcPct val="0"/>
            </a:spcBef>
            <a:spcAft>
              <a:spcPct val="35000"/>
            </a:spcAft>
          </a:pPr>
          <a:r>
            <a:rPr lang="nl-NL" sz="1400" kern="1200"/>
            <a:t>CSR Strategy</a:t>
          </a:r>
        </a:p>
        <a:p>
          <a:pPr marL="57150" lvl="1" indent="-57150" algn="l" defTabSz="488950">
            <a:lnSpc>
              <a:spcPct val="90000"/>
            </a:lnSpc>
            <a:spcBef>
              <a:spcPct val="0"/>
            </a:spcBef>
            <a:spcAft>
              <a:spcPct val="15000"/>
            </a:spcAft>
            <a:buChar char="••"/>
          </a:pPr>
          <a:endParaRPr lang="nl-NL" sz="1100" kern="1200"/>
        </a:p>
      </dsp:txBody>
      <dsp:txXfrm>
        <a:off x="2035507" y="2612944"/>
        <a:ext cx="1415385" cy="580307"/>
      </dsp:txXfrm>
    </dsp:sp>
  </dsp:spTree>
</dsp:drawing>
</file>

<file path=word/diagrams/layout1.xml><?xml version="1.0" encoding="utf-8"?>
<dgm:layoutDef xmlns:dgm="http://schemas.openxmlformats.org/drawingml/2006/diagram" xmlns:a="http://schemas.openxmlformats.org/drawingml/2006/main" uniqueId="urn:microsoft.com/office/officeart/2005/8/layout/process2">
  <dgm:title val=""/>
  <dgm:desc val=""/>
  <dgm:catLst>
    <dgm:cat type="process" pri="13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linearFlow">
    <dgm:varLst>
      <dgm:resizeHandles val="exact"/>
    </dgm:varLst>
    <dgm:alg type="lin">
      <dgm:param type="linDir" val="fromT"/>
    </dgm:alg>
    <dgm:shape xmlns:r="http://schemas.openxmlformats.org/officeDocument/2006/relationships" r:blip="">
      <dgm:adjLst/>
    </dgm:shape>
    <dgm:presOf/>
    <dgm:constrLst>
      <dgm:constr type="h" for="ch" ptType="node" refType="h"/>
      <dgm:constr type="h" for="ch" ptType="sibTrans" refType="h" refFor="ch" refPtType="node" fact="0.5"/>
      <dgm:constr type="w" for="ch" ptType="node" op="equ"/>
      <dgm:constr type="primFontSz" for="ch" ptType="node" op="equ" val="65"/>
      <dgm:constr type="primFontSz" for="des" forName="connectorText" op="equ" val="55"/>
      <dgm:constr type="primFontSz" for="des" forName="connectorText" refType="primFontSz" refFor="ch" refPtType="node" op="lte" fact="0.8"/>
    </dgm:constrLst>
    <dgm:ruleLst/>
    <dgm:forEach name="nodesForEach" axis="ch" ptType="node">
      <dgm:layoutNode name="node">
        <dgm:varLst>
          <dgm:bulletEnabled val="1"/>
        </dgm:varLst>
        <dgm:choose name="Name0">
          <dgm:if name="Name1" axis="root des" ptType="all node" func="maxDepth" op="gt" val="1">
            <dgm:alg type="tx">
              <dgm:param type="parTxLTRAlign" val="l"/>
              <dgm:param type="parTxRTLAlign" val="r"/>
              <dgm:param type="txAnchorVertCh" val="mid"/>
            </dgm:alg>
          </dgm:if>
          <dgm:else name="Name2">
            <dgm:alg type="tx"/>
          </dgm:else>
        </dgm:choose>
        <dgm:shape xmlns:r="http://schemas.openxmlformats.org/officeDocument/2006/relationships" type="roundRect" r:blip="">
          <dgm:adjLst>
            <dgm:adj idx="1" val="0.1"/>
          </dgm:adjLst>
        </dgm:shape>
        <dgm:presOf axis="desOrSelf" ptType="node"/>
        <dgm:constrLst>
          <dgm:constr type="w" refType="h" fact="1.8"/>
          <dgm:constr type="tMarg" refType="primFontSz" fact="0.3"/>
          <dgm:constr type="bMarg" refType="primFontSz" fact="0.3"/>
          <dgm:constr type="lMarg" refType="primFontSz" fact="0.3"/>
          <dgm:constr type="rMarg" refType="primFontSz" fact="0.3"/>
        </dgm:constrLst>
        <dgm:ruleLst>
          <dgm:rule type="primFontSz" val="18" fact="NaN" max="NaN"/>
          <dgm:rule type="w" val="NaN" fact="4" max="NaN"/>
          <dgm:rule type="primFontSz" val="5" fact="NaN" max="NaN"/>
        </dgm:ruleLst>
      </dgm:layoutNode>
      <dgm:forEach name="sibTransForEach" axis="followSib" ptType="sibTrans" cnt="1">
        <dgm:layoutNode name="sibTrans">
          <dgm:alg type="conn">
            <dgm:param type="begPts" val="auto"/>
            <dgm:param type="endPts" val="auto"/>
          </dgm:alg>
          <dgm:shape xmlns:r="http://schemas.openxmlformats.org/officeDocument/2006/relationships" type="conn" r:blip="">
            <dgm:adjLst/>
          </dgm:shape>
          <dgm:presOf axis="self"/>
          <dgm:constrLst>
            <dgm:constr type="w" refType="h" fact="0.9"/>
            <dgm:constr type="connDist"/>
            <dgm:constr type="wArH" refType="w" fact="0.5"/>
            <dgm:constr type="hArH" refType="w"/>
            <dgm:constr type="stemThick" refType="w" fact="0.6"/>
            <dgm:constr type="begPad" refType="connDist" fact="0.125"/>
            <dgm:constr type="endPad" refType="connDist" fact="0.125"/>
          </dgm:constrLst>
          <dgm:ruleLst/>
          <dgm:layoutNode name="connectorText">
            <dgm:alg type="tx">
              <dgm:param type="autoTxRot" val="upr"/>
            </dgm:alg>
            <dgm:shape xmlns:r="http://schemas.openxmlformats.org/officeDocument/2006/relationships" type="conn" r:blip="" hideGeom="1">
              <dgm:adjLst/>
            </dgm:shape>
            <dgm:presOf axis="self"/>
            <dgm:constrLst>
              <dgm:constr type="lMarg"/>
              <dgm:constr type="rMarg"/>
              <dgm:constr type="tMarg"/>
              <dgm:constr type="bMarg"/>
            </dgm:constrLst>
            <dgm:ruleLst>
              <dgm:rule type="primFontSz" val="5" fact="NaN" max="NaN"/>
            </dgm:ruleLst>
          </dgm:layoutNode>
        </dgm:layoutNode>
      </dgm:forEach>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simple1">
  <dgm:title val=""/>
  <dgm:desc val=""/>
  <dgm:catLst>
    <dgm:cat type="simple" pri="10100"/>
  </dgm:catLst>
  <dgm:scene3d>
    <a:camera prst="orthographicFront"/>
    <a:lightRig rig="threePt" dir="t"/>
  </dgm:scene3d>
  <dgm:styleLbl name="node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l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vennNode1">
    <dgm:scene3d>
      <a:camera prst="orthographicFront"/>
      <a:lightRig rig="threePt" dir="t"/>
    </dgm:scene3d>
    <dgm:sp3d/>
    <dgm:txPr/>
    <dgm:style>
      <a:lnRef idx="2">
        <a:scrgbClr r="0" g="0" b="0"/>
      </a:lnRef>
      <a:fillRef idx="1">
        <a:scrgbClr r="0" g="0" b="0"/>
      </a:fillRef>
      <a:effectRef idx="0">
        <a:scrgbClr r="0" g="0" b="0"/>
      </a:effectRef>
      <a:fontRef idx="minor">
        <a:schemeClr val="tx1"/>
      </a:fontRef>
    </dgm:style>
  </dgm:styleLbl>
  <dgm:styleLbl name="align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node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f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ImgPlac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f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bgSibTrans2D1">
    <dgm:scene3d>
      <a:camera prst="orthographicFront"/>
      <a:lightRig rig="threePt" dir="t"/>
    </dgm:scene3d>
    <dgm:sp3d/>
    <dgm:txPr/>
    <dgm:style>
      <a:lnRef idx="0">
        <a:scrgbClr r="0" g="0" b="0"/>
      </a:lnRef>
      <a:fillRef idx="1">
        <a:scrgbClr r="0" g="0" b="0"/>
      </a:fillRef>
      <a:effectRef idx="0">
        <a:scrgbClr r="0" g="0" b="0"/>
      </a:effectRef>
      <a:fontRef idx="minor">
        <a:schemeClr val="lt1"/>
      </a:fontRef>
    </dgm:style>
  </dgm:styleLbl>
  <dgm:styleLbl name="sibTrans1D1">
    <dgm:scene3d>
      <a:camera prst="orthographicFront"/>
      <a:lightRig rig="threePt" dir="t"/>
    </dgm:scene3d>
    <dgm:sp3d/>
    <dgm:txPr/>
    <dgm:style>
      <a:lnRef idx="1">
        <a:scrgbClr r="0" g="0" b="0"/>
      </a:lnRef>
      <a:fillRef idx="0">
        <a:scrgbClr r="0" g="0" b="0"/>
      </a:fillRef>
      <a:effectRef idx="0">
        <a:scrgbClr r="0" g="0" b="0"/>
      </a:effectRef>
      <a:fontRef idx="minor"/>
    </dgm:style>
  </dgm:styleLbl>
  <dgm:styleLbl name="callout">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sst0">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asst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1">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2">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3">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2D4">
    <dgm:scene3d>
      <a:camera prst="orthographicFront"/>
      <a:lightRig rig="threePt" dir="t"/>
    </dgm:scene3d>
    <dgm:sp3d/>
    <dgm:txPr/>
    <dgm:style>
      <a:lnRef idx="2">
        <a:scrgbClr r="0" g="0" b="0"/>
      </a:lnRef>
      <a:fillRef idx="1">
        <a:scrgbClr r="0" g="0" b="0"/>
      </a:fillRef>
      <a:effectRef idx="0">
        <a:scrgbClr r="0" g="0" b="0"/>
      </a:effectRef>
      <a:fontRef idx="minor">
        <a:schemeClr val="lt1"/>
      </a:fontRef>
    </dgm:style>
  </dgm:styleLbl>
  <dgm:styleLbl name="parChTrans1D1">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dgm:scene3d>
    <dgm:sp3d/>
    <dgm:txPr/>
    <dgm:style>
      <a:lnRef idx="2">
        <a:scrgbClr r="0" g="0" b="0"/>
      </a:lnRef>
      <a:fillRef idx="0">
        <a:scrgbClr r="0" g="0" b="0"/>
      </a:fillRef>
      <a:effectRef idx="0">
        <a:scrgbClr r="0" g="0" b="0"/>
      </a:effectRef>
      <a:fontRef idx="minor"/>
    </dgm:style>
  </dgm:styleLbl>
  <dgm:styleLbl name="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con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trAlignAcc1">
    <dgm:scene3d>
      <a:camera prst="orthographicFront"/>
      <a:lightRig rig="threePt" dir="t"/>
    </dgm:scene3d>
    <dgm:sp3d/>
    <dgm:txPr/>
    <dgm:style>
      <a:lnRef idx="1">
        <a:scrgbClr r="0" g="0" b="0"/>
      </a:lnRef>
      <a:fillRef idx="1">
        <a:scrgbClr r="0" g="0" b="0"/>
      </a:fillRef>
      <a:effectRef idx="0">
        <a:scrgbClr r="0" g="0" b="0"/>
      </a:effectRef>
      <a:fontRef idx="minor"/>
    </dgm:style>
  </dgm:styleLbl>
  <dgm:styleLbl name="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F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Align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solidBgAcc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align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AccFollowNode1">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0">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2">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3">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fgAcc4">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dk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trBgShp">
    <dgm:scene3d>
      <a:camera prst="orthographicFront"/>
      <a:lightRig rig="threePt" dir="t"/>
    </dgm:scene3d>
    <dgm:sp3d/>
    <dgm:txPr/>
    <dgm:style>
      <a:lnRef idx="0">
        <a:scrgbClr r="0" g="0" b="0"/>
      </a:lnRef>
      <a:fillRef idx="1">
        <a:scrgbClr r="0" g="0" b="0"/>
      </a:fillRef>
      <a:effectRef idx="0">
        <a:scrgbClr r="0" g="0" b="0"/>
      </a:effectRef>
      <a:fontRef idx="minor"/>
    </dgm:style>
  </dgm:styleLbl>
  <dgm:styleLbl name="fgShp">
    <dgm:scene3d>
      <a:camera prst="orthographicFront"/>
      <a:lightRig rig="threePt" dir="t"/>
    </dgm:scene3d>
    <dgm:sp3d/>
    <dgm:txPr/>
    <dgm:style>
      <a:lnRef idx="2">
        <a:scrgbClr r="0" g="0" b="0"/>
      </a:lnRef>
      <a:fillRef idx="1">
        <a:scrgbClr r="0" g="0" b="0"/>
      </a:fillRef>
      <a:effectRef idx="0">
        <a:scrgbClr r="0" g="0" b="0"/>
      </a:effectRef>
      <a:fontRef idx="minor"/>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1DB702E-5AD0-4EB9-879E-CFD79C0F38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TotalTime>
  <Pages>100</Pages>
  <Words>31156</Words>
  <Characters>177593</Characters>
  <Application>Microsoft Office Word</Application>
  <DocSecurity>0</DocSecurity>
  <Lines>1479</Lines>
  <Paragraphs>416</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The influence of Corporate Social Responsibility reporting on reputation</vt:lpstr>
      <vt:lpstr/>
    </vt:vector>
  </TitlesOfParts>
  <Company>Erasmus University Rotterdam</Company>
  <LinksUpToDate>false</LinksUpToDate>
  <CharactersWithSpaces>208333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The influence of Corporate Social Responsibility reporting on reputation</dc:title>
  <dc:subject>Thesis: Accounting, Auditing and Control</dc:subject>
  <dc:creator>stephanie termeulen</dc:creator>
  <cp:lastModifiedBy>stephanie termeulen</cp:lastModifiedBy>
  <cp:revision>2</cp:revision>
  <cp:lastPrinted>2011-07-26T13:32:00Z</cp:lastPrinted>
  <dcterms:created xsi:type="dcterms:W3CDTF">2011-07-27T07:05:00Z</dcterms:created>
  <dcterms:modified xsi:type="dcterms:W3CDTF">2011-07-27T07:05:00Z</dcterms:modified>
</cp:coreProperties>
</file>