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4097" w:rsidRDefault="00AE4097" w:rsidP="00AE4097">
      <w:pPr>
        <w:pStyle w:val="Heading1"/>
        <w:numPr>
          <w:ilvl w:val="0"/>
          <w:numId w:val="0"/>
        </w:numPr>
        <w:spacing w:line="360" w:lineRule="auto"/>
        <w:jc w:val="both"/>
        <w:rPr>
          <w:b w:val="0"/>
          <w:sz w:val="24"/>
          <w:lang w:val="en-US"/>
        </w:rPr>
      </w:pPr>
      <w:bookmarkStart w:id="0" w:name="_Toc282601124"/>
      <w:bookmarkStart w:id="1" w:name="_Toc282601288"/>
      <w:bookmarkStart w:id="2" w:name="_Toc283033576"/>
      <w:bookmarkStart w:id="3" w:name="_Toc283201889"/>
      <w:bookmarkStart w:id="4" w:name="_Toc283279494"/>
      <w:bookmarkStart w:id="5" w:name="_Toc283638063"/>
      <w:bookmarkStart w:id="6" w:name="_Toc285109140"/>
      <w:bookmarkStart w:id="7" w:name="_Toc286907356"/>
      <w:bookmarkStart w:id="8" w:name="_Toc287599070"/>
      <w:bookmarkStart w:id="9" w:name="_Toc288459316"/>
      <w:bookmarkStart w:id="10" w:name="_Toc288654147"/>
      <w:r>
        <w:rPr>
          <w:b w:val="0"/>
          <w:sz w:val="24"/>
          <w:lang w:val="en-US"/>
        </w:rPr>
        <w:t>Erasmus University Rotterdam</w:t>
      </w:r>
      <w:bookmarkEnd w:id="0"/>
      <w:bookmarkEnd w:id="1"/>
      <w:bookmarkEnd w:id="2"/>
      <w:bookmarkEnd w:id="3"/>
      <w:bookmarkEnd w:id="4"/>
      <w:bookmarkEnd w:id="5"/>
      <w:bookmarkEnd w:id="6"/>
      <w:bookmarkEnd w:id="7"/>
      <w:bookmarkEnd w:id="8"/>
      <w:bookmarkEnd w:id="9"/>
      <w:bookmarkEnd w:id="10"/>
    </w:p>
    <w:p w:rsidR="00AE4097" w:rsidRDefault="00AE4097" w:rsidP="00AE4097">
      <w:pPr>
        <w:spacing w:line="360" w:lineRule="auto"/>
        <w:jc w:val="both"/>
        <w:rPr>
          <w:lang w:val="en-US"/>
        </w:rPr>
      </w:pPr>
      <w:r>
        <w:rPr>
          <w:lang w:val="en-US"/>
        </w:rPr>
        <w:t>Erasmus School of Economics</w:t>
      </w:r>
    </w:p>
    <w:p w:rsidR="00AE4097" w:rsidRDefault="00AE4097" w:rsidP="00AE4097">
      <w:pPr>
        <w:spacing w:line="360" w:lineRule="auto"/>
        <w:jc w:val="both"/>
        <w:rPr>
          <w:lang w:val="en-US"/>
        </w:rPr>
      </w:pPr>
      <w:r>
        <w:rPr>
          <w:lang w:val="en-US"/>
        </w:rPr>
        <w:t>Section Accounting, Auditing and Control</w:t>
      </w:r>
    </w:p>
    <w:p w:rsidR="00AE4097" w:rsidRDefault="00AE4097" w:rsidP="00AE4097">
      <w:pPr>
        <w:pStyle w:val="Header"/>
        <w:pBdr>
          <w:bottom w:val="single" w:sz="12" w:space="1" w:color="000080"/>
          <w:between w:val="single" w:sz="4" w:space="1" w:color="auto"/>
        </w:pBdr>
        <w:spacing w:line="360" w:lineRule="auto"/>
        <w:rPr>
          <w:lang w:val="en-US"/>
        </w:rPr>
      </w:pPr>
      <w:r>
        <w:rPr>
          <w:lang w:val="en-US"/>
        </w:rPr>
        <w:t>Master’s thesis</w:t>
      </w:r>
      <w:r w:rsidRPr="000503FA">
        <w:rPr>
          <w:iCs/>
          <w:sz w:val="22"/>
          <w:szCs w:val="26"/>
          <w:lang w:val="en-US"/>
        </w:rPr>
        <w:t xml:space="preserve"> </w:t>
      </w:r>
    </w:p>
    <w:p w:rsidR="00AE4097" w:rsidRDefault="00AE4097" w:rsidP="00AE4097">
      <w:pPr>
        <w:spacing w:line="360" w:lineRule="auto"/>
        <w:jc w:val="both"/>
        <w:rPr>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center"/>
        <w:rPr>
          <w:sz w:val="22"/>
          <w:szCs w:val="22"/>
          <w:lang w:val="en-US"/>
        </w:rPr>
      </w:pPr>
    </w:p>
    <w:p w:rsidR="00AE4097" w:rsidRDefault="00AE4097" w:rsidP="00AE4097">
      <w:pPr>
        <w:spacing w:line="276" w:lineRule="auto"/>
        <w:jc w:val="center"/>
        <w:rPr>
          <w:b/>
          <w:sz w:val="22"/>
          <w:szCs w:val="22"/>
          <w:lang w:val="en-US"/>
        </w:rPr>
      </w:pPr>
    </w:p>
    <w:p w:rsidR="00AE4097" w:rsidRDefault="00AE4097" w:rsidP="00AE4097">
      <w:pPr>
        <w:spacing w:line="276" w:lineRule="auto"/>
        <w:jc w:val="center"/>
        <w:rPr>
          <w:b/>
          <w:sz w:val="32"/>
          <w:szCs w:val="32"/>
          <w:lang w:val="en-US"/>
        </w:rPr>
      </w:pPr>
      <w:r>
        <w:rPr>
          <w:b/>
          <w:sz w:val="32"/>
          <w:szCs w:val="32"/>
          <w:lang w:val="en-US"/>
        </w:rPr>
        <w:t>Risk Reporting</w:t>
      </w:r>
    </w:p>
    <w:p w:rsidR="00AE4097" w:rsidRDefault="00AE4097" w:rsidP="00AE4097">
      <w:pPr>
        <w:spacing w:line="276" w:lineRule="auto"/>
        <w:jc w:val="center"/>
        <w:rPr>
          <w:b/>
          <w:i/>
          <w:sz w:val="26"/>
          <w:szCs w:val="26"/>
          <w:lang w:val="en-US"/>
        </w:rPr>
      </w:pPr>
      <w:r>
        <w:rPr>
          <w:i/>
          <w:sz w:val="26"/>
          <w:szCs w:val="26"/>
          <w:lang w:val="en-US"/>
        </w:rPr>
        <w:t>The influence of the financial crisis on the risk paragraph of Dutch listed companies.</w:t>
      </w: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360" w:lineRule="auto"/>
        <w:jc w:val="both"/>
        <w:rPr>
          <w:sz w:val="22"/>
          <w:szCs w:val="22"/>
          <w:lang w:val="en-US"/>
        </w:rPr>
      </w:pPr>
    </w:p>
    <w:p w:rsidR="00AE4097" w:rsidRDefault="00AE4097" w:rsidP="00AE4097">
      <w:pPr>
        <w:spacing w:line="276" w:lineRule="auto"/>
        <w:jc w:val="both"/>
        <w:rPr>
          <w:lang w:val="en-US"/>
        </w:rPr>
      </w:pPr>
      <w:r>
        <w:rPr>
          <w:lang w:val="en-US"/>
        </w:rPr>
        <w:t xml:space="preserve">Author: </w:t>
      </w:r>
      <w:r>
        <w:rPr>
          <w:lang w:val="en-US"/>
        </w:rPr>
        <w:tab/>
      </w:r>
      <w:r>
        <w:rPr>
          <w:lang w:val="en-US"/>
        </w:rPr>
        <w:tab/>
      </w:r>
      <w:r>
        <w:rPr>
          <w:lang w:val="en-US"/>
        </w:rPr>
        <w:tab/>
        <w:t>J.P.D. Mertens</w:t>
      </w:r>
    </w:p>
    <w:p w:rsidR="00AE4097" w:rsidRDefault="00AE4097" w:rsidP="00AE4097">
      <w:pPr>
        <w:spacing w:line="276" w:lineRule="auto"/>
        <w:jc w:val="both"/>
        <w:rPr>
          <w:lang w:val="en-US"/>
        </w:rPr>
      </w:pPr>
      <w:r>
        <w:rPr>
          <w:lang w:val="en-US"/>
        </w:rPr>
        <w:t xml:space="preserve">Student number: </w:t>
      </w:r>
      <w:r>
        <w:rPr>
          <w:lang w:val="en-US"/>
        </w:rPr>
        <w:tab/>
      </w:r>
      <w:r>
        <w:rPr>
          <w:lang w:val="en-US"/>
        </w:rPr>
        <w:tab/>
        <w:t>294593</w:t>
      </w:r>
    </w:p>
    <w:p w:rsidR="00AE4097" w:rsidRDefault="00AE4097" w:rsidP="00AE4097">
      <w:pPr>
        <w:spacing w:line="276" w:lineRule="auto"/>
        <w:jc w:val="both"/>
        <w:rPr>
          <w:lang w:val="en-US"/>
        </w:rPr>
      </w:pPr>
      <w:r>
        <w:rPr>
          <w:lang w:val="en-US"/>
        </w:rPr>
        <w:t xml:space="preserve">Thesis supervisor: </w:t>
      </w:r>
      <w:r>
        <w:rPr>
          <w:lang w:val="en-US"/>
        </w:rPr>
        <w:tab/>
      </w:r>
      <w:r w:rsidR="00E85C83">
        <w:rPr>
          <w:lang w:val="en-US"/>
        </w:rPr>
        <w:t xml:space="preserve">Mr. </w:t>
      </w:r>
      <w:r>
        <w:rPr>
          <w:lang w:val="en-US"/>
        </w:rPr>
        <w:t>R. van der Wal</w:t>
      </w:r>
    </w:p>
    <w:p w:rsidR="00AE4097" w:rsidRDefault="007C1A3A" w:rsidP="00AE4097">
      <w:pPr>
        <w:spacing w:line="276" w:lineRule="auto"/>
        <w:jc w:val="both"/>
        <w:rPr>
          <w:lang w:val="en-US"/>
        </w:rPr>
      </w:pPr>
      <w:r>
        <w:rPr>
          <w:lang w:val="en-US"/>
        </w:rPr>
        <w:t>Co-reader:</w:t>
      </w:r>
      <w:r>
        <w:rPr>
          <w:lang w:val="en-US"/>
        </w:rPr>
        <w:tab/>
      </w:r>
      <w:r>
        <w:rPr>
          <w:lang w:val="en-US"/>
        </w:rPr>
        <w:tab/>
      </w:r>
    </w:p>
    <w:p w:rsidR="00AE4097" w:rsidRDefault="003A4948" w:rsidP="00AE4097">
      <w:pPr>
        <w:spacing w:line="276" w:lineRule="auto"/>
        <w:jc w:val="both"/>
        <w:rPr>
          <w:lang w:val="en-US"/>
        </w:rPr>
      </w:pPr>
      <w:r>
        <w:rPr>
          <w:lang w:val="en-US"/>
        </w:rPr>
        <w:t xml:space="preserve">Date: </w:t>
      </w:r>
      <w:r>
        <w:rPr>
          <w:lang w:val="en-US"/>
        </w:rPr>
        <w:tab/>
      </w:r>
      <w:r>
        <w:rPr>
          <w:lang w:val="en-US"/>
        </w:rPr>
        <w:tab/>
      </w:r>
      <w:r>
        <w:rPr>
          <w:lang w:val="en-US"/>
        </w:rPr>
        <w:tab/>
        <w:t>25</w:t>
      </w:r>
      <w:r w:rsidR="00AE4097">
        <w:rPr>
          <w:lang w:val="en-US"/>
        </w:rPr>
        <w:t>-03-2011</w:t>
      </w:r>
    </w:p>
    <w:p w:rsidR="00AE4097" w:rsidRDefault="00AE4097" w:rsidP="00AE4097">
      <w:pPr>
        <w:rPr>
          <w:lang w:val="en-US"/>
        </w:rPr>
      </w:pPr>
      <w:r>
        <w:rPr>
          <w:lang w:val="en-US"/>
        </w:rPr>
        <w:br w:type="page"/>
      </w:r>
    </w:p>
    <w:p w:rsidR="00AE4097" w:rsidRDefault="00AE4097" w:rsidP="00A82089">
      <w:pPr>
        <w:spacing w:line="360" w:lineRule="auto"/>
        <w:jc w:val="both"/>
        <w:rPr>
          <w:b/>
          <w:lang w:val="en-US"/>
        </w:rPr>
      </w:pPr>
      <w:r>
        <w:rPr>
          <w:b/>
          <w:lang w:val="en-US"/>
        </w:rPr>
        <w:lastRenderedPageBreak/>
        <w:t>Preface and acknowledgements</w:t>
      </w:r>
    </w:p>
    <w:p w:rsidR="00AE4097" w:rsidRDefault="00AE4097" w:rsidP="00A82089">
      <w:pPr>
        <w:spacing w:line="360" w:lineRule="auto"/>
        <w:jc w:val="both"/>
        <w:rPr>
          <w:b/>
          <w:color w:val="FF0000"/>
          <w:lang w:val="en-US"/>
        </w:rPr>
      </w:pPr>
    </w:p>
    <w:p w:rsidR="00AE4097" w:rsidRPr="001A5DFC" w:rsidRDefault="00AE4097" w:rsidP="00A82089">
      <w:pPr>
        <w:pStyle w:val="BodyText3"/>
        <w:suppressAutoHyphens/>
        <w:spacing w:after="0" w:line="360" w:lineRule="auto"/>
        <w:ind w:firstLine="567"/>
        <w:jc w:val="both"/>
      </w:pPr>
      <w:r w:rsidRPr="001A5DFC">
        <w:t xml:space="preserve">This paper presents the results of research on the influence of the financial crisis on the risk paragraph of Dutch listed companies. With this thesis, I will finish my Master in Accounting, Auditing and Control at the Erasmus School of Economics in Rotterdam. </w:t>
      </w:r>
    </w:p>
    <w:p w:rsidR="00AE4097" w:rsidRPr="001A5DFC" w:rsidRDefault="00AE4097" w:rsidP="00A82089">
      <w:pPr>
        <w:pStyle w:val="BodyText3"/>
        <w:suppressAutoHyphens/>
        <w:spacing w:after="0" w:line="360" w:lineRule="auto"/>
        <w:ind w:firstLine="567"/>
        <w:jc w:val="both"/>
      </w:pPr>
      <w:r w:rsidRPr="001A5DFC">
        <w:t>During my study the financial crisis played an important role. The crisis started in 2006 with the housing bubble and the liquidity shortfall in the United States banking system. In 2008 the world economy experienced a financial crisis. Then</w:t>
      </w:r>
      <w:r w:rsidRPr="001A5DFC">
        <w:rPr>
          <w:b/>
          <w:szCs w:val="22"/>
        </w:rPr>
        <w:t xml:space="preserve"> </w:t>
      </w:r>
      <w:r w:rsidRPr="001A5DFC">
        <w:rPr>
          <w:szCs w:val="22"/>
        </w:rPr>
        <w:t>a series of negative events followed</w:t>
      </w:r>
      <w:r w:rsidRPr="001A5DFC">
        <w:t xml:space="preserve">. During this period, questions arose about the risk management practices by companies. Did managers understand the risks they were facing and how did they manage these risks? </w:t>
      </w:r>
    </w:p>
    <w:p w:rsidR="00AE4097" w:rsidRPr="001A5DFC" w:rsidRDefault="00AE4097" w:rsidP="00A82089">
      <w:pPr>
        <w:pStyle w:val="BodyText3"/>
        <w:suppressAutoHyphens/>
        <w:spacing w:after="0" w:line="360" w:lineRule="auto"/>
        <w:ind w:firstLine="567"/>
        <w:jc w:val="both"/>
        <w:rPr>
          <w:szCs w:val="22"/>
        </w:rPr>
      </w:pPr>
      <w:r w:rsidRPr="001A5DFC">
        <w:rPr>
          <w:szCs w:val="22"/>
        </w:rPr>
        <w:t xml:space="preserve">There is no previous research to risk reporting in the Netherlands. </w:t>
      </w:r>
      <w:r w:rsidRPr="001A5DFC">
        <w:t xml:space="preserve">Before the financial crisis </w:t>
      </w:r>
      <w:r w:rsidRPr="001A5DFC">
        <w:rPr>
          <w:szCs w:val="22"/>
        </w:rPr>
        <w:t>the regulation regarding risk reporting was not sufficient to support transparency, but during the crisis, stakeholders were as</w:t>
      </w:r>
      <w:r>
        <w:rPr>
          <w:szCs w:val="22"/>
        </w:rPr>
        <w:t xml:space="preserve">king for more risk information. </w:t>
      </w:r>
      <w:r w:rsidRPr="001A5DFC">
        <w:rPr>
          <w:szCs w:val="22"/>
        </w:rPr>
        <w:t xml:space="preserve">Because of the growing demand for risk disclosures and the effect the financial crisis has on the whole population, </w:t>
      </w:r>
      <w:r w:rsidRPr="001A5DFC">
        <w:t xml:space="preserve">it </w:t>
      </w:r>
      <w:r w:rsidRPr="007E0154">
        <w:t xml:space="preserve">is </w:t>
      </w:r>
      <w:r w:rsidRPr="001A5DFC">
        <w:t>i</w:t>
      </w:r>
      <w:r w:rsidRPr="001A5DFC">
        <w:rPr>
          <w:szCs w:val="22"/>
        </w:rPr>
        <w:t>nteresting to examine if the financial cri</w:t>
      </w:r>
      <w:r>
        <w:rPr>
          <w:szCs w:val="22"/>
        </w:rPr>
        <w:t>sis has influence on</w:t>
      </w:r>
      <w:r w:rsidRPr="001A5DFC">
        <w:rPr>
          <w:szCs w:val="22"/>
        </w:rPr>
        <w:t xml:space="preserve"> risk disclosures. It is a recent topic, because the financial crisis had not yet ended when this investigation was done, and no one has examined this relationship before.</w:t>
      </w:r>
    </w:p>
    <w:p w:rsidR="00AE4097" w:rsidRPr="001A5DFC" w:rsidRDefault="00AE4097" w:rsidP="00A82089">
      <w:pPr>
        <w:pStyle w:val="BodyText3"/>
        <w:suppressAutoHyphens/>
        <w:spacing w:after="0" w:line="360" w:lineRule="auto"/>
        <w:ind w:firstLine="567"/>
        <w:jc w:val="both"/>
      </w:pPr>
      <w:r w:rsidRPr="001A5DFC">
        <w:t>First of all, I would like to thank my supervisor at the Erasmus University, Mr. Van der Wal, for all his advice during the writing process of this thesis. I would also like to thank Ernst&amp;Young for giving me the opportunity to write this</w:t>
      </w:r>
      <w:r>
        <w:t xml:space="preserve"> </w:t>
      </w:r>
      <w:r w:rsidR="00B4119F">
        <w:t xml:space="preserve">thesis at the Rotterdam office. Most of all, </w:t>
      </w:r>
      <w:r w:rsidRPr="001A5DFC">
        <w:t>I would like to thank my family and friends for all their support during my entire study.</w:t>
      </w:r>
    </w:p>
    <w:p w:rsidR="00AE4097" w:rsidRPr="001A5DFC" w:rsidRDefault="00AE4097" w:rsidP="00A82089">
      <w:pPr>
        <w:pStyle w:val="BodyText3"/>
        <w:suppressAutoHyphens/>
        <w:spacing w:after="0" w:line="360" w:lineRule="auto"/>
        <w:jc w:val="both"/>
      </w:pPr>
    </w:p>
    <w:p w:rsidR="00AE4097" w:rsidRPr="001A5DFC" w:rsidRDefault="00AE4097" w:rsidP="00A82089">
      <w:pPr>
        <w:pStyle w:val="BodyText3"/>
        <w:suppressAutoHyphens/>
        <w:spacing w:after="0" w:line="360" w:lineRule="auto"/>
        <w:jc w:val="both"/>
      </w:pPr>
      <w:r w:rsidRPr="001A5DFC">
        <w:t>Dominique Mertens</w:t>
      </w:r>
    </w:p>
    <w:p w:rsidR="00AE4097" w:rsidRPr="001A5DFC" w:rsidRDefault="00AE4097" w:rsidP="00A82089">
      <w:pPr>
        <w:pStyle w:val="BodyText3"/>
        <w:suppressAutoHyphens/>
        <w:jc w:val="both"/>
      </w:pPr>
      <w:r>
        <w:t>Rotterdam,</w:t>
      </w:r>
      <w:r w:rsidRPr="001A5DFC">
        <w:t xml:space="preserve"> March 2011</w:t>
      </w:r>
    </w:p>
    <w:p w:rsidR="00AE4097" w:rsidRPr="001A5DFC" w:rsidRDefault="00AE4097" w:rsidP="00A82089">
      <w:pPr>
        <w:pStyle w:val="BodyText3"/>
        <w:spacing w:line="360" w:lineRule="auto"/>
        <w:jc w:val="both"/>
        <w:rPr>
          <w:bCs w:val="0"/>
        </w:rPr>
      </w:pPr>
    </w:p>
    <w:p w:rsidR="00AE4097" w:rsidRDefault="00AE4097" w:rsidP="00A82089">
      <w:pPr>
        <w:spacing w:after="200" w:line="360" w:lineRule="auto"/>
        <w:jc w:val="both"/>
        <w:rPr>
          <w:b/>
          <w:lang w:val="en-US"/>
        </w:rPr>
      </w:pPr>
      <w:r>
        <w:rPr>
          <w:b/>
          <w:lang w:val="en-US"/>
        </w:rPr>
        <w:br w:type="page"/>
      </w:r>
      <w:r>
        <w:rPr>
          <w:b/>
          <w:lang w:val="en-US"/>
        </w:rPr>
        <w:lastRenderedPageBreak/>
        <w:t>Executive summary</w:t>
      </w:r>
    </w:p>
    <w:p w:rsidR="00AE4097" w:rsidRPr="002B5906" w:rsidRDefault="00AE4097" w:rsidP="00A82089">
      <w:pPr>
        <w:pStyle w:val="BodyText3"/>
        <w:keepNext/>
        <w:widowControl w:val="0"/>
        <w:spacing w:after="0" w:line="360" w:lineRule="auto"/>
        <w:ind w:firstLine="567"/>
        <w:jc w:val="both"/>
      </w:pPr>
      <w:r w:rsidRPr="002B5906">
        <w:t xml:space="preserve">The concept of risk management becomes more and more important. The reason that companies </w:t>
      </w:r>
    </w:p>
    <w:p w:rsidR="00AE4097" w:rsidRPr="001A5DFC" w:rsidRDefault="00AE4097" w:rsidP="00A82089">
      <w:pPr>
        <w:pStyle w:val="BodyText3"/>
        <w:keepNext/>
        <w:widowControl w:val="0"/>
        <w:spacing w:after="0" w:line="360" w:lineRule="auto"/>
        <w:jc w:val="both"/>
        <w:rPr>
          <w:bCs w:val="0"/>
        </w:rPr>
      </w:pPr>
      <w:proofErr w:type="gramStart"/>
      <w:r w:rsidRPr="002B5906">
        <w:t>decide</w:t>
      </w:r>
      <w:proofErr w:type="gramEnd"/>
      <w:r w:rsidRPr="002B5906">
        <w:t xml:space="preserve"> to disclose additional risk information is to satisfy the demand for information and transparency by the capital market. </w:t>
      </w:r>
      <w:r w:rsidRPr="002B5906">
        <w:rPr>
          <w:bCs w:val="0"/>
        </w:rPr>
        <w:t xml:space="preserve">Because the financial crisis played an important role during the last couple of years and because </w:t>
      </w:r>
      <w:r w:rsidRPr="002B5906">
        <w:t>there is no prior research regarding risk disclosures in the Netherlands, this st</w:t>
      </w:r>
      <w:r w:rsidRPr="002B5906">
        <w:rPr>
          <w:bCs w:val="0"/>
        </w:rPr>
        <w:t xml:space="preserve">udy examines the influence of the financial crisis on risk disclosure practices within annual reports of 18 non-financial AEX-listed Dutch companies. The research period is from 2006-2009, divided into two periods, before and during the financial crisis. The risk disclosure index classifies and analyses the risk information in annual reports and results are explained with the positive accounting theory. </w:t>
      </w:r>
      <w:r w:rsidRPr="002B5906">
        <w:t xml:space="preserve">The relations between risk disclosures and control variables (company profitability, level of risk and type of industry) are tested with correlations. The empirical results show that there is a </w:t>
      </w:r>
      <w:r w:rsidRPr="002B5906">
        <w:rPr>
          <w:bCs w:val="0"/>
        </w:rPr>
        <w:t>significant difference between risk disclosures before and during the financial crisis. However, none of the control variables is statistically significant associated with risk disclosures. The subjectivity of the risk disclosure index and the fact that just a few variables are used are limitations of this research. It is important to take this into account for further research.</w:t>
      </w:r>
      <w:r w:rsidRPr="001A5DFC">
        <w:rPr>
          <w:bCs w:val="0"/>
        </w:rPr>
        <w:t xml:space="preserve"> </w:t>
      </w:r>
    </w:p>
    <w:p w:rsidR="00AE4097" w:rsidRPr="001A5DFC" w:rsidRDefault="00AE4097" w:rsidP="00A82089">
      <w:pPr>
        <w:keepNext/>
        <w:widowControl w:val="0"/>
        <w:spacing w:line="360" w:lineRule="auto"/>
        <w:jc w:val="both"/>
        <w:rPr>
          <w:b/>
          <w:lang w:val="en-US"/>
        </w:rPr>
      </w:pPr>
    </w:p>
    <w:p w:rsidR="00AE4097" w:rsidRDefault="00AE4097" w:rsidP="00A82089">
      <w:pPr>
        <w:pStyle w:val="TOC1"/>
        <w:keepNext/>
        <w:widowControl w:val="0"/>
        <w:tabs>
          <w:tab w:val="right" w:leader="underscore" w:pos="9062"/>
        </w:tabs>
        <w:jc w:val="both"/>
        <w:rPr>
          <w:bCs/>
          <w:i/>
          <w:iCs/>
          <w:sz w:val="22"/>
          <w:szCs w:val="22"/>
          <w:lang w:val="en-US"/>
        </w:rPr>
      </w:pPr>
      <w:r w:rsidRPr="001A5DFC">
        <w:rPr>
          <w:sz w:val="22"/>
          <w:szCs w:val="22"/>
          <w:lang w:val="en-US"/>
        </w:rPr>
        <w:t xml:space="preserve">Keywords: Risk management, Risk disclosures, Annual reports, Financial crisis, Positive </w:t>
      </w:r>
    </w:p>
    <w:p w:rsidR="00AE4097" w:rsidRDefault="00AE4097" w:rsidP="00A82089">
      <w:pPr>
        <w:pStyle w:val="TOC1"/>
        <w:keepNext/>
        <w:widowControl w:val="0"/>
        <w:tabs>
          <w:tab w:val="right" w:leader="underscore" w:pos="9062"/>
        </w:tabs>
        <w:jc w:val="both"/>
        <w:rPr>
          <w:bCs/>
          <w:i/>
          <w:iCs/>
          <w:szCs w:val="22"/>
          <w:lang w:val="en-US"/>
        </w:rPr>
      </w:pPr>
      <w:r w:rsidRPr="001A5DFC">
        <w:rPr>
          <w:sz w:val="22"/>
          <w:szCs w:val="22"/>
          <w:lang w:val="en-US"/>
        </w:rPr>
        <w:t>accounting theory</w:t>
      </w:r>
    </w:p>
    <w:sdt>
      <w:sdtPr>
        <w:rPr>
          <w:rFonts w:ascii="Arial" w:hAnsi="Arial" w:cs="Arial"/>
          <w:b w:val="0"/>
          <w:bCs w:val="0"/>
          <w:color w:val="auto"/>
          <w:sz w:val="24"/>
          <w:szCs w:val="24"/>
          <w:lang w:val="nl-NL"/>
        </w:rPr>
        <w:id w:val="1602969"/>
        <w:docPartObj>
          <w:docPartGallery w:val="Table of Contents"/>
          <w:docPartUnique/>
        </w:docPartObj>
      </w:sdtPr>
      <w:sdtEndPr>
        <w:rPr>
          <w:sz w:val="20"/>
          <w:szCs w:val="20"/>
        </w:rPr>
      </w:sdtEndPr>
      <w:sdtContent>
        <w:p w:rsidR="00AE4097" w:rsidRPr="00854BA9" w:rsidRDefault="00AE4097" w:rsidP="00A82089">
          <w:pPr>
            <w:pStyle w:val="TOCHeading"/>
            <w:jc w:val="both"/>
            <w:rPr>
              <w:rFonts w:ascii="Arial" w:hAnsi="Arial" w:cs="Arial"/>
              <w:b w:val="0"/>
              <w:bCs w:val="0"/>
              <w:color w:val="auto"/>
              <w:sz w:val="24"/>
              <w:szCs w:val="24"/>
              <w:lang w:val="nl-NL"/>
            </w:rPr>
          </w:pPr>
        </w:p>
        <w:p w:rsidR="00AE4097" w:rsidRPr="00854BA9" w:rsidRDefault="00AE4097" w:rsidP="00A82089">
          <w:pPr>
            <w:jc w:val="both"/>
            <w:rPr>
              <w:rFonts w:ascii="Arial" w:hAnsi="Arial" w:cs="Arial"/>
            </w:rPr>
          </w:pPr>
          <w:r w:rsidRPr="00854BA9">
            <w:rPr>
              <w:rFonts w:ascii="Arial" w:hAnsi="Arial" w:cs="Arial"/>
            </w:rPr>
            <w:br w:type="page"/>
          </w:r>
        </w:p>
        <w:p w:rsidR="00AE4097" w:rsidRPr="00854BA9" w:rsidRDefault="00AE4097" w:rsidP="00AE4097">
          <w:pPr>
            <w:rPr>
              <w:b/>
              <w:sz w:val="22"/>
              <w:szCs w:val="22"/>
            </w:rPr>
          </w:pPr>
          <w:r w:rsidRPr="00854BA9">
            <w:rPr>
              <w:b/>
              <w:sz w:val="22"/>
              <w:szCs w:val="22"/>
              <w:lang w:val="en-US"/>
            </w:rPr>
            <w:lastRenderedPageBreak/>
            <w:t>Table</w:t>
          </w:r>
          <w:r w:rsidRPr="00854BA9">
            <w:rPr>
              <w:b/>
              <w:sz w:val="22"/>
              <w:szCs w:val="22"/>
            </w:rPr>
            <w:t xml:space="preserve"> of Contents</w:t>
          </w:r>
        </w:p>
        <w:p w:rsidR="00AE4097" w:rsidRPr="00854BA9" w:rsidRDefault="00AE4097" w:rsidP="00AE4097">
          <w:pPr>
            <w:spacing w:before="120"/>
            <w:rPr>
              <w:b/>
              <w:sz w:val="22"/>
              <w:szCs w:val="22"/>
            </w:rPr>
          </w:pPr>
        </w:p>
        <w:p w:rsidR="00AE4097" w:rsidRDefault="00AE4097" w:rsidP="00AE4097">
          <w:pPr>
            <w:pStyle w:val="TOC2"/>
            <w:tabs>
              <w:tab w:val="left" w:pos="960"/>
              <w:tab w:val="right" w:leader="dot" w:pos="9062"/>
            </w:tabs>
            <w:ind w:left="0"/>
            <w:rPr>
              <w:b/>
              <w:bCs/>
              <w:noProof/>
              <w:sz w:val="22"/>
              <w:szCs w:val="22"/>
              <w:lang w:val="en-US"/>
            </w:rPr>
          </w:pPr>
          <w:r>
            <w:rPr>
              <w:b/>
              <w:bCs/>
              <w:noProof/>
              <w:sz w:val="22"/>
              <w:szCs w:val="22"/>
              <w:lang w:val="en-US"/>
            </w:rPr>
            <w:tab/>
          </w:r>
          <w:r w:rsidRPr="00854BA9">
            <w:rPr>
              <w:b/>
              <w:bCs/>
              <w:noProof/>
              <w:sz w:val="22"/>
              <w:szCs w:val="22"/>
              <w:lang w:val="en-US"/>
            </w:rPr>
            <w:t>Preface and acknowledgements</w:t>
          </w:r>
          <w:r w:rsidRPr="00854BA9">
            <w:rPr>
              <w:b/>
              <w:noProof/>
              <w:sz w:val="22"/>
              <w:szCs w:val="22"/>
              <w:lang w:val="en-US"/>
            </w:rPr>
            <w:tab/>
          </w:r>
          <w:r w:rsidRPr="00854BA9">
            <w:rPr>
              <w:b/>
              <w:bCs/>
              <w:noProof/>
              <w:sz w:val="22"/>
              <w:szCs w:val="22"/>
              <w:lang w:val="en-US"/>
            </w:rPr>
            <w:t>2</w:t>
          </w:r>
        </w:p>
        <w:p w:rsidR="005600FE" w:rsidRDefault="00AE4097" w:rsidP="00AE4097">
          <w:pPr>
            <w:pStyle w:val="TOC2"/>
            <w:tabs>
              <w:tab w:val="left" w:pos="960"/>
              <w:tab w:val="right" w:leader="dot" w:pos="9062"/>
            </w:tabs>
            <w:ind w:left="0"/>
            <w:rPr>
              <w:b/>
              <w:bCs/>
              <w:noProof/>
              <w:sz w:val="22"/>
              <w:szCs w:val="22"/>
              <w:lang w:val="en-US"/>
            </w:rPr>
          </w:pPr>
          <w:r>
            <w:rPr>
              <w:b/>
              <w:bCs/>
              <w:noProof/>
              <w:sz w:val="22"/>
              <w:szCs w:val="22"/>
              <w:lang w:val="en-US"/>
            </w:rPr>
            <w:tab/>
          </w:r>
        </w:p>
        <w:p w:rsidR="00AE4097" w:rsidRPr="00854BA9" w:rsidRDefault="005600FE" w:rsidP="00AE4097">
          <w:pPr>
            <w:pStyle w:val="TOC2"/>
            <w:tabs>
              <w:tab w:val="left" w:pos="960"/>
              <w:tab w:val="right" w:leader="dot" w:pos="9062"/>
            </w:tabs>
            <w:ind w:left="0"/>
            <w:rPr>
              <w:b/>
              <w:noProof/>
              <w:sz w:val="22"/>
              <w:szCs w:val="22"/>
            </w:rPr>
          </w:pPr>
          <w:r>
            <w:rPr>
              <w:b/>
              <w:bCs/>
              <w:noProof/>
              <w:sz w:val="22"/>
              <w:szCs w:val="22"/>
              <w:lang w:val="en-US"/>
            </w:rPr>
            <w:tab/>
          </w:r>
          <w:r w:rsidR="00AE4097" w:rsidRPr="00854BA9">
            <w:rPr>
              <w:b/>
              <w:bCs/>
              <w:noProof/>
              <w:sz w:val="22"/>
              <w:szCs w:val="22"/>
              <w:lang w:val="en-US"/>
            </w:rPr>
            <w:t>Executive summary</w:t>
          </w:r>
          <w:r w:rsidR="00AE4097" w:rsidRPr="00854BA9">
            <w:rPr>
              <w:b/>
              <w:bCs/>
              <w:noProof/>
              <w:sz w:val="22"/>
              <w:szCs w:val="22"/>
              <w:lang w:val="en-US"/>
            </w:rPr>
            <w:tab/>
            <w:t>3</w:t>
          </w:r>
          <w:r w:rsidR="00BF4B0A" w:rsidRPr="00854BA9">
            <w:rPr>
              <w:b/>
              <w:sz w:val="22"/>
              <w:szCs w:val="22"/>
            </w:rPr>
            <w:fldChar w:fldCharType="begin"/>
          </w:r>
          <w:r w:rsidR="00AE4097" w:rsidRPr="00854BA9">
            <w:rPr>
              <w:b/>
              <w:sz w:val="22"/>
              <w:szCs w:val="22"/>
            </w:rPr>
            <w:instrText xml:space="preserve"> TOC \o "1-3" \h \z \u </w:instrText>
          </w:r>
          <w:r w:rsidR="00BF4B0A" w:rsidRPr="00854BA9">
            <w:rPr>
              <w:b/>
              <w:sz w:val="22"/>
              <w:szCs w:val="22"/>
            </w:rPr>
            <w:fldChar w:fldCharType="separate"/>
          </w:r>
        </w:p>
        <w:p w:rsidR="00AE4097" w:rsidRPr="00854BA9" w:rsidRDefault="00BF4B0A" w:rsidP="00AE4097">
          <w:pPr>
            <w:pStyle w:val="TOC1"/>
            <w:tabs>
              <w:tab w:val="left" w:pos="480"/>
              <w:tab w:val="right" w:leader="dot" w:pos="9060"/>
            </w:tabs>
            <w:rPr>
              <w:rFonts w:eastAsiaTheme="minorEastAsia"/>
              <w:b w:val="0"/>
              <w:bCs/>
              <w:iCs/>
              <w:noProof/>
              <w:sz w:val="22"/>
              <w:szCs w:val="22"/>
            </w:rPr>
          </w:pPr>
          <w:hyperlink w:anchor="_Toc288725858" w:history="1">
            <w:r w:rsidR="00AE4097" w:rsidRPr="00854BA9">
              <w:rPr>
                <w:rStyle w:val="Hyperlink"/>
                <w:noProof/>
                <w:sz w:val="22"/>
                <w:szCs w:val="22"/>
                <w:lang w:val="en-US"/>
              </w:rPr>
              <w:t>1</w:t>
            </w:r>
            <w:r w:rsidR="00AE4097" w:rsidRPr="00854BA9">
              <w:rPr>
                <w:rFonts w:eastAsiaTheme="minorEastAsia"/>
                <w:b w:val="0"/>
                <w:bCs/>
                <w:iCs/>
                <w:noProof/>
                <w:sz w:val="22"/>
                <w:szCs w:val="22"/>
              </w:rPr>
              <w:tab/>
            </w:r>
            <w:r w:rsidR="00AE4097" w:rsidRPr="00854BA9">
              <w:rPr>
                <w:rStyle w:val="Hyperlink"/>
                <w:noProof/>
                <w:sz w:val="22"/>
                <w:szCs w:val="22"/>
                <w:lang w:val="en-US"/>
              </w:rPr>
              <w:t>Introduction</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_Toc288725858 \h </w:instrText>
            </w:r>
            <w:r w:rsidRPr="00854BA9">
              <w:rPr>
                <w:noProof/>
                <w:webHidden/>
                <w:sz w:val="22"/>
                <w:szCs w:val="22"/>
              </w:rPr>
            </w:r>
            <w:r w:rsidRPr="00854BA9">
              <w:rPr>
                <w:noProof/>
                <w:webHidden/>
                <w:sz w:val="22"/>
                <w:szCs w:val="22"/>
              </w:rPr>
              <w:fldChar w:fldCharType="separate"/>
            </w:r>
            <w:r w:rsidR="00DE154D">
              <w:rPr>
                <w:noProof/>
                <w:webHidden/>
                <w:sz w:val="22"/>
                <w:szCs w:val="22"/>
              </w:rPr>
              <w:t>6</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59" w:history="1">
            <w:r w:rsidR="00AE4097" w:rsidRPr="00854BA9">
              <w:rPr>
                <w:rStyle w:val="Hyperlink"/>
                <w:noProof/>
                <w:sz w:val="22"/>
                <w:szCs w:val="22"/>
                <w:lang w:val="en-US" w:eastAsia="en-US"/>
              </w:rPr>
              <w:t>1.1</w:t>
            </w:r>
            <w:r w:rsidR="00AE4097" w:rsidRPr="00854BA9">
              <w:rPr>
                <w:rFonts w:eastAsiaTheme="minorEastAsia"/>
                <w:b/>
                <w:bCs/>
                <w:noProof/>
                <w:sz w:val="22"/>
                <w:szCs w:val="22"/>
              </w:rPr>
              <w:tab/>
            </w:r>
            <w:r w:rsidR="00AE4097" w:rsidRPr="00854BA9">
              <w:rPr>
                <w:rStyle w:val="Hyperlink"/>
                <w:noProof/>
                <w:sz w:val="22"/>
                <w:szCs w:val="22"/>
                <w:lang w:val="en-US" w:eastAsia="en-US"/>
              </w:rPr>
              <w:t>Background</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_Toc288725859 \h </w:instrText>
            </w:r>
            <w:r w:rsidRPr="00854BA9">
              <w:rPr>
                <w:noProof/>
                <w:webHidden/>
                <w:sz w:val="22"/>
                <w:szCs w:val="22"/>
              </w:rPr>
            </w:r>
            <w:r w:rsidRPr="00854BA9">
              <w:rPr>
                <w:noProof/>
                <w:webHidden/>
                <w:sz w:val="22"/>
                <w:szCs w:val="22"/>
              </w:rPr>
              <w:fldChar w:fldCharType="separate"/>
            </w:r>
            <w:r w:rsidR="00DE154D">
              <w:rPr>
                <w:noProof/>
                <w:webHidden/>
                <w:sz w:val="22"/>
                <w:szCs w:val="22"/>
              </w:rPr>
              <w:t>6</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60" w:history="1">
            <w:r w:rsidR="00AE4097" w:rsidRPr="00854BA9">
              <w:rPr>
                <w:rStyle w:val="Hyperlink"/>
                <w:noProof/>
                <w:sz w:val="22"/>
                <w:szCs w:val="22"/>
                <w:lang w:val="en-US" w:eastAsia="en-US"/>
              </w:rPr>
              <w:t>1.2</w:t>
            </w:r>
            <w:r w:rsidR="00AE4097" w:rsidRPr="00854BA9">
              <w:rPr>
                <w:rFonts w:eastAsiaTheme="minorEastAsia"/>
                <w:b/>
                <w:bCs/>
                <w:noProof/>
                <w:sz w:val="22"/>
                <w:szCs w:val="22"/>
              </w:rPr>
              <w:tab/>
            </w:r>
            <w:r w:rsidR="00AE4097" w:rsidRPr="00854BA9">
              <w:rPr>
                <w:rStyle w:val="Hyperlink"/>
                <w:noProof/>
                <w:sz w:val="22"/>
                <w:szCs w:val="22"/>
                <w:lang w:val="en-US" w:eastAsia="en-US"/>
              </w:rPr>
              <w:t>Motivation and relevance</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_Toc288725860 \h </w:instrText>
            </w:r>
            <w:r w:rsidRPr="00854BA9">
              <w:rPr>
                <w:noProof/>
                <w:webHidden/>
                <w:sz w:val="22"/>
                <w:szCs w:val="22"/>
              </w:rPr>
            </w:r>
            <w:r w:rsidRPr="00854BA9">
              <w:rPr>
                <w:noProof/>
                <w:webHidden/>
                <w:sz w:val="22"/>
                <w:szCs w:val="22"/>
              </w:rPr>
              <w:fldChar w:fldCharType="separate"/>
            </w:r>
            <w:r w:rsidR="00DE154D">
              <w:rPr>
                <w:noProof/>
                <w:webHidden/>
                <w:sz w:val="22"/>
                <w:szCs w:val="22"/>
              </w:rPr>
              <w:t>7</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61" w:history="1">
            <w:r w:rsidR="00AE4097" w:rsidRPr="00854BA9">
              <w:rPr>
                <w:rStyle w:val="Hyperlink"/>
                <w:noProof/>
                <w:sz w:val="22"/>
                <w:szCs w:val="22"/>
                <w:lang w:val="en-US" w:eastAsia="en-US"/>
              </w:rPr>
              <w:t>1.3</w:t>
            </w:r>
            <w:r w:rsidR="00AE4097" w:rsidRPr="00854BA9">
              <w:rPr>
                <w:rFonts w:eastAsiaTheme="minorEastAsia"/>
                <w:b/>
                <w:bCs/>
                <w:noProof/>
                <w:sz w:val="22"/>
                <w:szCs w:val="22"/>
              </w:rPr>
              <w:tab/>
            </w:r>
            <w:r w:rsidR="00AE4097" w:rsidRPr="00854BA9">
              <w:rPr>
                <w:rStyle w:val="Hyperlink"/>
                <w:noProof/>
                <w:sz w:val="22"/>
                <w:szCs w:val="22"/>
                <w:lang w:val="en-US" w:eastAsia="en-US"/>
              </w:rPr>
              <w:t>Research objectives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_Toc288725861 \h </w:instrText>
            </w:r>
            <w:r w:rsidRPr="00854BA9">
              <w:rPr>
                <w:noProof/>
                <w:webHidden/>
                <w:sz w:val="22"/>
                <w:szCs w:val="22"/>
              </w:rPr>
            </w:r>
            <w:r w:rsidRPr="00854BA9">
              <w:rPr>
                <w:noProof/>
                <w:webHidden/>
                <w:sz w:val="22"/>
                <w:szCs w:val="22"/>
              </w:rPr>
              <w:fldChar w:fldCharType="separate"/>
            </w:r>
            <w:r w:rsidR="00DE154D">
              <w:rPr>
                <w:noProof/>
                <w:webHidden/>
                <w:sz w:val="22"/>
                <w:szCs w:val="22"/>
              </w:rPr>
              <w:t>8</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62" w:history="1">
            <w:r w:rsidR="00AE4097" w:rsidRPr="00854BA9">
              <w:rPr>
                <w:rStyle w:val="Hyperlink"/>
                <w:noProof/>
                <w:sz w:val="22"/>
                <w:szCs w:val="22"/>
                <w:lang w:val="en-US" w:eastAsia="en-US"/>
              </w:rPr>
              <w:t>1.4</w:t>
            </w:r>
            <w:r w:rsidR="00AE4097" w:rsidRPr="00854BA9">
              <w:rPr>
                <w:rFonts w:eastAsiaTheme="minorEastAsia"/>
                <w:b/>
                <w:bCs/>
                <w:noProof/>
                <w:sz w:val="22"/>
                <w:szCs w:val="22"/>
              </w:rPr>
              <w:tab/>
            </w:r>
            <w:r w:rsidR="00AE4097" w:rsidRPr="00854BA9">
              <w:rPr>
                <w:rStyle w:val="Hyperlink"/>
                <w:noProof/>
                <w:sz w:val="22"/>
                <w:szCs w:val="22"/>
                <w:lang w:val="en-US" w:eastAsia="en-US"/>
              </w:rPr>
              <w:t>Research question</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_Toc288725862 \h </w:instrText>
            </w:r>
            <w:r w:rsidRPr="00854BA9">
              <w:rPr>
                <w:noProof/>
                <w:webHidden/>
                <w:sz w:val="22"/>
                <w:szCs w:val="22"/>
              </w:rPr>
            </w:r>
            <w:r w:rsidRPr="00854BA9">
              <w:rPr>
                <w:noProof/>
                <w:webHidden/>
                <w:sz w:val="22"/>
                <w:szCs w:val="22"/>
              </w:rPr>
              <w:fldChar w:fldCharType="separate"/>
            </w:r>
            <w:r w:rsidR="00DE154D">
              <w:rPr>
                <w:noProof/>
                <w:webHidden/>
                <w:sz w:val="22"/>
                <w:szCs w:val="22"/>
              </w:rPr>
              <w:t>9</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63" w:history="1">
            <w:r w:rsidR="00AE4097" w:rsidRPr="00854BA9">
              <w:rPr>
                <w:rStyle w:val="Hyperlink"/>
                <w:noProof/>
                <w:sz w:val="22"/>
                <w:szCs w:val="22"/>
                <w:lang w:val="en-US" w:eastAsia="en-US"/>
              </w:rPr>
              <w:t>1.5</w:t>
            </w:r>
            <w:r w:rsidR="00AE4097" w:rsidRPr="00854BA9">
              <w:rPr>
                <w:rFonts w:eastAsiaTheme="minorEastAsia"/>
                <w:b/>
                <w:bCs/>
                <w:noProof/>
                <w:sz w:val="22"/>
                <w:szCs w:val="22"/>
              </w:rPr>
              <w:tab/>
            </w:r>
            <w:r w:rsidR="00AE4097" w:rsidRPr="00854BA9">
              <w:rPr>
                <w:rStyle w:val="Hyperlink"/>
                <w:noProof/>
                <w:sz w:val="22"/>
                <w:szCs w:val="22"/>
                <w:lang w:val="en-US" w:eastAsia="en-US"/>
              </w:rPr>
              <w:t>Scope</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_Toc288725863 \h </w:instrText>
            </w:r>
            <w:r w:rsidRPr="00854BA9">
              <w:rPr>
                <w:noProof/>
                <w:webHidden/>
                <w:sz w:val="22"/>
                <w:szCs w:val="22"/>
              </w:rPr>
            </w:r>
            <w:r w:rsidRPr="00854BA9">
              <w:rPr>
                <w:noProof/>
                <w:webHidden/>
                <w:sz w:val="22"/>
                <w:szCs w:val="22"/>
              </w:rPr>
              <w:fldChar w:fldCharType="separate"/>
            </w:r>
            <w:r w:rsidR="00DE154D">
              <w:rPr>
                <w:noProof/>
                <w:webHidden/>
                <w:sz w:val="22"/>
                <w:szCs w:val="22"/>
              </w:rPr>
              <w:t>9</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64" w:history="1">
            <w:r w:rsidR="00AE4097" w:rsidRPr="00854BA9">
              <w:rPr>
                <w:rStyle w:val="Hyperlink"/>
                <w:noProof/>
                <w:sz w:val="22"/>
                <w:szCs w:val="22"/>
                <w:lang w:val="en-US" w:eastAsia="en-US"/>
              </w:rPr>
              <w:t>1.6</w:t>
            </w:r>
            <w:r w:rsidR="00AE4097" w:rsidRPr="00854BA9">
              <w:rPr>
                <w:rFonts w:eastAsiaTheme="minorEastAsia"/>
                <w:b/>
                <w:bCs/>
                <w:noProof/>
                <w:sz w:val="22"/>
                <w:szCs w:val="22"/>
              </w:rPr>
              <w:tab/>
            </w:r>
            <w:r w:rsidR="00AE4097" w:rsidRPr="00854BA9">
              <w:rPr>
                <w:rStyle w:val="Hyperlink"/>
                <w:noProof/>
                <w:sz w:val="22"/>
                <w:szCs w:val="22"/>
                <w:lang w:val="en-US" w:eastAsia="en-US"/>
              </w:rPr>
              <w:t>Outline</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_Toc288725864 \h </w:instrText>
            </w:r>
            <w:r w:rsidRPr="00854BA9">
              <w:rPr>
                <w:noProof/>
                <w:webHidden/>
                <w:sz w:val="22"/>
                <w:szCs w:val="22"/>
              </w:rPr>
            </w:r>
            <w:r w:rsidRPr="00854BA9">
              <w:rPr>
                <w:noProof/>
                <w:webHidden/>
                <w:sz w:val="22"/>
                <w:szCs w:val="22"/>
              </w:rPr>
              <w:fldChar w:fldCharType="separate"/>
            </w:r>
            <w:r w:rsidR="00DE154D">
              <w:rPr>
                <w:noProof/>
                <w:webHidden/>
                <w:sz w:val="22"/>
                <w:szCs w:val="22"/>
              </w:rPr>
              <w:t>10</w:t>
            </w:r>
            <w:r w:rsidRPr="00854BA9">
              <w:rPr>
                <w:noProof/>
                <w:webHidden/>
                <w:sz w:val="22"/>
                <w:szCs w:val="22"/>
              </w:rPr>
              <w:fldChar w:fldCharType="end"/>
            </w:r>
          </w:hyperlink>
        </w:p>
        <w:p w:rsidR="00AE4097" w:rsidRPr="00854BA9" w:rsidRDefault="00BF4B0A" w:rsidP="00AE4097">
          <w:pPr>
            <w:pStyle w:val="TOC1"/>
            <w:tabs>
              <w:tab w:val="left" w:pos="480"/>
              <w:tab w:val="right" w:leader="dot" w:pos="9060"/>
            </w:tabs>
            <w:rPr>
              <w:rFonts w:eastAsiaTheme="minorEastAsia"/>
              <w:b w:val="0"/>
              <w:bCs/>
              <w:iCs/>
              <w:noProof/>
              <w:sz w:val="22"/>
              <w:szCs w:val="22"/>
            </w:rPr>
          </w:pPr>
          <w:hyperlink w:anchor="_Toc288725865" w:history="1">
            <w:r w:rsidR="00AE4097" w:rsidRPr="00854BA9">
              <w:rPr>
                <w:rStyle w:val="Hyperlink"/>
                <w:noProof/>
                <w:sz w:val="22"/>
                <w:szCs w:val="22"/>
                <w:lang w:val="en-US"/>
              </w:rPr>
              <w:t>2</w:t>
            </w:r>
            <w:r w:rsidR="00AE4097" w:rsidRPr="00854BA9">
              <w:rPr>
                <w:rFonts w:eastAsiaTheme="minorEastAsia"/>
                <w:b w:val="0"/>
                <w:bCs/>
                <w:iCs/>
                <w:noProof/>
                <w:sz w:val="22"/>
                <w:szCs w:val="22"/>
              </w:rPr>
              <w:tab/>
            </w:r>
            <w:r w:rsidR="00AE4097" w:rsidRPr="00854BA9">
              <w:rPr>
                <w:rStyle w:val="Hyperlink"/>
                <w:noProof/>
                <w:sz w:val="22"/>
                <w:szCs w:val="22"/>
                <w:lang w:val="en-US"/>
              </w:rPr>
              <w:t>Background risk disclosures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_Toc288725865 \h </w:instrText>
            </w:r>
            <w:r w:rsidRPr="00854BA9">
              <w:rPr>
                <w:noProof/>
                <w:webHidden/>
                <w:sz w:val="22"/>
                <w:szCs w:val="22"/>
              </w:rPr>
            </w:r>
            <w:r w:rsidRPr="00854BA9">
              <w:rPr>
                <w:noProof/>
                <w:webHidden/>
                <w:sz w:val="22"/>
                <w:szCs w:val="22"/>
              </w:rPr>
              <w:fldChar w:fldCharType="separate"/>
            </w:r>
            <w:r w:rsidR="00DE154D">
              <w:rPr>
                <w:noProof/>
                <w:webHidden/>
                <w:sz w:val="22"/>
                <w:szCs w:val="22"/>
              </w:rPr>
              <w:t>11</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66" w:history="1">
            <w:r w:rsidR="00AE4097" w:rsidRPr="00854BA9">
              <w:rPr>
                <w:rStyle w:val="Hyperlink"/>
                <w:noProof/>
                <w:sz w:val="22"/>
                <w:szCs w:val="22"/>
                <w:lang w:val="en-US"/>
              </w:rPr>
              <w:t>2.1</w:t>
            </w:r>
            <w:r w:rsidR="00AE4097" w:rsidRPr="00854BA9">
              <w:rPr>
                <w:rFonts w:eastAsiaTheme="minorEastAsia"/>
                <w:b/>
                <w:bCs/>
                <w:noProof/>
                <w:sz w:val="22"/>
                <w:szCs w:val="22"/>
              </w:rPr>
              <w:tab/>
            </w:r>
            <w:r w:rsidR="00AE4097" w:rsidRPr="00854BA9">
              <w:rPr>
                <w:rStyle w:val="Hyperlink"/>
                <w:noProof/>
                <w:sz w:val="22"/>
                <w:szCs w:val="22"/>
                <w:lang w:val="en-US"/>
              </w:rPr>
              <w:t>Introduction</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_Toc288725866 \h </w:instrText>
            </w:r>
            <w:r w:rsidRPr="00854BA9">
              <w:rPr>
                <w:noProof/>
                <w:webHidden/>
                <w:sz w:val="22"/>
                <w:szCs w:val="22"/>
              </w:rPr>
            </w:r>
            <w:r w:rsidRPr="00854BA9">
              <w:rPr>
                <w:noProof/>
                <w:webHidden/>
                <w:sz w:val="22"/>
                <w:szCs w:val="22"/>
              </w:rPr>
              <w:fldChar w:fldCharType="separate"/>
            </w:r>
            <w:r w:rsidR="00DE154D">
              <w:rPr>
                <w:noProof/>
                <w:webHidden/>
                <w:sz w:val="22"/>
                <w:szCs w:val="22"/>
              </w:rPr>
              <w:t>11</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67" w:history="1">
            <w:r w:rsidR="00AE4097" w:rsidRPr="00854BA9">
              <w:rPr>
                <w:rStyle w:val="Hyperlink"/>
                <w:noProof/>
                <w:sz w:val="22"/>
                <w:szCs w:val="22"/>
                <w:lang w:val="en-US"/>
              </w:rPr>
              <w:t>2.2</w:t>
            </w:r>
            <w:r w:rsidR="00AE4097" w:rsidRPr="00854BA9">
              <w:rPr>
                <w:rFonts w:eastAsiaTheme="minorEastAsia"/>
                <w:b/>
                <w:bCs/>
                <w:noProof/>
                <w:sz w:val="22"/>
                <w:szCs w:val="22"/>
              </w:rPr>
              <w:tab/>
            </w:r>
            <w:r w:rsidR="00AE4097" w:rsidRPr="00854BA9">
              <w:rPr>
                <w:rStyle w:val="Hyperlink"/>
                <w:noProof/>
                <w:sz w:val="22"/>
                <w:szCs w:val="22"/>
                <w:lang w:val="en-US"/>
              </w:rPr>
              <w:t>Types of disclosures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_Toc288725867 \h </w:instrText>
            </w:r>
            <w:r w:rsidRPr="00854BA9">
              <w:rPr>
                <w:noProof/>
                <w:webHidden/>
                <w:sz w:val="22"/>
                <w:szCs w:val="22"/>
              </w:rPr>
            </w:r>
            <w:r w:rsidRPr="00854BA9">
              <w:rPr>
                <w:noProof/>
                <w:webHidden/>
                <w:sz w:val="22"/>
                <w:szCs w:val="22"/>
              </w:rPr>
              <w:fldChar w:fldCharType="separate"/>
            </w:r>
            <w:r w:rsidR="00DE154D">
              <w:rPr>
                <w:noProof/>
                <w:webHidden/>
                <w:sz w:val="22"/>
                <w:szCs w:val="22"/>
              </w:rPr>
              <w:t>11</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68" w:history="1">
            <w:r w:rsidR="00AE4097" w:rsidRPr="00854BA9">
              <w:rPr>
                <w:rStyle w:val="Hyperlink"/>
                <w:noProof/>
                <w:sz w:val="22"/>
                <w:szCs w:val="22"/>
                <w:lang w:val="en-US"/>
              </w:rPr>
              <w:t>2.3</w:t>
            </w:r>
            <w:r w:rsidR="00AE4097" w:rsidRPr="00854BA9">
              <w:rPr>
                <w:rFonts w:eastAsiaTheme="minorEastAsia"/>
                <w:b/>
                <w:bCs/>
                <w:noProof/>
                <w:sz w:val="22"/>
                <w:szCs w:val="22"/>
              </w:rPr>
              <w:tab/>
            </w:r>
            <w:r w:rsidR="00AE4097" w:rsidRPr="00854BA9">
              <w:rPr>
                <w:rStyle w:val="Hyperlink"/>
                <w:noProof/>
                <w:sz w:val="22"/>
                <w:szCs w:val="22"/>
                <w:lang w:val="en-US"/>
              </w:rPr>
              <w:t>Positive accounting theory</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_Toc288725868 \h </w:instrText>
            </w:r>
            <w:r w:rsidRPr="00854BA9">
              <w:rPr>
                <w:noProof/>
                <w:webHidden/>
                <w:sz w:val="22"/>
                <w:szCs w:val="22"/>
              </w:rPr>
            </w:r>
            <w:r w:rsidRPr="00854BA9">
              <w:rPr>
                <w:noProof/>
                <w:webHidden/>
                <w:sz w:val="22"/>
                <w:szCs w:val="22"/>
              </w:rPr>
              <w:fldChar w:fldCharType="separate"/>
            </w:r>
            <w:r w:rsidR="00DE154D">
              <w:rPr>
                <w:noProof/>
                <w:webHidden/>
                <w:sz w:val="22"/>
                <w:szCs w:val="22"/>
              </w:rPr>
              <w:t>12</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69" w:history="1">
            <w:r w:rsidR="00AE4097" w:rsidRPr="00854BA9">
              <w:rPr>
                <w:rStyle w:val="Hyperlink"/>
                <w:noProof/>
                <w:sz w:val="22"/>
                <w:szCs w:val="22"/>
                <w:lang w:val="en-US"/>
              </w:rPr>
              <w:t>2.4</w:t>
            </w:r>
            <w:r w:rsidR="00AE4097" w:rsidRPr="00854BA9">
              <w:rPr>
                <w:rFonts w:eastAsiaTheme="minorEastAsia"/>
                <w:b/>
                <w:bCs/>
                <w:noProof/>
                <w:sz w:val="22"/>
                <w:szCs w:val="22"/>
              </w:rPr>
              <w:tab/>
            </w:r>
            <w:r w:rsidR="00AE4097" w:rsidRPr="00854BA9">
              <w:rPr>
                <w:rStyle w:val="Hyperlink"/>
                <w:noProof/>
                <w:sz w:val="22"/>
                <w:szCs w:val="22"/>
                <w:lang w:val="en-US"/>
              </w:rPr>
              <w:t>Motives and constraints for voluntary disclosures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_Toc288725869 \h </w:instrText>
            </w:r>
            <w:r w:rsidRPr="00854BA9">
              <w:rPr>
                <w:noProof/>
                <w:webHidden/>
                <w:sz w:val="22"/>
                <w:szCs w:val="22"/>
              </w:rPr>
            </w:r>
            <w:r w:rsidRPr="00854BA9">
              <w:rPr>
                <w:noProof/>
                <w:webHidden/>
                <w:sz w:val="22"/>
                <w:szCs w:val="22"/>
              </w:rPr>
              <w:fldChar w:fldCharType="separate"/>
            </w:r>
            <w:r w:rsidR="00DE154D">
              <w:rPr>
                <w:noProof/>
                <w:webHidden/>
                <w:sz w:val="22"/>
                <w:szCs w:val="22"/>
              </w:rPr>
              <w:t>14</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70" w:history="1">
            <w:r w:rsidR="00AE4097" w:rsidRPr="00854BA9">
              <w:rPr>
                <w:rStyle w:val="Hyperlink"/>
                <w:noProof/>
                <w:sz w:val="22"/>
                <w:szCs w:val="22"/>
                <w:lang w:val="en-US"/>
              </w:rPr>
              <w:t>2.4.1</w:t>
            </w:r>
            <w:r w:rsidR="00AE4097" w:rsidRPr="00854BA9">
              <w:rPr>
                <w:rFonts w:eastAsiaTheme="minorEastAsia"/>
                <w:noProof/>
                <w:sz w:val="22"/>
                <w:szCs w:val="22"/>
              </w:rPr>
              <w:tab/>
            </w:r>
            <w:r w:rsidR="00AE4097" w:rsidRPr="00854BA9">
              <w:rPr>
                <w:rStyle w:val="Hyperlink"/>
                <w:noProof/>
                <w:sz w:val="22"/>
                <w:szCs w:val="22"/>
                <w:lang w:val="en-US"/>
              </w:rPr>
              <w:t>Capital market transactions hypothesis (Information asymmetry)</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_Toc288725870 \h </w:instrText>
            </w:r>
            <w:r w:rsidRPr="00854BA9">
              <w:rPr>
                <w:noProof/>
                <w:webHidden/>
                <w:sz w:val="22"/>
                <w:szCs w:val="22"/>
              </w:rPr>
            </w:r>
            <w:r w:rsidRPr="00854BA9">
              <w:rPr>
                <w:noProof/>
                <w:webHidden/>
                <w:sz w:val="22"/>
                <w:szCs w:val="22"/>
              </w:rPr>
              <w:fldChar w:fldCharType="separate"/>
            </w:r>
            <w:r w:rsidR="00DE154D">
              <w:rPr>
                <w:noProof/>
                <w:webHidden/>
                <w:sz w:val="22"/>
                <w:szCs w:val="22"/>
              </w:rPr>
              <w:t>14</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71" w:history="1">
            <w:r w:rsidR="00AE4097" w:rsidRPr="00854BA9">
              <w:rPr>
                <w:rStyle w:val="Hyperlink"/>
                <w:noProof/>
                <w:sz w:val="22"/>
                <w:szCs w:val="22"/>
                <w:lang w:val="en-US"/>
              </w:rPr>
              <w:t>2.4.2</w:t>
            </w:r>
            <w:r w:rsidR="00AE4097" w:rsidRPr="00854BA9">
              <w:rPr>
                <w:rFonts w:eastAsiaTheme="minorEastAsia"/>
                <w:noProof/>
                <w:sz w:val="22"/>
                <w:szCs w:val="22"/>
              </w:rPr>
              <w:tab/>
            </w:r>
            <w:r w:rsidR="00AE4097" w:rsidRPr="00854BA9">
              <w:rPr>
                <w:rStyle w:val="Hyperlink"/>
                <w:noProof/>
                <w:sz w:val="22"/>
                <w:szCs w:val="22"/>
                <w:lang w:val="en-US"/>
              </w:rPr>
              <w:t>Increased analyst coverage hypothesis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_Toc288725871 \h </w:instrText>
            </w:r>
            <w:r w:rsidRPr="00854BA9">
              <w:rPr>
                <w:noProof/>
                <w:webHidden/>
                <w:sz w:val="22"/>
                <w:szCs w:val="22"/>
              </w:rPr>
            </w:r>
            <w:r w:rsidRPr="00854BA9">
              <w:rPr>
                <w:noProof/>
                <w:webHidden/>
                <w:sz w:val="22"/>
                <w:szCs w:val="22"/>
              </w:rPr>
              <w:fldChar w:fldCharType="separate"/>
            </w:r>
            <w:r w:rsidR="00DE154D">
              <w:rPr>
                <w:noProof/>
                <w:webHidden/>
                <w:sz w:val="22"/>
                <w:szCs w:val="22"/>
              </w:rPr>
              <w:t>15</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72" w:history="1">
            <w:r w:rsidR="00AE4097" w:rsidRPr="00854BA9">
              <w:rPr>
                <w:rStyle w:val="Hyperlink"/>
                <w:noProof/>
                <w:sz w:val="22"/>
                <w:szCs w:val="22"/>
                <w:lang w:val="en-US"/>
              </w:rPr>
              <w:t>2.4.3</w:t>
            </w:r>
            <w:r w:rsidR="00AE4097" w:rsidRPr="00854BA9">
              <w:rPr>
                <w:rFonts w:eastAsiaTheme="minorEastAsia"/>
                <w:noProof/>
                <w:sz w:val="22"/>
                <w:szCs w:val="22"/>
              </w:rPr>
              <w:tab/>
            </w:r>
            <w:r w:rsidR="00AE4097" w:rsidRPr="00854BA9">
              <w:rPr>
                <w:rStyle w:val="Hyperlink"/>
                <w:noProof/>
                <w:sz w:val="22"/>
                <w:szCs w:val="22"/>
                <w:lang w:val="en-US"/>
              </w:rPr>
              <w:t>Corporate control hypothesis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_Toc288725872 \h </w:instrText>
            </w:r>
            <w:r w:rsidRPr="00854BA9">
              <w:rPr>
                <w:noProof/>
                <w:webHidden/>
                <w:sz w:val="22"/>
                <w:szCs w:val="22"/>
              </w:rPr>
            </w:r>
            <w:r w:rsidRPr="00854BA9">
              <w:rPr>
                <w:noProof/>
                <w:webHidden/>
                <w:sz w:val="22"/>
                <w:szCs w:val="22"/>
              </w:rPr>
              <w:fldChar w:fldCharType="separate"/>
            </w:r>
            <w:r w:rsidR="00DE154D">
              <w:rPr>
                <w:noProof/>
                <w:webHidden/>
                <w:sz w:val="22"/>
                <w:szCs w:val="22"/>
              </w:rPr>
              <w:t>15</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73" w:history="1">
            <w:r w:rsidR="00AE4097" w:rsidRPr="00854BA9">
              <w:rPr>
                <w:rStyle w:val="Hyperlink"/>
                <w:noProof/>
                <w:sz w:val="22"/>
                <w:szCs w:val="22"/>
                <w:lang w:val="en-US"/>
              </w:rPr>
              <w:t>2.4.4</w:t>
            </w:r>
            <w:r w:rsidR="00AE4097" w:rsidRPr="00854BA9">
              <w:rPr>
                <w:rFonts w:eastAsiaTheme="minorEastAsia"/>
                <w:noProof/>
                <w:sz w:val="22"/>
                <w:szCs w:val="22"/>
              </w:rPr>
              <w:tab/>
            </w:r>
            <w:r w:rsidR="00AE4097" w:rsidRPr="00854BA9">
              <w:rPr>
                <w:rStyle w:val="Hyperlink"/>
                <w:noProof/>
                <w:sz w:val="22"/>
                <w:szCs w:val="22"/>
                <w:lang w:val="en-US"/>
              </w:rPr>
              <w:t>Stock compensation hypothesis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_Toc288725873 \h </w:instrText>
            </w:r>
            <w:r w:rsidRPr="00854BA9">
              <w:rPr>
                <w:noProof/>
                <w:webHidden/>
                <w:sz w:val="22"/>
                <w:szCs w:val="22"/>
              </w:rPr>
            </w:r>
            <w:r w:rsidRPr="00854BA9">
              <w:rPr>
                <w:noProof/>
                <w:webHidden/>
                <w:sz w:val="22"/>
                <w:szCs w:val="22"/>
              </w:rPr>
              <w:fldChar w:fldCharType="separate"/>
            </w:r>
            <w:r w:rsidR="00DE154D">
              <w:rPr>
                <w:noProof/>
                <w:webHidden/>
                <w:sz w:val="22"/>
                <w:szCs w:val="22"/>
              </w:rPr>
              <w:t>15</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74" w:history="1">
            <w:r w:rsidR="00AE4097" w:rsidRPr="00854BA9">
              <w:rPr>
                <w:rStyle w:val="Hyperlink"/>
                <w:noProof/>
                <w:sz w:val="22"/>
                <w:szCs w:val="22"/>
                <w:lang w:val="en-US"/>
              </w:rPr>
              <w:t>2.4.5</w:t>
            </w:r>
            <w:r w:rsidR="00AE4097" w:rsidRPr="00854BA9">
              <w:rPr>
                <w:rFonts w:eastAsiaTheme="minorEastAsia"/>
                <w:noProof/>
                <w:sz w:val="22"/>
                <w:szCs w:val="22"/>
              </w:rPr>
              <w:tab/>
            </w:r>
            <w:r w:rsidR="00AE4097" w:rsidRPr="00854BA9">
              <w:rPr>
                <w:rStyle w:val="Hyperlink"/>
                <w:noProof/>
                <w:sz w:val="22"/>
                <w:szCs w:val="22"/>
                <w:lang w:val="en-US"/>
              </w:rPr>
              <w:t>Management talent signaling hypothesis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_Toc288725874 \h </w:instrText>
            </w:r>
            <w:r w:rsidRPr="00854BA9">
              <w:rPr>
                <w:noProof/>
                <w:webHidden/>
                <w:sz w:val="22"/>
                <w:szCs w:val="22"/>
              </w:rPr>
            </w:r>
            <w:r w:rsidRPr="00854BA9">
              <w:rPr>
                <w:noProof/>
                <w:webHidden/>
                <w:sz w:val="22"/>
                <w:szCs w:val="22"/>
              </w:rPr>
              <w:fldChar w:fldCharType="separate"/>
            </w:r>
            <w:r w:rsidR="00DE154D">
              <w:rPr>
                <w:noProof/>
                <w:webHidden/>
                <w:sz w:val="22"/>
                <w:szCs w:val="22"/>
              </w:rPr>
              <w:t>15</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76" w:history="1">
            <w:r w:rsidR="00AE4097" w:rsidRPr="00854BA9">
              <w:rPr>
                <w:rStyle w:val="Hyperlink"/>
                <w:noProof/>
                <w:sz w:val="22"/>
                <w:szCs w:val="22"/>
                <w:lang w:val="en-US"/>
              </w:rPr>
              <w:t>2.4.6</w:t>
            </w:r>
            <w:r w:rsidR="00AE4097" w:rsidRPr="00854BA9">
              <w:rPr>
                <w:rFonts w:eastAsiaTheme="minorEastAsia"/>
                <w:noProof/>
                <w:sz w:val="22"/>
                <w:szCs w:val="22"/>
              </w:rPr>
              <w:tab/>
            </w:r>
            <w:r w:rsidR="00AE4097" w:rsidRPr="00854BA9">
              <w:rPr>
                <w:rStyle w:val="Hyperlink"/>
                <w:noProof/>
                <w:sz w:val="22"/>
                <w:szCs w:val="22"/>
                <w:lang w:val="en-US"/>
              </w:rPr>
              <w:t>Limitations of mandatory disclosures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_Toc288725876 \h </w:instrText>
            </w:r>
            <w:r w:rsidRPr="00854BA9">
              <w:rPr>
                <w:noProof/>
                <w:webHidden/>
                <w:sz w:val="22"/>
                <w:szCs w:val="22"/>
              </w:rPr>
            </w:r>
            <w:r w:rsidRPr="00854BA9">
              <w:rPr>
                <w:noProof/>
                <w:webHidden/>
                <w:sz w:val="22"/>
                <w:szCs w:val="22"/>
              </w:rPr>
              <w:fldChar w:fldCharType="separate"/>
            </w:r>
            <w:r w:rsidR="00DE154D">
              <w:rPr>
                <w:noProof/>
                <w:webHidden/>
                <w:sz w:val="22"/>
                <w:szCs w:val="22"/>
              </w:rPr>
              <w:t>16</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77" w:history="1">
            <w:r w:rsidR="00AE4097" w:rsidRPr="00854BA9">
              <w:rPr>
                <w:rStyle w:val="Hyperlink"/>
                <w:noProof/>
                <w:sz w:val="22"/>
                <w:szCs w:val="22"/>
                <w:lang w:val="en-US"/>
              </w:rPr>
              <w:t>2.4.7</w:t>
            </w:r>
            <w:r w:rsidR="00AE4097" w:rsidRPr="00854BA9">
              <w:rPr>
                <w:rFonts w:eastAsiaTheme="minorEastAsia"/>
                <w:noProof/>
                <w:sz w:val="22"/>
                <w:szCs w:val="22"/>
              </w:rPr>
              <w:tab/>
            </w:r>
            <w:r w:rsidR="00AE4097" w:rsidRPr="00854BA9">
              <w:rPr>
                <w:rStyle w:val="Hyperlink"/>
                <w:noProof/>
                <w:sz w:val="22"/>
                <w:szCs w:val="22"/>
                <w:lang w:val="en-US"/>
              </w:rPr>
              <w:t>Litigation cost hypothesis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_Toc288725877 \h </w:instrText>
            </w:r>
            <w:r w:rsidRPr="00854BA9">
              <w:rPr>
                <w:noProof/>
                <w:webHidden/>
                <w:sz w:val="22"/>
                <w:szCs w:val="22"/>
              </w:rPr>
            </w:r>
            <w:r w:rsidRPr="00854BA9">
              <w:rPr>
                <w:noProof/>
                <w:webHidden/>
                <w:sz w:val="22"/>
                <w:szCs w:val="22"/>
              </w:rPr>
              <w:fldChar w:fldCharType="separate"/>
            </w:r>
            <w:r w:rsidR="00DE154D">
              <w:rPr>
                <w:noProof/>
                <w:webHidden/>
                <w:sz w:val="22"/>
                <w:szCs w:val="22"/>
              </w:rPr>
              <w:t>16</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78" w:history="1">
            <w:r w:rsidR="00AE4097" w:rsidRPr="00854BA9">
              <w:rPr>
                <w:rStyle w:val="Hyperlink"/>
                <w:noProof/>
                <w:sz w:val="22"/>
                <w:szCs w:val="22"/>
                <w:lang w:val="en-US"/>
              </w:rPr>
              <w:t>2.4.8</w:t>
            </w:r>
            <w:r w:rsidR="00AE4097" w:rsidRPr="00854BA9">
              <w:rPr>
                <w:rFonts w:eastAsiaTheme="minorEastAsia"/>
                <w:noProof/>
                <w:sz w:val="22"/>
                <w:szCs w:val="22"/>
              </w:rPr>
              <w:tab/>
            </w:r>
            <w:r w:rsidR="00AE4097" w:rsidRPr="00854BA9">
              <w:rPr>
                <w:rStyle w:val="Hyperlink"/>
                <w:noProof/>
                <w:sz w:val="22"/>
                <w:szCs w:val="22"/>
                <w:lang w:val="en-US"/>
              </w:rPr>
              <w:t>Proprietary cost hypothesis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_Toc288725878 \h </w:instrText>
            </w:r>
            <w:r w:rsidRPr="00854BA9">
              <w:rPr>
                <w:noProof/>
                <w:webHidden/>
                <w:sz w:val="22"/>
                <w:szCs w:val="22"/>
              </w:rPr>
            </w:r>
            <w:r w:rsidRPr="00854BA9">
              <w:rPr>
                <w:noProof/>
                <w:webHidden/>
                <w:sz w:val="22"/>
                <w:szCs w:val="22"/>
              </w:rPr>
              <w:fldChar w:fldCharType="separate"/>
            </w:r>
            <w:r w:rsidR="00DE154D">
              <w:rPr>
                <w:noProof/>
                <w:webHidden/>
                <w:sz w:val="22"/>
                <w:szCs w:val="22"/>
              </w:rPr>
              <w:t>16</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79" w:history="1">
            <w:r w:rsidR="00AE4097" w:rsidRPr="00854BA9">
              <w:rPr>
                <w:rStyle w:val="Hyperlink"/>
                <w:noProof/>
                <w:sz w:val="22"/>
                <w:szCs w:val="22"/>
                <w:lang w:val="en-US"/>
              </w:rPr>
              <w:t>2.4.9</w:t>
            </w:r>
            <w:r w:rsidR="00AE4097" w:rsidRPr="00854BA9">
              <w:rPr>
                <w:rFonts w:eastAsiaTheme="minorEastAsia"/>
                <w:noProof/>
                <w:sz w:val="22"/>
                <w:szCs w:val="22"/>
              </w:rPr>
              <w:tab/>
            </w:r>
            <w:r w:rsidR="00AE4097" w:rsidRPr="00854BA9">
              <w:rPr>
                <w:rStyle w:val="Hyperlink"/>
                <w:noProof/>
                <w:sz w:val="22"/>
                <w:szCs w:val="22"/>
                <w:lang w:val="en-US"/>
              </w:rPr>
              <w:t>Agency cost hypothesis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_Toc288725879 \h </w:instrText>
            </w:r>
            <w:r w:rsidRPr="00854BA9">
              <w:rPr>
                <w:noProof/>
                <w:webHidden/>
                <w:sz w:val="22"/>
                <w:szCs w:val="22"/>
              </w:rPr>
            </w:r>
            <w:r w:rsidRPr="00854BA9">
              <w:rPr>
                <w:noProof/>
                <w:webHidden/>
                <w:sz w:val="22"/>
                <w:szCs w:val="22"/>
              </w:rPr>
              <w:fldChar w:fldCharType="separate"/>
            </w:r>
            <w:r w:rsidR="00DE154D">
              <w:rPr>
                <w:noProof/>
                <w:webHidden/>
                <w:sz w:val="22"/>
                <w:szCs w:val="22"/>
              </w:rPr>
              <w:t>17</w:t>
            </w:r>
            <w:r w:rsidRPr="00854BA9">
              <w:rPr>
                <w:noProof/>
                <w:webHidden/>
                <w:sz w:val="22"/>
                <w:szCs w:val="22"/>
              </w:rPr>
              <w:fldChar w:fldCharType="end"/>
            </w:r>
          </w:hyperlink>
        </w:p>
        <w:p w:rsidR="00AE4097" w:rsidRPr="00854BA9" w:rsidRDefault="00BF4B0A" w:rsidP="00AE4097">
          <w:pPr>
            <w:pStyle w:val="TOC3"/>
            <w:tabs>
              <w:tab w:val="left" w:pos="1440"/>
              <w:tab w:val="right" w:leader="dot" w:pos="9060"/>
            </w:tabs>
            <w:rPr>
              <w:rFonts w:eastAsiaTheme="minorEastAsia"/>
              <w:noProof/>
              <w:sz w:val="22"/>
              <w:szCs w:val="22"/>
            </w:rPr>
          </w:pPr>
          <w:hyperlink w:anchor="_Toc288725880" w:history="1">
            <w:r w:rsidR="00AE4097" w:rsidRPr="00854BA9">
              <w:rPr>
                <w:rStyle w:val="Hyperlink"/>
                <w:noProof/>
                <w:sz w:val="22"/>
                <w:szCs w:val="22"/>
                <w:lang w:val="en-US"/>
              </w:rPr>
              <w:t>2.4.10</w:t>
            </w:r>
            <w:r w:rsidR="00AE4097" w:rsidRPr="00854BA9">
              <w:rPr>
                <w:rFonts w:eastAsiaTheme="minorEastAsia"/>
                <w:noProof/>
                <w:sz w:val="22"/>
                <w:szCs w:val="22"/>
              </w:rPr>
              <w:t xml:space="preserve">   </w:t>
            </w:r>
            <w:r w:rsidR="00AE4097" w:rsidRPr="00854BA9">
              <w:rPr>
                <w:rStyle w:val="Hyperlink"/>
                <w:noProof/>
                <w:sz w:val="22"/>
                <w:szCs w:val="22"/>
                <w:lang w:val="en-US"/>
              </w:rPr>
              <w:t>Political cost hypothesis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_Toc288725880 \h </w:instrText>
            </w:r>
            <w:r w:rsidRPr="00854BA9">
              <w:rPr>
                <w:noProof/>
                <w:webHidden/>
                <w:sz w:val="22"/>
                <w:szCs w:val="22"/>
              </w:rPr>
            </w:r>
            <w:r w:rsidRPr="00854BA9">
              <w:rPr>
                <w:noProof/>
                <w:webHidden/>
                <w:sz w:val="22"/>
                <w:szCs w:val="22"/>
              </w:rPr>
              <w:fldChar w:fldCharType="separate"/>
            </w:r>
            <w:r w:rsidR="00DE154D">
              <w:rPr>
                <w:noProof/>
                <w:webHidden/>
                <w:sz w:val="22"/>
                <w:szCs w:val="22"/>
              </w:rPr>
              <w:t>17</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81" w:history="1">
            <w:r w:rsidR="00AE4097" w:rsidRPr="00854BA9">
              <w:rPr>
                <w:rStyle w:val="Hyperlink"/>
                <w:noProof/>
                <w:sz w:val="22"/>
                <w:szCs w:val="22"/>
                <w:lang w:val="en-US"/>
              </w:rPr>
              <w:t>2.5</w:t>
            </w:r>
            <w:r w:rsidR="00AE4097" w:rsidRPr="00854BA9">
              <w:rPr>
                <w:rFonts w:eastAsiaTheme="minorEastAsia"/>
                <w:b/>
                <w:bCs/>
                <w:noProof/>
                <w:sz w:val="22"/>
                <w:szCs w:val="22"/>
              </w:rPr>
              <w:tab/>
            </w:r>
            <w:r w:rsidR="00AE4097" w:rsidRPr="00854BA9">
              <w:rPr>
                <w:rStyle w:val="Hyperlink"/>
                <w:noProof/>
                <w:sz w:val="22"/>
                <w:szCs w:val="22"/>
                <w:lang w:val="en-US"/>
              </w:rPr>
              <w:t>Measuring voluntary disclosures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_Toc288725881 \h </w:instrText>
            </w:r>
            <w:r w:rsidRPr="00854BA9">
              <w:rPr>
                <w:noProof/>
                <w:webHidden/>
                <w:sz w:val="22"/>
                <w:szCs w:val="22"/>
              </w:rPr>
            </w:r>
            <w:r w:rsidRPr="00854BA9">
              <w:rPr>
                <w:noProof/>
                <w:webHidden/>
                <w:sz w:val="22"/>
                <w:szCs w:val="22"/>
              </w:rPr>
              <w:fldChar w:fldCharType="separate"/>
            </w:r>
            <w:r w:rsidR="00DE154D">
              <w:rPr>
                <w:noProof/>
                <w:webHidden/>
                <w:sz w:val="22"/>
                <w:szCs w:val="22"/>
              </w:rPr>
              <w:t>18</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82" w:history="1">
            <w:r w:rsidR="00AE4097" w:rsidRPr="00854BA9">
              <w:rPr>
                <w:rStyle w:val="Hyperlink"/>
                <w:noProof/>
                <w:sz w:val="22"/>
                <w:szCs w:val="22"/>
                <w:lang w:val="en-US"/>
              </w:rPr>
              <w:t>2.5.1</w:t>
            </w:r>
            <w:r w:rsidR="00AE4097" w:rsidRPr="00854BA9">
              <w:rPr>
                <w:rFonts w:eastAsiaTheme="minorEastAsia"/>
                <w:noProof/>
                <w:sz w:val="22"/>
                <w:szCs w:val="22"/>
              </w:rPr>
              <w:tab/>
            </w:r>
            <w:r w:rsidR="00AE4097" w:rsidRPr="00854BA9">
              <w:rPr>
                <w:rStyle w:val="Hyperlink"/>
                <w:noProof/>
                <w:sz w:val="22"/>
                <w:szCs w:val="22"/>
                <w:lang w:val="en-US"/>
              </w:rPr>
              <w:t>Subjective ratings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_Toc288725882 \h </w:instrText>
            </w:r>
            <w:r w:rsidRPr="00854BA9">
              <w:rPr>
                <w:noProof/>
                <w:webHidden/>
                <w:sz w:val="22"/>
                <w:szCs w:val="22"/>
              </w:rPr>
            </w:r>
            <w:r w:rsidRPr="00854BA9">
              <w:rPr>
                <w:noProof/>
                <w:webHidden/>
                <w:sz w:val="22"/>
                <w:szCs w:val="22"/>
              </w:rPr>
              <w:fldChar w:fldCharType="separate"/>
            </w:r>
            <w:r w:rsidR="00DE154D">
              <w:rPr>
                <w:noProof/>
                <w:webHidden/>
                <w:sz w:val="22"/>
                <w:szCs w:val="22"/>
              </w:rPr>
              <w:t>18</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83" w:history="1">
            <w:r w:rsidR="00AE4097" w:rsidRPr="00854BA9">
              <w:rPr>
                <w:rStyle w:val="Hyperlink"/>
                <w:noProof/>
                <w:sz w:val="22"/>
                <w:szCs w:val="22"/>
                <w:lang w:val="en-US"/>
              </w:rPr>
              <w:t>2.5.2</w:t>
            </w:r>
            <w:r w:rsidR="00AE4097" w:rsidRPr="00854BA9">
              <w:rPr>
                <w:rFonts w:eastAsiaTheme="minorEastAsia"/>
                <w:noProof/>
                <w:sz w:val="22"/>
                <w:szCs w:val="22"/>
              </w:rPr>
              <w:tab/>
            </w:r>
            <w:r w:rsidR="00AE4097" w:rsidRPr="00854BA9">
              <w:rPr>
                <w:rStyle w:val="Hyperlink"/>
                <w:noProof/>
                <w:sz w:val="22"/>
                <w:szCs w:val="22"/>
                <w:lang w:val="en-US"/>
              </w:rPr>
              <w:t>Disclosure index studies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_Toc288725883 \h </w:instrText>
            </w:r>
            <w:r w:rsidRPr="00854BA9">
              <w:rPr>
                <w:noProof/>
                <w:webHidden/>
                <w:sz w:val="22"/>
                <w:szCs w:val="22"/>
              </w:rPr>
            </w:r>
            <w:r w:rsidRPr="00854BA9">
              <w:rPr>
                <w:noProof/>
                <w:webHidden/>
                <w:sz w:val="22"/>
                <w:szCs w:val="22"/>
              </w:rPr>
              <w:fldChar w:fldCharType="separate"/>
            </w:r>
            <w:r w:rsidR="00DE154D">
              <w:rPr>
                <w:noProof/>
                <w:webHidden/>
                <w:sz w:val="22"/>
                <w:szCs w:val="22"/>
              </w:rPr>
              <w:t>19</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84" w:history="1">
            <w:r w:rsidR="00AE4097" w:rsidRPr="00854BA9">
              <w:rPr>
                <w:rStyle w:val="Hyperlink"/>
                <w:noProof/>
                <w:sz w:val="22"/>
                <w:szCs w:val="22"/>
                <w:lang w:val="en-US"/>
              </w:rPr>
              <w:t>2.5.3</w:t>
            </w:r>
            <w:r w:rsidR="00AE4097" w:rsidRPr="00854BA9">
              <w:rPr>
                <w:rFonts w:eastAsiaTheme="minorEastAsia"/>
                <w:noProof/>
                <w:sz w:val="22"/>
                <w:szCs w:val="22"/>
              </w:rPr>
              <w:tab/>
            </w:r>
            <w:r w:rsidR="00AE4097" w:rsidRPr="00854BA9">
              <w:rPr>
                <w:rStyle w:val="Hyperlink"/>
                <w:noProof/>
                <w:sz w:val="22"/>
                <w:szCs w:val="22"/>
                <w:lang w:val="en-US"/>
              </w:rPr>
              <w:t>Textual analysis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_Toc288725884 \h </w:instrText>
            </w:r>
            <w:r w:rsidRPr="00854BA9">
              <w:rPr>
                <w:noProof/>
                <w:webHidden/>
                <w:sz w:val="22"/>
                <w:szCs w:val="22"/>
              </w:rPr>
            </w:r>
            <w:r w:rsidRPr="00854BA9">
              <w:rPr>
                <w:noProof/>
                <w:webHidden/>
                <w:sz w:val="22"/>
                <w:szCs w:val="22"/>
              </w:rPr>
              <w:fldChar w:fldCharType="separate"/>
            </w:r>
            <w:r w:rsidR="00DE154D">
              <w:rPr>
                <w:noProof/>
                <w:webHidden/>
                <w:sz w:val="22"/>
                <w:szCs w:val="22"/>
              </w:rPr>
              <w:t>20</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85" w:history="1">
            <w:r w:rsidR="00AE4097" w:rsidRPr="00854BA9">
              <w:rPr>
                <w:rStyle w:val="Hyperlink"/>
                <w:noProof/>
                <w:sz w:val="22"/>
                <w:szCs w:val="22"/>
                <w:lang w:val="en-US"/>
              </w:rPr>
              <w:t>2.5.4</w:t>
            </w:r>
            <w:r w:rsidR="00AE4097" w:rsidRPr="00854BA9">
              <w:rPr>
                <w:rFonts w:eastAsiaTheme="minorEastAsia"/>
                <w:noProof/>
                <w:sz w:val="22"/>
                <w:szCs w:val="22"/>
              </w:rPr>
              <w:tab/>
            </w:r>
            <w:r w:rsidR="00AE4097" w:rsidRPr="00854BA9">
              <w:rPr>
                <w:rStyle w:val="Hyperlink"/>
                <w:noProof/>
                <w:sz w:val="22"/>
                <w:szCs w:val="22"/>
                <w:lang w:val="en-US"/>
              </w:rPr>
              <w:t>Content analysis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_Toc288725885 \h </w:instrText>
            </w:r>
            <w:r w:rsidRPr="00854BA9">
              <w:rPr>
                <w:noProof/>
                <w:webHidden/>
                <w:sz w:val="22"/>
                <w:szCs w:val="22"/>
              </w:rPr>
            </w:r>
            <w:r w:rsidRPr="00854BA9">
              <w:rPr>
                <w:noProof/>
                <w:webHidden/>
                <w:sz w:val="22"/>
                <w:szCs w:val="22"/>
              </w:rPr>
              <w:fldChar w:fldCharType="separate"/>
            </w:r>
            <w:r w:rsidR="00DE154D">
              <w:rPr>
                <w:noProof/>
                <w:webHidden/>
                <w:sz w:val="22"/>
                <w:szCs w:val="22"/>
              </w:rPr>
              <w:t>21</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86" w:history="1">
            <w:r w:rsidR="00AE4097" w:rsidRPr="00854BA9">
              <w:rPr>
                <w:rStyle w:val="Hyperlink"/>
                <w:noProof/>
                <w:sz w:val="22"/>
                <w:szCs w:val="22"/>
                <w:lang w:val="en-US"/>
              </w:rPr>
              <w:t>2.6</w:t>
            </w:r>
            <w:r w:rsidR="00AE4097" w:rsidRPr="00854BA9">
              <w:rPr>
                <w:rFonts w:eastAsiaTheme="minorEastAsia"/>
                <w:b/>
                <w:bCs/>
                <w:noProof/>
                <w:sz w:val="22"/>
                <w:szCs w:val="22"/>
              </w:rPr>
              <w:tab/>
            </w:r>
            <w:r w:rsidR="00AE4097" w:rsidRPr="00854BA9">
              <w:rPr>
                <w:rStyle w:val="Hyperlink"/>
                <w:noProof/>
                <w:sz w:val="22"/>
                <w:szCs w:val="22"/>
                <w:lang w:val="en-US"/>
              </w:rPr>
              <w:t>Risk reporting</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_Toc288725886 \h </w:instrText>
            </w:r>
            <w:r w:rsidRPr="00854BA9">
              <w:rPr>
                <w:noProof/>
                <w:webHidden/>
                <w:sz w:val="22"/>
                <w:szCs w:val="22"/>
              </w:rPr>
            </w:r>
            <w:r w:rsidRPr="00854BA9">
              <w:rPr>
                <w:noProof/>
                <w:webHidden/>
                <w:sz w:val="22"/>
                <w:szCs w:val="22"/>
              </w:rPr>
              <w:fldChar w:fldCharType="separate"/>
            </w:r>
            <w:r w:rsidR="00DE154D">
              <w:rPr>
                <w:noProof/>
                <w:webHidden/>
                <w:sz w:val="22"/>
                <w:szCs w:val="22"/>
              </w:rPr>
              <w:t>22</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87" w:history="1">
            <w:r w:rsidR="00AE4097" w:rsidRPr="00854BA9">
              <w:rPr>
                <w:rStyle w:val="Hyperlink"/>
                <w:noProof/>
                <w:sz w:val="22"/>
                <w:szCs w:val="22"/>
                <w:lang w:val="en-US"/>
              </w:rPr>
              <w:t>2.6.1</w:t>
            </w:r>
            <w:r w:rsidR="00AE4097" w:rsidRPr="00854BA9">
              <w:rPr>
                <w:rFonts w:eastAsiaTheme="minorEastAsia"/>
                <w:noProof/>
                <w:sz w:val="22"/>
                <w:szCs w:val="22"/>
              </w:rPr>
              <w:tab/>
            </w:r>
            <w:r w:rsidR="00AE4097" w:rsidRPr="00854BA9">
              <w:rPr>
                <w:rStyle w:val="Hyperlink"/>
                <w:noProof/>
                <w:sz w:val="22"/>
                <w:szCs w:val="22"/>
                <w:lang w:val="en-US"/>
              </w:rPr>
              <w:t>Definition of risk</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_Toc288725887 \h </w:instrText>
            </w:r>
            <w:r w:rsidRPr="00854BA9">
              <w:rPr>
                <w:noProof/>
                <w:webHidden/>
                <w:sz w:val="22"/>
                <w:szCs w:val="22"/>
              </w:rPr>
            </w:r>
            <w:r w:rsidRPr="00854BA9">
              <w:rPr>
                <w:noProof/>
                <w:webHidden/>
                <w:sz w:val="22"/>
                <w:szCs w:val="22"/>
              </w:rPr>
              <w:fldChar w:fldCharType="separate"/>
            </w:r>
            <w:r w:rsidR="00DE154D">
              <w:rPr>
                <w:noProof/>
                <w:webHidden/>
                <w:sz w:val="22"/>
                <w:szCs w:val="22"/>
              </w:rPr>
              <w:t>22</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88" w:history="1">
            <w:r w:rsidR="00AE4097" w:rsidRPr="00854BA9">
              <w:rPr>
                <w:rStyle w:val="Hyperlink"/>
                <w:noProof/>
                <w:sz w:val="22"/>
                <w:szCs w:val="22"/>
                <w:lang w:val="en-US"/>
              </w:rPr>
              <w:t>2.6.2</w:t>
            </w:r>
            <w:r w:rsidR="00AE4097" w:rsidRPr="00854BA9">
              <w:rPr>
                <w:rFonts w:eastAsiaTheme="minorEastAsia"/>
                <w:noProof/>
                <w:sz w:val="22"/>
                <w:szCs w:val="22"/>
              </w:rPr>
              <w:tab/>
            </w:r>
            <w:r w:rsidR="00AE4097" w:rsidRPr="00854BA9">
              <w:rPr>
                <w:rStyle w:val="Hyperlink"/>
                <w:noProof/>
                <w:sz w:val="22"/>
                <w:szCs w:val="22"/>
                <w:lang w:val="en-US"/>
              </w:rPr>
              <w:t>Enterprise Risk Management framework</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_Toc288725888 \h </w:instrText>
            </w:r>
            <w:r w:rsidRPr="00854BA9">
              <w:rPr>
                <w:noProof/>
                <w:webHidden/>
                <w:sz w:val="22"/>
                <w:szCs w:val="22"/>
              </w:rPr>
            </w:r>
            <w:r w:rsidRPr="00854BA9">
              <w:rPr>
                <w:noProof/>
                <w:webHidden/>
                <w:sz w:val="22"/>
                <w:szCs w:val="22"/>
              </w:rPr>
              <w:fldChar w:fldCharType="separate"/>
            </w:r>
            <w:r w:rsidR="00DE154D">
              <w:rPr>
                <w:noProof/>
                <w:webHidden/>
                <w:sz w:val="22"/>
                <w:szCs w:val="22"/>
              </w:rPr>
              <w:t>23</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89" w:history="1">
            <w:r w:rsidR="00AE4097" w:rsidRPr="00854BA9">
              <w:rPr>
                <w:rStyle w:val="Hyperlink"/>
                <w:noProof/>
                <w:sz w:val="22"/>
                <w:szCs w:val="22"/>
                <w:lang w:val="en-US"/>
              </w:rPr>
              <w:t>2.6.3</w:t>
            </w:r>
            <w:r w:rsidR="00AE4097" w:rsidRPr="00854BA9">
              <w:rPr>
                <w:rFonts w:eastAsiaTheme="minorEastAsia"/>
                <w:noProof/>
                <w:sz w:val="22"/>
                <w:szCs w:val="22"/>
              </w:rPr>
              <w:tab/>
            </w:r>
            <w:r w:rsidR="00AE4097" w:rsidRPr="00854BA9">
              <w:rPr>
                <w:rStyle w:val="Hyperlink"/>
                <w:noProof/>
                <w:sz w:val="22"/>
                <w:szCs w:val="22"/>
                <w:lang w:val="en-US"/>
              </w:rPr>
              <w:t>Risk categories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_Toc288725889 \h </w:instrText>
            </w:r>
            <w:r w:rsidRPr="00854BA9">
              <w:rPr>
                <w:noProof/>
                <w:webHidden/>
                <w:sz w:val="22"/>
                <w:szCs w:val="22"/>
              </w:rPr>
            </w:r>
            <w:r w:rsidRPr="00854BA9">
              <w:rPr>
                <w:noProof/>
                <w:webHidden/>
                <w:sz w:val="22"/>
                <w:szCs w:val="22"/>
              </w:rPr>
              <w:fldChar w:fldCharType="separate"/>
            </w:r>
            <w:r w:rsidR="00DE154D">
              <w:rPr>
                <w:noProof/>
                <w:webHidden/>
                <w:sz w:val="22"/>
                <w:szCs w:val="22"/>
              </w:rPr>
              <w:t>25</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90" w:history="1">
            <w:r w:rsidR="00AE4097" w:rsidRPr="00854BA9">
              <w:rPr>
                <w:rStyle w:val="Hyperlink"/>
                <w:noProof/>
                <w:sz w:val="22"/>
                <w:szCs w:val="22"/>
                <w:lang w:val="en-US"/>
              </w:rPr>
              <w:t>2.7</w:t>
            </w:r>
            <w:r w:rsidR="00AE4097" w:rsidRPr="00854BA9">
              <w:rPr>
                <w:rFonts w:eastAsiaTheme="minorEastAsia"/>
                <w:b/>
                <w:bCs/>
                <w:noProof/>
                <w:sz w:val="22"/>
                <w:szCs w:val="22"/>
              </w:rPr>
              <w:tab/>
            </w:r>
            <w:r w:rsidR="00AE4097" w:rsidRPr="00854BA9">
              <w:rPr>
                <w:rStyle w:val="Hyperlink"/>
                <w:noProof/>
                <w:sz w:val="22"/>
                <w:szCs w:val="22"/>
                <w:lang w:val="en-US"/>
              </w:rPr>
              <w:t>Requirements for risk reporting</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_Toc288725890 \h </w:instrText>
            </w:r>
            <w:r w:rsidRPr="00854BA9">
              <w:rPr>
                <w:noProof/>
                <w:webHidden/>
                <w:sz w:val="22"/>
                <w:szCs w:val="22"/>
              </w:rPr>
            </w:r>
            <w:r w:rsidRPr="00854BA9">
              <w:rPr>
                <w:noProof/>
                <w:webHidden/>
                <w:sz w:val="22"/>
                <w:szCs w:val="22"/>
              </w:rPr>
              <w:fldChar w:fldCharType="separate"/>
            </w:r>
            <w:r w:rsidR="00DE154D">
              <w:rPr>
                <w:noProof/>
                <w:webHidden/>
                <w:sz w:val="22"/>
                <w:szCs w:val="22"/>
              </w:rPr>
              <w:t>26</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91" w:history="1">
            <w:r w:rsidR="00AE4097" w:rsidRPr="00854BA9">
              <w:rPr>
                <w:rStyle w:val="Hyperlink"/>
                <w:noProof/>
                <w:sz w:val="22"/>
                <w:szCs w:val="22"/>
                <w:lang w:val="en-US"/>
              </w:rPr>
              <w:t>2.7.1</w:t>
            </w:r>
            <w:r w:rsidR="00AE4097" w:rsidRPr="00854BA9">
              <w:rPr>
                <w:rFonts w:eastAsiaTheme="minorEastAsia"/>
                <w:noProof/>
                <w:sz w:val="22"/>
                <w:szCs w:val="22"/>
              </w:rPr>
              <w:tab/>
            </w:r>
            <w:r w:rsidR="00AE4097" w:rsidRPr="00854BA9">
              <w:rPr>
                <w:rStyle w:val="Hyperlink"/>
                <w:noProof/>
                <w:sz w:val="22"/>
                <w:szCs w:val="22"/>
                <w:lang w:val="en-US"/>
              </w:rPr>
              <w:t>IFRS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_Toc288725891 \h </w:instrText>
            </w:r>
            <w:r w:rsidRPr="00854BA9">
              <w:rPr>
                <w:noProof/>
                <w:webHidden/>
                <w:sz w:val="22"/>
                <w:szCs w:val="22"/>
              </w:rPr>
            </w:r>
            <w:r w:rsidRPr="00854BA9">
              <w:rPr>
                <w:noProof/>
                <w:webHidden/>
                <w:sz w:val="22"/>
                <w:szCs w:val="22"/>
              </w:rPr>
              <w:fldChar w:fldCharType="separate"/>
            </w:r>
            <w:r w:rsidR="00DE154D">
              <w:rPr>
                <w:noProof/>
                <w:webHidden/>
                <w:sz w:val="22"/>
                <w:szCs w:val="22"/>
              </w:rPr>
              <w:t>27</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92" w:history="1">
            <w:r w:rsidR="00AE4097" w:rsidRPr="00854BA9">
              <w:rPr>
                <w:rStyle w:val="Hyperlink"/>
                <w:noProof/>
                <w:sz w:val="22"/>
                <w:szCs w:val="22"/>
                <w:lang w:val="en-US"/>
              </w:rPr>
              <w:t>2.7.2</w:t>
            </w:r>
            <w:r w:rsidR="00AE4097" w:rsidRPr="00854BA9">
              <w:rPr>
                <w:rFonts w:eastAsiaTheme="minorEastAsia"/>
                <w:noProof/>
                <w:sz w:val="22"/>
                <w:szCs w:val="22"/>
              </w:rPr>
              <w:tab/>
            </w:r>
            <w:r w:rsidR="00AE4097" w:rsidRPr="00854BA9">
              <w:rPr>
                <w:rStyle w:val="Hyperlink"/>
                <w:noProof/>
                <w:sz w:val="22"/>
                <w:szCs w:val="22"/>
                <w:lang w:val="en-US"/>
              </w:rPr>
              <w:t>Dutch Corporate Governance Code</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_Toc288725892 \h </w:instrText>
            </w:r>
            <w:r w:rsidRPr="00854BA9">
              <w:rPr>
                <w:noProof/>
                <w:webHidden/>
                <w:sz w:val="22"/>
                <w:szCs w:val="22"/>
              </w:rPr>
            </w:r>
            <w:r w:rsidRPr="00854BA9">
              <w:rPr>
                <w:noProof/>
                <w:webHidden/>
                <w:sz w:val="22"/>
                <w:szCs w:val="22"/>
              </w:rPr>
              <w:fldChar w:fldCharType="separate"/>
            </w:r>
            <w:r w:rsidR="00DE154D">
              <w:rPr>
                <w:noProof/>
                <w:webHidden/>
                <w:sz w:val="22"/>
                <w:szCs w:val="22"/>
              </w:rPr>
              <w:t>29</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93" w:history="1">
            <w:r w:rsidR="00AE4097" w:rsidRPr="00854BA9">
              <w:rPr>
                <w:rStyle w:val="Hyperlink"/>
                <w:noProof/>
                <w:sz w:val="22"/>
                <w:szCs w:val="22"/>
                <w:lang w:val="en-US"/>
              </w:rPr>
              <w:t>2.8</w:t>
            </w:r>
            <w:r w:rsidR="00AE4097" w:rsidRPr="00854BA9">
              <w:rPr>
                <w:rFonts w:eastAsiaTheme="minorEastAsia"/>
                <w:b/>
                <w:bCs/>
                <w:noProof/>
                <w:sz w:val="22"/>
                <w:szCs w:val="22"/>
              </w:rPr>
              <w:tab/>
            </w:r>
            <w:r w:rsidR="00AE4097" w:rsidRPr="00854BA9">
              <w:rPr>
                <w:rStyle w:val="Hyperlink"/>
                <w:noProof/>
                <w:sz w:val="22"/>
                <w:szCs w:val="22"/>
                <w:lang w:val="en-US"/>
              </w:rPr>
              <w:t>Financial crisis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_Toc288725893 \h </w:instrText>
            </w:r>
            <w:r w:rsidRPr="00854BA9">
              <w:rPr>
                <w:noProof/>
                <w:webHidden/>
                <w:sz w:val="22"/>
                <w:szCs w:val="22"/>
              </w:rPr>
            </w:r>
            <w:r w:rsidRPr="00854BA9">
              <w:rPr>
                <w:noProof/>
                <w:webHidden/>
                <w:sz w:val="22"/>
                <w:szCs w:val="22"/>
              </w:rPr>
              <w:fldChar w:fldCharType="separate"/>
            </w:r>
            <w:r w:rsidR="00DE154D">
              <w:rPr>
                <w:noProof/>
                <w:webHidden/>
                <w:sz w:val="22"/>
                <w:szCs w:val="22"/>
              </w:rPr>
              <w:t>31</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94" w:history="1">
            <w:r w:rsidR="00AE4097" w:rsidRPr="00854BA9">
              <w:rPr>
                <w:rStyle w:val="Hyperlink"/>
                <w:noProof/>
                <w:sz w:val="22"/>
                <w:szCs w:val="22"/>
                <w:lang w:val="en-US"/>
              </w:rPr>
              <w:t>2.8.1</w:t>
            </w:r>
            <w:r w:rsidR="00AE4097" w:rsidRPr="00854BA9">
              <w:rPr>
                <w:rFonts w:eastAsiaTheme="minorEastAsia"/>
                <w:noProof/>
                <w:sz w:val="22"/>
                <w:szCs w:val="22"/>
              </w:rPr>
              <w:tab/>
            </w:r>
            <w:r w:rsidR="00AE4097" w:rsidRPr="00854BA9">
              <w:rPr>
                <w:rStyle w:val="Hyperlink"/>
                <w:noProof/>
                <w:sz w:val="22"/>
                <w:szCs w:val="22"/>
                <w:lang w:val="en-US"/>
              </w:rPr>
              <w:t>Causes of the crisis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_Toc288725894 \h </w:instrText>
            </w:r>
            <w:r w:rsidRPr="00854BA9">
              <w:rPr>
                <w:noProof/>
                <w:webHidden/>
                <w:sz w:val="22"/>
                <w:szCs w:val="22"/>
              </w:rPr>
            </w:r>
            <w:r w:rsidRPr="00854BA9">
              <w:rPr>
                <w:noProof/>
                <w:webHidden/>
                <w:sz w:val="22"/>
                <w:szCs w:val="22"/>
              </w:rPr>
              <w:fldChar w:fldCharType="separate"/>
            </w:r>
            <w:r w:rsidR="00DE154D">
              <w:rPr>
                <w:noProof/>
                <w:webHidden/>
                <w:sz w:val="22"/>
                <w:szCs w:val="22"/>
              </w:rPr>
              <w:t>31</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895" w:history="1">
            <w:r w:rsidR="00AE4097" w:rsidRPr="00854BA9">
              <w:rPr>
                <w:rStyle w:val="Hyperlink"/>
                <w:noProof/>
                <w:sz w:val="22"/>
                <w:szCs w:val="22"/>
                <w:lang w:val="en-US"/>
              </w:rPr>
              <w:t>2.8.2</w:t>
            </w:r>
            <w:r w:rsidR="00AE4097" w:rsidRPr="00854BA9">
              <w:rPr>
                <w:rFonts w:eastAsiaTheme="minorEastAsia"/>
                <w:noProof/>
                <w:sz w:val="22"/>
                <w:szCs w:val="22"/>
              </w:rPr>
              <w:tab/>
            </w:r>
            <w:r w:rsidR="00AE4097" w:rsidRPr="00854BA9">
              <w:rPr>
                <w:rStyle w:val="Hyperlink"/>
                <w:noProof/>
                <w:sz w:val="22"/>
                <w:szCs w:val="22"/>
                <w:lang w:val="en-US"/>
              </w:rPr>
              <w:t>Consequences of the crisis for risk disclosures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_Toc288725895 \h </w:instrText>
            </w:r>
            <w:r w:rsidRPr="00854BA9">
              <w:rPr>
                <w:noProof/>
                <w:webHidden/>
                <w:sz w:val="22"/>
                <w:szCs w:val="22"/>
              </w:rPr>
            </w:r>
            <w:r w:rsidRPr="00854BA9">
              <w:rPr>
                <w:noProof/>
                <w:webHidden/>
                <w:sz w:val="22"/>
                <w:szCs w:val="22"/>
              </w:rPr>
              <w:fldChar w:fldCharType="separate"/>
            </w:r>
            <w:r w:rsidR="00DE154D">
              <w:rPr>
                <w:noProof/>
                <w:webHidden/>
                <w:sz w:val="22"/>
                <w:szCs w:val="22"/>
              </w:rPr>
              <w:t>32</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96" w:history="1">
            <w:r w:rsidR="00AE4097" w:rsidRPr="00854BA9">
              <w:rPr>
                <w:rStyle w:val="Hyperlink"/>
                <w:noProof/>
                <w:sz w:val="22"/>
                <w:szCs w:val="22"/>
                <w:lang w:val="en-US"/>
              </w:rPr>
              <w:t>2.9</w:t>
            </w:r>
            <w:r w:rsidR="00AE4097" w:rsidRPr="00854BA9">
              <w:rPr>
                <w:rFonts w:eastAsiaTheme="minorEastAsia"/>
                <w:b/>
                <w:bCs/>
                <w:noProof/>
                <w:sz w:val="22"/>
                <w:szCs w:val="22"/>
              </w:rPr>
              <w:tab/>
            </w:r>
            <w:r w:rsidR="00AE4097" w:rsidRPr="00854BA9">
              <w:rPr>
                <w:rStyle w:val="Hyperlink"/>
                <w:noProof/>
                <w:sz w:val="22"/>
                <w:szCs w:val="22"/>
                <w:lang w:val="en-US"/>
              </w:rPr>
              <w:t>Summary</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_Toc288725896 \h </w:instrText>
            </w:r>
            <w:r w:rsidRPr="00854BA9">
              <w:rPr>
                <w:noProof/>
                <w:webHidden/>
                <w:sz w:val="22"/>
                <w:szCs w:val="22"/>
              </w:rPr>
            </w:r>
            <w:r w:rsidRPr="00854BA9">
              <w:rPr>
                <w:noProof/>
                <w:webHidden/>
                <w:sz w:val="22"/>
                <w:szCs w:val="22"/>
              </w:rPr>
              <w:fldChar w:fldCharType="separate"/>
            </w:r>
            <w:r w:rsidR="00DE154D">
              <w:rPr>
                <w:noProof/>
                <w:webHidden/>
                <w:sz w:val="22"/>
                <w:szCs w:val="22"/>
              </w:rPr>
              <w:t>33</w:t>
            </w:r>
            <w:r w:rsidRPr="00854BA9">
              <w:rPr>
                <w:noProof/>
                <w:webHidden/>
                <w:sz w:val="22"/>
                <w:szCs w:val="22"/>
              </w:rPr>
              <w:fldChar w:fldCharType="end"/>
            </w:r>
          </w:hyperlink>
        </w:p>
        <w:p w:rsidR="00AE4097" w:rsidRPr="00854BA9" w:rsidRDefault="00BF4B0A" w:rsidP="00AE4097">
          <w:pPr>
            <w:pStyle w:val="TOC1"/>
            <w:tabs>
              <w:tab w:val="left" w:pos="480"/>
              <w:tab w:val="right" w:leader="dot" w:pos="9060"/>
            </w:tabs>
            <w:rPr>
              <w:rFonts w:eastAsiaTheme="minorEastAsia"/>
              <w:b w:val="0"/>
              <w:bCs/>
              <w:iCs/>
              <w:noProof/>
              <w:sz w:val="22"/>
              <w:szCs w:val="22"/>
            </w:rPr>
          </w:pPr>
          <w:hyperlink w:anchor="_Toc288725897" w:history="1">
            <w:r w:rsidR="00AE4097" w:rsidRPr="00854BA9">
              <w:rPr>
                <w:rStyle w:val="Hyperlink"/>
                <w:noProof/>
                <w:sz w:val="22"/>
                <w:szCs w:val="22"/>
                <w:lang w:val="en-US"/>
              </w:rPr>
              <w:t>3</w:t>
            </w:r>
            <w:r w:rsidR="00AE4097" w:rsidRPr="00854BA9">
              <w:rPr>
                <w:rFonts w:eastAsiaTheme="minorEastAsia"/>
                <w:b w:val="0"/>
                <w:bCs/>
                <w:iCs/>
                <w:noProof/>
                <w:sz w:val="22"/>
                <w:szCs w:val="22"/>
              </w:rPr>
              <w:tab/>
            </w:r>
            <w:r w:rsidR="00AE4097" w:rsidRPr="00854BA9">
              <w:rPr>
                <w:rStyle w:val="Hyperlink"/>
                <w:noProof/>
                <w:sz w:val="22"/>
                <w:szCs w:val="22"/>
                <w:lang w:val="en-US"/>
              </w:rPr>
              <w:t>Literature review</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_Toc288725897 \h </w:instrText>
            </w:r>
            <w:r w:rsidRPr="00854BA9">
              <w:rPr>
                <w:noProof/>
                <w:webHidden/>
                <w:sz w:val="22"/>
                <w:szCs w:val="22"/>
              </w:rPr>
            </w:r>
            <w:r w:rsidRPr="00854BA9">
              <w:rPr>
                <w:noProof/>
                <w:webHidden/>
                <w:sz w:val="22"/>
                <w:szCs w:val="22"/>
              </w:rPr>
              <w:fldChar w:fldCharType="separate"/>
            </w:r>
            <w:r w:rsidR="00DE154D">
              <w:rPr>
                <w:noProof/>
                <w:webHidden/>
                <w:sz w:val="22"/>
                <w:szCs w:val="22"/>
              </w:rPr>
              <w:t>36</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98" w:history="1">
            <w:r w:rsidR="00AE4097" w:rsidRPr="00854BA9">
              <w:rPr>
                <w:rStyle w:val="Hyperlink"/>
                <w:noProof/>
                <w:sz w:val="22"/>
                <w:szCs w:val="22"/>
                <w:lang w:val="en-US"/>
              </w:rPr>
              <w:t>3.1</w:t>
            </w:r>
            <w:r w:rsidR="00AE4097" w:rsidRPr="00854BA9">
              <w:rPr>
                <w:rFonts w:eastAsiaTheme="minorEastAsia"/>
                <w:b/>
                <w:bCs/>
                <w:noProof/>
                <w:sz w:val="22"/>
                <w:szCs w:val="22"/>
              </w:rPr>
              <w:tab/>
            </w:r>
            <w:r w:rsidR="00AE4097" w:rsidRPr="00854BA9">
              <w:rPr>
                <w:rStyle w:val="Hyperlink"/>
                <w:noProof/>
                <w:sz w:val="22"/>
                <w:szCs w:val="22"/>
                <w:lang w:val="en-US"/>
              </w:rPr>
              <w:t>Introduction</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_Toc288725898 \h </w:instrText>
            </w:r>
            <w:r w:rsidRPr="00854BA9">
              <w:rPr>
                <w:noProof/>
                <w:webHidden/>
                <w:sz w:val="22"/>
                <w:szCs w:val="22"/>
              </w:rPr>
            </w:r>
            <w:r w:rsidRPr="00854BA9">
              <w:rPr>
                <w:noProof/>
                <w:webHidden/>
                <w:sz w:val="22"/>
                <w:szCs w:val="22"/>
              </w:rPr>
              <w:fldChar w:fldCharType="separate"/>
            </w:r>
            <w:r w:rsidR="00DE154D">
              <w:rPr>
                <w:noProof/>
                <w:webHidden/>
                <w:sz w:val="22"/>
                <w:szCs w:val="22"/>
              </w:rPr>
              <w:t>36</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899" w:history="1">
            <w:r w:rsidR="00AE4097" w:rsidRPr="00854BA9">
              <w:rPr>
                <w:rStyle w:val="Hyperlink"/>
                <w:noProof/>
                <w:sz w:val="22"/>
                <w:szCs w:val="22"/>
                <w:lang w:val="en-US"/>
              </w:rPr>
              <w:t>3.2</w:t>
            </w:r>
            <w:r w:rsidR="00AE4097" w:rsidRPr="00854BA9">
              <w:rPr>
                <w:rFonts w:eastAsiaTheme="minorEastAsia"/>
                <w:b/>
                <w:bCs/>
                <w:noProof/>
                <w:sz w:val="22"/>
                <w:szCs w:val="22"/>
              </w:rPr>
              <w:tab/>
            </w:r>
            <w:r w:rsidR="00AE4097" w:rsidRPr="00854BA9">
              <w:rPr>
                <w:rStyle w:val="Hyperlink"/>
                <w:noProof/>
                <w:sz w:val="22"/>
                <w:szCs w:val="22"/>
                <w:lang w:val="en-US"/>
              </w:rPr>
              <w:t>Lajili and Zéghal (2005)</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_Toc288725899 \h </w:instrText>
            </w:r>
            <w:r w:rsidRPr="00854BA9">
              <w:rPr>
                <w:noProof/>
                <w:webHidden/>
                <w:sz w:val="22"/>
                <w:szCs w:val="22"/>
              </w:rPr>
            </w:r>
            <w:r w:rsidRPr="00854BA9">
              <w:rPr>
                <w:noProof/>
                <w:webHidden/>
                <w:sz w:val="22"/>
                <w:szCs w:val="22"/>
              </w:rPr>
              <w:fldChar w:fldCharType="separate"/>
            </w:r>
            <w:r w:rsidR="00DE154D">
              <w:rPr>
                <w:noProof/>
                <w:webHidden/>
                <w:sz w:val="22"/>
                <w:szCs w:val="22"/>
              </w:rPr>
              <w:t>36</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00" w:history="1">
            <w:r w:rsidR="00AE4097" w:rsidRPr="00854BA9">
              <w:rPr>
                <w:rStyle w:val="Hyperlink"/>
                <w:noProof/>
                <w:sz w:val="22"/>
                <w:szCs w:val="22"/>
                <w:lang w:val="en-US"/>
              </w:rPr>
              <w:t>3.3</w:t>
            </w:r>
            <w:r w:rsidR="00AE4097" w:rsidRPr="00854BA9">
              <w:rPr>
                <w:rFonts w:eastAsiaTheme="minorEastAsia"/>
                <w:b/>
                <w:bCs/>
                <w:noProof/>
                <w:sz w:val="22"/>
                <w:szCs w:val="22"/>
              </w:rPr>
              <w:tab/>
            </w:r>
            <w:r w:rsidR="00AE4097" w:rsidRPr="00854BA9">
              <w:rPr>
                <w:rStyle w:val="Hyperlink"/>
                <w:noProof/>
                <w:sz w:val="22"/>
                <w:szCs w:val="22"/>
                <w:lang w:val="en-US"/>
              </w:rPr>
              <w:t>Linsley and Shrives (2006a)</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_Toc288725900 \h </w:instrText>
            </w:r>
            <w:r w:rsidRPr="00854BA9">
              <w:rPr>
                <w:noProof/>
                <w:webHidden/>
                <w:sz w:val="22"/>
                <w:szCs w:val="22"/>
              </w:rPr>
            </w:r>
            <w:r w:rsidRPr="00854BA9">
              <w:rPr>
                <w:noProof/>
                <w:webHidden/>
                <w:sz w:val="22"/>
                <w:szCs w:val="22"/>
              </w:rPr>
              <w:fldChar w:fldCharType="separate"/>
            </w:r>
            <w:r w:rsidR="00DE154D">
              <w:rPr>
                <w:noProof/>
                <w:webHidden/>
                <w:sz w:val="22"/>
                <w:szCs w:val="22"/>
              </w:rPr>
              <w:t>37</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01" w:history="1">
            <w:r w:rsidR="00AE4097" w:rsidRPr="00854BA9">
              <w:rPr>
                <w:rStyle w:val="Hyperlink"/>
                <w:noProof/>
                <w:sz w:val="22"/>
                <w:szCs w:val="22"/>
                <w:lang w:val="en-US"/>
              </w:rPr>
              <w:t>3.4</w:t>
            </w:r>
            <w:r w:rsidR="00AE4097" w:rsidRPr="00854BA9">
              <w:rPr>
                <w:rFonts w:eastAsiaTheme="minorEastAsia"/>
                <w:b/>
                <w:bCs/>
                <w:noProof/>
                <w:sz w:val="22"/>
                <w:szCs w:val="22"/>
              </w:rPr>
              <w:tab/>
            </w:r>
            <w:r w:rsidR="00AE4097" w:rsidRPr="00854BA9">
              <w:rPr>
                <w:rStyle w:val="Hyperlink"/>
                <w:noProof/>
                <w:sz w:val="22"/>
                <w:szCs w:val="22"/>
                <w:lang w:val="en-US"/>
              </w:rPr>
              <w:t>Abraham and Cox (2007)</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_Toc288725901 \h </w:instrText>
            </w:r>
            <w:r w:rsidRPr="00854BA9">
              <w:rPr>
                <w:noProof/>
                <w:webHidden/>
                <w:sz w:val="22"/>
                <w:szCs w:val="22"/>
              </w:rPr>
            </w:r>
            <w:r w:rsidRPr="00854BA9">
              <w:rPr>
                <w:noProof/>
                <w:webHidden/>
                <w:sz w:val="22"/>
                <w:szCs w:val="22"/>
              </w:rPr>
              <w:fldChar w:fldCharType="separate"/>
            </w:r>
            <w:r w:rsidR="00DE154D">
              <w:rPr>
                <w:noProof/>
                <w:webHidden/>
                <w:sz w:val="22"/>
                <w:szCs w:val="22"/>
              </w:rPr>
              <w:t>38</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02" w:history="1">
            <w:r w:rsidR="00AE4097" w:rsidRPr="00854BA9">
              <w:rPr>
                <w:rStyle w:val="Hyperlink"/>
                <w:noProof/>
                <w:sz w:val="22"/>
                <w:szCs w:val="22"/>
                <w:lang w:val="en-US"/>
              </w:rPr>
              <w:t>3.5</w:t>
            </w:r>
            <w:r w:rsidR="00AE4097" w:rsidRPr="00854BA9">
              <w:rPr>
                <w:rFonts w:eastAsiaTheme="minorEastAsia"/>
                <w:b/>
                <w:bCs/>
                <w:noProof/>
                <w:sz w:val="22"/>
                <w:szCs w:val="22"/>
              </w:rPr>
              <w:tab/>
            </w:r>
            <w:r w:rsidR="00AE4097" w:rsidRPr="00854BA9">
              <w:rPr>
                <w:rStyle w:val="Hyperlink"/>
                <w:noProof/>
                <w:sz w:val="22"/>
                <w:szCs w:val="22"/>
                <w:lang w:val="en-US"/>
              </w:rPr>
              <w:t>Amran, Bin and Hassan (2009)</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_Toc288725902 \h </w:instrText>
            </w:r>
            <w:r w:rsidRPr="00854BA9">
              <w:rPr>
                <w:noProof/>
                <w:webHidden/>
                <w:sz w:val="22"/>
                <w:szCs w:val="22"/>
              </w:rPr>
            </w:r>
            <w:r w:rsidRPr="00854BA9">
              <w:rPr>
                <w:noProof/>
                <w:webHidden/>
                <w:sz w:val="22"/>
                <w:szCs w:val="22"/>
              </w:rPr>
              <w:fldChar w:fldCharType="separate"/>
            </w:r>
            <w:r w:rsidR="00DE154D">
              <w:rPr>
                <w:noProof/>
                <w:webHidden/>
                <w:sz w:val="22"/>
                <w:szCs w:val="22"/>
              </w:rPr>
              <w:t>39</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03" w:history="1">
            <w:r w:rsidR="00AE4097" w:rsidRPr="00854BA9">
              <w:rPr>
                <w:rStyle w:val="Hyperlink"/>
                <w:noProof/>
                <w:sz w:val="22"/>
                <w:szCs w:val="22"/>
                <w:lang w:val="en-US"/>
              </w:rPr>
              <w:t>3.6</w:t>
            </w:r>
            <w:r w:rsidR="00AE4097" w:rsidRPr="00854BA9">
              <w:rPr>
                <w:rFonts w:eastAsiaTheme="minorEastAsia"/>
                <w:b/>
                <w:bCs/>
                <w:noProof/>
                <w:sz w:val="22"/>
                <w:szCs w:val="22"/>
              </w:rPr>
              <w:tab/>
            </w:r>
            <w:r w:rsidR="00AE4097" w:rsidRPr="00854BA9">
              <w:rPr>
                <w:rStyle w:val="Hyperlink"/>
                <w:noProof/>
                <w:sz w:val="22"/>
                <w:szCs w:val="22"/>
                <w:lang w:val="en-US"/>
              </w:rPr>
              <w:t>Review of the literature</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_Toc288725903 \h </w:instrText>
            </w:r>
            <w:r w:rsidRPr="00854BA9">
              <w:rPr>
                <w:noProof/>
                <w:webHidden/>
                <w:sz w:val="22"/>
                <w:szCs w:val="22"/>
              </w:rPr>
            </w:r>
            <w:r w:rsidRPr="00854BA9">
              <w:rPr>
                <w:noProof/>
                <w:webHidden/>
                <w:sz w:val="22"/>
                <w:szCs w:val="22"/>
              </w:rPr>
              <w:fldChar w:fldCharType="separate"/>
            </w:r>
            <w:r w:rsidR="00DE154D">
              <w:rPr>
                <w:noProof/>
                <w:webHidden/>
                <w:sz w:val="22"/>
                <w:szCs w:val="22"/>
              </w:rPr>
              <w:t>40</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04" w:history="1">
            <w:r w:rsidR="00AE4097" w:rsidRPr="00854BA9">
              <w:rPr>
                <w:rStyle w:val="Hyperlink"/>
                <w:noProof/>
                <w:sz w:val="22"/>
                <w:szCs w:val="22"/>
                <w:lang w:val="en-US"/>
              </w:rPr>
              <w:t>3.7</w:t>
            </w:r>
            <w:r w:rsidR="00AE4097" w:rsidRPr="00854BA9">
              <w:rPr>
                <w:rFonts w:eastAsiaTheme="minorEastAsia"/>
                <w:b/>
                <w:bCs/>
                <w:noProof/>
                <w:sz w:val="22"/>
                <w:szCs w:val="22"/>
              </w:rPr>
              <w:tab/>
            </w:r>
            <w:r w:rsidR="00AE4097" w:rsidRPr="00854BA9">
              <w:rPr>
                <w:rStyle w:val="Hyperlink"/>
                <w:noProof/>
                <w:sz w:val="22"/>
                <w:szCs w:val="22"/>
                <w:lang w:val="en-US"/>
              </w:rPr>
              <w:t>Summary</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_Toc288725904 \h </w:instrText>
            </w:r>
            <w:r w:rsidRPr="00854BA9">
              <w:rPr>
                <w:noProof/>
                <w:webHidden/>
                <w:sz w:val="22"/>
                <w:szCs w:val="22"/>
              </w:rPr>
            </w:r>
            <w:r w:rsidRPr="00854BA9">
              <w:rPr>
                <w:noProof/>
                <w:webHidden/>
                <w:sz w:val="22"/>
                <w:szCs w:val="22"/>
              </w:rPr>
              <w:fldChar w:fldCharType="separate"/>
            </w:r>
            <w:r w:rsidR="00DE154D">
              <w:rPr>
                <w:noProof/>
                <w:webHidden/>
                <w:sz w:val="22"/>
                <w:szCs w:val="22"/>
              </w:rPr>
              <w:t>42</w:t>
            </w:r>
            <w:r w:rsidRPr="00854BA9">
              <w:rPr>
                <w:noProof/>
                <w:webHidden/>
                <w:sz w:val="22"/>
                <w:szCs w:val="22"/>
              </w:rPr>
              <w:fldChar w:fldCharType="end"/>
            </w:r>
          </w:hyperlink>
        </w:p>
        <w:p w:rsidR="00AE4097" w:rsidRPr="00854BA9" w:rsidRDefault="00BF4B0A" w:rsidP="00AE4097">
          <w:pPr>
            <w:pStyle w:val="TOC1"/>
            <w:tabs>
              <w:tab w:val="left" w:pos="480"/>
              <w:tab w:val="right" w:leader="dot" w:pos="9060"/>
            </w:tabs>
            <w:rPr>
              <w:rFonts w:eastAsiaTheme="minorEastAsia"/>
              <w:b w:val="0"/>
              <w:bCs/>
              <w:iCs/>
              <w:noProof/>
              <w:sz w:val="22"/>
              <w:szCs w:val="22"/>
            </w:rPr>
          </w:pPr>
          <w:hyperlink w:anchor="_Toc288725905" w:history="1">
            <w:r w:rsidR="00AE4097" w:rsidRPr="00854BA9">
              <w:rPr>
                <w:rStyle w:val="Hyperlink"/>
                <w:noProof/>
                <w:sz w:val="22"/>
                <w:szCs w:val="22"/>
                <w:lang w:val="en-US"/>
              </w:rPr>
              <w:t>4</w:t>
            </w:r>
            <w:r w:rsidR="00AE4097" w:rsidRPr="00854BA9">
              <w:rPr>
                <w:rFonts w:eastAsiaTheme="minorEastAsia"/>
                <w:b w:val="0"/>
                <w:bCs/>
                <w:iCs/>
                <w:noProof/>
                <w:sz w:val="22"/>
                <w:szCs w:val="22"/>
              </w:rPr>
              <w:tab/>
            </w:r>
            <w:r w:rsidR="00AE4097" w:rsidRPr="00854BA9">
              <w:rPr>
                <w:rStyle w:val="Hyperlink"/>
                <w:noProof/>
                <w:sz w:val="22"/>
                <w:szCs w:val="22"/>
                <w:lang w:val="en-US"/>
              </w:rPr>
              <w:t>Research design</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_Toc288725905 \h </w:instrText>
            </w:r>
            <w:r w:rsidRPr="00854BA9">
              <w:rPr>
                <w:noProof/>
                <w:webHidden/>
                <w:sz w:val="22"/>
                <w:szCs w:val="22"/>
              </w:rPr>
            </w:r>
            <w:r w:rsidRPr="00854BA9">
              <w:rPr>
                <w:noProof/>
                <w:webHidden/>
                <w:sz w:val="22"/>
                <w:szCs w:val="22"/>
              </w:rPr>
              <w:fldChar w:fldCharType="separate"/>
            </w:r>
            <w:r w:rsidR="00DE154D">
              <w:rPr>
                <w:noProof/>
                <w:webHidden/>
                <w:sz w:val="22"/>
                <w:szCs w:val="22"/>
              </w:rPr>
              <w:t>43</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06" w:history="1">
            <w:r w:rsidR="00AE4097" w:rsidRPr="00854BA9">
              <w:rPr>
                <w:rStyle w:val="Hyperlink"/>
                <w:noProof/>
                <w:sz w:val="22"/>
                <w:szCs w:val="22"/>
                <w:lang w:val="en-US"/>
              </w:rPr>
              <w:t>4.1</w:t>
            </w:r>
            <w:r w:rsidR="00AE4097" w:rsidRPr="00854BA9">
              <w:rPr>
                <w:rFonts w:eastAsiaTheme="minorEastAsia"/>
                <w:b/>
                <w:bCs/>
                <w:noProof/>
                <w:sz w:val="22"/>
                <w:szCs w:val="22"/>
              </w:rPr>
              <w:tab/>
            </w:r>
            <w:r w:rsidR="00AE4097" w:rsidRPr="00854BA9">
              <w:rPr>
                <w:rStyle w:val="Hyperlink"/>
                <w:noProof/>
                <w:sz w:val="22"/>
                <w:szCs w:val="22"/>
                <w:lang w:val="en-US"/>
              </w:rPr>
              <w:t>Introduction</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_Toc288725906 \h </w:instrText>
            </w:r>
            <w:r w:rsidRPr="00854BA9">
              <w:rPr>
                <w:noProof/>
                <w:webHidden/>
                <w:sz w:val="22"/>
                <w:szCs w:val="22"/>
              </w:rPr>
            </w:r>
            <w:r w:rsidRPr="00854BA9">
              <w:rPr>
                <w:noProof/>
                <w:webHidden/>
                <w:sz w:val="22"/>
                <w:szCs w:val="22"/>
              </w:rPr>
              <w:fldChar w:fldCharType="separate"/>
            </w:r>
            <w:r w:rsidR="00DE154D">
              <w:rPr>
                <w:noProof/>
                <w:webHidden/>
                <w:sz w:val="22"/>
                <w:szCs w:val="22"/>
              </w:rPr>
              <w:t>43</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07" w:history="1">
            <w:r w:rsidR="00AE4097" w:rsidRPr="00854BA9">
              <w:rPr>
                <w:rStyle w:val="Hyperlink"/>
                <w:noProof/>
                <w:sz w:val="22"/>
                <w:szCs w:val="22"/>
                <w:lang w:val="en-US"/>
              </w:rPr>
              <w:t>4.2</w:t>
            </w:r>
            <w:r w:rsidR="00AE4097" w:rsidRPr="00854BA9">
              <w:rPr>
                <w:rFonts w:eastAsiaTheme="minorEastAsia"/>
                <w:b/>
                <w:bCs/>
                <w:noProof/>
                <w:sz w:val="22"/>
                <w:szCs w:val="22"/>
              </w:rPr>
              <w:tab/>
            </w:r>
            <w:r w:rsidR="00AE4097" w:rsidRPr="00854BA9">
              <w:rPr>
                <w:rStyle w:val="Hyperlink"/>
                <w:noProof/>
                <w:sz w:val="22"/>
                <w:szCs w:val="22"/>
                <w:lang w:val="en-US"/>
              </w:rPr>
              <w:t>Sample selection</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_Toc288725907 \h </w:instrText>
            </w:r>
            <w:r w:rsidRPr="00854BA9">
              <w:rPr>
                <w:noProof/>
                <w:webHidden/>
                <w:sz w:val="22"/>
                <w:szCs w:val="22"/>
              </w:rPr>
            </w:r>
            <w:r w:rsidRPr="00854BA9">
              <w:rPr>
                <w:noProof/>
                <w:webHidden/>
                <w:sz w:val="22"/>
                <w:szCs w:val="22"/>
              </w:rPr>
              <w:fldChar w:fldCharType="separate"/>
            </w:r>
            <w:r w:rsidR="00DE154D">
              <w:rPr>
                <w:noProof/>
                <w:webHidden/>
                <w:sz w:val="22"/>
                <w:szCs w:val="22"/>
              </w:rPr>
              <w:t>43</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08" w:history="1">
            <w:r w:rsidR="00AE4097" w:rsidRPr="00854BA9">
              <w:rPr>
                <w:rStyle w:val="Hyperlink"/>
                <w:noProof/>
                <w:sz w:val="22"/>
                <w:szCs w:val="22"/>
                <w:lang w:val="en-US"/>
              </w:rPr>
              <w:t>4.3</w:t>
            </w:r>
            <w:r w:rsidR="00AE4097" w:rsidRPr="00854BA9">
              <w:rPr>
                <w:rFonts w:eastAsiaTheme="minorEastAsia"/>
                <w:b/>
                <w:bCs/>
                <w:noProof/>
                <w:sz w:val="22"/>
                <w:szCs w:val="22"/>
              </w:rPr>
              <w:tab/>
            </w:r>
            <w:r w:rsidR="00AE4097" w:rsidRPr="00854BA9">
              <w:rPr>
                <w:rStyle w:val="Hyperlink"/>
                <w:noProof/>
                <w:sz w:val="22"/>
                <w:szCs w:val="22"/>
                <w:lang w:val="en-US"/>
              </w:rPr>
              <w:t>Research approach</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_Toc288725908 \h </w:instrText>
            </w:r>
            <w:r w:rsidRPr="00854BA9">
              <w:rPr>
                <w:noProof/>
                <w:webHidden/>
                <w:sz w:val="22"/>
                <w:szCs w:val="22"/>
              </w:rPr>
            </w:r>
            <w:r w:rsidRPr="00854BA9">
              <w:rPr>
                <w:noProof/>
                <w:webHidden/>
                <w:sz w:val="22"/>
                <w:szCs w:val="22"/>
              </w:rPr>
              <w:fldChar w:fldCharType="separate"/>
            </w:r>
            <w:r w:rsidR="00DE154D">
              <w:rPr>
                <w:noProof/>
                <w:webHidden/>
                <w:sz w:val="22"/>
                <w:szCs w:val="22"/>
              </w:rPr>
              <w:t>44</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909" w:history="1">
            <w:r w:rsidR="00AE4097" w:rsidRPr="00854BA9">
              <w:rPr>
                <w:rStyle w:val="Hyperlink"/>
                <w:noProof/>
                <w:sz w:val="22"/>
                <w:szCs w:val="22"/>
                <w:lang w:val="en-US"/>
              </w:rPr>
              <w:t>4.3.1</w:t>
            </w:r>
            <w:r w:rsidR="00AE4097" w:rsidRPr="00854BA9">
              <w:rPr>
                <w:rFonts w:eastAsiaTheme="minorEastAsia"/>
                <w:noProof/>
                <w:sz w:val="22"/>
                <w:szCs w:val="22"/>
              </w:rPr>
              <w:tab/>
            </w:r>
            <w:r w:rsidR="00AE4097" w:rsidRPr="00854BA9">
              <w:rPr>
                <w:rStyle w:val="Hyperlink"/>
                <w:noProof/>
                <w:sz w:val="22"/>
                <w:szCs w:val="22"/>
                <w:lang w:val="en-US"/>
              </w:rPr>
              <w:t>Risk disclosure index</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_Toc288725909 \h </w:instrText>
            </w:r>
            <w:r w:rsidRPr="00854BA9">
              <w:rPr>
                <w:noProof/>
                <w:webHidden/>
                <w:sz w:val="22"/>
                <w:szCs w:val="22"/>
              </w:rPr>
            </w:r>
            <w:r w:rsidRPr="00854BA9">
              <w:rPr>
                <w:noProof/>
                <w:webHidden/>
                <w:sz w:val="22"/>
                <w:szCs w:val="22"/>
              </w:rPr>
              <w:fldChar w:fldCharType="separate"/>
            </w:r>
            <w:r w:rsidR="00DE154D">
              <w:rPr>
                <w:noProof/>
                <w:webHidden/>
                <w:sz w:val="22"/>
                <w:szCs w:val="22"/>
              </w:rPr>
              <w:t>44</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910" w:history="1">
            <w:r w:rsidR="00AE4097" w:rsidRPr="00854BA9">
              <w:rPr>
                <w:rStyle w:val="Hyperlink"/>
                <w:noProof/>
                <w:sz w:val="22"/>
                <w:szCs w:val="22"/>
                <w:lang w:val="en-US"/>
              </w:rPr>
              <w:t>4.3.2</w:t>
            </w:r>
            <w:r w:rsidR="00AE4097" w:rsidRPr="00854BA9">
              <w:rPr>
                <w:rFonts w:eastAsiaTheme="minorEastAsia"/>
                <w:noProof/>
                <w:sz w:val="22"/>
                <w:szCs w:val="22"/>
              </w:rPr>
              <w:tab/>
            </w:r>
            <w:r w:rsidR="00AE4097" w:rsidRPr="00854BA9">
              <w:rPr>
                <w:rStyle w:val="Hyperlink"/>
                <w:noProof/>
                <w:sz w:val="22"/>
                <w:szCs w:val="22"/>
                <w:lang w:val="en-US"/>
              </w:rPr>
              <w:t>Control variables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_Toc288725910 \h </w:instrText>
            </w:r>
            <w:r w:rsidRPr="00854BA9">
              <w:rPr>
                <w:noProof/>
                <w:webHidden/>
                <w:sz w:val="22"/>
                <w:szCs w:val="22"/>
              </w:rPr>
            </w:r>
            <w:r w:rsidRPr="00854BA9">
              <w:rPr>
                <w:noProof/>
                <w:webHidden/>
                <w:sz w:val="22"/>
                <w:szCs w:val="22"/>
              </w:rPr>
              <w:fldChar w:fldCharType="separate"/>
            </w:r>
            <w:r w:rsidR="00DE154D">
              <w:rPr>
                <w:noProof/>
                <w:webHidden/>
                <w:sz w:val="22"/>
                <w:szCs w:val="22"/>
              </w:rPr>
              <w:t>46</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11" w:history="1">
            <w:r w:rsidR="00AE4097" w:rsidRPr="00854BA9">
              <w:rPr>
                <w:rStyle w:val="Hyperlink"/>
                <w:noProof/>
                <w:sz w:val="22"/>
                <w:szCs w:val="22"/>
                <w:lang w:val="en-US"/>
              </w:rPr>
              <w:t>4.4</w:t>
            </w:r>
            <w:r w:rsidR="00AE4097" w:rsidRPr="00854BA9">
              <w:rPr>
                <w:rFonts w:eastAsiaTheme="minorEastAsia"/>
                <w:b/>
                <w:bCs/>
                <w:noProof/>
                <w:sz w:val="22"/>
                <w:szCs w:val="22"/>
              </w:rPr>
              <w:tab/>
            </w:r>
            <w:r w:rsidR="00AE4097" w:rsidRPr="00854BA9">
              <w:rPr>
                <w:rStyle w:val="Hyperlink"/>
                <w:noProof/>
                <w:sz w:val="22"/>
                <w:szCs w:val="22"/>
                <w:lang w:val="en-US"/>
              </w:rPr>
              <w:t>Hypotheses development</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_Toc288725911 \h </w:instrText>
            </w:r>
            <w:r w:rsidRPr="00854BA9">
              <w:rPr>
                <w:noProof/>
                <w:webHidden/>
                <w:sz w:val="22"/>
                <w:szCs w:val="22"/>
              </w:rPr>
            </w:r>
            <w:r w:rsidRPr="00854BA9">
              <w:rPr>
                <w:noProof/>
                <w:webHidden/>
                <w:sz w:val="22"/>
                <w:szCs w:val="22"/>
              </w:rPr>
              <w:fldChar w:fldCharType="separate"/>
            </w:r>
            <w:r w:rsidR="00DE154D">
              <w:rPr>
                <w:noProof/>
                <w:webHidden/>
                <w:sz w:val="22"/>
                <w:szCs w:val="22"/>
              </w:rPr>
              <w:t>47</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912" w:history="1">
            <w:r w:rsidR="00AE4097" w:rsidRPr="00854BA9">
              <w:rPr>
                <w:rStyle w:val="Hyperlink"/>
                <w:noProof/>
                <w:sz w:val="22"/>
                <w:szCs w:val="22"/>
                <w:lang w:val="en-US"/>
              </w:rPr>
              <w:t>4.4.1</w:t>
            </w:r>
            <w:r w:rsidR="00AE4097" w:rsidRPr="00854BA9">
              <w:rPr>
                <w:rFonts w:eastAsiaTheme="minorEastAsia"/>
                <w:noProof/>
                <w:sz w:val="22"/>
                <w:szCs w:val="22"/>
              </w:rPr>
              <w:tab/>
            </w:r>
            <w:r w:rsidR="00AE4097" w:rsidRPr="00854BA9">
              <w:rPr>
                <w:rStyle w:val="Hyperlink"/>
                <w:noProof/>
                <w:sz w:val="22"/>
                <w:szCs w:val="22"/>
                <w:lang w:val="en-US"/>
              </w:rPr>
              <w:t>Risk disclosure and the financial crisis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_Toc288725912 \h </w:instrText>
            </w:r>
            <w:r w:rsidRPr="00854BA9">
              <w:rPr>
                <w:noProof/>
                <w:webHidden/>
                <w:sz w:val="22"/>
                <w:szCs w:val="22"/>
              </w:rPr>
            </w:r>
            <w:r w:rsidRPr="00854BA9">
              <w:rPr>
                <w:noProof/>
                <w:webHidden/>
                <w:sz w:val="22"/>
                <w:szCs w:val="22"/>
              </w:rPr>
              <w:fldChar w:fldCharType="separate"/>
            </w:r>
            <w:r w:rsidR="00DE154D">
              <w:rPr>
                <w:noProof/>
                <w:webHidden/>
                <w:sz w:val="22"/>
                <w:szCs w:val="22"/>
              </w:rPr>
              <w:t>47</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913" w:history="1">
            <w:r w:rsidR="00AE4097" w:rsidRPr="00854BA9">
              <w:rPr>
                <w:rStyle w:val="Hyperlink"/>
                <w:noProof/>
                <w:sz w:val="22"/>
                <w:szCs w:val="22"/>
                <w:lang w:val="en-US"/>
              </w:rPr>
              <w:t>4.4.2</w:t>
            </w:r>
            <w:r w:rsidR="00AE4097" w:rsidRPr="00854BA9">
              <w:rPr>
                <w:rFonts w:eastAsiaTheme="minorEastAsia"/>
                <w:noProof/>
                <w:sz w:val="22"/>
                <w:szCs w:val="22"/>
              </w:rPr>
              <w:tab/>
            </w:r>
            <w:r w:rsidR="00AE4097" w:rsidRPr="00854BA9">
              <w:rPr>
                <w:rStyle w:val="Hyperlink"/>
                <w:noProof/>
                <w:sz w:val="22"/>
                <w:szCs w:val="22"/>
                <w:lang w:val="en-US"/>
              </w:rPr>
              <w:t>Risk disclosure and company profitability</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_Toc288725913 \h </w:instrText>
            </w:r>
            <w:r w:rsidRPr="00854BA9">
              <w:rPr>
                <w:noProof/>
                <w:webHidden/>
                <w:sz w:val="22"/>
                <w:szCs w:val="22"/>
              </w:rPr>
            </w:r>
            <w:r w:rsidRPr="00854BA9">
              <w:rPr>
                <w:noProof/>
                <w:webHidden/>
                <w:sz w:val="22"/>
                <w:szCs w:val="22"/>
              </w:rPr>
              <w:fldChar w:fldCharType="separate"/>
            </w:r>
            <w:r w:rsidR="00DE154D">
              <w:rPr>
                <w:noProof/>
                <w:webHidden/>
                <w:sz w:val="22"/>
                <w:szCs w:val="22"/>
              </w:rPr>
              <w:t>47</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914" w:history="1">
            <w:r w:rsidR="00AE4097" w:rsidRPr="00854BA9">
              <w:rPr>
                <w:rStyle w:val="Hyperlink"/>
                <w:noProof/>
                <w:sz w:val="22"/>
                <w:szCs w:val="22"/>
                <w:lang w:val="en-US"/>
              </w:rPr>
              <w:t>4.4.3</w:t>
            </w:r>
            <w:r w:rsidR="00AE4097" w:rsidRPr="00854BA9">
              <w:rPr>
                <w:rFonts w:eastAsiaTheme="minorEastAsia"/>
                <w:noProof/>
                <w:sz w:val="22"/>
                <w:szCs w:val="22"/>
              </w:rPr>
              <w:tab/>
            </w:r>
            <w:r w:rsidR="00AE4097" w:rsidRPr="00854BA9">
              <w:rPr>
                <w:rStyle w:val="Hyperlink"/>
                <w:noProof/>
                <w:sz w:val="22"/>
                <w:szCs w:val="22"/>
                <w:lang w:val="en-US"/>
              </w:rPr>
              <w:t>Risk disclosure and level of risk</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_Toc288725914 \h </w:instrText>
            </w:r>
            <w:r w:rsidRPr="00854BA9">
              <w:rPr>
                <w:noProof/>
                <w:webHidden/>
                <w:sz w:val="22"/>
                <w:szCs w:val="22"/>
              </w:rPr>
            </w:r>
            <w:r w:rsidRPr="00854BA9">
              <w:rPr>
                <w:noProof/>
                <w:webHidden/>
                <w:sz w:val="22"/>
                <w:szCs w:val="22"/>
              </w:rPr>
              <w:fldChar w:fldCharType="separate"/>
            </w:r>
            <w:r w:rsidR="00DE154D">
              <w:rPr>
                <w:noProof/>
                <w:webHidden/>
                <w:sz w:val="22"/>
                <w:szCs w:val="22"/>
              </w:rPr>
              <w:t>48</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915" w:history="1">
            <w:r w:rsidR="00AE4097" w:rsidRPr="00854BA9">
              <w:rPr>
                <w:rStyle w:val="Hyperlink"/>
                <w:noProof/>
                <w:sz w:val="22"/>
                <w:szCs w:val="22"/>
                <w:lang w:val="en-US"/>
              </w:rPr>
              <w:t>4.4.4</w:t>
            </w:r>
            <w:r w:rsidR="00AE4097" w:rsidRPr="00854BA9">
              <w:rPr>
                <w:rFonts w:eastAsiaTheme="minorEastAsia"/>
                <w:noProof/>
                <w:sz w:val="22"/>
                <w:szCs w:val="22"/>
              </w:rPr>
              <w:tab/>
            </w:r>
            <w:r w:rsidR="00AE4097" w:rsidRPr="00854BA9">
              <w:rPr>
                <w:rStyle w:val="Hyperlink"/>
                <w:noProof/>
                <w:sz w:val="22"/>
                <w:szCs w:val="22"/>
                <w:lang w:val="en-US"/>
              </w:rPr>
              <w:t>Risk disclosure and type of industry</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_Toc288725915 \h </w:instrText>
            </w:r>
            <w:r w:rsidRPr="00854BA9">
              <w:rPr>
                <w:noProof/>
                <w:webHidden/>
                <w:sz w:val="22"/>
                <w:szCs w:val="22"/>
              </w:rPr>
            </w:r>
            <w:r w:rsidRPr="00854BA9">
              <w:rPr>
                <w:noProof/>
                <w:webHidden/>
                <w:sz w:val="22"/>
                <w:szCs w:val="22"/>
              </w:rPr>
              <w:fldChar w:fldCharType="separate"/>
            </w:r>
            <w:r w:rsidR="00DE154D">
              <w:rPr>
                <w:noProof/>
                <w:webHidden/>
                <w:sz w:val="22"/>
                <w:szCs w:val="22"/>
              </w:rPr>
              <w:t>49</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16" w:history="1">
            <w:r w:rsidR="00AE4097" w:rsidRPr="00854BA9">
              <w:rPr>
                <w:rStyle w:val="Hyperlink"/>
                <w:noProof/>
                <w:sz w:val="22"/>
                <w:szCs w:val="22"/>
                <w:lang w:val="en-US"/>
              </w:rPr>
              <w:t>4.5</w:t>
            </w:r>
            <w:r w:rsidR="00AE4097" w:rsidRPr="00854BA9">
              <w:rPr>
                <w:rFonts w:eastAsiaTheme="minorEastAsia"/>
                <w:b/>
                <w:bCs/>
                <w:noProof/>
                <w:sz w:val="22"/>
                <w:szCs w:val="22"/>
              </w:rPr>
              <w:tab/>
            </w:r>
            <w:r w:rsidR="00AE4097" w:rsidRPr="00854BA9">
              <w:rPr>
                <w:rStyle w:val="Hyperlink"/>
                <w:noProof/>
                <w:sz w:val="22"/>
                <w:szCs w:val="22"/>
                <w:lang w:val="en-US"/>
              </w:rPr>
              <w:t>Summary</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_Toc288725916 \h </w:instrText>
            </w:r>
            <w:r w:rsidRPr="00854BA9">
              <w:rPr>
                <w:noProof/>
                <w:webHidden/>
                <w:sz w:val="22"/>
                <w:szCs w:val="22"/>
              </w:rPr>
            </w:r>
            <w:r w:rsidRPr="00854BA9">
              <w:rPr>
                <w:noProof/>
                <w:webHidden/>
                <w:sz w:val="22"/>
                <w:szCs w:val="22"/>
              </w:rPr>
              <w:fldChar w:fldCharType="separate"/>
            </w:r>
            <w:r w:rsidR="00DE154D">
              <w:rPr>
                <w:noProof/>
                <w:webHidden/>
                <w:sz w:val="22"/>
                <w:szCs w:val="22"/>
              </w:rPr>
              <w:t>50</w:t>
            </w:r>
            <w:r w:rsidRPr="00854BA9">
              <w:rPr>
                <w:noProof/>
                <w:webHidden/>
                <w:sz w:val="22"/>
                <w:szCs w:val="22"/>
              </w:rPr>
              <w:fldChar w:fldCharType="end"/>
            </w:r>
          </w:hyperlink>
        </w:p>
        <w:p w:rsidR="00AE4097" w:rsidRPr="00854BA9" w:rsidRDefault="00BF4B0A" w:rsidP="00AE4097">
          <w:pPr>
            <w:pStyle w:val="TOC1"/>
            <w:tabs>
              <w:tab w:val="left" w:pos="480"/>
              <w:tab w:val="right" w:leader="dot" w:pos="9060"/>
            </w:tabs>
            <w:rPr>
              <w:rFonts w:eastAsiaTheme="minorEastAsia"/>
              <w:b w:val="0"/>
              <w:bCs/>
              <w:iCs/>
              <w:noProof/>
              <w:sz w:val="22"/>
              <w:szCs w:val="22"/>
            </w:rPr>
          </w:pPr>
          <w:hyperlink w:anchor="_Toc288725917" w:history="1">
            <w:r w:rsidR="00AE4097" w:rsidRPr="00854BA9">
              <w:rPr>
                <w:rStyle w:val="Hyperlink"/>
                <w:noProof/>
                <w:sz w:val="22"/>
                <w:szCs w:val="22"/>
                <w:lang w:val="en-US"/>
              </w:rPr>
              <w:t>5</w:t>
            </w:r>
            <w:r w:rsidR="00AE4097" w:rsidRPr="00854BA9">
              <w:rPr>
                <w:rFonts w:eastAsiaTheme="minorEastAsia"/>
                <w:b w:val="0"/>
                <w:bCs/>
                <w:iCs/>
                <w:noProof/>
                <w:sz w:val="22"/>
                <w:szCs w:val="22"/>
              </w:rPr>
              <w:tab/>
            </w:r>
            <w:r w:rsidR="00AE4097" w:rsidRPr="00854BA9">
              <w:rPr>
                <w:rStyle w:val="Hyperlink"/>
                <w:noProof/>
                <w:sz w:val="22"/>
                <w:szCs w:val="22"/>
                <w:lang w:val="en-US"/>
              </w:rPr>
              <w:t>Results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_Toc288725917 \h </w:instrText>
            </w:r>
            <w:r w:rsidRPr="00854BA9">
              <w:rPr>
                <w:noProof/>
                <w:webHidden/>
                <w:sz w:val="22"/>
                <w:szCs w:val="22"/>
              </w:rPr>
            </w:r>
            <w:r w:rsidRPr="00854BA9">
              <w:rPr>
                <w:noProof/>
                <w:webHidden/>
                <w:sz w:val="22"/>
                <w:szCs w:val="22"/>
              </w:rPr>
              <w:fldChar w:fldCharType="separate"/>
            </w:r>
            <w:r w:rsidR="00DE154D">
              <w:rPr>
                <w:noProof/>
                <w:webHidden/>
                <w:sz w:val="22"/>
                <w:szCs w:val="22"/>
              </w:rPr>
              <w:t>51</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18" w:history="1">
            <w:r w:rsidR="00AE4097" w:rsidRPr="00854BA9">
              <w:rPr>
                <w:rStyle w:val="Hyperlink"/>
                <w:noProof/>
                <w:sz w:val="22"/>
                <w:szCs w:val="22"/>
                <w:lang w:val="en-US"/>
              </w:rPr>
              <w:t>5.1</w:t>
            </w:r>
            <w:r w:rsidR="00AE4097" w:rsidRPr="00854BA9">
              <w:rPr>
                <w:rFonts w:eastAsiaTheme="minorEastAsia"/>
                <w:b/>
                <w:bCs/>
                <w:noProof/>
                <w:sz w:val="22"/>
                <w:szCs w:val="22"/>
              </w:rPr>
              <w:tab/>
            </w:r>
            <w:r w:rsidR="00AE4097" w:rsidRPr="00854BA9">
              <w:rPr>
                <w:rStyle w:val="Hyperlink"/>
                <w:noProof/>
                <w:sz w:val="22"/>
                <w:szCs w:val="22"/>
                <w:lang w:val="en-US"/>
              </w:rPr>
              <w:t>Introduction</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_Toc288725918 \h </w:instrText>
            </w:r>
            <w:r w:rsidRPr="00854BA9">
              <w:rPr>
                <w:noProof/>
                <w:webHidden/>
                <w:sz w:val="22"/>
                <w:szCs w:val="22"/>
              </w:rPr>
            </w:r>
            <w:r w:rsidRPr="00854BA9">
              <w:rPr>
                <w:noProof/>
                <w:webHidden/>
                <w:sz w:val="22"/>
                <w:szCs w:val="22"/>
              </w:rPr>
              <w:fldChar w:fldCharType="separate"/>
            </w:r>
            <w:r w:rsidR="00DE154D">
              <w:rPr>
                <w:noProof/>
                <w:webHidden/>
                <w:sz w:val="22"/>
                <w:szCs w:val="22"/>
              </w:rPr>
              <w:t>51</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19" w:history="1">
            <w:r w:rsidR="00AE4097" w:rsidRPr="00854BA9">
              <w:rPr>
                <w:rStyle w:val="Hyperlink"/>
                <w:noProof/>
                <w:sz w:val="22"/>
                <w:szCs w:val="22"/>
                <w:lang w:val="en-US"/>
              </w:rPr>
              <w:t>5.2</w:t>
            </w:r>
            <w:r w:rsidR="00AE4097" w:rsidRPr="00854BA9">
              <w:rPr>
                <w:rFonts w:eastAsiaTheme="minorEastAsia"/>
                <w:b/>
                <w:bCs/>
                <w:noProof/>
                <w:sz w:val="22"/>
                <w:szCs w:val="22"/>
              </w:rPr>
              <w:tab/>
            </w:r>
            <w:r w:rsidR="00AE4097" w:rsidRPr="00854BA9">
              <w:rPr>
                <w:rStyle w:val="Hyperlink"/>
                <w:noProof/>
                <w:sz w:val="22"/>
                <w:szCs w:val="22"/>
                <w:lang w:val="en-US"/>
              </w:rPr>
              <w:t>Risk disclosure scores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_Toc288725919 \h </w:instrText>
            </w:r>
            <w:r w:rsidRPr="00854BA9">
              <w:rPr>
                <w:noProof/>
                <w:webHidden/>
                <w:sz w:val="22"/>
                <w:szCs w:val="22"/>
              </w:rPr>
            </w:r>
            <w:r w:rsidRPr="00854BA9">
              <w:rPr>
                <w:noProof/>
                <w:webHidden/>
                <w:sz w:val="22"/>
                <w:szCs w:val="22"/>
              </w:rPr>
              <w:fldChar w:fldCharType="separate"/>
            </w:r>
            <w:r w:rsidR="00DE154D">
              <w:rPr>
                <w:noProof/>
                <w:webHidden/>
                <w:sz w:val="22"/>
                <w:szCs w:val="22"/>
              </w:rPr>
              <w:t>51</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20" w:history="1">
            <w:r w:rsidR="00AE4097" w:rsidRPr="00854BA9">
              <w:rPr>
                <w:rStyle w:val="Hyperlink"/>
                <w:noProof/>
                <w:sz w:val="22"/>
                <w:szCs w:val="22"/>
                <w:lang w:val="en-US"/>
              </w:rPr>
              <w:t>5.3</w:t>
            </w:r>
            <w:r w:rsidR="00AE4097" w:rsidRPr="00854BA9">
              <w:rPr>
                <w:rFonts w:eastAsiaTheme="minorEastAsia"/>
                <w:b/>
                <w:bCs/>
                <w:noProof/>
                <w:sz w:val="22"/>
                <w:szCs w:val="22"/>
              </w:rPr>
              <w:tab/>
            </w:r>
            <w:r w:rsidR="00AE4097" w:rsidRPr="00854BA9">
              <w:rPr>
                <w:rStyle w:val="Hyperlink"/>
                <w:noProof/>
                <w:sz w:val="22"/>
                <w:szCs w:val="22"/>
                <w:lang w:val="en-US"/>
              </w:rPr>
              <w:t>Statistical analysis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_Toc288725920 \h </w:instrText>
            </w:r>
            <w:r w:rsidRPr="00854BA9">
              <w:rPr>
                <w:noProof/>
                <w:webHidden/>
                <w:sz w:val="22"/>
                <w:szCs w:val="22"/>
              </w:rPr>
            </w:r>
            <w:r w:rsidRPr="00854BA9">
              <w:rPr>
                <w:noProof/>
                <w:webHidden/>
                <w:sz w:val="22"/>
                <w:szCs w:val="22"/>
              </w:rPr>
              <w:fldChar w:fldCharType="separate"/>
            </w:r>
            <w:r w:rsidR="00DE154D">
              <w:rPr>
                <w:noProof/>
                <w:webHidden/>
                <w:sz w:val="22"/>
                <w:szCs w:val="22"/>
              </w:rPr>
              <w:t>53</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921" w:history="1">
            <w:r w:rsidR="00AE4097" w:rsidRPr="00854BA9">
              <w:rPr>
                <w:rStyle w:val="Hyperlink"/>
                <w:noProof/>
                <w:sz w:val="22"/>
                <w:szCs w:val="22"/>
                <w:lang w:val="en-US"/>
              </w:rPr>
              <w:t>5.3.1</w:t>
            </w:r>
            <w:r w:rsidR="00AE4097" w:rsidRPr="00854BA9">
              <w:rPr>
                <w:rFonts w:eastAsiaTheme="minorEastAsia"/>
                <w:noProof/>
                <w:sz w:val="22"/>
                <w:szCs w:val="22"/>
              </w:rPr>
              <w:tab/>
            </w:r>
            <w:r w:rsidR="00AE4097" w:rsidRPr="00854BA9">
              <w:rPr>
                <w:rStyle w:val="Hyperlink"/>
                <w:noProof/>
                <w:sz w:val="22"/>
                <w:szCs w:val="22"/>
                <w:lang w:val="en-US"/>
              </w:rPr>
              <w:t>Descriptive statistics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_Toc288725921 \h </w:instrText>
            </w:r>
            <w:r w:rsidRPr="00854BA9">
              <w:rPr>
                <w:noProof/>
                <w:webHidden/>
                <w:sz w:val="22"/>
                <w:szCs w:val="22"/>
              </w:rPr>
            </w:r>
            <w:r w:rsidRPr="00854BA9">
              <w:rPr>
                <w:noProof/>
                <w:webHidden/>
                <w:sz w:val="22"/>
                <w:szCs w:val="22"/>
              </w:rPr>
              <w:fldChar w:fldCharType="separate"/>
            </w:r>
            <w:r w:rsidR="00DE154D">
              <w:rPr>
                <w:noProof/>
                <w:webHidden/>
                <w:sz w:val="22"/>
                <w:szCs w:val="22"/>
              </w:rPr>
              <w:t>53</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922" w:history="1">
            <w:r w:rsidR="00AE4097" w:rsidRPr="00854BA9">
              <w:rPr>
                <w:rStyle w:val="Hyperlink"/>
                <w:noProof/>
                <w:sz w:val="22"/>
                <w:szCs w:val="22"/>
                <w:lang w:val="en-US"/>
              </w:rPr>
              <w:t>5.3.2</w:t>
            </w:r>
            <w:r w:rsidR="00AE4097" w:rsidRPr="00854BA9">
              <w:rPr>
                <w:rFonts w:eastAsiaTheme="minorEastAsia"/>
                <w:noProof/>
                <w:sz w:val="22"/>
                <w:szCs w:val="22"/>
              </w:rPr>
              <w:tab/>
            </w:r>
            <w:r w:rsidR="00AE4097" w:rsidRPr="00854BA9">
              <w:rPr>
                <w:rStyle w:val="Hyperlink"/>
                <w:noProof/>
                <w:sz w:val="22"/>
                <w:szCs w:val="22"/>
                <w:lang w:val="en-US"/>
              </w:rPr>
              <w:t>Normal distribution</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_Toc288725922 \h </w:instrText>
            </w:r>
            <w:r w:rsidRPr="00854BA9">
              <w:rPr>
                <w:noProof/>
                <w:webHidden/>
                <w:sz w:val="22"/>
                <w:szCs w:val="22"/>
              </w:rPr>
            </w:r>
            <w:r w:rsidRPr="00854BA9">
              <w:rPr>
                <w:noProof/>
                <w:webHidden/>
                <w:sz w:val="22"/>
                <w:szCs w:val="22"/>
              </w:rPr>
              <w:fldChar w:fldCharType="separate"/>
            </w:r>
            <w:r w:rsidR="00DE154D">
              <w:rPr>
                <w:noProof/>
                <w:webHidden/>
                <w:sz w:val="22"/>
                <w:szCs w:val="22"/>
              </w:rPr>
              <w:t>54</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923" w:history="1">
            <w:r w:rsidR="00AE4097" w:rsidRPr="00854BA9">
              <w:rPr>
                <w:rStyle w:val="Hyperlink"/>
                <w:noProof/>
                <w:sz w:val="22"/>
                <w:szCs w:val="22"/>
                <w:lang w:val="en-US"/>
              </w:rPr>
              <w:t>5.3.3</w:t>
            </w:r>
            <w:r w:rsidR="00AE4097" w:rsidRPr="00854BA9">
              <w:rPr>
                <w:rFonts w:eastAsiaTheme="minorEastAsia"/>
                <w:noProof/>
                <w:sz w:val="22"/>
                <w:szCs w:val="22"/>
              </w:rPr>
              <w:tab/>
            </w:r>
            <w:r w:rsidR="00AE4097" w:rsidRPr="00854BA9">
              <w:rPr>
                <w:rStyle w:val="Hyperlink"/>
                <w:noProof/>
                <w:sz w:val="22"/>
                <w:szCs w:val="22"/>
                <w:lang w:val="en-US"/>
              </w:rPr>
              <w:t>Hypothesis 1</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_Toc288725923 \h </w:instrText>
            </w:r>
            <w:r w:rsidRPr="00854BA9">
              <w:rPr>
                <w:noProof/>
                <w:webHidden/>
                <w:sz w:val="22"/>
                <w:szCs w:val="22"/>
              </w:rPr>
            </w:r>
            <w:r w:rsidRPr="00854BA9">
              <w:rPr>
                <w:noProof/>
                <w:webHidden/>
                <w:sz w:val="22"/>
                <w:szCs w:val="22"/>
              </w:rPr>
              <w:fldChar w:fldCharType="separate"/>
            </w:r>
            <w:r w:rsidR="00DE154D">
              <w:rPr>
                <w:noProof/>
                <w:webHidden/>
                <w:sz w:val="22"/>
                <w:szCs w:val="22"/>
              </w:rPr>
              <w:t>55</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924" w:history="1">
            <w:r w:rsidR="00AE4097" w:rsidRPr="00854BA9">
              <w:rPr>
                <w:rStyle w:val="Hyperlink"/>
                <w:noProof/>
                <w:sz w:val="22"/>
                <w:szCs w:val="22"/>
                <w:lang w:val="en-US"/>
              </w:rPr>
              <w:t>5.3.4</w:t>
            </w:r>
            <w:r w:rsidR="00AE4097" w:rsidRPr="00854BA9">
              <w:rPr>
                <w:rFonts w:eastAsiaTheme="minorEastAsia"/>
                <w:noProof/>
                <w:sz w:val="22"/>
                <w:szCs w:val="22"/>
              </w:rPr>
              <w:tab/>
            </w:r>
            <w:r w:rsidR="00AE4097" w:rsidRPr="00854BA9">
              <w:rPr>
                <w:rStyle w:val="Hyperlink"/>
                <w:noProof/>
                <w:sz w:val="22"/>
                <w:szCs w:val="22"/>
                <w:lang w:val="en-US"/>
              </w:rPr>
              <w:t>Hypothesis 2</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_Toc288725924 \h </w:instrText>
            </w:r>
            <w:r w:rsidRPr="00854BA9">
              <w:rPr>
                <w:noProof/>
                <w:webHidden/>
                <w:sz w:val="22"/>
                <w:szCs w:val="22"/>
              </w:rPr>
            </w:r>
            <w:r w:rsidRPr="00854BA9">
              <w:rPr>
                <w:noProof/>
                <w:webHidden/>
                <w:sz w:val="22"/>
                <w:szCs w:val="22"/>
              </w:rPr>
              <w:fldChar w:fldCharType="separate"/>
            </w:r>
            <w:r w:rsidR="00DE154D">
              <w:rPr>
                <w:noProof/>
                <w:webHidden/>
                <w:sz w:val="22"/>
                <w:szCs w:val="22"/>
              </w:rPr>
              <w:t>57</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925" w:history="1">
            <w:r w:rsidR="00AE4097" w:rsidRPr="00854BA9">
              <w:rPr>
                <w:rStyle w:val="Hyperlink"/>
                <w:noProof/>
                <w:sz w:val="22"/>
                <w:szCs w:val="22"/>
                <w:lang w:val="en-US"/>
              </w:rPr>
              <w:t>5.3.5</w:t>
            </w:r>
            <w:r w:rsidR="00AE4097" w:rsidRPr="00854BA9">
              <w:rPr>
                <w:rFonts w:eastAsiaTheme="minorEastAsia"/>
                <w:noProof/>
                <w:sz w:val="22"/>
                <w:szCs w:val="22"/>
              </w:rPr>
              <w:tab/>
            </w:r>
            <w:r w:rsidR="00AE4097" w:rsidRPr="00854BA9">
              <w:rPr>
                <w:rStyle w:val="Hyperlink"/>
                <w:noProof/>
                <w:sz w:val="22"/>
                <w:szCs w:val="22"/>
                <w:lang w:val="en-US"/>
              </w:rPr>
              <w:t>Hypothesis 3</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_Toc288725925 \h </w:instrText>
            </w:r>
            <w:r w:rsidRPr="00854BA9">
              <w:rPr>
                <w:noProof/>
                <w:webHidden/>
                <w:sz w:val="22"/>
                <w:szCs w:val="22"/>
              </w:rPr>
            </w:r>
            <w:r w:rsidRPr="00854BA9">
              <w:rPr>
                <w:noProof/>
                <w:webHidden/>
                <w:sz w:val="22"/>
                <w:szCs w:val="22"/>
              </w:rPr>
              <w:fldChar w:fldCharType="separate"/>
            </w:r>
            <w:r w:rsidR="00DE154D">
              <w:rPr>
                <w:noProof/>
                <w:webHidden/>
                <w:sz w:val="22"/>
                <w:szCs w:val="22"/>
              </w:rPr>
              <w:t>58</w:t>
            </w:r>
            <w:r w:rsidRPr="00854BA9">
              <w:rPr>
                <w:noProof/>
                <w:webHidden/>
                <w:sz w:val="22"/>
                <w:szCs w:val="22"/>
              </w:rPr>
              <w:fldChar w:fldCharType="end"/>
            </w:r>
          </w:hyperlink>
        </w:p>
        <w:p w:rsidR="00AE4097" w:rsidRPr="00854BA9" w:rsidRDefault="00BF4B0A" w:rsidP="00AE4097">
          <w:pPr>
            <w:pStyle w:val="TOC3"/>
            <w:tabs>
              <w:tab w:val="left" w:pos="1200"/>
              <w:tab w:val="right" w:leader="dot" w:pos="9060"/>
            </w:tabs>
            <w:rPr>
              <w:rFonts w:eastAsiaTheme="minorEastAsia"/>
              <w:noProof/>
              <w:sz w:val="22"/>
              <w:szCs w:val="22"/>
            </w:rPr>
          </w:pPr>
          <w:hyperlink w:anchor="_Toc288725926" w:history="1">
            <w:r w:rsidR="00AE4097" w:rsidRPr="00854BA9">
              <w:rPr>
                <w:rStyle w:val="Hyperlink"/>
                <w:noProof/>
                <w:sz w:val="22"/>
                <w:szCs w:val="22"/>
                <w:lang w:val="en-US"/>
              </w:rPr>
              <w:t>5.3.6</w:t>
            </w:r>
            <w:r w:rsidR="00AE4097" w:rsidRPr="00854BA9">
              <w:rPr>
                <w:rFonts w:eastAsiaTheme="minorEastAsia"/>
                <w:noProof/>
                <w:sz w:val="22"/>
                <w:szCs w:val="22"/>
              </w:rPr>
              <w:tab/>
            </w:r>
            <w:r w:rsidR="00AE4097" w:rsidRPr="00854BA9">
              <w:rPr>
                <w:rStyle w:val="Hyperlink"/>
                <w:noProof/>
                <w:sz w:val="22"/>
                <w:szCs w:val="22"/>
                <w:lang w:val="en-US"/>
              </w:rPr>
              <w:t>Hypothesis 4</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_Toc288725926 \h </w:instrText>
            </w:r>
            <w:r w:rsidRPr="00854BA9">
              <w:rPr>
                <w:noProof/>
                <w:webHidden/>
                <w:sz w:val="22"/>
                <w:szCs w:val="22"/>
              </w:rPr>
            </w:r>
            <w:r w:rsidRPr="00854BA9">
              <w:rPr>
                <w:noProof/>
                <w:webHidden/>
                <w:sz w:val="22"/>
                <w:szCs w:val="22"/>
              </w:rPr>
              <w:fldChar w:fldCharType="separate"/>
            </w:r>
            <w:r w:rsidR="00DE154D">
              <w:rPr>
                <w:noProof/>
                <w:webHidden/>
                <w:sz w:val="22"/>
                <w:szCs w:val="22"/>
              </w:rPr>
              <w:t>60</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27" w:history="1">
            <w:r w:rsidR="00AE4097" w:rsidRPr="00854BA9">
              <w:rPr>
                <w:rStyle w:val="Hyperlink"/>
                <w:noProof/>
                <w:sz w:val="22"/>
                <w:szCs w:val="22"/>
                <w:lang w:val="en-US"/>
              </w:rPr>
              <w:t>5.4</w:t>
            </w:r>
            <w:r w:rsidR="00AE4097" w:rsidRPr="00854BA9">
              <w:rPr>
                <w:rFonts w:eastAsiaTheme="minorEastAsia"/>
                <w:b/>
                <w:bCs/>
                <w:noProof/>
                <w:sz w:val="22"/>
                <w:szCs w:val="22"/>
              </w:rPr>
              <w:tab/>
            </w:r>
            <w:r w:rsidR="00AE4097" w:rsidRPr="00854BA9">
              <w:rPr>
                <w:rStyle w:val="Hyperlink"/>
                <w:noProof/>
                <w:sz w:val="22"/>
                <w:szCs w:val="22"/>
                <w:lang w:val="en-US"/>
              </w:rPr>
              <w:t>Interpretation of the results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_Toc288725927 \h </w:instrText>
            </w:r>
            <w:r w:rsidRPr="00854BA9">
              <w:rPr>
                <w:noProof/>
                <w:webHidden/>
                <w:sz w:val="22"/>
                <w:szCs w:val="22"/>
              </w:rPr>
            </w:r>
            <w:r w:rsidRPr="00854BA9">
              <w:rPr>
                <w:noProof/>
                <w:webHidden/>
                <w:sz w:val="22"/>
                <w:szCs w:val="22"/>
              </w:rPr>
              <w:fldChar w:fldCharType="separate"/>
            </w:r>
            <w:r w:rsidR="00DE154D">
              <w:rPr>
                <w:noProof/>
                <w:webHidden/>
                <w:sz w:val="22"/>
                <w:szCs w:val="22"/>
              </w:rPr>
              <w:t>61</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28" w:history="1">
            <w:r w:rsidR="00AE4097" w:rsidRPr="00854BA9">
              <w:rPr>
                <w:rStyle w:val="Hyperlink"/>
                <w:noProof/>
                <w:sz w:val="22"/>
                <w:szCs w:val="22"/>
                <w:lang w:val="en-US"/>
              </w:rPr>
              <w:t>5.5</w:t>
            </w:r>
            <w:r w:rsidR="00AE4097" w:rsidRPr="00854BA9">
              <w:rPr>
                <w:rFonts w:eastAsiaTheme="minorEastAsia"/>
                <w:b/>
                <w:bCs/>
                <w:noProof/>
                <w:sz w:val="22"/>
                <w:szCs w:val="22"/>
              </w:rPr>
              <w:tab/>
            </w:r>
            <w:r w:rsidR="00AE4097" w:rsidRPr="00854BA9">
              <w:rPr>
                <w:rStyle w:val="Hyperlink"/>
                <w:noProof/>
                <w:sz w:val="22"/>
                <w:szCs w:val="22"/>
                <w:lang w:val="en-US"/>
              </w:rPr>
              <w:t>Summary</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_Toc288725928 \h </w:instrText>
            </w:r>
            <w:r w:rsidRPr="00854BA9">
              <w:rPr>
                <w:noProof/>
                <w:webHidden/>
                <w:sz w:val="22"/>
                <w:szCs w:val="22"/>
              </w:rPr>
            </w:r>
            <w:r w:rsidRPr="00854BA9">
              <w:rPr>
                <w:noProof/>
                <w:webHidden/>
                <w:sz w:val="22"/>
                <w:szCs w:val="22"/>
              </w:rPr>
              <w:fldChar w:fldCharType="separate"/>
            </w:r>
            <w:r w:rsidR="00DE154D">
              <w:rPr>
                <w:noProof/>
                <w:webHidden/>
                <w:sz w:val="22"/>
                <w:szCs w:val="22"/>
              </w:rPr>
              <w:t>61</w:t>
            </w:r>
            <w:r w:rsidRPr="00854BA9">
              <w:rPr>
                <w:noProof/>
                <w:webHidden/>
                <w:sz w:val="22"/>
                <w:szCs w:val="22"/>
              </w:rPr>
              <w:fldChar w:fldCharType="end"/>
            </w:r>
          </w:hyperlink>
        </w:p>
        <w:p w:rsidR="00AE4097" w:rsidRPr="00854BA9" w:rsidRDefault="00BF4B0A" w:rsidP="00AE4097">
          <w:pPr>
            <w:pStyle w:val="TOC1"/>
            <w:tabs>
              <w:tab w:val="left" w:pos="480"/>
              <w:tab w:val="right" w:leader="dot" w:pos="9060"/>
            </w:tabs>
            <w:rPr>
              <w:rFonts w:eastAsiaTheme="minorEastAsia"/>
              <w:b w:val="0"/>
              <w:bCs/>
              <w:iCs/>
              <w:noProof/>
              <w:sz w:val="22"/>
              <w:szCs w:val="22"/>
            </w:rPr>
          </w:pPr>
          <w:hyperlink w:anchor="_Toc288725929" w:history="1">
            <w:r w:rsidR="00AE4097" w:rsidRPr="00854BA9">
              <w:rPr>
                <w:rStyle w:val="Hyperlink"/>
                <w:noProof/>
                <w:sz w:val="22"/>
                <w:szCs w:val="22"/>
                <w:lang w:val="en-US"/>
              </w:rPr>
              <w:t>6</w:t>
            </w:r>
            <w:r w:rsidR="00AE4097" w:rsidRPr="00854BA9">
              <w:rPr>
                <w:rFonts w:eastAsiaTheme="minorEastAsia"/>
                <w:b w:val="0"/>
                <w:bCs/>
                <w:iCs/>
                <w:noProof/>
                <w:sz w:val="22"/>
                <w:szCs w:val="22"/>
              </w:rPr>
              <w:tab/>
            </w:r>
            <w:r w:rsidR="00AE4097" w:rsidRPr="00854BA9">
              <w:rPr>
                <w:rStyle w:val="Hyperlink"/>
                <w:noProof/>
                <w:sz w:val="22"/>
                <w:szCs w:val="22"/>
                <w:lang w:val="en-US"/>
              </w:rPr>
              <w:t>Conclusion</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_Toc288725929 \h </w:instrText>
            </w:r>
            <w:r w:rsidRPr="00854BA9">
              <w:rPr>
                <w:noProof/>
                <w:webHidden/>
                <w:sz w:val="22"/>
                <w:szCs w:val="22"/>
              </w:rPr>
            </w:r>
            <w:r w:rsidRPr="00854BA9">
              <w:rPr>
                <w:noProof/>
                <w:webHidden/>
                <w:sz w:val="22"/>
                <w:szCs w:val="22"/>
              </w:rPr>
              <w:fldChar w:fldCharType="separate"/>
            </w:r>
            <w:r w:rsidR="00DE154D">
              <w:rPr>
                <w:noProof/>
                <w:webHidden/>
                <w:sz w:val="22"/>
                <w:szCs w:val="22"/>
              </w:rPr>
              <w:t>63</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30" w:history="1">
            <w:r w:rsidR="00AE4097" w:rsidRPr="00854BA9">
              <w:rPr>
                <w:rStyle w:val="Hyperlink"/>
                <w:noProof/>
                <w:sz w:val="22"/>
                <w:szCs w:val="22"/>
                <w:lang w:val="en-US"/>
              </w:rPr>
              <w:t>6.1</w:t>
            </w:r>
            <w:r w:rsidR="00AE4097" w:rsidRPr="00854BA9">
              <w:rPr>
                <w:rFonts w:eastAsiaTheme="minorEastAsia"/>
                <w:b/>
                <w:bCs/>
                <w:noProof/>
                <w:sz w:val="22"/>
                <w:szCs w:val="22"/>
              </w:rPr>
              <w:tab/>
            </w:r>
            <w:r w:rsidR="00AE4097" w:rsidRPr="00854BA9">
              <w:rPr>
                <w:rStyle w:val="Hyperlink"/>
                <w:noProof/>
                <w:sz w:val="22"/>
                <w:szCs w:val="22"/>
                <w:lang w:val="en-US"/>
              </w:rPr>
              <w:t>Conclusion</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_Toc288725930 \h </w:instrText>
            </w:r>
            <w:r w:rsidRPr="00854BA9">
              <w:rPr>
                <w:noProof/>
                <w:webHidden/>
                <w:sz w:val="22"/>
                <w:szCs w:val="22"/>
              </w:rPr>
            </w:r>
            <w:r w:rsidRPr="00854BA9">
              <w:rPr>
                <w:noProof/>
                <w:webHidden/>
                <w:sz w:val="22"/>
                <w:szCs w:val="22"/>
              </w:rPr>
              <w:fldChar w:fldCharType="separate"/>
            </w:r>
            <w:r w:rsidR="00DE154D">
              <w:rPr>
                <w:noProof/>
                <w:webHidden/>
                <w:sz w:val="22"/>
                <w:szCs w:val="22"/>
              </w:rPr>
              <w:t>63</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Fonts w:eastAsiaTheme="minorEastAsia"/>
              <w:b/>
              <w:bCs/>
              <w:noProof/>
              <w:sz w:val="22"/>
              <w:szCs w:val="22"/>
            </w:rPr>
          </w:pPr>
          <w:hyperlink w:anchor="_Toc288725931" w:history="1">
            <w:r w:rsidR="00AE4097" w:rsidRPr="00854BA9">
              <w:rPr>
                <w:rStyle w:val="Hyperlink"/>
                <w:noProof/>
                <w:sz w:val="22"/>
                <w:szCs w:val="22"/>
                <w:lang w:val="en-US"/>
              </w:rPr>
              <w:t>6.2</w:t>
            </w:r>
            <w:r w:rsidR="00AE4097" w:rsidRPr="00854BA9">
              <w:rPr>
                <w:rFonts w:eastAsiaTheme="minorEastAsia"/>
                <w:b/>
                <w:bCs/>
                <w:noProof/>
                <w:sz w:val="22"/>
                <w:szCs w:val="22"/>
              </w:rPr>
              <w:tab/>
            </w:r>
            <w:r w:rsidR="00AE4097" w:rsidRPr="00854BA9">
              <w:rPr>
                <w:rStyle w:val="Hyperlink"/>
                <w:noProof/>
                <w:sz w:val="22"/>
                <w:szCs w:val="22"/>
                <w:lang w:val="en-US"/>
              </w:rPr>
              <w:t>Limitations</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_Toc288725931 \h </w:instrText>
            </w:r>
            <w:r w:rsidRPr="00854BA9">
              <w:rPr>
                <w:noProof/>
                <w:webHidden/>
                <w:sz w:val="22"/>
                <w:szCs w:val="22"/>
              </w:rPr>
            </w:r>
            <w:r w:rsidRPr="00854BA9">
              <w:rPr>
                <w:noProof/>
                <w:webHidden/>
                <w:sz w:val="22"/>
                <w:szCs w:val="22"/>
              </w:rPr>
              <w:fldChar w:fldCharType="separate"/>
            </w:r>
            <w:r w:rsidR="00DE154D">
              <w:rPr>
                <w:noProof/>
                <w:webHidden/>
                <w:sz w:val="22"/>
                <w:szCs w:val="22"/>
              </w:rPr>
              <w:t>65</w:t>
            </w:r>
            <w:r w:rsidRPr="00854BA9">
              <w:rPr>
                <w:noProof/>
                <w:webHidden/>
                <w:sz w:val="22"/>
                <w:szCs w:val="22"/>
              </w:rPr>
              <w:fldChar w:fldCharType="end"/>
            </w:r>
          </w:hyperlink>
        </w:p>
        <w:p w:rsidR="00AE4097" w:rsidRPr="00854BA9" w:rsidRDefault="00BF4B0A" w:rsidP="00AE4097">
          <w:pPr>
            <w:pStyle w:val="TOC2"/>
            <w:tabs>
              <w:tab w:val="left" w:pos="960"/>
              <w:tab w:val="right" w:leader="dot" w:pos="9060"/>
            </w:tabs>
            <w:rPr>
              <w:rStyle w:val="Hyperlink"/>
              <w:noProof/>
              <w:sz w:val="22"/>
              <w:szCs w:val="22"/>
            </w:rPr>
          </w:pPr>
          <w:hyperlink w:anchor="_Toc288725932" w:history="1">
            <w:r w:rsidR="00AE4097" w:rsidRPr="00854BA9">
              <w:rPr>
                <w:rStyle w:val="Hyperlink"/>
                <w:noProof/>
                <w:sz w:val="22"/>
                <w:szCs w:val="22"/>
                <w:lang w:val="en-US"/>
              </w:rPr>
              <w:t>6.3</w:t>
            </w:r>
            <w:r w:rsidR="00AE4097" w:rsidRPr="00854BA9">
              <w:rPr>
                <w:rFonts w:eastAsiaTheme="minorEastAsia"/>
                <w:b/>
                <w:bCs/>
                <w:noProof/>
                <w:sz w:val="22"/>
                <w:szCs w:val="22"/>
              </w:rPr>
              <w:tab/>
            </w:r>
            <w:r w:rsidR="00AE4097" w:rsidRPr="00854BA9">
              <w:rPr>
                <w:rStyle w:val="Hyperlink"/>
                <w:noProof/>
                <w:sz w:val="22"/>
                <w:szCs w:val="22"/>
                <w:lang w:val="en-US"/>
              </w:rPr>
              <w:t>Future research</w:t>
            </w:r>
            <w:r w:rsidR="00AE4097" w:rsidRPr="00854BA9">
              <w:rPr>
                <w:noProof/>
                <w:webHidden/>
                <w:sz w:val="22"/>
                <w:szCs w:val="22"/>
              </w:rPr>
              <w:tab/>
            </w:r>
            <w:r w:rsidRPr="00854BA9">
              <w:rPr>
                <w:noProof/>
                <w:webHidden/>
                <w:sz w:val="22"/>
                <w:szCs w:val="22"/>
              </w:rPr>
              <w:fldChar w:fldCharType="begin"/>
            </w:r>
            <w:r w:rsidR="00AE4097" w:rsidRPr="00854BA9">
              <w:rPr>
                <w:noProof/>
                <w:webHidden/>
                <w:sz w:val="22"/>
                <w:szCs w:val="22"/>
              </w:rPr>
              <w:instrText xml:space="preserve"> PAGEREF _Toc288725932 \h </w:instrText>
            </w:r>
            <w:r w:rsidRPr="00854BA9">
              <w:rPr>
                <w:noProof/>
                <w:webHidden/>
                <w:sz w:val="22"/>
                <w:szCs w:val="22"/>
              </w:rPr>
            </w:r>
            <w:r w:rsidRPr="00854BA9">
              <w:rPr>
                <w:noProof/>
                <w:webHidden/>
                <w:sz w:val="22"/>
                <w:szCs w:val="22"/>
              </w:rPr>
              <w:fldChar w:fldCharType="separate"/>
            </w:r>
            <w:r w:rsidR="00DE154D">
              <w:rPr>
                <w:noProof/>
                <w:webHidden/>
                <w:sz w:val="22"/>
                <w:szCs w:val="22"/>
              </w:rPr>
              <w:t>67</w:t>
            </w:r>
            <w:r w:rsidRPr="00854BA9">
              <w:rPr>
                <w:noProof/>
                <w:webHidden/>
                <w:sz w:val="22"/>
                <w:szCs w:val="22"/>
              </w:rPr>
              <w:fldChar w:fldCharType="end"/>
            </w:r>
          </w:hyperlink>
        </w:p>
        <w:p w:rsidR="00176384" w:rsidRDefault="00AE4097" w:rsidP="00AE4097">
          <w:pPr>
            <w:pStyle w:val="TOC2"/>
            <w:tabs>
              <w:tab w:val="left" w:pos="960"/>
              <w:tab w:val="right" w:leader="dot" w:pos="9060"/>
            </w:tabs>
            <w:ind w:left="0"/>
            <w:rPr>
              <w:rStyle w:val="Hyperlink"/>
              <w:noProof/>
              <w:color w:val="auto"/>
              <w:sz w:val="22"/>
              <w:szCs w:val="22"/>
              <w:u w:val="none"/>
            </w:rPr>
          </w:pPr>
          <w:r w:rsidRPr="00854BA9">
            <w:rPr>
              <w:rStyle w:val="Hyperlink"/>
              <w:noProof/>
              <w:color w:val="auto"/>
              <w:sz w:val="22"/>
              <w:szCs w:val="22"/>
              <w:u w:val="none"/>
            </w:rPr>
            <w:tab/>
          </w:r>
        </w:p>
        <w:p w:rsidR="00AE4097" w:rsidRDefault="00176384" w:rsidP="00AE4097">
          <w:pPr>
            <w:pStyle w:val="TOC2"/>
            <w:tabs>
              <w:tab w:val="left" w:pos="960"/>
              <w:tab w:val="right" w:leader="dot" w:pos="9060"/>
            </w:tabs>
            <w:ind w:left="0"/>
            <w:rPr>
              <w:b/>
              <w:sz w:val="22"/>
              <w:szCs w:val="22"/>
            </w:rPr>
          </w:pPr>
          <w:r>
            <w:rPr>
              <w:rStyle w:val="Hyperlink"/>
              <w:noProof/>
              <w:color w:val="auto"/>
              <w:sz w:val="22"/>
              <w:szCs w:val="22"/>
              <w:u w:val="none"/>
            </w:rPr>
            <w:tab/>
          </w:r>
          <w:r w:rsidR="00AE4097" w:rsidRPr="00176384">
            <w:rPr>
              <w:rStyle w:val="Hyperlink"/>
              <w:b/>
              <w:noProof/>
              <w:color w:val="auto"/>
              <w:sz w:val="22"/>
              <w:szCs w:val="22"/>
              <w:u w:val="none"/>
            </w:rPr>
            <w:t>Reference list</w:t>
          </w:r>
          <w:r w:rsidR="00AE4097" w:rsidRPr="00176384">
            <w:rPr>
              <w:rStyle w:val="Hyperlink"/>
              <w:b/>
              <w:noProof/>
              <w:color w:val="auto"/>
              <w:sz w:val="22"/>
              <w:szCs w:val="22"/>
              <w:u w:val="none"/>
            </w:rPr>
            <w:tab/>
            <w:t>6</w:t>
          </w:r>
          <w:r w:rsidR="00BF4B0A" w:rsidRPr="00854BA9">
            <w:rPr>
              <w:b/>
              <w:sz w:val="22"/>
              <w:szCs w:val="22"/>
            </w:rPr>
            <w:fldChar w:fldCharType="end"/>
          </w:r>
          <w:r>
            <w:rPr>
              <w:b/>
              <w:sz w:val="22"/>
              <w:szCs w:val="22"/>
            </w:rPr>
            <w:t>8</w:t>
          </w:r>
        </w:p>
        <w:p w:rsidR="008140F7" w:rsidRDefault="008140F7" w:rsidP="00AE4097">
          <w:pPr>
            <w:pStyle w:val="TOC2"/>
            <w:tabs>
              <w:tab w:val="left" w:pos="960"/>
              <w:tab w:val="right" w:leader="dot" w:pos="9062"/>
            </w:tabs>
            <w:ind w:left="0"/>
            <w:rPr>
              <w:rStyle w:val="Hyperlink"/>
              <w:noProof/>
              <w:color w:val="auto"/>
              <w:sz w:val="22"/>
              <w:szCs w:val="22"/>
              <w:u w:val="none"/>
              <w:lang w:val="en-US"/>
            </w:rPr>
          </w:pPr>
        </w:p>
        <w:p w:rsidR="00AE4097" w:rsidRDefault="00AE4097" w:rsidP="00AE4097">
          <w:pPr>
            <w:pStyle w:val="TOC2"/>
            <w:tabs>
              <w:tab w:val="left" w:pos="960"/>
              <w:tab w:val="right" w:leader="dot" w:pos="9062"/>
            </w:tabs>
            <w:ind w:left="0"/>
            <w:rPr>
              <w:b/>
              <w:bCs/>
              <w:noProof/>
              <w:sz w:val="22"/>
              <w:szCs w:val="22"/>
              <w:lang w:val="en-US"/>
            </w:rPr>
          </w:pPr>
          <w:r w:rsidRPr="00854BA9">
            <w:rPr>
              <w:rStyle w:val="Hyperlink"/>
              <w:noProof/>
              <w:color w:val="auto"/>
              <w:sz w:val="22"/>
              <w:szCs w:val="22"/>
              <w:u w:val="none"/>
              <w:lang w:val="en-US"/>
            </w:rPr>
            <w:tab/>
          </w:r>
          <w:r w:rsidRPr="00176384">
            <w:rPr>
              <w:rStyle w:val="Hyperlink"/>
              <w:b/>
              <w:noProof/>
              <w:color w:val="auto"/>
              <w:sz w:val="22"/>
              <w:szCs w:val="22"/>
              <w:u w:val="none"/>
              <w:lang w:val="en-US"/>
            </w:rPr>
            <w:t xml:space="preserve">Appendix </w:t>
          </w:r>
          <w:r w:rsidRPr="00176384">
            <w:rPr>
              <w:b/>
              <w:noProof/>
              <w:sz w:val="22"/>
              <w:szCs w:val="22"/>
              <w:lang w:val="en-US"/>
            </w:rPr>
            <w:t>I Empiri</w:t>
          </w:r>
          <w:r w:rsidRPr="00176384">
            <w:rPr>
              <w:b/>
              <w:bCs/>
              <w:noProof/>
              <w:sz w:val="22"/>
              <w:szCs w:val="22"/>
              <w:lang w:val="en-US"/>
            </w:rPr>
            <w:t>cal studies on risk reporting</w:t>
          </w:r>
          <w:r w:rsidRPr="00176384">
            <w:rPr>
              <w:b/>
              <w:bCs/>
              <w:noProof/>
              <w:sz w:val="22"/>
              <w:szCs w:val="22"/>
              <w:lang w:val="en-US"/>
            </w:rPr>
            <w:tab/>
            <w:t>7</w:t>
          </w:r>
          <w:r w:rsidR="00176384" w:rsidRPr="00176384">
            <w:rPr>
              <w:b/>
              <w:bCs/>
              <w:noProof/>
              <w:sz w:val="22"/>
              <w:szCs w:val="22"/>
              <w:lang w:val="en-US"/>
            </w:rPr>
            <w:t>3</w:t>
          </w:r>
        </w:p>
        <w:p w:rsidR="00AE4097" w:rsidRDefault="00AE4097" w:rsidP="00AE4097">
          <w:pPr>
            <w:pStyle w:val="TOC2"/>
            <w:tabs>
              <w:tab w:val="left" w:pos="960"/>
              <w:tab w:val="right" w:leader="dot" w:pos="9062"/>
            </w:tabs>
            <w:rPr>
              <w:b/>
              <w:bCs/>
              <w:noProof/>
              <w:sz w:val="22"/>
              <w:szCs w:val="22"/>
              <w:lang w:val="en-US"/>
            </w:rPr>
          </w:pPr>
          <w:r w:rsidRPr="00176384">
            <w:rPr>
              <w:b/>
              <w:noProof/>
              <w:sz w:val="22"/>
              <w:szCs w:val="22"/>
              <w:lang w:val="en-US"/>
            </w:rPr>
            <w:t>Appendix II Final sample</w:t>
          </w:r>
          <w:r w:rsidRPr="00176384">
            <w:rPr>
              <w:b/>
              <w:noProof/>
              <w:sz w:val="22"/>
              <w:szCs w:val="22"/>
              <w:lang w:val="en-US"/>
            </w:rPr>
            <w:tab/>
          </w:r>
          <w:r w:rsidRPr="00176384">
            <w:rPr>
              <w:b/>
              <w:bCs/>
              <w:noProof/>
              <w:sz w:val="22"/>
              <w:szCs w:val="22"/>
              <w:lang w:val="en-US"/>
            </w:rPr>
            <w:t>7</w:t>
          </w:r>
          <w:r w:rsidR="00176384">
            <w:rPr>
              <w:b/>
              <w:bCs/>
              <w:noProof/>
              <w:sz w:val="22"/>
              <w:szCs w:val="22"/>
              <w:lang w:val="en-US"/>
            </w:rPr>
            <w:t>6</w:t>
          </w:r>
        </w:p>
        <w:p w:rsidR="00AE4097" w:rsidRDefault="00AE4097" w:rsidP="00AE4097">
          <w:pPr>
            <w:pStyle w:val="TOC2"/>
            <w:tabs>
              <w:tab w:val="left" w:pos="960"/>
              <w:tab w:val="right" w:leader="dot" w:pos="9062"/>
            </w:tabs>
            <w:rPr>
              <w:b/>
              <w:bCs/>
              <w:noProof/>
              <w:sz w:val="22"/>
              <w:szCs w:val="22"/>
              <w:lang w:val="en-US"/>
            </w:rPr>
          </w:pPr>
          <w:r w:rsidRPr="00176384">
            <w:rPr>
              <w:b/>
              <w:noProof/>
              <w:sz w:val="22"/>
              <w:szCs w:val="22"/>
              <w:lang w:val="en-US"/>
            </w:rPr>
            <w:t>Appendix III Decisions rules on risk reporting</w:t>
          </w:r>
          <w:r w:rsidRPr="00176384">
            <w:rPr>
              <w:b/>
              <w:noProof/>
              <w:sz w:val="22"/>
              <w:szCs w:val="22"/>
              <w:lang w:val="en-US"/>
            </w:rPr>
            <w:tab/>
          </w:r>
          <w:r w:rsidR="00C4006A">
            <w:rPr>
              <w:b/>
              <w:bCs/>
              <w:noProof/>
              <w:sz w:val="22"/>
              <w:szCs w:val="22"/>
              <w:lang w:val="en-US"/>
            </w:rPr>
            <w:t>77</w:t>
          </w:r>
        </w:p>
        <w:p w:rsidR="00AE4097" w:rsidRDefault="00AE4097" w:rsidP="00AE4097">
          <w:pPr>
            <w:pStyle w:val="TOC2"/>
            <w:tabs>
              <w:tab w:val="left" w:pos="960"/>
              <w:tab w:val="right" w:leader="dot" w:pos="9062"/>
            </w:tabs>
            <w:rPr>
              <w:b/>
              <w:bCs/>
              <w:noProof/>
              <w:sz w:val="22"/>
              <w:szCs w:val="22"/>
              <w:lang w:val="en-US"/>
            </w:rPr>
          </w:pPr>
          <w:r w:rsidRPr="00176384">
            <w:rPr>
              <w:b/>
              <w:noProof/>
              <w:sz w:val="22"/>
              <w:szCs w:val="22"/>
              <w:lang w:val="en-US"/>
            </w:rPr>
            <w:t>Appendix IV Risk disclosures</w:t>
          </w:r>
          <w:r w:rsidR="00C4006A">
            <w:rPr>
              <w:b/>
              <w:bCs/>
              <w:noProof/>
              <w:sz w:val="22"/>
              <w:szCs w:val="22"/>
              <w:lang w:val="en-US"/>
            </w:rPr>
            <w:t xml:space="preserve"> categories</w:t>
          </w:r>
          <w:r w:rsidR="00C4006A">
            <w:rPr>
              <w:b/>
              <w:bCs/>
              <w:noProof/>
              <w:sz w:val="22"/>
              <w:szCs w:val="22"/>
              <w:lang w:val="en-US"/>
            </w:rPr>
            <w:tab/>
            <w:t>78</w:t>
          </w:r>
        </w:p>
        <w:p w:rsidR="00AE4097" w:rsidRDefault="00AE4097" w:rsidP="00AE4097">
          <w:pPr>
            <w:pStyle w:val="TOC2"/>
            <w:tabs>
              <w:tab w:val="left" w:pos="960"/>
              <w:tab w:val="right" w:leader="dot" w:pos="9062"/>
            </w:tabs>
            <w:rPr>
              <w:b/>
              <w:bCs/>
              <w:noProof/>
              <w:sz w:val="22"/>
              <w:szCs w:val="22"/>
              <w:lang w:val="en-US"/>
            </w:rPr>
          </w:pPr>
          <w:r w:rsidRPr="00176384">
            <w:rPr>
              <w:b/>
              <w:noProof/>
              <w:sz w:val="22"/>
              <w:szCs w:val="22"/>
              <w:lang w:val="en-US"/>
            </w:rPr>
            <w:t xml:space="preserve">Appendix V Risk disclosure </w:t>
          </w:r>
          <w:r w:rsidR="00C4006A">
            <w:rPr>
              <w:b/>
              <w:bCs/>
              <w:noProof/>
              <w:sz w:val="22"/>
              <w:szCs w:val="22"/>
              <w:lang w:val="en-US"/>
            </w:rPr>
            <w:t>index model</w:t>
          </w:r>
          <w:r w:rsidR="00C4006A">
            <w:rPr>
              <w:b/>
              <w:bCs/>
              <w:noProof/>
              <w:sz w:val="22"/>
              <w:szCs w:val="22"/>
              <w:lang w:val="en-US"/>
            </w:rPr>
            <w:tab/>
            <w:t>79</w:t>
          </w:r>
        </w:p>
        <w:p w:rsidR="00AE4097" w:rsidRDefault="00AE4097" w:rsidP="00AE4097">
          <w:pPr>
            <w:pStyle w:val="TOC2"/>
            <w:tabs>
              <w:tab w:val="left" w:pos="960"/>
              <w:tab w:val="right" w:leader="dot" w:pos="9062"/>
            </w:tabs>
            <w:rPr>
              <w:b/>
              <w:bCs/>
              <w:noProof/>
              <w:sz w:val="22"/>
              <w:szCs w:val="22"/>
              <w:lang w:val="en-US"/>
            </w:rPr>
          </w:pPr>
          <w:r w:rsidRPr="00176384">
            <w:rPr>
              <w:b/>
              <w:noProof/>
              <w:sz w:val="22"/>
              <w:szCs w:val="22"/>
              <w:lang w:val="en-US"/>
            </w:rPr>
            <w:t>Appen</w:t>
          </w:r>
          <w:r w:rsidR="00C4006A">
            <w:rPr>
              <w:b/>
              <w:bCs/>
              <w:noProof/>
              <w:sz w:val="22"/>
              <w:szCs w:val="22"/>
              <w:lang w:val="en-US"/>
            </w:rPr>
            <w:t>dix VI Risk disclosure scores</w:t>
          </w:r>
          <w:r w:rsidR="00C4006A">
            <w:rPr>
              <w:b/>
              <w:bCs/>
              <w:noProof/>
              <w:sz w:val="22"/>
              <w:szCs w:val="22"/>
              <w:lang w:val="en-US"/>
            </w:rPr>
            <w:tab/>
            <w:t>80</w:t>
          </w:r>
        </w:p>
        <w:p w:rsidR="00AE4097" w:rsidRDefault="00AE4097" w:rsidP="00AE4097">
          <w:pPr>
            <w:pStyle w:val="TOC2"/>
            <w:tabs>
              <w:tab w:val="left" w:pos="960"/>
              <w:tab w:val="right" w:leader="dot" w:pos="9062"/>
            </w:tabs>
            <w:rPr>
              <w:b/>
              <w:bCs/>
              <w:noProof/>
              <w:sz w:val="22"/>
              <w:szCs w:val="22"/>
              <w:lang w:val="en-US"/>
            </w:rPr>
          </w:pPr>
          <w:r w:rsidRPr="00176384">
            <w:rPr>
              <w:b/>
              <w:noProof/>
              <w:sz w:val="22"/>
              <w:szCs w:val="22"/>
              <w:lang w:val="en-US"/>
            </w:rPr>
            <w:t>AppendixVII Relation between number of pag</w:t>
          </w:r>
          <w:r w:rsidR="00C4006A">
            <w:rPr>
              <w:b/>
              <w:bCs/>
              <w:noProof/>
              <w:sz w:val="22"/>
              <w:szCs w:val="22"/>
              <w:lang w:val="en-US"/>
            </w:rPr>
            <w:t>es and risk disclosure scores</w:t>
          </w:r>
          <w:r w:rsidR="00C4006A">
            <w:rPr>
              <w:b/>
              <w:bCs/>
              <w:noProof/>
              <w:sz w:val="22"/>
              <w:szCs w:val="22"/>
              <w:lang w:val="en-US"/>
            </w:rPr>
            <w:tab/>
            <w:t>81</w:t>
          </w:r>
        </w:p>
        <w:p w:rsidR="00AE4097" w:rsidRDefault="00AE4097" w:rsidP="00AE4097">
          <w:pPr>
            <w:pStyle w:val="TOC2"/>
            <w:tabs>
              <w:tab w:val="left" w:pos="960"/>
              <w:tab w:val="right" w:leader="dot" w:pos="9062"/>
            </w:tabs>
            <w:rPr>
              <w:b/>
              <w:bCs/>
              <w:noProof/>
              <w:sz w:val="22"/>
              <w:szCs w:val="22"/>
              <w:lang w:val="en-US"/>
            </w:rPr>
          </w:pPr>
          <w:r w:rsidRPr="00176384">
            <w:rPr>
              <w:b/>
              <w:noProof/>
              <w:sz w:val="22"/>
              <w:szCs w:val="22"/>
              <w:lang w:val="en-US"/>
            </w:rPr>
            <w:t>Appendix</w:t>
          </w:r>
          <w:r w:rsidR="00C4006A">
            <w:rPr>
              <w:b/>
              <w:bCs/>
              <w:noProof/>
              <w:sz w:val="22"/>
              <w:szCs w:val="22"/>
              <w:lang w:val="en-US"/>
            </w:rPr>
            <w:t xml:space="preserve"> VIII Financial risk category</w:t>
          </w:r>
          <w:r w:rsidR="00C4006A">
            <w:rPr>
              <w:b/>
              <w:bCs/>
              <w:noProof/>
              <w:sz w:val="22"/>
              <w:szCs w:val="22"/>
              <w:lang w:val="en-US"/>
            </w:rPr>
            <w:tab/>
            <w:t>82</w:t>
          </w:r>
        </w:p>
        <w:p w:rsidR="00AE4097" w:rsidRDefault="00AE4097" w:rsidP="00AE4097">
          <w:pPr>
            <w:pStyle w:val="TOC2"/>
            <w:tabs>
              <w:tab w:val="left" w:pos="960"/>
              <w:tab w:val="right" w:leader="dot" w:pos="9062"/>
            </w:tabs>
            <w:rPr>
              <w:b/>
              <w:bCs/>
              <w:noProof/>
              <w:sz w:val="22"/>
              <w:szCs w:val="22"/>
              <w:lang w:val="en-US"/>
            </w:rPr>
          </w:pPr>
          <w:r w:rsidRPr="00176384">
            <w:rPr>
              <w:b/>
              <w:noProof/>
              <w:sz w:val="22"/>
              <w:szCs w:val="22"/>
              <w:lang w:val="en-US"/>
            </w:rPr>
            <w:t>Appendix IX Risk management system and in-contr</w:t>
          </w:r>
          <w:r w:rsidR="00C4006A">
            <w:rPr>
              <w:b/>
              <w:bCs/>
              <w:noProof/>
              <w:sz w:val="22"/>
              <w:szCs w:val="22"/>
              <w:lang w:val="en-US"/>
            </w:rPr>
            <w:t>ol system</w:t>
          </w:r>
          <w:r w:rsidR="00C4006A">
            <w:rPr>
              <w:b/>
              <w:bCs/>
              <w:noProof/>
              <w:sz w:val="22"/>
              <w:szCs w:val="22"/>
              <w:lang w:val="en-US"/>
            </w:rPr>
            <w:tab/>
            <w:t>83</w:t>
          </w:r>
        </w:p>
        <w:p w:rsidR="00AE4097" w:rsidRDefault="00C4006A" w:rsidP="00AE4097">
          <w:pPr>
            <w:pStyle w:val="TOC2"/>
            <w:tabs>
              <w:tab w:val="left" w:pos="960"/>
              <w:tab w:val="right" w:leader="dot" w:pos="9062"/>
            </w:tabs>
            <w:rPr>
              <w:b/>
              <w:bCs/>
              <w:noProof/>
              <w:sz w:val="22"/>
              <w:szCs w:val="22"/>
              <w:lang w:val="en-US"/>
            </w:rPr>
          </w:pPr>
          <w:r>
            <w:rPr>
              <w:b/>
              <w:bCs/>
              <w:noProof/>
              <w:sz w:val="22"/>
              <w:szCs w:val="22"/>
              <w:lang w:val="en-US"/>
            </w:rPr>
            <w:t>Appendix X Dataset</w:t>
          </w:r>
          <w:r>
            <w:rPr>
              <w:b/>
              <w:bCs/>
              <w:noProof/>
              <w:sz w:val="22"/>
              <w:szCs w:val="22"/>
              <w:lang w:val="en-US"/>
            </w:rPr>
            <w:tab/>
            <w:t>84</w:t>
          </w:r>
        </w:p>
        <w:p w:rsidR="00AE4097" w:rsidRPr="00854BA9" w:rsidRDefault="00AE4097" w:rsidP="00AE4097">
          <w:pPr>
            <w:pStyle w:val="TOC2"/>
            <w:tabs>
              <w:tab w:val="left" w:pos="960"/>
              <w:tab w:val="right" w:leader="dot" w:pos="9062"/>
            </w:tabs>
            <w:rPr>
              <w:rFonts w:ascii="Arial" w:hAnsi="Arial" w:cs="Arial"/>
              <w:noProof/>
              <w:sz w:val="20"/>
              <w:szCs w:val="20"/>
              <w:lang w:val="en-US"/>
            </w:rPr>
          </w:pPr>
          <w:r w:rsidRPr="00176384">
            <w:rPr>
              <w:b/>
              <w:noProof/>
              <w:sz w:val="22"/>
              <w:szCs w:val="22"/>
              <w:lang w:val="en-US"/>
            </w:rPr>
            <w:t>Ap</w:t>
          </w:r>
          <w:r w:rsidRPr="00176384">
            <w:rPr>
              <w:b/>
              <w:bCs/>
              <w:noProof/>
              <w:sz w:val="22"/>
              <w:szCs w:val="22"/>
              <w:lang w:val="en-US"/>
            </w:rPr>
            <w:t>pendix XI Normal distribution</w:t>
          </w:r>
          <w:r w:rsidRPr="00176384">
            <w:rPr>
              <w:b/>
              <w:bCs/>
              <w:noProof/>
              <w:sz w:val="22"/>
              <w:szCs w:val="22"/>
              <w:lang w:val="en-US"/>
            </w:rPr>
            <w:tab/>
            <w:t>8</w:t>
          </w:r>
          <w:r w:rsidR="00335523">
            <w:rPr>
              <w:b/>
              <w:bCs/>
              <w:noProof/>
              <w:sz w:val="22"/>
              <w:szCs w:val="22"/>
              <w:lang w:val="en-US"/>
            </w:rPr>
            <w:t>6</w:t>
          </w:r>
        </w:p>
      </w:sdtContent>
    </w:sdt>
    <w:p w:rsidR="00AE4097" w:rsidRPr="00854BA9" w:rsidRDefault="00AE4097" w:rsidP="00AE4097">
      <w:pPr>
        <w:pStyle w:val="TOC2"/>
        <w:tabs>
          <w:tab w:val="left" w:pos="960"/>
          <w:tab w:val="right" w:leader="underscore" w:pos="9062"/>
        </w:tabs>
        <w:ind w:left="0"/>
        <w:rPr>
          <w:rFonts w:ascii="Arial" w:hAnsi="Arial" w:cs="Arial"/>
          <w:b/>
          <w:bCs/>
          <w:noProof/>
          <w:lang w:val="en-US"/>
        </w:rPr>
      </w:pPr>
    </w:p>
    <w:p w:rsidR="008140F7" w:rsidRDefault="008140F7">
      <w:pPr>
        <w:spacing w:after="200" w:line="276" w:lineRule="auto"/>
        <w:rPr>
          <w:b/>
          <w:lang w:val="en-US"/>
        </w:rPr>
      </w:pPr>
      <w:bookmarkStart w:id="11" w:name="_Toc288459317"/>
      <w:bookmarkStart w:id="12" w:name="_Toc288725858"/>
      <w:r>
        <w:rPr>
          <w:lang w:val="en-US"/>
        </w:rPr>
        <w:br w:type="page"/>
      </w:r>
    </w:p>
    <w:p w:rsidR="00AE4097" w:rsidRDefault="00AE4097" w:rsidP="00A82089">
      <w:pPr>
        <w:pStyle w:val="Heading1"/>
        <w:numPr>
          <w:ilvl w:val="0"/>
          <w:numId w:val="2"/>
        </w:numPr>
        <w:suppressAutoHyphens/>
        <w:jc w:val="both"/>
        <w:rPr>
          <w:sz w:val="24"/>
          <w:lang w:val="en-US"/>
        </w:rPr>
      </w:pPr>
      <w:r>
        <w:rPr>
          <w:sz w:val="24"/>
          <w:lang w:val="en-US"/>
        </w:rPr>
        <w:lastRenderedPageBreak/>
        <w:t>Introduction</w:t>
      </w:r>
      <w:bookmarkEnd w:id="11"/>
      <w:bookmarkEnd w:id="12"/>
    </w:p>
    <w:p w:rsidR="00AE4097" w:rsidRDefault="00AE4097" w:rsidP="00A82089">
      <w:pPr>
        <w:pStyle w:val="000"/>
        <w:suppressAutoHyphens/>
        <w:jc w:val="both"/>
        <w:rPr>
          <w:lang w:val="en-US"/>
        </w:rPr>
      </w:pPr>
    </w:p>
    <w:p w:rsidR="00AE4097" w:rsidRDefault="00AE4097" w:rsidP="00A82089">
      <w:pPr>
        <w:pStyle w:val="Heading2"/>
        <w:numPr>
          <w:ilvl w:val="1"/>
          <w:numId w:val="2"/>
        </w:numPr>
        <w:suppressAutoHyphens/>
        <w:jc w:val="both"/>
        <w:rPr>
          <w:i w:val="0"/>
          <w:sz w:val="22"/>
          <w:szCs w:val="22"/>
          <w:lang w:val="en-US" w:eastAsia="en-US"/>
        </w:rPr>
      </w:pPr>
      <w:bookmarkStart w:id="13" w:name="_Toc288459318"/>
      <w:bookmarkStart w:id="14" w:name="_Toc288725859"/>
      <w:r>
        <w:rPr>
          <w:i w:val="0"/>
          <w:sz w:val="22"/>
          <w:szCs w:val="22"/>
          <w:lang w:val="en-US" w:eastAsia="en-US"/>
        </w:rPr>
        <w:t>Background</w:t>
      </w:r>
      <w:bookmarkEnd w:id="13"/>
      <w:bookmarkEnd w:id="14"/>
    </w:p>
    <w:p w:rsidR="00AE4097" w:rsidRDefault="00AE4097" w:rsidP="00A82089">
      <w:pPr>
        <w:suppressAutoHyphens/>
        <w:spacing w:line="360" w:lineRule="auto"/>
        <w:ind w:firstLine="567"/>
        <w:jc w:val="both"/>
        <w:rPr>
          <w:sz w:val="22"/>
          <w:szCs w:val="22"/>
          <w:lang w:val="en-US"/>
        </w:rPr>
      </w:pPr>
      <w:r>
        <w:rPr>
          <w:sz w:val="22"/>
          <w:szCs w:val="22"/>
          <w:lang w:val="en-US"/>
        </w:rPr>
        <w:t xml:space="preserve">In recent years, risk has become an important business topic. Because of various financial and accounting scandals in companies as Enron, Worldcom, Parmalat and Ahold, shareholders have questioned the readability of annual reports. Companies do not provide enough risk and risk management information; it is too brief, not sufficient forward looking and not adequate enough for decision-making purposes (Beretta and Bozolan, 2004). That’s why </w:t>
      </w:r>
      <w:proofErr w:type="gramStart"/>
      <w:r>
        <w:rPr>
          <w:sz w:val="22"/>
          <w:szCs w:val="22"/>
          <w:lang w:val="en-US"/>
        </w:rPr>
        <w:t>investors</w:t>
      </w:r>
      <w:proofErr w:type="gramEnd"/>
      <w:r>
        <w:rPr>
          <w:sz w:val="22"/>
          <w:szCs w:val="22"/>
          <w:lang w:val="en-US"/>
        </w:rPr>
        <w:t xml:space="preserve"> </w:t>
      </w:r>
      <w:proofErr w:type="spellStart"/>
      <w:r>
        <w:rPr>
          <w:sz w:val="22"/>
          <w:szCs w:val="22"/>
          <w:lang w:val="en-US"/>
        </w:rPr>
        <w:t>loose</w:t>
      </w:r>
      <w:proofErr w:type="spellEnd"/>
      <w:r>
        <w:rPr>
          <w:sz w:val="22"/>
          <w:szCs w:val="22"/>
          <w:lang w:val="en-US"/>
        </w:rPr>
        <w:t xml:space="preserve"> confidence in the annual reports and why accounting bodies are more interested in risk reporting. Because of the increasing complexity of business strategies, operations and regulations, there is need for effective risk management, internal control and transparent risk reporting (Lajili and Zéghal, 2005). It is important for companies to take proper action in order to create a more reliable risk management system and transparent risk reporting.</w:t>
      </w:r>
    </w:p>
    <w:p w:rsidR="00AE4097" w:rsidRDefault="00AE4097" w:rsidP="00A82089">
      <w:pPr>
        <w:suppressAutoHyphens/>
        <w:spacing w:line="360" w:lineRule="auto"/>
        <w:ind w:firstLine="567"/>
        <w:jc w:val="both"/>
        <w:rPr>
          <w:sz w:val="22"/>
          <w:szCs w:val="22"/>
          <w:lang w:val="en-US"/>
        </w:rPr>
      </w:pPr>
      <w:r>
        <w:rPr>
          <w:sz w:val="22"/>
          <w:szCs w:val="22"/>
          <w:lang w:val="en-US"/>
        </w:rPr>
        <w:t>In times of financial uncertainty, capital markets are tighter and this might influence the amount of disclosure about risks. In these times, it is important for managers to be transparent by disclosing reliable and relevant information. Investors can assess the risk profile of a company only if relevant risk information is provided (Linsley and Shrives, 2006). Whereas risk reporting originally was a particularity in the banking and insurance sectors, the current financial crisis gave rise to risk disclosures in non-financial sectors as well (Dobler, 2008). As a result of the increasing losses in 2008 and 2009, firms have to report more about their risks in the annual reports to dominate these risks (Groot, 2008). Further, managers have to be alert on the timely recognition of risk. With the introduction of the financial crisis, the question arises if companies did warn the investors about their risks before the crisis. Or did the financial crisis come as a total surprise?</w:t>
      </w:r>
    </w:p>
    <w:p w:rsidR="00AE4097" w:rsidRDefault="00AE4097" w:rsidP="00A82089">
      <w:pPr>
        <w:suppressAutoHyphens/>
        <w:spacing w:line="360" w:lineRule="auto"/>
        <w:jc w:val="both"/>
        <w:rPr>
          <w:sz w:val="22"/>
          <w:szCs w:val="22"/>
          <w:lang w:val="en-US"/>
        </w:rPr>
      </w:pPr>
      <w:r>
        <w:rPr>
          <w:sz w:val="22"/>
          <w:szCs w:val="22"/>
          <w:lang w:val="en-US"/>
        </w:rPr>
        <w:tab/>
        <w:t>Nowadays, there are a lot of debates about risk management and risk reporting. One significant aspect of the debates is that it relates to the communication of risk information between companies and their stakeholders. Companies should provide more detailed risk disclosures rather than general</w:t>
      </w:r>
      <w:r>
        <w:rPr>
          <w:strike/>
          <w:sz w:val="22"/>
          <w:szCs w:val="22"/>
          <w:lang w:val="en-US"/>
        </w:rPr>
        <w:t xml:space="preserve"> </w:t>
      </w:r>
      <w:r>
        <w:rPr>
          <w:sz w:val="22"/>
          <w:szCs w:val="22"/>
          <w:lang w:val="en-US"/>
        </w:rPr>
        <w:t>statements about the risk management policy in their annual reports. This would reduce the risk information gap, thus improving the transparency and enabling good judgment about the firm’s performance (Linsley and Shrives, 2006a; Abraham and Cox, 2007). As a result of these debates</w:t>
      </w:r>
      <w:r>
        <w:rPr>
          <w:strike/>
          <w:sz w:val="22"/>
          <w:szCs w:val="22"/>
          <w:lang w:val="en-US"/>
        </w:rPr>
        <w:t xml:space="preserve"> </w:t>
      </w:r>
      <w:r>
        <w:rPr>
          <w:sz w:val="22"/>
          <w:szCs w:val="22"/>
          <w:lang w:val="en-US"/>
        </w:rPr>
        <w:t>narrative risk disclosures are more and more required in periodic reports, both annually and quarterly.</w:t>
      </w:r>
    </w:p>
    <w:p w:rsidR="00AE4097" w:rsidRDefault="00AE4097" w:rsidP="00A82089">
      <w:pPr>
        <w:suppressAutoHyphens/>
        <w:spacing w:line="360" w:lineRule="auto"/>
        <w:jc w:val="both"/>
        <w:rPr>
          <w:sz w:val="22"/>
          <w:szCs w:val="22"/>
          <w:lang w:val="en-US"/>
        </w:rPr>
      </w:pPr>
      <w:r>
        <w:rPr>
          <w:sz w:val="22"/>
          <w:szCs w:val="22"/>
          <w:lang w:val="en-US"/>
        </w:rPr>
        <w:tab/>
        <w:t xml:space="preserve">Risk disclosures have some advantages. Information asymmetry between the firm’s management and shareholders will decline and there is a positive effect on the shareholders’ confidence in management, leading to a better assessment of the firm’s future performance. The consequences of these advantages are a decline in the cost of capital (Lajili and Zéghal, 2005; Linsley and Shrives 2006a; Abraham and Cox, 2007) and a reduction of financial failure (Beretta and Bozzolan, 2004). However, creating and distributing timely and accurate risk information is </w:t>
      </w:r>
    </w:p>
    <w:p w:rsidR="007C1A3A" w:rsidRDefault="00AE4097" w:rsidP="00A82089">
      <w:pPr>
        <w:suppressAutoHyphens/>
        <w:spacing w:line="360" w:lineRule="auto"/>
        <w:jc w:val="both"/>
        <w:rPr>
          <w:sz w:val="22"/>
          <w:szCs w:val="22"/>
          <w:lang w:val="en-US"/>
        </w:rPr>
      </w:pPr>
      <w:proofErr w:type="gramStart"/>
      <w:r>
        <w:rPr>
          <w:sz w:val="22"/>
          <w:szCs w:val="22"/>
          <w:lang w:val="en-US"/>
        </w:rPr>
        <w:t>time-consuming</w:t>
      </w:r>
      <w:proofErr w:type="gramEnd"/>
      <w:r>
        <w:rPr>
          <w:sz w:val="22"/>
          <w:szCs w:val="22"/>
          <w:lang w:val="en-US"/>
        </w:rPr>
        <w:t xml:space="preserve"> for the management and there is the possibility of litigation when discussing if certain</w:t>
      </w:r>
    </w:p>
    <w:p w:rsidR="00AE4097" w:rsidRDefault="00AE4097" w:rsidP="00A82089">
      <w:pPr>
        <w:suppressAutoHyphens/>
        <w:spacing w:line="360" w:lineRule="auto"/>
        <w:jc w:val="both"/>
        <w:rPr>
          <w:sz w:val="22"/>
          <w:szCs w:val="22"/>
          <w:lang w:val="en-US"/>
        </w:rPr>
      </w:pPr>
      <w:r>
        <w:rPr>
          <w:sz w:val="22"/>
          <w:szCs w:val="22"/>
          <w:lang w:val="en-US"/>
        </w:rPr>
        <w:lastRenderedPageBreak/>
        <w:t xml:space="preserve"> </w:t>
      </w:r>
      <w:proofErr w:type="gramStart"/>
      <w:r>
        <w:rPr>
          <w:sz w:val="22"/>
          <w:szCs w:val="22"/>
          <w:lang w:val="en-US"/>
        </w:rPr>
        <w:t>information</w:t>
      </w:r>
      <w:proofErr w:type="gramEnd"/>
      <w:r>
        <w:rPr>
          <w:sz w:val="22"/>
          <w:szCs w:val="22"/>
          <w:lang w:val="en-US"/>
        </w:rPr>
        <w:t xml:space="preserve"> should be disclosed (Deumes, 2008). Despite these disadvantages of risk disclosing, companies are </w:t>
      </w:r>
      <w:proofErr w:type="gramStart"/>
      <w:r>
        <w:rPr>
          <w:sz w:val="22"/>
          <w:szCs w:val="22"/>
          <w:lang w:val="en-US"/>
        </w:rPr>
        <w:t>recommended  to</w:t>
      </w:r>
      <w:proofErr w:type="gramEnd"/>
      <w:r>
        <w:rPr>
          <w:sz w:val="22"/>
          <w:szCs w:val="22"/>
          <w:lang w:val="en-US"/>
        </w:rPr>
        <w:t xml:space="preserve"> be transparent about the risks they face.</w:t>
      </w:r>
    </w:p>
    <w:p w:rsidR="00AE4097" w:rsidRDefault="00AE4097" w:rsidP="00A82089">
      <w:pPr>
        <w:suppressAutoHyphens/>
        <w:spacing w:line="360" w:lineRule="auto"/>
        <w:jc w:val="both"/>
        <w:rPr>
          <w:sz w:val="22"/>
          <w:szCs w:val="22"/>
          <w:lang w:val="en-US"/>
        </w:rPr>
      </w:pPr>
      <w:r>
        <w:rPr>
          <w:sz w:val="22"/>
          <w:szCs w:val="22"/>
          <w:lang w:val="en-US"/>
        </w:rPr>
        <w:tab/>
        <w:t xml:space="preserve">Until recently there was no explicit regulation as far as risk management and risk reporting was concerned (Groenland et al., 2006). Risk management used to be examined within the boundaries of the firm (Lajili and Zéghal, 2005), but since the worldwide financial crisis, starting in 2008, corporate governance and risk reporting have become important issues, resulting into more research attention for risk management and control from an external point of view. </w:t>
      </w:r>
      <w:proofErr w:type="gramStart"/>
      <w:r>
        <w:rPr>
          <w:sz w:val="22"/>
          <w:szCs w:val="22"/>
          <w:lang w:val="en-US"/>
        </w:rPr>
        <w:t>More specific, the stakeholders’ view (Lajili and Zéghal, 2005).</w:t>
      </w:r>
      <w:proofErr w:type="gramEnd"/>
      <w:r>
        <w:rPr>
          <w:sz w:val="22"/>
          <w:szCs w:val="22"/>
          <w:lang w:val="en-US"/>
        </w:rPr>
        <w:t xml:space="preserve"> This growing attention resulted into more regulation. Risk management has become part of corporate governance. The US incorporated the Sarbanes Oxley Act in 2002. Section 404 prescribes that annual company reports should include an internal control report. A lot of European companies have reported regulation for corporate governance as well. The Institute of Chartered Accountants in England and Wales (ICAEW) in the </w:t>
      </w:r>
      <w:r w:rsidR="00F073FE">
        <w:rPr>
          <w:sz w:val="22"/>
          <w:szCs w:val="22"/>
          <w:lang w:val="en-US"/>
        </w:rPr>
        <w:t>UK</w:t>
      </w:r>
      <w:r>
        <w:rPr>
          <w:sz w:val="22"/>
          <w:szCs w:val="22"/>
          <w:lang w:val="en-US"/>
        </w:rPr>
        <w:t xml:space="preserve"> stimulated companies to report </w:t>
      </w:r>
      <w:r w:rsidRPr="00D952B7">
        <w:rPr>
          <w:sz w:val="22"/>
          <w:szCs w:val="22"/>
          <w:lang w:val="en-US"/>
        </w:rPr>
        <w:t>about internal and external risks. In Germany a Corporate Governance Code was incorporated after a publication by the ‘Commission Cromme’ and in the Netherlands the Corporate Governance Code (in Dutch: ‘Code Tabaksblat’) was published. This was used for the first time in the annual reports of 2004 and it replaced the forty recommendations of the ‘Commission Peters’ from 1997. The</w:t>
      </w:r>
      <w:r>
        <w:rPr>
          <w:sz w:val="22"/>
          <w:szCs w:val="22"/>
          <w:lang w:val="en-US"/>
        </w:rPr>
        <w:t xml:space="preserve"> Dutch Code assumes the principle of comply or explain. The risk paragraph for Dutch companies is voluntary, so it is interesting to examine what kind of information about risks they will report. After the introduction of the Corporate Governance Code in the Netherlands, 76% of the listed companies’ annual reports include a risk paragraph. The most important risks mentioned were market risks, regulation risks, structure of the company and technology risks (Groenland et al., 2006). In 2009, the compliance with the measures on internal risk and the application by AEX-companies is around 95%. </w:t>
      </w:r>
      <w:proofErr w:type="gramStart"/>
      <w:r>
        <w:rPr>
          <w:sz w:val="22"/>
          <w:szCs w:val="22"/>
          <w:lang w:val="en-US"/>
        </w:rPr>
        <w:t>The Monitoring Commission Corporate Governance note that a large number of AEX-companies already describe the most important risks</w:t>
      </w:r>
      <w:r w:rsidRPr="009D5918">
        <w:rPr>
          <w:rStyle w:val="FootnoteReference"/>
          <w:rFonts w:ascii="Times New Roman" w:hAnsi="Times New Roman"/>
          <w:sz w:val="18"/>
          <w:szCs w:val="18"/>
          <w:lang w:val="en-US"/>
        </w:rPr>
        <w:footnoteReference w:id="1"/>
      </w:r>
      <w:r>
        <w:rPr>
          <w:sz w:val="22"/>
          <w:szCs w:val="22"/>
          <w:lang w:val="en-US"/>
        </w:rPr>
        <w:t>.</w:t>
      </w:r>
      <w:proofErr w:type="gramEnd"/>
    </w:p>
    <w:p w:rsidR="00AE4097" w:rsidRDefault="00AE4097" w:rsidP="00A82089">
      <w:pPr>
        <w:suppressAutoHyphens/>
        <w:spacing w:line="360" w:lineRule="auto"/>
        <w:jc w:val="both"/>
        <w:rPr>
          <w:sz w:val="22"/>
          <w:szCs w:val="22"/>
          <w:lang w:val="en-US"/>
        </w:rPr>
      </w:pPr>
      <w:r w:rsidRPr="00D952B7">
        <w:rPr>
          <w:sz w:val="22"/>
          <w:szCs w:val="22"/>
          <w:lang w:val="en-US"/>
        </w:rPr>
        <w:tab/>
        <w:t>So far only a few studies examined risk reporting. Several authors</w:t>
      </w:r>
      <w:r>
        <w:rPr>
          <w:sz w:val="22"/>
          <w:szCs w:val="22"/>
          <w:lang w:val="en-US"/>
        </w:rPr>
        <w:t xml:space="preserve"> encourage filling in the gap in literature concerning empirical risk reporting research (Linsley and Shrives, 2006a; Beretta and Bozzolan, 2004). Most of these studies cover a period of only one research year. This thesis will contribute to the research area of risk reporting by examining the influence of the financial crisis on risk reporting for the Netherlands covering more than one research year.</w:t>
      </w:r>
    </w:p>
    <w:p w:rsidR="00AE4097" w:rsidRDefault="00AE4097" w:rsidP="00A82089">
      <w:pPr>
        <w:suppressAutoHyphens/>
        <w:spacing w:line="360" w:lineRule="auto"/>
        <w:jc w:val="both"/>
        <w:rPr>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eastAsia="en-US"/>
        </w:rPr>
      </w:pPr>
      <w:bookmarkStart w:id="15" w:name="_Toc288459319"/>
      <w:bookmarkStart w:id="16" w:name="_Toc288725860"/>
      <w:r>
        <w:rPr>
          <w:i w:val="0"/>
          <w:sz w:val="22"/>
          <w:szCs w:val="22"/>
          <w:lang w:val="en-US" w:eastAsia="en-US"/>
        </w:rPr>
        <w:t>Motivation and relevance</w:t>
      </w:r>
      <w:bookmarkEnd w:id="15"/>
      <w:bookmarkEnd w:id="16"/>
    </w:p>
    <w:p w:rsidR="007C1A3A" w:rsidRDefault="00AE4097" w:rsidP="00A82089">
      <w:pPr>
        <w:suppressAutoHyphens/>
        <w:spacing w:line="360" w:lineRule="auto"/>
        <w:ind w:firstLine="567"/>
        <w:jc w:val="both"/>
        <w:rPr>
          <w:sz w:val="22"/>
          <w:szCs w:val="22"/>
          <w:lang w:val="en-US" w:eastAsia="en-US"/>
        </w:rPr>
      </w:pPr>
      <w:r>
        <w:rPr>
          <w:sz w:val="22"/>
          <w:szCs w:val="22"/>
          <w:lang w:val="en-US"/>
        </w:rPr>
        <w:t xml:space="preserve">Financial reporting and disclosures, in </w:t>
      </w:r>
      <w:proofErr w:type="gramStart"/>
      <w:r>
        <w:rPr>
          <w:sz w:val="22"/>
          <w:szCs w:val="22"/>
          <w:lang w:val="en-US"/>
        </w:rPr>
        <w:t>this case risk disclosures</w:t>
      </w:r>
      <w:proofErr w:type="gramEnd"/>
      <w:r>
        <w:rPr>
          <w:sz w:val="22"/>
          <w:szCs w:val="22"/>
          <w:lang w:val="en-US"/>
        </w:rPr>
        <w:t xml:space="preserve">, are very important for managers when communicating firm performance and governance to outside investors (Healy and Palepu, 2001). Especially since the financial crisis, stakeholders and investors have been asking for more </w:t>
      </w:r>
      <w:r>
        <w:rPr>
          <w:sz w:val="22"/>
          <w:szCs w:val="22"/>
          <w:lang w:val="en-US" w:eastAsia="en-US"/>
        </w:rPr>
        <w:t xml:space="preserve">forward-looking information regarding company risks and uncertainties. Regulators like </w:t>
      </w:r>
    </w:p>
    <w:p w:rsidR="00AE4097" w:rsidRDefault="00AE4097" w:rsidP="00A82089">
      <w:pPr>
        <w:suppressAutoHyphens/>
        <w:spacing w:line="360" w:lineRule="auto"/>
        <w:jc w:val="both"/>
        <w:rPr>
          <w:sz w:val="22"/>
          <w:szCs w:val="22"/>
          <w:lang w:val="en-US" w:eastAsia="en-US"/>
        </w:rPr>
      </w:pPr>
      <w:r>
        <w:rPr>
          <w:sz w:val="22"/>
          <w:szCs w:val="22"/>
          <w:lang w:val="en-US" w:eastAsia="en-US"/>
        </w:rPr>
        <w:lastRenderedPageBreak/>
        <w:t>US GAAP and IFRS are asking for more detailed and quantitative information regarding risks as well as uncertainties, but they do not prescribe exactly what kind of risks companies should disclose in their annual reports, apart from financial risks. It is interesting to know what kind of risk information companies will report in their annual reports and also if the current financial crisis influences the amount and content of the risk paragraph.</w:t>
      </w:r>
    </w:p>
    <w:p w:rsidR="00AE4097" w:rsidRDefault="00AE4097" w:rsidP="00A82089">
      <w:pPr>
        <w:suppressAutoHyphens/>
        <w:spacing w:line="360" w:lineRule="auto"/>
        <w:jc w:val="both"/>
        <w:rPr>
          <w:sz w:val="22"/>
          <w:szCs w:val="22"/>
          <w:lang w:val="en-US" w:eastAsia="en-US"/>
        </w:rPr>
      </w:pPr>
      <w:r>
        <w:rPr>
          <w:sz w:val="22"/>
          <w:szCs w:val="22"/>
          <w:lang w:val="en-US" w:eastAsia="en-US"/>
        </w:rPr>
        <w:tab/>
      </w:r>
      <w:r>
        <w:rPr>
          <w:sz w:val="22"/>
          <w:szCs w:val="22"/>
          <w:lang w:val="en-US"/>
        </w:rPr>
        <w:t xml:space="preserve">Although risk reporting is an important subject, there is not that much prior research about risk disclosures. </w:t>
      </w:r>
      <w:r>
        <w:rPr>
          <w:sz w:val="22"/>
          <w:szCs w:val="22"/>
          <w:lang w:val="en-US" w:eastAsia="en-US"/>
        </w:rPr>
        <w:t>C</w:t>
      </w:r>
      <w:r>
        <w:rPr>
          <w:sz w:val="22"/>
          <w:szCs w:val="22"/>
          <w:lang w:val="en-US"/>
        </w:rPr>
        <w:t xml:space="preserve">orporate transparency about risk is vital for the well-functioning of capital markets. </w:t>
      </w:r>
      <w:r>
        <w:rPr>
          <w:sz w:val="22"/>
          <w:szCs w:val="22"/>
          <w:lang w:val="en-US" w:eastAsia="en-US"/>
        </w:rPr>
        <w:t>Confident and well-</w:t>
      </w:r>
      <w:proofErr w:type="gramStart"/>
      <w:r>
        <w:rPr>
          <w:sz w:val="22"/>
          <w:szCs w:val="22"/>
          <w:lang w:val="en-US" w:eastAsia="en-US"/>
        </w:rPr>
        <w:t>informed  investors</w:t>
      </w:r>
      <w:proofErr w:type="gramEnd"/>
      <w:r>
        <w:rPr>
          <w:sz w:val="22"/>
          <w:szCs w:val="22"/>
          <w:lang w:val="en-US" w:eastAsia="en-US"/>
        </w:rPr>
        <w:t xml:space="preserve"> are necessary for an adequate valuation of the stock price (Hutton, 2004). When companies are not clear about the risks and uncertainties towards their stakeholders, it can cause reputation damage and damage to the long-term health of a company (Fuller and Jensen, 2002). This is the reason that more companies are focused on company risks and on disclosing information about these risks. Some authors of prior research find an existing gap between the information needs of users of annual reports on the one hand and the amount and type of risk disclosures reported by companies on the other (Schrand and Elliot, 1998; Solomon, et al., 2000; Linsley and Shrives, 2006a).</w:t>
      </w:r>
    </w:p>
    <w:p w:rsidR="00AE4097" w:rsidRDefault="00AE4097" w:rsidP="00A82089">
      <w:pPr>
        <w:suppressAutoHyphens/>
        <w:spacing w:line="360" w:lineRule="auto"/>
        <w:ind w:firstLine="567"/>
        <w:jc w:val="both"/>
        <w:rPr>
          <w:sz w:val="22"/>
          <w:szCs w:val="22"/>
          <w:lang w:val="en-US"/>
        </w:rPr>
      </w:pPr>
      <w:r>
        <w:rPr>
          <w:sz w:val="22"/>
          <w:szCs w:val="22"/>
          <w:lang w:val="en-US"/>
        </w:rPr>
        <w:t>This study is useful for users of Dutch annual reports. There are different types of users. This study will focus on investors or stakeholders; they want to know if reliable and relevant information is given in the annual reports. To examine the risk paragraph in annual reports has a contributing value for company managers as well, because they are responsible for preparing this. If they know about the limitations, they can make amendments and strive for more transparency. Apart from that, the management’s motives for disclosing particular risk information are interesting as well.</w:t>
      </w:r>
    </w:p>
    <w:p w:rsidR="00AE4097" w:rsidRDefault="00AE4097" w:rsidP="00A82089">
      <w:pPr>
        <w:pStyle w:val="000"/>
        <w:suppressAutoHyphens/>
        <w:spacing w:line="360" w:lineRule="auto"/>
        <w:jc w:val="both"/>
        <w:rPr>
          <w:sz w:val="22"/>
          <w:szCs w:val="22"/>
          <w:lang w:val="en-US"/>
        </w:rPr>
      </w:pPr>
      <w:r>
        <w:rPr>
          <w:sz w:val="22"/>
          <w:szCs w:val="22"/>
          <w:lang w:val="en-US" w:eastAsia="en-US"/>
        </w:rPr>
        <w:tab/>
      </w:r>
      <w:r>
        <w:rPr>
          <w:sz w:val="22"/>
          <w:lang w:val="en-US"/>
        </w:rPr>
        <w:t>Compared with prior research a new aspect in this thesis is that it will focus on the influence of the financial crisis on risk reporting. Is there a positive relationship between the two of them?</w:t>
      </w:r>
    </w:p>
    <w:p w:rsidR="00AE4097" w:rsidRDefault="00AE4097" w:rsidP="00A82089">
      <w:pPr>
        <w:suppressAutoHyphens/>
        <w:spacing w:line="360" w:lineRule="auto"/>
        <w:jc w:val="both"/>
        <w:rPr>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eastAsia="en-US"/>
        </w:rPr>
      </w:pPr>
      <w:bookmarkStart w:id="17" w:name="_Toc288459320"/>
      <w:bookmarkStart w:id="18" w:name="_Toc288725861"/>
      <w:r>
        <w:rPr>
          <w:i w:val="0"/>
          <w:sz w:val="22"/>
          <w:szCs w:val="22"/>
          <w:lang w:val="en-US" w:eastAsia="en-US"/>
        </w:rPr>
        <w:t>Research objectives</w:t>
      </w:r>
      <w:bookmarkEnd w:id="17"/>
      <w:bookmarkEnd w:id="18"/>
    </w:p>
    <w:p w:rsidR="00AE4097" w:rsidRDefault="00AE4097" w:rsidP="00A82089">
      <w:pPr>
        <w:suppressAutoHyphens/>
        <w:spacing w:line="360" w:lineRule="auto"/>
        <w:ind w:firstLine="567"/>
        <w:jc w:val="both"/>
        <w:rPr>
          <w:sz w:val="22"/>
          <w:szCs w:val="22"/>
          <w:lang w:val="en-US"/>
        </w:rPr>
      </w:pPr>
      <w:r>
        <w:rPr>
          <w:sz w:val="22"/>
          <w:szCs w:val="22"/>
          <w:lang w:val="en-US"/>
        </w:rPr>
        <w:t xml:space="preserve">This research examines if the financial crisis influences the risk paragraph by looking at the difference between the quantities of the risk paragraph in annual reports before and during this crisis. Although there is no previous study about a subject comparable with the subject in this paper, a study conducted by Linsley and Shrives (2006a), who examined the content of the risk paragraph in annual reports of 79 non-financial </w:t>
      </w:r>
      <w:r w:rsidR="00F073FE">
        <w:rPr>
          <w:sz w:val="22"/>
          <w:szCs w:val="22"/>
          <w:lang w:val="en-US"/>
        </w:rPr>
        <w:t>UK</w:t>
      </w:r>
      <w:r>
        <w:rPr>
          <w:sz w:val="22"/>
          <w:szCs w:val="22"/>
          <w:lang w:val="en-US"/>
        </w:rPr>
        <w:t xml:space="preserve"> listed companies, is used as a basis for this paper. This study is used by many other researchers (Linsley et al., 2006b; Abraham and Cox, 2007; Amran et al. (2009). Also, the risk categorization by Linsley and Shrives (2006a</w:t>
      </w:r>
      <w:proofErr w:type="gramStart"/>
      <w:r>
        <w:rPr>
          <w:sz w:val="22"/>
          <w:szCs w:val="22"/>
          <w:lang w:val="en-US"/>
        </w:rPr>
        <w:t>),</w:t>
      </w:r>
      <w:proofErr w:type="gramEnd"/>
      <w:r>
        <w:rPr>
          <w:sz w:val="22"/>
          <w:szCs w:val="22"/>
          <w:lang w:val="en-US"/>
        </w:rPr>
        <w:t xml:space="preserve"> is very broad and quite similar to the risk categorization made by Dutch companies in the risk paragraph in their annual reports. While the paper of Linsley and Shrives (2006a) serves as a basis, the implementation will be different.</w:t>
      </w:r>
    </w:p>
    <w:p w:rsidR="007C1A3A" w:rsidRDefault="007C1A3A" w:rsidP="00A82089">
      <w:pPr>
        <w:suppressAutoHyphens/>
        <w:spacing w:line="360" w:lineRule="auto"/>
        <w:ind w:firstLine="567"/>
        <w:jc w:val="both"/>
        <w:rPr>
          <w:sz w:val="22"/>
          <w:szCs w:val="22"/>
          <w:lang w:val="en-US"/>
        </w:rPr>
      </w:pPr>
    </w:p>
    <w:p w:rsidR="007C1A3A" w:rsidRDefault="007C1A3A" w:rsidP="00A82089">
      <w:pPr>
        <w:suppressAutoHyphens/>
        <w:spacing w:line="360" w:lineRule="auto"/>
        <w:ind w:firstLine="567"/>
        <w:jc w:val="both"/>
        <w:rPr>
          <w:sz w:val="22"/>
          <w:szCs w:val="22"/>
          <w:lang w:val="en-US"/>
        </w:rPr>
      </w:pPr>
    </w:p>
    <w:p w:rsidR="007C1A3A" w:rsidRDefault="007C1A3A" w:rsidP="00A82089">
      <w:pPr>
        <w:suppressAutoHyphens/>
        <w:spacing w:line="360" w:lineRule="auto"/>
        <w:ind w:firstLine="567"/>
        <w:jc w:val="both"/>
        <w:rPr>
          <w:sz w:val="22"/>
          <w:szCs w:val="22"/>
          <w:lang w:val="en-US"/>
        </w:rPr>
      </w:pPr>
    </w:p>
    <w:p w:rsidR="00AE4097" w:rsidRDefault="00AE4097" w:rsidP="00A82089">
      <w:pPr>
        <w:suppressAutoHyphens/>
        <w:spacing w:line="360" w:lineRule="auto"/>
        <w:jc w:val="both"/>
        <w:rPr>
          <w:sz w:val="22"/>
          <w:szCs w:val="22"/>
          <w:lang w:val="en-US"/>
        </w:rPr>
      </w:pPr>
      <w:r>
        <w:rPr>
          <w:sz w:val="22"/>
          <w:szCs w:val="22"/>
          <w:lang w:val="en-US"/>
        </w:rPr>
        <w:lastRenderedPageBreak/>
        <w:t>The main objectives of this thesis are:</w:t>
      </w:r>
    </w:p>
    <w:p w:rsidR="00AE4097" w:rsidRDefault="00AE4097" w:rsidP="00A82089">
      <w:pPr>
        <w:pStyle w:val="ListParagraph"/>
        <w:numPr>
          <w:ilvl w:val="0"/>
          <w:numId w:val="8"/>
        </w:numPr>
        <w:suppressAutoHyphens/>
        <w:spacing w:line="360" w:lineRule="auto"/>
        <w:jc w:val="both"/>
        <w:rPr>
          <w:sz w:val="22"/>
          <w:szCs w:val="22"/>
          <w:u w:val="single"/>
          <w:lang w:val="en-US"/>
        </w:rPr>
      </w:pPr>
      <w:r>
        <w:rPr>
          <w:sz w:val="22"/>
          <w:szCs w:val="22"/>
          <w:lang w:val="en-US"/>
        </w:rPr>
        <w:t>To determine if the financial crisis affects the quantity and content of risk disclosures;</w:t>
      </w:r>
    </w:p>
    <w:p w:rsidR="00AE4097" w:rsidRDefault="00AE4097" w:rsidP="00A82089">
      <w:pPr>
        <w:pStyle w:val="ListParagraph"/>
        <w:numPr>
          <w:ilvl w:val="0"/>
          <w:numId w:val="8"/>
        </w:numPr>
        <w:suppressAutoHyphens/>
        <w:spacing w:line="360" w:lineRule="auto"/>
        <w:jc w:val="both"/>
        <w:rPr>
          <w:sz w:val="22"/>
          <w:szCs w:val="22"/>
          <w:lang w:val="en-US"/>
        </w:rPr>
      </w:pPr>
      <w:r>
        <w:rPr>
          <w:sz w:val="22"/>
          <w:szCs w:val="22"/>
          <w:lang w:val="en-US"/>
        </w:rPr>
        <w:t xml:space="preserve">To examine the content of the risk paragraph, using a content analysis in combination with a risk disclosure index; </w:t>
      </w:r>
    </w:p>
    <w:p w:rsidR="00AE4097" w:rsidRDefault="00AE4097" w:rsidP="00A82089">
      <w:pPr>
        <w:pStyle w:val="ListParagraph"/>
        <w:numPr>
          <w:ilvl w:val="0"/>
          <w:numId w:val="8"/>
        </w:numPr>
        <w:suppressAutoHyphens/>
        <w:spacing w:line="360" w:lineRule="auto"/>
        <w:jc w:val="both"/>
        <w:rPr>
          <w:sz w:val="22"/>
          <w:szCs w:val="22"/>
          <w:lang w:val="en-US"/>
        </w:rPr>
      </w:pPr>
      <w:r>
        <w:rPr>
          <w:sz w:val="22"/>
          <w:szCs w:val="22"/>
          <w:lang w:val="en-US"/>
        </w:rPr>
        <w:t>To test if there is a significant relationship between the quantity of risk disclosures and the company specific characteristics: profitability, level of risk and type of industry.</w:t>
      </w:r>
    </w:p>
    <w:p w:rsidR="00AE4097" w:rsidRDefault="00AE4097" w:rsidP="00A82089">
      <w:pPr>
        <w:suppressAutoHyphens/>
        <w:spacing w:line="360" w:lineRule="auto"/>
        <w:jc w:val="both"/>
        <w:rPr>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eastAsia="en-US"/>
        </w:rPr>
      </w:pPr>
      <w:bookmarkStart w:id="19" w:name="_Toc288459321"/>
      <w:bookmarkStart w:id="20" w:name="_Toc288725862"/>
      <w:r>
        <w:rPr>
          <w:i w:val="0"/>
          <w:sz w:val="22"/>
          <w:szCs w:val="22"/>
          <w:lang w:val="en-US" w:eastAsia="en-US"/>
        </w:rPr>
        <w:t>Research question</w:t>
      </w:r>
      <w:bookmarkEnd w:id="19"/>
      <w:bookmarkEnd w:id="20"/>
    </w:p>
    <w:p w:rsidR="00AE4097" w:rsidRDefault="00AE4097" w:rsidP="00A82089">
      <w:pPr>
        <w:pStyle w:val="000"/>
        <w:suppressAutoHyphens/>
        <w:spacing w:line="360" w:lineRule="auto"/>
        <w:ind w:firstLine="567"/>
        <w:jc w:val="both"/>
        <w:rPr>
          <w:sz w:val="22"/>
          <w:lang w:val="en-US"/>
        </w:rPr>
      </w:pPr>
      <w:r>
        <w:rPr>
          <w:sz w:val="22"/>
          <w:lang w:val="en-US"/>
        </w:rPr>
        <w:t>The aim of this study is to examine if the financial crisis has influence on the risk paragraph in the annual reports of non-financial listed companies in the Netherlands. To examine the different research objectives it is necessary to formulate a research question. This question is as follows:</w:t>
      </w:r>
    </w:p>
    <w:p w:rsidR="00AE4097" w:rsidRDefault="00AE4097" w:rsidP="00A82089">
      <w:pPr>
        <w:pStyle w:val="BodyText2"/>
        <w:suppressAutoHyphens/>
      </w:pPr>
    </w:p>
    <w:p w:rsidR="00AE4097" w:rsidRDefault="00AE4097" w:rsidP="00A82089">
      <w:pPr>
        <w:pStyle w:val="BodyText2"/>
        <w:suppressAutoHyphens/>
      </w:pPr>
      <w:r>
        <w:t>What is the influence of the financial crisis on the quantity of risk reporting in the annual reports of Dutch listed companies?</w:t>
      </w:r>
    </w:p>
    <w:p w:rsidR="00AE4097" w:rsidRDefault="00AE4097" w:rsidP="00A82089">
      <w:pPr>
        <w:suppressAutoHyphens/>
        <w:spacing w:line="360" w:lineRule="auto"/>
        <w:jc w:val="both"/>
        <w:rPr>
          <w:i/>
          <w:sz w:val="22"/>
          <w:szCs w:val="22"/>
          <w:lang w:val="en-US"/>
        </w:rPr>
      </w:pPr>
    </w:p>
    <w:p w:rsidR="00AE4097" w:rsidRDefault="00AE4097" w:rsidP="00A82089">
      <w:pPr>
        <w:suppressAutoHyphens/>
        <w:spacing w:line="360" w:lineRule="auto"/>
        <w:jc w:val="both"/>
        <w:rPr>
          <w:sz w:val="22"/>
          <w:szCs w:val="22"/>
          <w:lang w:val="en-US"/>
        </w:rPr>
      </w:pPr>
      <w:r>
        <w:rPr>
          <w:sz w:val="22"/>
          <w:szCs w:val="22"/>
          <w:lang w:val="en-US"/>
        </w:rPr>
        <w:t>To give an answer to this research question, the following sub-questions are formulated:</w:t>
      </w:r>
    </w:p>
    <w:p w:rsidR="00AE4097" w:rsidRDefault="00AE4097" w:rsidP="00A82089">
      <w:pPr>
        <w:pStyle w:val="ListParagraph"/>
        <w:numPr>
          <w:ilvl w:val="0"/>
          <w:numId w:val="10"/>
        </w:numPr>
        <w:suppressAutoHyphens/>
        <w:spacing w:line="360" w:lineRule="auto"/>
        <w:jc w:val="both"/>
        <w:rPr>
          <w:sz w:val="22"/>
          <w:szCs w:val="22"/>
          <w:lang w:val="en-US"/>
        </w:rPr>
      </w:pPr>
      <w:r>
        <w:rPr>
          <w:sz w:val="22"/>
          <w:szCs w:val="22"/>
          <w:lang w:val="en-US"/>
        </w:rPr>
        <w:t>Why do firms voluntary disclose information?</w:t>
      </w:r>
    </w:p>
    <w:p w:rsidR="00AE4097" w:rsidRDefault="00AE4097" w:rsidP="00A82089">
      <w:pPr>
        <w:pStyle w:val="ListParagraph"/>
        <w:numPr>
          <w:ilvl w:val="0"/>
          <w:numId w:val="10"/>
        </w:numPr>
        <w:suppressAutoHyphens/>
        <w:spacing w:line="360" w:lineRule="auto"/>
        <w:jc w:val="both"/>
        <w:rPr>
          <w:sz w:val="22"/>
          <w:szCs w:val="22"/>
          <w:lang w:val="en-US"/>
        </w:rPr>
      </w:pPr>
      <w:r>
        <w:rPr>
          <w:sz w:val="22"/>
          <w:szCs w:val="22"/>
          <w:lang w:val="en-US"/>
        </w:rPr>
        <w:t xml:space="preserve">What is the definition of risk and how has risk reporting developed? </w:t>
      </w:r>
    </w:p>
    <w:p w:rsidR="00AE4097" w:rsidRDefault="00AE4097" w:rsidP="00A82089">
      <w:pPr>
        <w:pStyle w:val="ListParagraph"/>
        <w:numPr>
          <w:ilvl w:val="0"/>
          <w:numId w:val="10"/>
        </w:numPr>
        <w:suppressAutoHyphens/>
        <w:spacing w:line="360" w:lineRule="auto"/>
        <w:jc w:val="both"/>
        <w:rPr>
          <w:sz w:val="22"/>
          <w:szCs w:val="22"/>
          <w:lang w:val="en-US"/>
        </w:rPr>
      </w:pPr>
      <w:r>
        <w:rPr>
          <w:sz w:val="22"/>
          <w:szCs w:val="22"/>
          <w:lang w:val="en-US"/>
        </w:rPr>
        <w:t xml:space="preserve">What is the influence of the financial crisis on risk reporting? </w:t>
      </w:r>
    </w:p>
    <w:p w:rsidR="00AE4097" w:rsidRDefault="00AE4097" w:rsidP="00A82089">
      <w:pPr>
        <w:pStyle w:val="ListParagraph"/>
        <w:numPr>
          <w:ilvl w:val="0"/>
          <w:numId w:val="10"/>
        </w:numPr>
        <w:suppressAutoHyphens/>
        <w:spacing w:line="360" w:lineRule="auto"/>
        <w:jc w:val="both"/>
        <w:rPr>
          <w:sz w:val="22"/>
          <w:szCs w:val="22"/>
          <w:lang w:val="en-US"/>
        </w:rPr>
      </w:pPr>
      <w:r>
        <w:rPr>
          <w:sz w:val="22"/>
          <w:szCs w:val="22"/>
          <w:lang w:val="en-US"/>
        </w:rPr>
        <w:t>Which company characteristics influence the quantity of risk disclosures?</w:t>
      </w:r>
    </w:p>
    <w:p w:rsidR="00AE4097" w:rsidRDefault="00AE4097" w:rsidP="00A82089">
      <w:pPr>
        <w:suppressAutoHyphens/>
        <w:spacing w:line="360" w:lineRule="auto"/>
        <w:jc w:val="both"/>
        <w:rPr>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eastAsia="en-US"/>
        </w:rPr>
      </w:pPr>
      <w:bookmarkStart w:id="21" w:name="_Toc288459322"/>
      <w:bookmarkStart w:id="22" w:name="_Toc288725863"/>
      <w:r>
        <w:rPr>
          <w:i w:val="0"/>
          <w:sz w:val="22"/>
          <w:szCs w:val="22"/>
          <w:lang w:val="en-US" w:eastAsia="en-US"/>
        </w:rPr>
        <w:t>Scope</w:t>
      </w:r>
      <w:bookmarkEnd w:id="21"/>
      <w:bookmarkEnd w:id="22"/>
    </w:p>
    <w:p w:rsidR="00AE4097" w:rsidRDefault="00AE4097" w:rsidP="00A82089">
      <w:pPr>
        <w:pStyle w:val="BodyTextIndent"/>
        <w:suppressAutoHyphens/>
      </w:pPr>
      <w:r>
        <w:t>This study concentrates on the annual reports of non-financial companies in the Netherlands, listed on the AEX-index. The expectation is that the twenty-five companies listed on the AEX-index face more risks than companies on other indices of the AEX. They will feel more pressure from stakeholders to report about their risks and uncertainties. Financial companies are excluded from this research, because it could distort the research findings. The legislation is different from the regulation for non-financial companies, it is more extensive and they will make a different type of risk disclosures (Linsley and Shrives, 2006a).</w:t>
      </w:r>
    </w:p>
    <w:p w:rsidR="00AE4097" w:rsidRDefault="00AE4097" w:rsidP="00A82089">
      <w:pPr>
        <w:suppressAutoHyphens/>
        <w:spacing w:line="360" w:lineRule="auto"/>
        <w:jc w:val="both"/>
        <w:rPr>
          <w:sz w:val="22"/>
          <w:szCs w:val="22"/>
          <w:lang w:val="en-US"/>
        </w:rPr>
      </w:pPr>
      <w:r>
        <w:rPr>
          <w:sz w:val="22"/>
          <w:szCs w:val="22"/>
          <w:lang w:val="en-US"/>
        </w:rPr>
        <w:tab/>
        <w:t>Companies in the Netherlands have to report risk disclosures according to the International Financial Reporting Standards (IFRS 7) and the Dutch Corporate Governance Code (‘Code Tabaksblat’), which is prepared by national regulatory bodies.</w:t>
      </w:r>
    </w:p>
    <w:p w:rsidR="00AE4097" w:rsidRDefault="00AE4097" w:rsidP="00A82089">
      <w:pPr>
        <w:suppressAutoHyphens/>
        <w:spacing w:line="360" w:lineRule="auto"/>
        <w:jc w:val="both"/>
        <w:rPr>
          <w:sz w:val="22"/>
          <w:szCs w:val="22"/>
          <w:lang w:val="en-US"/>
        </w:rPr>
      </w:pPr>
      <w:r>
        <w:rPr>
          <w:sz w:val="22"/>
          <w:szCs w:val="22"/>
          <w:lang w:val="en-US"/>
        </w:rPr>
        <w:tab/>
        <w:t xml:space="preserve">The company discloses information regarding risks and uncertainties in the risk paragraph, which is shown in the annual report. In this research, the financial crisis has an important role. To examine the influence of the crisis on the risk paragraph, it is useful to compare the annual reports </w:t>
      </w:r>
      <w:proofErr w:type="gramStart"/>
      <w:r>
        <w:rPr>
          <w:sz w:val="22"/>
          <w:szCs w:val="22"/>
          <w:lang w:val="en-US"/>
        </w:rPr>
        <w:t>published  in</w:t>
      </w:r>
      <w:proofErr w:type="gramEnd"/>
      <w:r>
        <w:rPr>
          <w:sz w:val="22"/>
          <w:szCs w:val="22"/>
          <w:lang w:val="en-US"/>
        </w:rPr>
        <w:t xml:space="preserve"> the years preceding the financial crisis with those published during the crisis. This study covers a research period of four years. The years before the crisis, 2006 and 2007, will be compared </w:t>
      </w:r>
      <w:r>
        <w:rPr>
          <w:sz w:val="22"/>
          <w:szCs w:val="22"/>
          <w:lang w:val="en-US"/>
        </w:rPr>
        <w:lastRenderedPageBreak/>
        <w:t>with two years during the crisis, 2008 and 2009. The quantity of risk disclosures will be measured by the risk disclosure score. This score is achieved by a risk disclosure index. The information used for this model is hand collected from the risk paragraphs in annual reports. The data for the control variables are collected from the ThomsonOneBanker database.</w:t>
      </w:r>
    </w:p>
    <w:p w:rsidR="00AE4097" w:rsidRDefault="00AE4097" w:rsidP="00A82089">
      <w:pPr>
        <w:suppressAutoHyphens/>
        <w:spacing w:line="360" w:lineRule="auto"/>
        <w:jc w:val="both"/>
        <w:rPr>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eastAsia="en-US"/>
        </w:rPr>
      </w:pPr>
      <w:bookmarkStart w:id="23" w:name="_Toc288459323"/>
      <w:bookmarkStart w:id="24" w:name="_Toc288725864"/>
      <w:r>
        <w:rPr>
          <w:i w:val="0"/>
          <w:sz w:val="22"/>
          <w:szCs w:val="22"/>
          <w:lang w:val="en-US" w:eastAsia="en-US"/>
        </w:rPr>
        <w:t>Outline</w:t>
      </w:r>
      <w:bookmarkEnd w:id="23"/>
      <w:bookmarkEnd w:id="24"/>
    </w:p>
    <w:p w:rsidR="00AE4097" w:rsidRDefault="00AE4097" w:rsidP="00A82089">
      <w:pPr>
        <w:pStyle w:val="BodyTextIndent"/>
        <w:suppressAutoHyphens/>
      </w:pPr>
      <w:r>
        <w:t xml:space="preserve">The structure of this paper is as follows. Chapter 2 gives a background for risk disclosures. After a short introduction in paragraph 2.1, the different types of disclosures will be discussed in paragraph 2.2. Disclosures can be explained by the positive accounting theory. This theory will be described in paragraph 2.3. Then, in paragraph 2.4 motivations for disclosing particular information are given. The methods to measure these disclosures will be discussed in paragraph 2.5. When the term disclosures is explained, it is important to know something more about specific disclosures, in this thesis risk disclosures. Paragraph 2.6 gives a definition of ‘risk’, the Enterprise Risk Management framework will be explained, as well as the risk categories. Paragraph 2.7 describes the requirements for risk reporting as shown by the International Financial Reporting Standards (IFRS) and the Dutch Corporate Governance Code. Finally, this chapter will give some information about the rise of the financial crisis and the subsequent influence on risk reporting. The chapter is concluded by a summary. </w:t>
      </w:r>
    </w:p>
    <w:p w:rsidR="00AE4097" w:rsidRDefault="00AE4097" w:rsidP="00A82089">
      <w:pPr>
        <w:suppressAutoHyphens/>
        <w:spacing w:line="360" w:lineRule="auto"/>
        <w:ind w:firstLine="567"/>
        <w:jc w:val="both"/>
        <w:rPr>
          <w:sz w:val="22"/>
          <w:szCs w:val="22"/>
          <w:lang w:val="en-US"/>
        </w:rPr>
      </w:pPr>
      <w:r>
        <w:rPr>
          <w:sz w:val="22"/>
          <w:szCs w:val="22"/>
          <w:lang w:val="en-US"/>
        </w:rPr>
        <w:t xml:space="preserve">In chapter 3 prior </w:t>
      </w:r>
      <w:proofErr w:type="gramStart"/>
      <w:r>
        <w:rPr>
          <w:sz w:val="22"/>
          <w:szCs w:val="22"/>
          <w:lang w:val="en-US"/>
        </w:rPr>
        <w:t>research</w:t>
      </w:r>
      <w:proofErr w:type="gramEnd"/>
      <w:r>
        <w:rPr>
          <w:sz w:val="22"/>
          <w:szCs w:val="22"/>
          <w:lang w:val="en-US"/>
        </w:rPr>
        <w:t xml:space="preserve"> on risk reporting will be discussed. The chapter opens with a short introduction in paragraph 3.1, </w:t>
      </w:r>
      <w:proofErr w:type="gramStart"/>
      <w:r>
        <w:rPr>
          <w:sz w:val="22"/>
          <w:szCs w:val="22"/>
          <w:lang w:val="en-US"/>
        </w:rPr>
        <w:t>then</w:t>
      </w:r>
      <w:proofErr w:type="gramEnd"/>
      <w:r>
        <w:rPr>
          <w:sz w:val="22"/>
          <w:szCs w:val="22"/>
          <w:lang w:val="en-US"/>
        </w:rPr>
        <w:t xml:space="preserve"> four relevant studies will be described in more detail (paragraph 3.2-3.5). Paragraph 3.6 gives a review of prior studies, comparing them and discussing the parts that are useful for this paper. A summary concludes this chapter. </w:t>
      </w:r>
    </w:p>
    <w:p w:rsidR="00AE4097" w:rsidRDefault="00AE4097" w:rsidP="00A82089">
      <w:pPr>
        <w:suppressAutoHyphens/>
        <w:spacing w:line="360" w:lineRule="auto"/>
        <w:ind w:firstLine="567"/>
        <w:jc w:val="both"/>
        <w:rPr>
          <w:sz w:val="22"/>
          <w:szCs w:val="22"/>
          <w:lang w:val="en-US"/>
        </w:rPr>
      </w:pPr>
      <w:r>
        <w:rPr>
          <w:sz w:val="22"/>
          <w:szCs w:val="22"/>
          <w:lang w:val="en-US"/>
        </w:rPr>
        <w:t xml:space="preserve">Chapter 4 will explain the research design. This chapter starts with an introduction, then it will discuss the sample selection (sample size and sample period). Paragraph 4.3 explains about the research approach, consisting of the risk disclosure index and the control variables. The chapter ends with the formulated hypotheses and a summary. </w:t>
      </w:r>
    </w:p>
    <w:p w:rsidR="00AE4097" w:rsidRDefault="00AE4097" w:rsidP="00A82089">
      <w:pPr>
        <w:suppressAutoHyphens/>
        <w:spacing w:line="360" w:lineRule="auto"/>
        <w:ind w:firstLine="567"/>
        <w:jc w:val="both"/>
        <w:rPr>
          <w:sz w:val="22"/>
          <w:szCs w:val="22"/>
          <w:lang w:val="en-US"/>
        </w:rPr>
      </w:pPr>
      <w:r>
        <w:rPr>
          <w:sz w:val="22"/>
          <w:szCs w:val="22"/>
          <w:lang w:val="en-US"/>
        </w:rPr>
        <w:t xml:space="preserve">Then, chapter 5 will discuss the results of this paper. It starts with a short introduction, </w:t>
      </w:r>
      <w:proofErr w:type="gramStart"/>
      <w:r>
        <w:rPr>
          <w:sz w:val="22"/>
          <w:szCs w:val="22"/>
          <w:lang w:val="en-US"/>
        </w:rPr>
        <w:t>then</w:t>
      </w:r>
      <w:proofErr w:type="gramEnd"/>
      <w:r>
        <w:rPr>
          <w:sz w:val="22"/>
          <w:szCs w:val="22"/>
          <w:lang w:val="en-US"/>
        </w:rPr>
        <w:t xml:space="preserve"> it explains the results of the risk disclosure index in the second paragraph. The third paragraph contains the statistical analysis. This section starts with the descriptive statistics (5.3.1), </w:t>
      </w:r>
      <w:proofErr w:type="gramStart"/>
      <w:r>
        <w:rPr>
          <w:sz w:val="22"/>
          <w:szCs w:val="22"/>
          <w:lang w:val="en-US"/>
        </w:rPr>
        <w:t>then</w:t>
      </w:r>
      <w:proofErr w:type="gramEnd"/>
      <w:r>
        <w:rPr>
          <w:sz w:val="22"/>
          <w:szCs w:val="22"/>
          <w:lang w:val="en-US"/>
        </w:rPr>
        <w:t xml:space="preserve"> it will explain the normal distribution (5.3.2). In the paragraphs 5.3.3 to 5.3.6 the four hypotheses will be tested by using </w:t>
      </w:r>
      <w:r w:rsidRPr="005064C9">
        <w:rPr>
          <w:sz w:val="22"/>
          <w:szCs w:val="22"/>
          <w:lang w:val="en-US"/>
        </w:rPr>
        <w:t xml:space="preserve">different statistic </w:t>
      </w:r>
      <w:proofErr w:type="gramStart"/>
      <w:r w:rsidRPr="005064C9">
        <w:rPr>
          <w:sz w:val="22"/>
          <w:szCs w:val="22"/>
          <w:lang w:val="en-US"/>
        </w:rPr>
        <w:t>methods,</w:t>
      </w:r>
      <w:proofErr w:type="gramEnd"/>
      <w:r w:rsidRPr="005064C9">
        <w:rPr>
          <w:sz w:val="22"/>
          <w:szCs w:val="22"/>
          <w:lang w:val="en-US"/>
        </w:rPr>
        <w:t xml:space="preserve"> and an interpretation of the results will be given in paragraph 5.4.</w:t>
      </w:r>
      <w:r>
        <w:rPr>
          <w:sz w:val="22"/>
          <w:szCs w:val="22"/>
          <w:lang w:val="en-US"/>
        </w:rPr>
        <w:t xml:space="preserve"> Chapter 5 is concluded with a summary. </w:t>
      </w:r>
    </w:p>
    <w:p w:rsidR="00AE4097" w:rsidRDefault="00AE4097" w:rsidP="00A82089">
      <w:pPr>
        <w:suppressAutoHyphens/>
        <w:spacing w:line="360" w:lineRule="auto"/>
        <w:ind w:firstLine="567"/>
        <w:jc w:val="both"/>
        <w:rPr>
          <w:sz w:val="22"/>
          <w:szCs w:val="22"/>
          <w:lang w:val="en-US"/>
        </w:rPr>
      </w:pPr>
      <w:r>
        <w:rPr>
          <w:sz w:val="22"/>
          <w:szCs w:val="22"/>
          <w:lang w:val="en-US"/>
        </w:rPr>
        <w:t>Finally, in chapter 6 the conclusion will be given by answering the research question. As in almost every research, this product includes restrictions as well as recommendations for further research. These will be discussed at the end of this study in chapter 6.</w:t>
      </w:r>
    </w:p>
    <w:p w:rsidR="00AE4097" w:rsidRDefault="00AE4097" w:rsidP="00A82089">
      <w:pPr>
        <w:spacing w:line="360" w:lineRule="auto"/>
        <w:ind w:firstLine="567"/>
        <w:jc w:val="both"/>
        <w:rPr>
          <w:sz w:val="22"/>
          <w:szCs w:val="22"/>
          <w:lang w:val="en-US"/>
        </w:rPr>
      </w:pPr>
    </w:p>
    <w:p w:rsidR="00AE4097" w:rsidRDefault="00AE4097" w:rsidP="00A82089">
      <w:pPr>
        <w:spacing w:after="200" w:line="276" w:lineRule="auto"/>
        <w:jc w:val="both"/>
        <w:rPr>
          <w:sz w:val="22"/>
          <w:szCs w:val="22"/>
          <w:lang w:val="en-US"/>
        </w:rPr>
      </w:pPr>
    </w:p>
    <w:p w:rsidR="00AE4097" w:rsidRDefault="00AE4097" w:rsidP="00A82089">
      <w:pPr>
        <w:pStyle w:val="Heading1"/>
        <w:numPr>
          <w:ilvl w:val="0"/>
          <w:numId w:val="2"/>
        </w:numPr>
        <w:suppressAutoHyphens/>
        <w:jc w:val="both"/>
        <w:rPr>
          <w:i/>
          <w:sz w:val="24"/>
          <w:lang w:val="en-US"/>
        </w:rPr>
      </w:pPr>
      <w:r>
        <w:rPr>
          <w:sz w:val="24"/>
          <w:lang w:val="en-US"/>
        </w:rPr>
        <w:br w:type="page"/>
      </w:r>
      <w:bookmarkStart w:id="25" w:name="_Toc288459324"/>
      <w:bookmarkStart w:id="26" w:name="_Toc288725865"/>
      <w:r>
        <w:rPr>
          <w:sz w:val="24"/>
          <w:lang w:val="en-US"/>
        </w:rPr>
        <w:lastRenderedPageBreak/>
        <w:t>Background risk disclosures</w:t>
      </w:r>
      <w:bookmarkEnd w:id="25"/>
      <w:bookmarkEnd w:id="26"/>
    </w:p>
    <w:p w:rsidR="00AE4097" w:rsidRDefault="00AE4097" w:rsidP="00A82089">
      <w:pPr>
        <w:pStyle w:val="000"/>
        <w:suppressAutoHyphens/>
        <w:jc w:val="both"/>
        <w:rPr>
          <w:i/>
          <w:sz w:val="22"/>
          <w:szCs w:val="22"/>
          <w:lang w:val="en-US"/>
        </w:rPr>
      </w:pPr>
    </w:p>
    <w:p w:rsidR="00AE4097" w:rsidRDefault="00AE4097" w:rsidP="00A82089">
      <w:pPr>
        <w:pStyle w:val="000"/>
        <w:suppressAutoHyphens/>
        <w:jc w:val="both"/>
        <w:rPr>
          <w:i/>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rPr>
      </w:pPr>
      <w:bookmarkStart w:id="27" w:name="_Toc288459325"/>
      <w:bookmarkStart w:id="28" w:name="_Toc288725866"/>
      <w:r>
        <w:rPr>
          <w:i w:val="0"/>
          <w:sz w:val="22"/>
          <w:szCs w:val="22"/>
          <w:lang w:val="en-US"/>
        </w:rPr>
        <w:t>Introduction</w:t>
      </w:r>
      <w:bookmarkEnd w:id="27"/>
      <w:bookmarkEnd w:id="28"/>
    </w:p>
    <w:p w:rsidR="00AE4097" w:rsidRDefault="00AE4097" w:rsidP="00A82089">
      <w:pPr>
        <w:suppressAutoHyphens/>
        <w:spacing w:line="360" w:lineRule="auto"/>
        <w:ind w:firstLine="567"/>
        <w:jc w:val="both"/>
        <w:rPr>
          <w:sz w:val="22"/>
          <w:szCs w:val="22"/>
          <w:lang w:val="en-US"/>
        </w:rPr>
      </w:pPr>
      <w:r>
        <w:rPr>
          <w:sz w:val="22"/>
          <w:szCs w:val="22"/>
          <w:lang w:val="en-US"/>
        </w:rPr>
        <w:t xml:space="preserve">This chapter discusses the theories regarding disclosures, risk reporting, the financial crisis and the relation between these topics. The first paragraphs will give some information about disclosures in general. Paragraph 2.2 gives a description of the different types of disclosures, then in paragraph 2.3 the positive accounting theory will be further explained, paragraph 2.4 discusses the motives and constraints for companies to disclose information, and finally, paragraph 2.5 describes the different ways to measure disclosures. This part gives an answer to the first sub question; </w:t>
      </w:r>
      <w:proofErr w:type="gramStart"/>
      <w:r>
        <w:rPr>
          <w:sz w:val="22"/>
          <w:szCs w:val="22"/>
          <w:lang w:val="en-US"/>
        </w:rPr>
        <w:t>Why</w:t>
      </w:r>
      <w:proofErr w:type="gramEnd"/>
      <w:r>
        <w:rPr>
          <w:sz w:val="22"/>
          <w:szCs w:val="22"/>
          <w:lang w:val="en-US"/>
        </w:rPr>
        <w:t xml:space="preserve"> do firms disclose information? The second part focuses on specific risk disclosures. Paragraph 2.6 gives a definition of risk based on prior research, including the Enterprise Risk Management framework and the different risk </w:t>
      </w:r>
      <w:proofErr w:type="gramStart"/>
      <w:r>
        <w:rPr>
          <w:sz w:val="22"/>
          <w:szCs w:val="22"/>
          <w:lang w:val="en-US"/>
        </w:rPr>
        <w:t>categories,</w:t>
      </w:r>
      <w:proofErr w:type="gramEnd"/>
      <w:r>
        <w:rPr>
          <w:sz w:val="22"/>
          <w:szCs w:val="22"/>
          <w:lang w:val="en-US"/>
        </w:rPr>
        <w:t xml:space="preserve"> paragraph 2.7 describes the requirements for risk reporting according to IFRS and the Dutch Corporate Governance Code. In this part, an answer to the second sub question is given. The last part of this chapter provides information about the financial crisis (paragraph 2.8). This section describes causes and consequences of the financial crisis in relation to risk reporting. With this information, an answer is given to the third sub question. The last sub question ‘which company characteristics influence the quantity of risk disclosures?’ concerns control variables and these will be formulated in the hypotheses in chapter 4. The results of these hypotheses are analyzed in the next chapter. A short summary will conclude this chapter.</w:t>
      </w:r>
    </w:p>
    <w:p w:rsidR="00AE4097" w:rsidRDefault="00AE4097" w:rsidP="00A82089">
      <w:pPr>
        <w:pStyle w:val="000"/>
        <w:suppressAutoHyphens/>
        <w:jc w:val="both"/>
        <w:rPr>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rPr>
      </w:pPr>
      <w:bookmarkStart w:id="29" w:name="_Toc288459326"/>
      <w:bookmarkStart w:id="30" w:name="_Toc288725867"/>
      <w:r>
        <w:rPr>
          <w:i w:val="0"/>
          <w:sz w:val="22"/>
          <w:szCs w:val="22"/>
          <w:lang w:val="en-US"/>
        </w:rPr>
        <w:t>Types of disclosures</w:t>
      </w:r>
      <w:bookmarkEnd w:id="29"/>
      <w:bookmarkEnd w:id="30"/>
    </w:p>
    <w:p w:rsidR="00AE4097" w:rsidRDefault="00AE4097" w:rsidP="00A82089">
      <w:pPr>
        <w:suppressAutoHyphens/>
        <w:spacing w:line="360" w:lineRule="auto"/>
        <w:ind w:firstLine="567"/>
        <w:jc w:val="both"/>
        <w:rPr>
          <w:sz w:val="22"/>
          <w:szCs w:val="22"/>
          <w:lang w:val="en-US"/>
        </w:rPr>
      </w:pPr>
      <w:r>
        <w:rPr>
          <w:sz w:val="22"/>
          <w:szCs w:val="22"/>
          <w:lang w:val="en-US"/>
        </w:rPr>
        <w:t>Before making researches into risk disclosures it is useful to know what kind of disclosure it is. There are three different types of disclosures (Scott, 2003). The first one is mandatory disclosure by regulation. Some regulatory bodies are well known, such as the International Accounting Standards Board (IASB), the Financial Accounting Standards Board (FASB) and the Securities and Exchange Committee (SEC). In addition to these regulatory bodies, national governments are making rules concerning mandatory disclosures and financial reporting as well. The mandatory disclosures should be presented in annual reports, which include management discussion and analyses (MD&amp;A), financial statements, footnotes, and other reports. Especially disclosing information about financial risks is required by regulation, but for non-financial companies, there is not that much regulated for risk disclosures.  Non compliance with these rules has serious consequences.</w:t>
      </w:r>
    </w:p>
    <w:p w:rsidR="00AE4097" w:rsidRDefault="00AE4097" w:rsidP="00A82089">
      <w:pPr>
        <w:suppressAutoHyphens/>
        <w:spacing w:line="360" w:lineRule="auto"/>
        <w:jc w:val="both"/>
        <w:rPr>
          <w:sz w:val="22"/>
          <w:szCs w:val="22"/>
          <w:lang w:val="en-US"/>
        </w:rPr>
      </w:pPr>
      <w:r>
        <w:rPr>
          <w:sz w:val="22"/>
          <w:szCs w:val="22"/>
          <w:lang w:val="en-US"/>
        </w:rPr>
        <w:tab/>
        <w:t>Another type of disclosure is a recommended disclosure. A regulatory body can give some recommendations about disclosing information. Companies are not required to disclose the information, but they may feel pressure from their stakeholders to do so. The recommended disclosure is an in between form of mandatory and voluntary disclosures.</w:t>
      </w:r>
    </w:p>
    <w:p w:rsidR="00AE4097" w:rsidRPr="00D72E4A" w:rsidRDefault="00AE4097" w:rsidP="00A82089">
      <w:pPr>
        <w:suppressAutoHyphens/>
        <w:spacing w:line="360" w:lineRule="auto"/>
        <w:ind w:firstLine="567"/>
        <w:jc w:val="both"/>
        <w:rPr>
          <w:sz w:val="22"/>
          <w:szCs w:val="22"/>
          <w:highlight w:val="yellow"/>
          <w:lang w:val="en-US"/>
        </w:rPr>
      </w:pPr>
      <w:r>
        <w:rPr>
          <w:sz w:val="22"/>
          <w:szCs w:val="22"/>
          <w:lang w:val="en-US"/>
        </w:rPr>
        <w:t xml:space="preserve">The final form of disclosure is voluntary disclosure by management. Because of the fundamentally changing nature of business– technological innovation, the emergence of network </w:t>
      </w:r>
      <w:r>
        <w:rPr>
          <w:sz w:val="22"/>
          <w:szCs w:val="22"/>
          <w:lang w:val="en-US"/>
        </w:rPr>
        <w:lastRenderedPageBreak/>
        <w:t xml:space="preserve">organizations, changes in the business economics of audit firms and financial analysts and the globalization of capital markets, there is an increasing need for more information that is non-financial and forward-looking (Healy and Palepu 2001). Because of this, the term voluntary disclosure arises. The information is not required by the reporting standards, but managers are free to decide which additional information </w:t>
      </w:r>
      <w:r w:rsidRPr="00C80819">
        <w:rPr>
          <w:sz w:val="22"/>
          <w:szCs w:val="22"/>
          <w:lang w:val="en-US"/>
        </w:rPr>
        <w:t>they report (Scott, 2003). The need for voluntary disclosures is the consequence of information asymmetry and agency conflicts between the management of the firm and their stakeholders (Healy and Palepu 2001). The ‘information problem’ occurs when one party has more relevant information than another party. This means inefficiency on the market because not all parties have enough information for decision-making processes. An increase of voluntary disclosures reduces the information asymmetry, which results into a lower cost of capital and influences the stock price (Healy and Palepu, 2001). Voluntary disclosures</w:t>
      </w:r>
      <w:r>
        <w:rPr>
          <w:sz w:val="22"/>
          <w:szCs w:val="22"/>
          <w:lang w:val="en-US"/>
        </w:rPr>
        <w:t xml:space="preserve"> consist of both financial and non-financial information. The annual report will be used most to disclose this kind of information, but there are many other ways to disclose voluntary information, such as half-year and quarterly reports, sustainability or corporate social responsibility reports, conference calls, internet sites, press releases, interviews, etc.</w:t>
      </w:r>
    </w:p>
    <w:p w:rsidR="00AE4097" w:rsidRDefault="00AE4097" w:rsidP="00A82089">
      <w:pPr>
        <w:pStyle w:val="000"/>
        <w:suppressAutoHyphens/>
        <w:spacing w:line="360" w:lineRule="auto"/>
        <w:ind w:firstLine="567"/>
        <w:jc w:val="both"/>
        <w:rPr>
          <w:sz w:val="22"/>
          <w:szCs w:val="22"/>
          <w:lang w:val="en-US"/>
        </w:rPr>
      </w:pPr>
      <w:r>
        <w:rPr>
          <w:sz w:val="22"/>
          <w:szCs w:val="22"/>
          <w:lang w:val="en-US"/>
        </w:rPr>
        <w:t>The most important type of disclosures on which this paper is focusing is voluntary disclosure. It examines the quantity of risk information. Before knowing which information is voluntary disclosed, it is useful to know which information is required by regulation. In paragraph 2.7 the requirements for risk disclosures will be discussed.</w:t>
      </w:r>
    </w:p>
    <w:p w:rsidR="00AE4097" w:rsidRDefault="00AE4097" w:rsidP="00A82089">
      <w:pPr>
        <w:pStyle w:val="000"/>
        <w:spacing w:line="360" w:lineRule="auto"/>
        <w:ind w:firstLine="567"/>
        <w:jc w:val="both"/>
        <w:rPr>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rPr>
      </w:pPr>
      <w:bookmarkStart w:id="31" w:name="_Toc288459327"/>
      <w:bookmarkStart w:id="32" w:name="_Toc288725868"/>
      <w:r>
        <w:rPr>
          <w:i w:val="0"/>
          <w:sz w:val="22"/>
          <w:szCs w:val="22"/>
          <w:lang w:val="en-US"/>
        </w:rPr>
        <w:t>Positive accounting theory</w:t>
      </w:r>
      <w:bookmarkEnd w:id="31"/>
      <w:bookmarkEnd w:id="32"/>
    </w:p>
    <w:p w:rsidR="00AE4097" w:rsidRDefault="00AE4097" w:rsidP="00A82089">
      <w:pPr>
        <w:suppressAutoHyphens/>
        <w:spacing w:line="360" w:lineRule="auto"/>
        <w:ind w:firstLine="567"/>
        <w:jc w:val="both"/>
        <w:rPr>
          <w:sz w:val="22"/>
          <w:szCs w:val="22"/>
          <w:lang w:val="en-US"/>
        </w:rPr>
      </w:pPr>
      <w:r>
        <w:rPr>
          <w:sz w:val="22"/>
          <w:szCs w:val="22"/>
          <w:lang w:val="en-US"/>
        </w:rPr>
        <w:t xml:space="preserve">Voluntary disclosures can be studied from different perspectives. In examining risk disclosures it is important to take into account two different aspects: the demand side, which concentrates on the behavioral accounting research perspective, and the supply side of information, explained by the positive accounting theory.  </w:t>
      </w:r>
    </w:p>
    <w:p w:rsidR="00AE4097" w:rsidRDefault="00AE4097" w:rsidP="00A82089">
      <w:pPr>
        <w:suppressAutoHyphens/>
        <w:spacing w:line="360" w:lineRule="auto"/>
        <w:jc w:val="both"/>
        <w:rPr>
          <w:sz w:val="22"/>
          <w:szCs w:val="22"/>
          <w:highlight w:val="yellow"/>
          <w:lang w:val="en-US"/>
        </w:rPr>
      </w:pPr>
      <w:r>
        <w:rPr>
          <w:sz w:val="22"/>
          <w:szCs w:val="22"/>
          <w:lang w:val="en-US"/>
        </w:rPr>
        <w:tab/>
        <w:t xml:space="preserve">The behavioral accounting research approach focuses on the needs and preferences of users of financial information. According to Solomon et al. (2000), risk reporting practices do not satisfy the needs of users of the financial statements. However, decision usefulness is really important. If investors do not get reliable risk information, they cannot make good investment decisions. The demand for financial reporting results from information asymmetry and agency conflicts. This approach is highly subjective. The results are gathered from questionnaires, whereas the answers are influenced by personal preferences and perceptions from the people who are interviewed. </w:t>
      </w:r>
    </w:p>
    <w:p w:rsidR="00AE4097" w:rsidRDefault="00AE4097" w:rsidP="00A82089">
      <w:pPr>
        <w:suppressAutoHyphens/>
        <w:spacing w:line="360" w:lineRule="auto"/>
        <w:jc w:val="both"/>
        <w:rPr>
          <w:sz w:val="22"/>
          <w:szCs w:val="22"/>
          <w:lang w:val="en-US"/>
        </w:rPr>
      </w:pPr>
      <w:r>
        <w:rPr>
          <w:sz w:val="22"/>
          <w:szCs w:val="22"/>
          <w:lang w:val="en-US"/>
        </w:rPr>
        <w:tab/>
        <w:t xml:space="preserve">Where disclosures are concerned, important questions are why managers disclose certain information when it is not required and which factors can explain the behavior of the management regarding voluntary disclosures? The positive accounting theory (PAT), developed by Watts and Zimmerman (1986) and others, focus on management’s motives for risk reporting and concern the way in which managers respond to new requirements for risk reporting. The PAT explains and </w:t>
      </w:r>
      <w:r>
        <w:rPr>
          <w:sz w:val="22"/>
          <w:szCs w:val="22"/>
          <w:lang w:val="en-US"/>
        </w:rPr>
        <w:lastRenderedPageBreak/>
        <w:t xml:space="preserve">predicts accounting practices. For observed practices, the PAT can give reasons, but for unpredicted items, it can predict only the occurrence. This theory is ‘positive’, because it assumes how things work, whereas the normative theory is about prescriptions about how things should work (Whitley, 1988). The central economics-based assumption that all individuals’ action is driven by self-interest and </w:t>
      </w:r>
      <w:proofErr w:type="gramStart"/>
      <w:r>
        <w:rPr>
          <w:sz w:val="22"/>
          <w:szCs w:val="22"/>
          <w:lang w:val="en-US"/>
        </w:rPr>
        <w:t>that individuals</w:t>
      </w:r>
      <w:proofErr w:type="gramEnd"/>
      <w:r>
        <w:rPr>
          <w:sz w:val="22"/>
          <w:szCs w:val="22"/>
          <w:lang w:val="en-US"/>
        </w:rPr>
        <w:t xml:space="preserve"> will always act in an opportunistic manner to the extent that the actions will increase their wealth (Deegan and Unerman, 2006). </w:t>
      </w:r>
      <w:proofErr w:type="gramStart"/>
      <w:r>
        <w:rPr>
          <w:sz w:val="22"/>
          <w:szCs w:val="22"/>
          <w:lang w:val="en-US"/>
        </w:rPr>
        <w:t>Verrecchia (2001) mentions that the PAT ‘examines how managers and/or firms exercise discretion with regard to the disclosure of information’.</w:t>
      </w:r>
      <w:proofErr w:type="gramEnd"/>
      <w:r>
        <w:rPr>
          <w:sz w:val="22"/>
          <w:szCs w:val="22"/>
          <w:lang w:val="en-US"/>
        </w:rPr>
        <w:t xml:space="preserve"> Key to explaining managers’ </w:t>
      </w:r>
      <w:proofErr w:type="gramStart"/>
      <w:r>
        <w:rPr>
          <w:sz w:val="22"/>
          <w:szCs w:val="22"/>
          <w:lang w:val="en-US"/>
        </w:rPr>
        <w:t>motives is</w:t>
      </w:r>
      <w:proofErr w:type="gramEnd"/>
      <w:r>
        <w:rPr>
          <w:sz w:val="22"/>
          <w:szCs w:val="22"/>
          <w:lang w:val="en-US"/>
        </w:rPr>
        <w:t xml:space="preserve"> the agency theory. This theory focuses on the relationship between principals and agents, which created much uncertainty due to various information asymmetries. An example of such a relationship is the relation between stakeholders (principal) and managers (agents) (Deegan and Unerman, 2006). The agency theory accepts that transaction cost and information cost exist. This means that managers have to take into account the stakeholders’ demand, because they are the ones responsible for preparing the risk paragraph in the annual reports. The PAT would predict that audit and monitor are required. If not, managers would not report the relevant risks (Deegan and Unerman, 2006). </w:t>
      </w:r>
    </w:p>
    <w:p w:rsidR="00AE4097" w:rsidRPr="00F26E06" w:rsidRDefault="00AE4097" w:rsidP="00A82089">
      <w:pPr>
        <w:suppressAutoHyphens/>
        <w:spacing w:line="360" w:lineRule="auto"/>
        <w:jc w:val="both"/>
        <w:rPr>
          <w:sz w:val="22"/>
          <w:szCs w:val="22"/>
          <w:lang w:val="en-US"/>
        </w:rPr>
      </w:pPr>
      <w:r>
        <w:rPr>
          <w:sz w:val="22"/>
          <w:szCs w:val="22"/>
          <w:lang w:val="en-US"/>
        </w:rPr>
        <w:tab/>
        <w:t xml:space="preserve">If there are semi-strong efficient markets, significant cost in writing and enforcing contracts, and political cost of the whole regulatory process, then the PAT focuses on the incentives for managers when making accounting choices (Watts and Zimmerman, 1986). This theory examines the role of contracting and political considerations to explain management accounting choices in the case of existing agency cost and information asymmetry. There are two types of contracts. First, there are contracts between the firm and its creditors (debt contracts) and the other type is a contract between management and shareholders (compensation contracts). Political considerations may cause concern with management about explicit or implicit taxes, or about regulatory actions (Healy and Palepu, 2001). Apart from contracts, there are also other mechanisms to solve the information asymmetry problem. For example, Watts and Zimmerman (1986) mention the role of reputation as a mechanism to deal with information asymmetry. They assume that agents simply cannot do without incentives to provide information that best reflects the underlying performance of the entity. When they fail, this will affect their reputation (Deegan and Unerman, 2006). Some studies focus on the choice of accounting and disclosure as part of the contracting process, while most of the studies are more </w:t>
      </w:r>
      <w:r w:rsidRPr="00F26E06">
        <w:rPr>
          <w:sz w:val="22"/>
          <w:szCs w:val="22"/>
          <w:lang w:val="en-US"/>
        </w:rPr>
        <w:t>interested in analyzing post-contracting opportunistic accounting choices (Healy and Palepu, 2001).</w:t>
      </w:r>
    </w:p>
    <w:p w:rsidR="00AE4097" w:rsidRDefault="00AE4097" w:rsidP="00A82089">
      <w:pPr>
        <w:suppressAutoHyphens/>
        <w:spacing w:line="360" w:lineRule="auto"/>
        <w:ind w:firstLine="567"/>
        <w:jc w:val="both"/>
        <w:rPr>
          <w:sz w:val="22"/>
          <w:szCs w:val="22"/>
          <w:lang w:val="en-US"/>
        </w:rPr>
      </w:pPr>
      <w:r w:rsidRPr="005064C9">
        <w:rPr>
          <w:sz w:val="22"/>
          <w:szCs w:val="22"/>
          <w:lang w:val="en-US"/>
        </w:rPr>
        <w:t>Though</w:t>
      </w:r>
      <w:r w:rsidR="005064C9">
        <w:rPr>
          <w:sz w:val="22"/>
          <w:szCs w:val="22"/>
          <w:lang w:val="en-US"/>
        </w:rPr>
        <w:t xml:space="preserve"> </w:t>
      </w:r>
      <w:r w:rsidRPr="005064C9">
        <w:rPr>
          <w:sz w:val="22"/>
          <w:szCs w:val="22"/>
          <w:lang w:val="en-US"/>
        </w:rPr>
        <w:t>interesting</w:t>
      </w:r>
      <w:r w:rsidRPr="00F26E06">
        <w:rPr>
          <w:sz w:val="22"/>
          <w:szCs w:val="22"/>
          <w:lang w:val="en-US"/>
        </w:rPr>
        <w:t xml:space="preserve"> results can be obtained when using the behavioral accounting research approach, this study highlights the issue of risk disclosures from the positive accounting theory. The positive accounting theory plays </w:t>
      </w:r>
      <w:r w:rsidRPr="005064C9">
        <w:rPr>
          <w:sz w:val="22"/>
          <w:szCs w:val="22"/>
          <w:lang w:val="en-US"/>
        </w:rPr>
        <w:t xml:space="preserve">an important role, </w:t>
      </w:r>
      <w:r w:rsidR="005064C9" w:rsidRPr="005064C9">
        <w:rPr>
          <w:sz w:val="22"/>
          <w:szCs w:val="22"/>
          <w:lang w:val="en-US"/>
        </w:rPr>
        <w:t>when examining</w:t>
      </w:r>
      <w:r w:rsidRPr="005064C9">
        <w:rPr>
          <w:sz w:val="22"/>
          <w:szCs w:val="22"/>
          <w:lang w:val="en-US"/>
        </w:rPr>
        <w:t xml:space="preserve"> if</w:t>
      </w:r>
      <w:r w:rsidRPr="00F26E06">
        <w:rPr>
          <w:sz w:val="22"/>
          <w:szCs w:val="22"/>
          <w:lang w:val="en-US"/>
        </w:rPr>
        <w:t xml:space="preserve"> the amounts and contents of risk paragraphs in annual reports before and during the financial crisis differ. As</w:t>
      </w:r>
      <w:r>
        <w:rPr>
          <w:sz w:val="22"/>
          <w:szCs w:val="22"/>
          <w:lang w:val="en-US"/>
        </w:rPr>
        <w:t xml:space="preserve"> management decides which information will be disclosed, it is interesting to know why managers do or do not disclose specific risk information. In the next paragraph the different motives for disclosure decisions will be further explained. </w:t>
      </w:r>
    </w:p>
    <w:p w:rsidR="00AE4097" w:rsidRDefault="00AE4097" w:rsidP="00A82089">
      <w:pPr>
        <w:pStyle w:val="Heading2"/>
        <w:numPr>
          <w:ilvl w:val="1"/>
          <w:numId w:val="2"/>
        </w:numPr>
        <w:tabs>
          <w:tab w:val="clear" w:pos="720"/>
          <w:tab w:val="num" w:pos="862"/>
        </w:tabs>
        <w:suppressAutoHyphens/>
        <w:spacing w:before="0" w:after="0" w:line="360" w:lineRule="auto"/>
        <w:jc w:val="both"/>
        <w:rPr>
          <w:sz w:val="22"/>
          <w:szCs w:val="22"/>
          <w:lang w:val="en-US"/>
        </w:rPr>
      </w:pPr>
      <w:bookmarkStart w:id="33" w:name="_Toc285109152"/>
      <w:bookmarkStart w:id="34" w:name="_Toc288459328"/>
      <w:bookmarkStart w:id="35" w:name="_Toc288725869"/>
      <w:r>
        <w:rPr>
          <w:i w:val="0"/>
          <w:sz w:val="22"/>
          <w:szCs w:val="22"/>
          <w:lang w:val="en-US"/>
        </w:rPr>
        <w:lastRenderedPageBreak/>
        <w:t>Motives and constraints for voluntary disclosures</w:t>
      </w:r>
      <w:bookmarkEnd w:id="33"/>
      <w:bookmarkEnd w:id="34"/>
      <w:bookmarkEnd w:id="35"/>
      <w:r>
        <w:rPr>
          <w:i w:val="0"/>
          <w:sz w:val="22"/>
          <w:szCs w:val="22"/>
          <w:lang w:val="en-US"/>
        </w:rPr>
        <w:t xml:space="preserve"> </w:t>
      </w:r>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Risk reporting depends on disclosure incentives (Dobler, 2008). Disclosure studies assume that managers always have superior information to outside stakeholders on the firm’s expected future performance, even when the capital market is efficient (Healy and Palepu, 2001). Not all disclosed information is required by regulatory bodies, but there is no general answer as for which information is exactly voluntary. Mandatory disclosures can stimulate companies to voluntary disclose more information, but too much regulation may have an unintended effect (Broberg et al., 2009). Mostly all reported information, which is not described as information made mandatory by regulatory bodies, is treated as voluntary disclosures. This paper assumes that all rules regarding disclosures as described in IFRS 7 and the Dutch Corporate Governance (see paragraph 2.7) are considered to be mandatory disclosures. This research presents disclosures as complementary to mandatory disclosures. Other researchers (Broberg et al., 2009), make this assumption as well. A consequence of the tension about voluntary disclosures is that some managers have limited incentives of disclosing private risk information, while others have many motives to disclose information to outsiders (Healy and Palepu, 2001). It is interesting to examine these motives and constraints. Literature has identified different motives for voluntary disclosures. This paragraph combines the motives mentioned by Healy and Palepu (2001) with those mentioned by Graham et al. (2005). Some of them are a drive for voluntary disclosure decisions: capital market transactions, increased analyst coverage, corporate control, stock compensation, management talent signaling, and limitations of mandatory disclosures. However, there are constraints for voluntary disclosures as well: litigation cost, proprietary cost, political cost, and agency cost. First, the different motives will be discussed. </w:t>
      </w:r>
    </w:p>
    <w:p w:rsidR="00AE4097" w:rsidRDefault="00AE4097" w:rsidP="00A82089">
      <w:pPr>
        <w:pStyle w:val="Heading3"/>
        <w:numPr>
          <w:ilvl w:val="2"/>
          <w:numId w:val="2"/>
        </w:numPr>
        <w:tabs>
          <w:tab w:val="clear" w:pos="720"/>
          <w:tab w:val="num" w:pos="1004"/>
        </w:tabs>
        <w:suppressAutoHyphens/>
        <w:jc w:val="both"/>
        <w:rPr>
          <w:b w:val="0"/>
          <w:i/>
          <w:sz w:val="22"/>
          <w:szCs w:val="22"/>
          <w:lang w:val="en-US"/>
        </w:rPr>
      </w:pPr>
      <w:bookmarkStart w:id="36" w:name="_Toc285109153"/>
      <w:bookmarkStart w:id="37" w:name="_Toc288459329"/>
      <w:bookmarkStart w:id="38" w:name="_Toc288725870"/>
      <w:r>
        <w:rPr>
          <w:b w:val="0"/>
          <w:i/>
          <w:sz w:val="22"/>
          <w:szCs w:val="22"/>
          <w:lang w:val="en-US"/>
        </w:rPr>
        <w:t>Capital market transactions hypothesis (Information asymmetry)</w:t>
      </w:r>
      <w:bookmarkEnd w:id="36"/>
      <w:bookmarkEnd w:id="37"/>
      <w:bookmarkEnd w:id="38"/>
    </w:p>
    <w:p w:rsidR="00AE4097" w:rsidRDefault="00AE4097" w:rsidP="00A82089">
      <w:pPr>
        <w:shd w:val="clear" w:color="auto" w:fill="FFFFFF"/>
        <w:suppressAutoHyphens/>
        <w:spacing w:line="360" w:lineRule="auto"/>
        <w:ind w:firstLine="567"/>
        <w:jc w:val="both"/>
        <w:rPr>
          <w:sz w:val="22"/>
          <w:szCs w:val="22"/>
          <w:lang w:val="en-US"/>
        </w:rPr>
      </w:pPr>
      <w:r>
        <w:rPr>
          <w:sz w:val="22"/>
          <w:szCs w:val="22"/>
          <w:lang w:val="en-US"/>
        </w:rPr>
        <w:t xml:space="preserve">There is information asymmetry if managers have superior information to outside investors regarding the firm’s future prospects. When this asymmetry cannot be solved, </w:t>
      </w:r>
      <w:r w:rsidRPr="00EF0047">
        <w:rPr>
          <w:sz w:val="22"/>
          <w:szCs w:val="22"/>
          <w:lang w:val="en-US"/>
        </w:rPr>
        <w:t>these firms will</w:t>
      </w:r>
      <w:proofErr w:type="gramStart"/>
      <w:r w:rsidRPr="00EF0047">
        <w:rPr>
          <w:sz w:val="22"/>
          <w:szCs w:val="22"/>
          <w:lang w:val="en-US"/>
        </w:rPr>
        <w:t>  make</w:t>
      </w:r>
      <w:proofErr w:type="gramEnd"/>
      <w:r w:rsidRPr="00EF0047">
        <w:rPr>
          <w:sz w:val="22"/>
          <w:szCs w:val="22"/>
          <w:lang w:val="en-US"/>
        </w:rPr>
        <w:t xml:space="preserve"> public debt or equity offers in order to be valu</w:t>
      </w:r>
      <w:r>
        <w:rPr>
          <w:sz w:val="22"/>
          <w:szCs w:val="22"/>
          <w:lang w:val="en-US"/>
        </w:rPr>
        <w:t xml:space="preserve">able for existing shareholders. </w:t>
      </w:r>
      <w:r w:rsidRPr="00EF0047">
        <w:rPr>
          <w:sz w:val="22"/>
          <w:szCs w:val="22"/>
          <w:lang w:val="en-US"/>
        </w:rPr>
        <w:t>The</w:t>
      </w:r>
      <w:r>
        <w:rPr>
          <w:sz w:val="22"/>
          <w:szCs w:val="22"/>
          <w:lang w:val="en-US"/>
        </w:rPr>
        <w:t xml:space="preserve"> reason why managers who are anticipating in capital market transactions have incentives to provide voluntary </w:t>
      </w:r>
      <w:proofErr w:type="gramStart"/>
      <w:r>
        <w:rPr>
          <w:sz w:val="22"/>
          <w:szCs w:val="22"/>
          <w:lang w:val="en-US"/>
        </w:rPr>
        <w:t>disclosures,</w:t>
      </w:r>
      <w:proofErr w:type="gramEnd"/>
      <w:r>
        <w:rPr>
          <w:sz w:val="22"/>
          <w:szCs w:val="22"/>
          <w:lang w:val="en-US"/>
        </w:rPr>
        <w:t xml:space="preserve"> is that they reduce the information asymmetry problem (Healy and Palepu, 2001). As a result, the firm’s cost of external financing will be reduced (Myers and Majluf, 1984) and the liquidity of a firm’s stock will increase (Diamond and Verrecchia, 1991 and Kim and Verrecchia, 1994). Barry and Brown (1986) and </w:t>
      </w:r>
      <w:r w:rsidRPr="00EF0047">
        <w:rPr>
          <w:sz w:val="22"/>
          <w:szCs w:val="22"/>
          <w:lang w:val="en-US"/>
        </w:rPr>
        <w:t xml:space="preserve">Merton (1987) report that if managers have more information than outsiders, investors demand a risk premium for the information risk they bear. Reducing this information risk by </w:t>
      </w:r>
      <w:r w:rsidRPr="0090599F">
        <w:rPr>
          <w:sz w:val="22"/>
          <w:szCs w:val="22"/>
          <w:lang w:val="en-US"/>
        </w:rPr>
        <w:t>making more voluntary disclosures managers can reduce the cost of capital and make earnings more ‘predictable’. Graham et al. (2005) interviewed some CFOs, who stated that the primary goal of voluntary disclosures is to adjust investors’ perceptions about the current or future performance in a correct way. Especially large firms are concerned about these perceptions and the reducing cost of capital, while small firms are more interested in the liquidity of their stock (Graham et al., 2005).</w:t>
      </w:r>
      <w:r>
        <w:rPr>
          <w:sz w:val="22"/>
          <w:szCs w:val="22"/>
          <w:lang w:val="en-US"/>
        </w:rPr>
        <w:t xml:space="preserve"> </w:t>
      </w: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39" w:name="_Toc285109154"/>
      <w:bookmarkStart w:id="40" w:name="_Toc288459330"/>
      <w:bookmarkStart w:id="41" w:name="_Toc288725871"/>
      <w:r>
        <w:rPr>
          <w:b w:val="0"/>
          <w:i/>
          <w:sz w:val="22"/>
          <w:szCs w:val="22"/>
          <w:lang w:val="en-US"/>
        </w:rPr>
        <w:lastRenderedPageBreak/>
        <w:t>Increased analyst coverage hypothesis</w:t>
      </w:r>
      <w:bookmarkEnd w:id="39"/>
      <w:bookmarkEnd w:id="40"/>
      <w:bookmarkEnd w:id="41"/>
    </w:p>
    <w:p w:rsidR="00AE4097" w:rsidRDefault="00AE4097" w:rsidP="00A82089">
      <w:pPr>
        <w:shd w:val="clear" w:color="auto" w:fill="FFFFFF"/>
        <w:suppressAutoHyphens/>
        <w:spacing w:line="360" w:lineRule="auto"/>
        <w:ind w:firstLine="567"/>
        <w:jc w:val="both"/>
        <w:rPr>
          <w:sz w:val="22"/>
          <w:szCs w:val="22"/>
          <w:lang w:val="en-US"/>
        </w:rPr>
      </w:pPr>
      <w:r>
        <w:rPr>
          <w:sz w:val="22"/>
          <w:szCs w:val="22"/>
          <w:lang w:val="en-US"/>
        </w:rPr>
        <w:t>Not all private information from the management is fully disclosed by required disclosures (Lang and Lundholm, 1996). However, the consequences of voluntary disclosures are a lower cost of information acquisition for analysts and an increasing amount of information available to analysts. Voluntary disclosures will attract more analysts, which is especially true for small firms (Graham et al., 2005).</w:t>
      </w:r>
    </w:p>
    <w:p w:rsidR="00AE4097" w:rsidRDefault="00AE4097" w:rsidP="00A82089">
      <w:pPr>
        <w:shd w:val="clear" w:color="auto" w:fill="FFFFFF"/>
        <w:suppressAutoHyphens/>
        <w:spacing w:line="360" w:lineRule="auto"/>
        <w:jc w:val="both"/>
        <w:rPr>
          <w:sz w:val="22"/>
          <w:szCs w:val="22"/>
          <w:lang w:val="en-US"/>
        </w:rPr>
      </w:pP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42" w:name="_Toc285109155"/>
      <w:bookmarkStart w:id="43" w:name="_Toc288459331"/>
      <w:bookmarkStart w:id="44" w:name="_Toc288725872"/>
      <w:r>
        <w:rPr>
          <w:b w:val="0"/>
          <w:i/>
          <w:sz w:val="22"/>
          <w:szCs w:val="22"/>
          <w:lang w:val="en-US"/>
        </w:rPr>
        <w:t>Corporate control hypothesis</w:t>
      </w:r>
      <w:bookmarkEnd w:id="42"/>
      <w:bookmarkEnd w:id="43"/>
      <w:bookmarkEnd w:id="44"/>
    </w:p>
    <w:p w:rsidR="00AE4097" w:rsidRDefault="00AE4097" w:rsidP="00A82089">
      <w:pPr>
        <w:shd w:val="clear" w:color="auto" w:fill="FFFFFF"/>
        <w:suppressAutoHyphens/>
        <w:spacing w:line="360" w:lineRule="auto"/>
        <w:ind w:firstLine="567"/>
        <w:jc w:val="both"/>
        <w:rPr>
          <w:sz w:val="22"/>
          <w:szCs w:val="22"/>
          <w:lang w:val="en-US"/>
        </w:rPr>
      </w:pPr>
      <w:r>
        <w:rPr>
          <w:sz w:val="22"/>
          <w:szCs w:val="22"/>
          <w:lang w:val="en-US"/>
        </w:rPr>
        <w:t xml:space="preserve">Managers are hold accountable for the current stock performance by the boards of directors and investors. Because managers don’t want to lose their job as a result of low stock and poor earnings performance, they make use of voluntary disclosures to reduce the likelihood of undervaluation and to explain the poor earnings performance. A limitation of this incentive is that it excludes multi-period considerations. This means that a manager cannot be hold accountable for poor performance for other than the current period (Healy and Palepu, 2001). </w:t>
      </w:r>
    </w:p>
    <w:p w:rsidR="00AE4097" w:rsidRDefault="00AE4097" w:rsidP="00A82089">
      <w:pPr>
        <w:shd w:val="clear" w:color="auto" w:fill="FFFFFF"/>
        <w:suppressAutoHyphens/>
        <w:spacing w:line="360" w:lineRule="auto"/>
        <w:jc w:val="both"/>
        <w:rPr>
          <w:sz w:val="22"/>
          <w:szCs w:val="22"/>
          <w:lang w:val="en-US"/>
        </w:rPr>
      </w:pP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45" w:name="_Toc285109156"/>
      <w:bookmarkStart w:id="46" w:name="_Toc288459332"/>
      <w:bookmarkStart w:id="47" w:name="_Toc288725873"/>
      <w:r>
        <w:rPr>
          <w:b w:val="0"/>
          <w:i/>
          <w:sz w:val="22"/>
          <w:szCs w:val="22"/>
          <w:lang w:val="en-US"/>
        </w:rPr>
        <w:t>Stock compensation hypothesis</w:t>
      </w:r>
      <w:bookmarkEnd w:id="45"/>
      <w:bookmarkEnd w:id="46"/>
      <w:bookmarkEnd w:id="47"/>
    </w:p>
    <w:p w:rsidR="00AE4097" w:rsidRDefault="00AE4097" w:rsidP="00A82089">
      <w:pPr>
        <w:shd w:val="clear" w:color="auto" w:fill="FFFFFF"/>
        <w:suppressAutoHyphens/>
        <w:spacing w:line="360" w:lineRule="auto"/>
        <w:ind w:firstLine="567"/>
        <w:jc w:val="both"/>
        <w:rPr>
          <w:sz w:val="22"/>
          <w:szCs w:val="22"/>
          <w:lang w:val="en-US"/>
        </w:rPr>
      </w:pPr>
      <w:r>
        <w:rPr>
          <w:sz w:val="22"/>
          <w:szCs w:val="22"/>
          <w:lang w:val="en-US"/>
        </w:rPr>
        <w:t xml:space="preserve">Managers are directly rewarded by using a variety of stock-based compensation plans. These plans provide motives for managers to voluntary disclose information as well. Take managers who are interested in trading their stock holdings for an example. By disclosing private information, they meet the restrictions imposed by insider trading rules and the liquidity of the firms’ stock will increase. The incentives to provide voluntary disclosures for managers acting in the interests of actual shareholders are to reduce contracting cost associated with stock compensation for new employees. </w:t>
      </w:r>
    </w:p>
    <w:p w:rsidR="00AE4097" w:rsidRDefault="00AE4097" w:rsidP="00A82089">
      <w:pPr>
        <w:shd w:val="clear" w:color="auto" w:fill="FFFFFF"/>
        <w:suppressAutoHyphens/>
        <w:spacing w:line="360" w:lineRule="auto"/>
        <w:jc w:val="both"/>
        <w:rPr>
          <w:sz w:val="22"/>
          <w:szCs w:val="22"/>
          <w:lang w:val="en-US"/>
        </w:rPr>
      </w:pPr>
      <w:r>
        <w:rPr>
          <w:sz w:val="22"/>
          <w:szCs w:val="22"/>
          <w:lang w:val="en-US"/>
        </w:rPr>
        <w:t xml:space="preserve">Firms that make more use of stock compensation are likely to provide more disclosures to reduce the risk of </w:t>
      </w:r>
      <w:proofErr w:type="spellStart"/>
      <w:r>
        <w:rPr>
          <w:sz w:val="22"/>
          <w:szCs w:val="22"/>
          <w:lang w:val="en-US"/>
        </w:rPr>
        <w:t>mis</w:t>
      </w:r>
      <w:proofErr w:type="spellEnd"/>
      <w:r>
        <w:rPr>
          <w:sz w:val="22"/>
          <w:szCs w:val="22"/>
          <w:lang w:val="en-US"/>
        </w:rPr>
        <w:t xml:space="preserve">-valuation (Healy and Palepu, 2001).  </w:t>
      </w:r>
    </w:p>
    <w:p w:rsidR="00AE4097" w:rsidRDefault="00AE4097" w:rsidP="00A82089">
      <w:pPr>
        <w:shd w:val="clear" w:color="auto" w:fill="FFFFFF"/>
        <w:suppressAutoHyphens/>
        <w:spacing w:line="360" w:lineRule="auto"/>
        <w:jc w:val="both"/>
        <w:rPr>
          <w:sz w:val="22"/>
          <w:szCs w:val="22"/>
          <w:lang w:val="en-US"/>
        </w:rPr>
      </w:pP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48" w:name="_Toc285109157"/>
      <w:bookmarkStart w:id="49" w:name="_Toc288459333"/>
      <w:bookmarkStart w:id="50" w:name="_Toc288725874"/>
      <w:r>
        <w:rPr>
          <w:b w:val="0"/>
          <w:i/>
          <w:sz w:val="22"/>
          <w:szCs w:val="22"/>
          <w:lang w:val="en-US"/>
        </w:rPr>
        <w:t>Management talent signaling hypothesis</w:t>
      </w:r>
      <w:bookmarkEnd w:id="48"/>
      <w:bookmarkEnd w:id="49"/>
      <w:bookmarkEnd w:id="50"/>
    </w:p>
    <w:p w:rsidR="00AE4097" w:rsidRDefault="00AE4097" w:rsidP="00A82089">
      <w:pPr>
        <w:pStyle w:val="Heading1"/>
        <w:numPr>
          <w:ilvl w:val="0"/>
          <w:numId w:val="0"/>
        </w:numPr>
        <w:shd w:val="clear" w:color="auto" w:fill="FFFFFF"/>
        <w:tabs>
          <w:tab w:val="left" w:pos="708"/>
        </w:tabs>
        <w:suppressAutoHyphens/>
        <w:spacing w:before="0" w:after="0" w:line="360" w:lineRule="auto"/>
        <w:jc w:val="both"/>
        <w:rPr>
          <w:b w:val="0"/>
          <w:sz w:val="22"/>
          <w:szCs w:val="22"/>
          <w:lang w:val="en-US"/>
        </w:rPr>
      </w:pPr>
      <w:bookmarkStart w:id="51" w:name="_Toc282508638"/>
      <w:bookmarkStart w:id="52" w:name="_Toc282601142"/>
      <w:bookmarkStart w:id="53" w:name="_Toc282601306"/>
      <w:bookmarkStart w:id="54" w:name="_Toc283033594"/>
      <w:bookmarkStart w:id="55" w:name="_Toc283201907"/>
      <w:bookmarkStart w:id="56" w:name="_Toc283279512"/>
      <w:bookmarkStart w:id="57" w:name="_Toc283638081"/>
      <w:bookmarkStart w:id="58" w:name="_Toc285109158"/>
      <w:r>
        <w:rPr>
          <w:b w:val="0"/>
          <w:sz w:val="22"/>
          <w:szCs w:val="22"/>
          <w:lang w:val="en-US"/>
        </w:rPr>
        <w:tab/>
      </w:r>
      <w:bookmarkStart w:id="59" w:name="_Toc288123939"/>
      <w:bookmarkStart w:id="60" w:name="_Toc288459334"/>
      <w:bookmarkStart w:id="61" w:name="_Toc288459420"/>
      <w:bookmarkStart w:id="62" w:name="_Toc288494930"/>
      <w:bookmarkStart w:id="63" w:name="_Toc288548067"/>
      <w:bookmarkStart w:id="64" w:name="_Toc288654165"/>
      <w:bookmarkStart w:id="65" w:name="_Toc288725875"/>
      <w:r>
        <w:rPr>
          <w:b w:val="0"/>
          <w:sz w:val="22"/>
          <w:szCs w:val="22"/>
          <w:lang w:val="en-US"/>
        </w:rPr>
        <w:t xml:space="preserve">This hypothesis implies that talented managers have an incentive to disclose earnings forecasts to make their type public (Trueman, 1986). The market value of a firm consists of the investors’ perceptions of the managers’ capacity to anticipate and respond to future changes in the economic environment of the firm. The earlier the investors get information from the management, the more favorable the investors’ perceptions will be, resulting into a higher market value. However, there is no evidence for this hypothesis (Healy and Palepu, 2001). Graham et al. (2005) interviewed some </w:t>
      </w:r>
      <w:proofErr w:type="gramStart"/>
      <w:r>
        <w:rPr>
          <w:b w:val="0"/>
          <w:sz w:val="22"/>
          <w:szCs w:val="22"/>
          <w:lang w:val="en-US"/>
        </w:rPr>
        <w:t>CFOs ,</w:t>
      </w:r>
      <w:proofErr w:type="gramEnd"/>
      <w:r>
        <w:rPr>
          <w:b w:val="0"/>
          <w:sz w:val="22"/>
          <w:szCs w:val="22"/>
          <w:lang w:val="en-US"/>
        </w:rPr>
        <w:t xml:space="preserve"> but none of them explicitly mentioned the role of talent signaling. Therefore this motivation is more important for managers of smaller and high growth companies.</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rsidR="00AE4097" w:rsidRPr="0090599F" w:rsidRDefault="00AE4097" w:rsidP="00A82089">
      <w:pPr>
        <w:pStyle w:val="000"/>
        <w:jc w:val="both"/>
        <w:rPr>
          <w:lang w:val="en-US"/>
        </w:rPr>
      </w:pP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66" w:name="_Toc285109159"/>
      <w:bookmarkStart w:id="67" w:name="_Toc288459335"/>
      <w:bookmarkStart w:id="68" w:name="_Toc288725876"/>
      <w:r>
        <w:rPr>
          <w:b w:val="0"/>
          <w:i/>
          <w:sz w:val="22"/>
          <w:szCs w:val="22"/>
          <w:lang w:val="en-US"/>
        </w:rPr>
        <w:lastRenderedPageBreak/>
        <w:t>Limitations of mandatory disclosures</w:t>
      </w:r>
      <w:bookmarkEnd w:id="66"/>
      <w:bookmarkEnd w:id="67"/>
      <w:bookmarkEnd w:id="68"/>
    </w:p>
    <w:p w:rsidR="00AE4097" w:rsidRDefault="00AE4097" w:rsidP="00A82089">
      <w:pPr>
        <w:shd w:val="clear" w:color="auto" w:fill="FFFFFF"/>
        <w:suppressAutoHyphens/>
        <w:spacing w:line="360" w:lineRule="auto"/>
        <w:ind w:firstLine="567"/>
        <w:jc w:val="both"/>
        <w:rPr>
          <w:sz w:val="22"/>
          <w:szCs w:val="22"/>
          <w:lang w:val="en-US"/>
        </w:rPr>
      </w:pPr>
      <w:r>
        <w:rPr>
          <w:sz w:val="22"/>
          <w:szCs w:val="22"/>
          <w:lang w:val="en-US"/>
        </w:rPr>
        <w:t xml:space="preserve">Another reason to voluntary </w:t>
      </w:r>
      <w:proofErr w:type="gramStart"/>
      <w:r>
        <w:rPr>
          <w:sz w:val="22"/>
          <w:szCs w:val="22"/>
          <w:lang w:val="en-US"/>
        </w:rPr>
        <w:t>disclose</w:t>
      </w:r>
      <w:proofErr w:type="gramEnd"/>
      <w:r>
        <w:rPr>
          <w:sz w:val="22"/>
          <w:szCs w:val="22"/>
          <w:lang w:val="en-US"/>
        </w:rPr>
        <w:t xml:space="preserve"> information is that these disclosures will fill the gap between the information provided and the information needed by investors. The CFO’s, who were interviewed by Graham et al. (2005), stated that this mainly applied to large, high-growth, highly levered and well covered firms. Most of the mandatory financial information disclosed by firms lacks timeliness, because it is reported only once a quarter. Providing more information by voluntary disclosures will solve this problem. This motivation for voluntary disclosures does not get much attention in prior research. </w:t>
      </w:r>
    </w:p>
    <w:p w:rsidR="00AE4097" w:rsidRDefault="00AE4097" w:rsidP="00A82089">
      <w:pPr>
        <w:shd w:val="clear" w:color="auto" w:fill="FFFFFF"/>
        <w:suppressAutoHyphens/>
        <w:spacing w:line="360" w:lineRule="auto"/>
        <w:ind w:firstLine="567"/>
        <w:jc w:val="both"/>
        <w:rPr>
          <w:sz w:val="22"/>
          <w:szCs w:val="22"/>
          <w:lang w:val="en-US"/>
        </w:rPr>
      </w:pPr>
    </w:p>
    <w:p w:rsidR="00AE4097" w:rsidRDefault="00AE4097" w:rsidP="00A82089">
      <w:pPr>
        <w:shd w:val="clear" w:color="auto" w:fill="FFFFFF"/>
        <w:suppressAutoHyphens/>
        <w:spacing w:line="360" w:lineRule="auto"/>
        <w:ind w:firstLine="567"/>
        <w:jc w:val="both"/>
        <w:rPr>
          <w:sz w:val="22"/>
          <w:szCs w:val="22"/>
          <w:lang w:val="en-US"/>
        </w:rPr>
      </w:pPr>
      <w:r>
        <w:rPr>
          <w:sz w:val="22"/>
          <w:szCs w:val="22"/>
          <w:lang w:val="en-US"/>
        </w:rPr>
        <w:t>As mentioned earlier, managers can decide not to disclose particular information. However, the litigation cost hypothesis can be both a motive for disclosing information as a constraint for not disclosing the information. This hypothesis and other constraints are discussed below.</w:t>
      </w:r>
    </w:p>
    <w:p w:rsidR="00AE4097" w:rsidRDefault="00AE4097" w:rsidP="00A82089">
      <w:pPr>
        <w:shd w:val="clear" w:color="auto" w:fill="FFFFFF"/>
        <w:suppressAutoHyphens/>
        <w:spacing w:line="360" w:lineRule="auto"/>
        <w:jc w:val="both"/>
        <w:rPr>
          <w:sz w:val="22"/>
          <w:szCs w:val="22"/>
          <w:lang w:val="en-US"/>
        </w:rPr>
      </w:pP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69" w:name="_Toc285109160"/>
      <w:bookmarkStart w:id="70" w:name="_Toc288459336"/>
      <w:bookmarkStart w:id="71" w:name="_Toc288725877"/>
      <w:r>
        <w:rPr>
          <w:b w:val="0"/>
          <w:i/>
          <w:sz w:val="22"/>
          <w:szCs w:val="22"/>
          <w:lang w:val="en-US"/>
        </w:rPr>
        <w:t>Litigation cost hypothesis</w:t>
      </w:r>
      <w:bookmarkEnd w:id="69"/>
      <w:bookmarkEnd w:id="70"/>
      <w:bookmarkEnd w:id="71"/>
    </w:p>
    <w:p w:rsidR="00AE4097" w:rsidRDefault="00AE4097" w:rsidP="00A82089">
      <w:pPr>
        <w:shd w:val="clear" w:color="auto" w:fill="FFFFFF"/>
        <w:suppressAutoHyphens/>
        <w:spacing w:line="360" w:lineRule="auto"/>
        <w:ind w:firstLine="567"/>
        <w:jc w:val="both"/>
        <w:rPr>
          <w:sz w:val="22"/>
          <w:szCs w:val="22"/>
          <w:lang w:val="en-US"/>
        </w:rPr>
      </w:pPr>
      <w:r>
        <w:rPr>
          <w:sz w:val="22"/>
          <w:szCs w:val="22"/>
          <w:lang w:val="en-US"/>
        </w:rPr>
        <w:t>Firms will increase their voluntary disclosures as a result of legal actions against managers for inadequate or untimely disclosures. The other effect of litigation is that it reduces the managers’ motives to voluntarily disclose information, especially forward-looking information (Healy and Palepu, 2001). Skinner (1994) has examined the first effect and argues that managers of firms with bad earnings news have a motive to disclose this information earlier to reduce the cost of litigation. When there is no litigation, managers will have an incentive to time the disclosure of bad and good news symmetrically. The second effect, that litigation reduces the incentives to provide voluntary disclosures, occurs if managers believe that the legal sy</w:t>
      </w:r>
      <w:r>
        <w:rPr>
          <w:b/>
          <w:sz w:val="22"/>
          <w:szCs w:val="22"/>
          <w:lang w:val="en-US"/>
        </w:rPr>
        <w:t>s</w:t>
      </w:r>
      <w:r>
        <w:rPr>
          <w:sz w:val="22"/>
          <w:szCs w:val="22"/>
          <w:lang w:val="en-US"/>
        </w:rPr>
        <w:t>tem punished forecast which are made in good faith. In practice, it is hard to make an effective distinction between unexpected forecast errors and management bias made by intention (Graham et al., 2005). There is mixed empirical evidence for this hypothesis. Skinner (1994) argued that firms with bad earnings news are more likely to pre-disclose their bad performance than other firms with good news. Firms with negative earnings news are more likely to be subjected to litigation, but he finds only weak evidence that litigation cost are lower for firms that are disclosing earning forecasts earlier. However, Francis et al. (1994) mentioned that there is no relation between pre-disclosures and litigation. Finally, empirical researchers, like Miller and Piotroski (2000), conclude that litigation risk is not only relevant for firms with bad news, but for firms with good news as well.  It is not known which effect has a bigger impact upon voluntary information disclosures.</w:t>
      </w:r>
    </w:p>
    <w:p w:rsidR="00AE4097" w:rsidRDefault="00AE4097" w:rsidP="00A82089">
      <w:pPr>
        <w:shd w:val="clear" w:color="auto" w:fill="FFFFFF"/>
        <w:suppressAutoHyphens/>
        <w:spacing w:line="360" w:lineRule="auto"/>
        <w:jc w:val="both"/>
        <w:rPr>
          <w:sz w:val="22"/>
          <w:szCs w:val="22"/>
          <w:lang w:val="en-US"/>
        </w:rPr>
      </w:pP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72" w:name="_Toc285109161"/>
      <w:bookmarkStart w:id="73" w:name="_Toc288459337"/>
      <w:bookmarkStart w:id="74" w:name="_Toc288725878"/>
      <w:r>
        <w:rPr>
          <w:b w:val="0"/>
          <w:i/>
          <w:sz w:val="22"/>
          <w:szCs w:val="22"/>
          <w:lang w:val="en-US"/>
        </w:rPr>
        <w:t>Proprietary cost hypothesis</w:t>
      </w:r>
      <w:bookmarkEnd w:id="72"/>
      <w:bookmarkEnd w:id="73"/>
      <w:bookmarkEnd w:id="74"/>
    </w:p>
    <w:p w:rsidR="00AE4097" w:rsidRDefault="00AE4097" w:rsidP="00A82089">
      <w:pPr>
        <w:shd w:val="clear" w:color="auto" w:fill="FFFFFF"/>
        <w:suppressAutoHyphens/>
        <w:spacing w:line="360" w:lineRule="auto"/>
        <w:ind w:firstLine="567"/>
        <w:jc w:val="both"/>
        <w:rPr>
          <w:sz w:val="22"/>
          <w:szCs w:val="22"/>
          <w:lang w:val="en-US"/>
        </w:rPr>
      </w:pPr>
      <w:r>
        <w:rPr>
          <w:sz w:val="22"/>
          <w:szCs w:val="22"/>
          <w:lang w:val="en-US"/>
        </w:rPr>
        <w:t xml:space="preserve">Proprietary </w:t>
      </w:r>
      <w:proofErr w:type="gramStart"/>
      <w:r>
        <w:rPr>
          <w:sz w:val="22"/>
          <w:szCs w:val="22"/>
          <w:lang w:val="en-US"/>
        </w:rPr>
        <w:t>cost are</w:t>
      </w:r>
      <w:proofErr w:type="gramEnd"/>
      <w:r>
        <w:rPr>
          <w:sz w:val="22"/>
          <w:szCs w:val="22"/>
          <w:lang w:val="en-US"/>
        </w:rPr>
        <w:t xml:space="preserve"> loss in profits as a consequence of increasing competition (Wagenhofer, 1990). According to the proprietary cost hypothesis voluntary disclosed information can damage the competitive position in product markets (Verrecchia, 2001; Dye, 2001). Even if it makes it more costly </w:t>
      </w:r>
      <w:r>
        <w:rPr>
          <w:sz w:val="22"/>
          <w:szCs w:val="22"/>
          <w:lang w:val="en-US"/>
        </w:rPr>
        <w:lastRenderedPageBreak/>
        <w:t xml:space="preserve">to raise equity, managers do not disclose information if it reduces the competition position. The respondents interviewed by Graham et al. (2005), strongly agree that an important barrier to more voluntary disclosures is the fact of giving away company secrets. Especially small firms are worried about proprietary cost. Managers do not want to disclose sensitive proprietary information to their competitors, even if this information can be inferred from other sources. They are afraid that the information negatively affects the competitive position (Verrecchia, 2001). In giving an explanation for voluntary disclosures there is a big difference between this </w:t>
      </w:r>
      <w:proofErr w:type="gramStart"/>
      <w:r>
        <w:rPr>
          <w:sz w:val="22"/>
          <w:szCs w:val="22"/>
          <w:lang w:val="en-US"/>
        </w:rPr>
        <w:t>hypothesis</w:t>
      </w:r>
      <w:proofErr w:type="gramEnd"/>
      <w:r>
        <w:rPr>
          <w:sz w:val="22"/>
          <w:szCs w:val="22"/>
          <w:lang w:val="en-US"/>
        </w:rPr>
        <w:t xml:space="preserve"> as compared with others. This hypothesis is based on the assumption that there are no agency conflicts between managers and stakeholders. As a consequence the credibility of voluntary disclosures is always very high.</w:t>
      </w:r>
    </w:p>
    <w:p w:rsidR="00AE4097" w:rsidRDefault="00AE4097" w:rsidP="00A82089">
      <w:pPr>
        <w:shd w:val="clear" w:color="auto" w:fill="FFFFFF"/>
        <w:suppressAutoHyphens/>
        <w:spacing w:line="360" w:lineRule="auto"/>
        <w:jc w:val="both"/>
        <w:rPr>
          <w:sz w:val="22"/>
          <w:szCs w:val="22"/>
          <w:lang w:val="en-US"/>
        </w:rPr>
      </w:pP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75" w:name="_Toc285109162"/>
      <w:bookmarkStart w:id="76" w:name="_Toc288459338"/>
      <w:bookmarkStart w:id="77" w:name="_Toc288725879"/>
      <w:r>
        <w:rPr>
          <w:b w:val="0"/>
          <w:i/>
          <w:sz w:val="22"/>
          <w:szCs w:val="22"/>
          <w:lang w:val="en-US"/>
        </w:rPr>
        <w:t>Agency cost hypothesis</w:t>
      </w:r>
      <w:bookmarkEnd w:id="75"/>
      <w:bookmarkEnd w:id="76"/>
      <w:bookmarkEnd w:id="77"/>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In the event of agency cost, full disclosures cannot be reached (Nanda et al., 2003; Berger and Hann, 2003). Career concerns and external reputation are important for the need to meet earnings benchmarks and to voluntarily disclose information, but managers do not say, or at least do not like to admit, that they limit voluntary disclosures to avoid unwanted attention from stakeholders (Graham et al., 2005). However, some respondents interviewed by Graham et al. (2005), argue that they limit their voluntary disclosures in order to avoid follow-up questions about other, unimportant items. </w:t>
      </w:r>
    </w:p>
    <w:p w:rsidR="00AE4097" w:rsidRDefault="00AE4097" w:rsidP="00A82089">
      <w:pPr>
        <w:pStyle w:val="000"/>
        <w:suppressAutoHyphens/>
        <w:spacing w:line="360" w:lineRule="auto"/>
        <w:jc w:val="both"/>
        <w:rPr>
          <w:sz w:val="22"/>
          <w:szCs w:val="22"/>
          <w:lang w:val="en-US"/>
        </w:rPr>
      </w:pP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78" w:name="_Toc285109163"/>
      <w:bookmarkStart w:id="79" w:name="_Toc288459339"/>
      <w:bookmarkStart w:id="80" w:name="_Toc288725880"/>
      <w:r>
        <w:rPr>
          <w:b w:val="0"/>
          <w:i/>
          <w:sz w:val="22"/>
          <w:szCs w:val="22"/>
          <w:lang w:val="en-US"/>
        </w:rPr>
        <w:t>Political cost hypothesis</w:t>
      </w:r>
      <w:bookmarkEnd w:id="78"/>
      <w:bookmarkEnd w:id="79"/>
      <w:bookmarkEnd w:id="80"/>
    </w:p>
    <w:p w:rsidR="00AE4097" w:rsidRDefault="00AE4097" w:rsidP="00A82089">
      <w:pPr>
        <w:pStyle w:val="000"/>
        <w:suppressAutoHyphens/>
        <w:spacing w:line="360" w:lineRule="auto"/>
        <w:ind w:firstLine="567"/>
        <w:jc w:val="both"/>
        <w:rPr>
          <w:rFonts w:ascii="Arial" w:hAnsi="Arial" w:cs="Arial"/>
          <w:sz w:val="22"/>
          <w:szCs w:val="22"/>
          <w:lang w:val="en-US"/>
        </w:rPr>
      </w:pPr>
      <w:r>
        <w:rPr>
          <w:sz w:val="22"/>
          <w:szCs w:val="22"/>
          <w:lang w:val="en-US"/>
        </w:rPr>
        <w:t xml:space="preserve">The role of political cost in accounting and disclosure decisions is very important in the positive accounting theory (Watts and Zimmerman, 1986). Large companies are more complex, so they get more attention from regulators and the media. When these companies do not act in accordance with the regulation and society’s need, they are exposed to political cost. Further, bad media attention results into a decreasing competitive position and reputation. However, Graham et al. (2005) do not find evidence for this. Most of the respondents agree with the hypothesis that avoiding unwanted attention from regulators is not a significant barrier for voluntary disclosures. It is hard to make a conclusion, because managers might not be willing to voluntarily disclose information that regulators could use against them. </w:t>
      </w:r>
    </w:p>
    <w:p w:rsidR="00AE4097" w:rsidRDefault="00AE4097" w:rsidP="00A82089">
      <w:pPr>
        <w:pStyle w:val="000"/>
        <w:suppressAutoHyphens/>
        <w:spacing w:line="360" w:lineRule="auto"/>
        <w:jc w:val="both"/>
        <w:rPr>
          <w:rFonts w:ascii="Arial" w:hAnsi="Arial" w:cs="Arial"/>
          <w:sz w:val="22"/>
          <w:szCs w:val="22"/>
          <w:lang w:val="en-US"/>
        </w:rPr>
      </w:pPr>
    </w:p>
    <w:p w:rsidR="00AE4097" w:rsidRDefault="00AE4097" w:rsidP="00A82089">
      <w:pPr>
        <w:pStyle w:val="000"/>
        <w:suppressAutoHyphens/>
        <w:spacing w:line="360" w:lineRule="auto"/>
        <w:jc w:val="both"/>
        <w:rPr>
          <w:sz w:val="22"/>
          <w:szCs w:val="22"/>
          <w:lang w:val="en-US"/>
        </w:rPr>
      </w:pPr>
      <w:r>
        <w:rPr>
          <w:sz w:val="22"/>
          <w:szCs w:val="22"/>
          <w:lang w:val="en-US"/>
        </w:rPr>
        <w:tab/>
        <w:t>The desire to avoid setting a precedent that is difficult to maintain in the future is another reason for not voluntarily disclosing particular information (Graham et al., 2005). Because this is not recognized in other literature, it will not be further discussed.</w:t>
      </w:r>
    </w:p>
    <w:p w:rsidR="00AE4097" w:rsidRDefault="00AE4097" w:rsidP="00A82089">
      <w:pPr>
        <w:shd w:val="clear" w:color="auto" w:fill="FFFFFF"/>
        <w:suppressAutoHyphens/>
        <w:spacing w:line="360" w:lineRule="auto"/>
        <w:ind w:firstLine="567"/>
        <w:jc w:val="both"/>
        <w:rPr>
          <w:color w:val="2A2A2A"/>
          <w:sz w:val="22"/>
          <w:szCs w:val="22"/>
          <w:lang w:val="en-US"/>
        </w:rPr>
      </w:pPr>
      <w:r>
        <w:rPr>
          <w:sz w:val="22"/>
          <w:szCs w:val="22"/>
          <w:lang w:val="en-US"/>
        </w:rPr>
        <w:t>One of the most important limitations of voluntary disclosures is the difficulty of measuring their extent (Healy and Palepu, 2001). This will be discussed in the next paragraph.</w:t>
      </w:r>
    </w:p>
    <w:p w:rsidR="00AE4097" w:rsidRDefault="00AE4097" w:rsidP="00A82089">
      <w:pPr>
        <w:spacing w:line="360" w:lineRule="auto"/>
        <w:jc w:val="both"/>
        <w:rPr>
          <w:iCs/>
          <w:sz w:val="22"/>
          <w:szCs w:val="22"/>
          <w:lang w:val="en-US"/>
        </w:rPr>
      </w:pPr>
    </w:p>
    <w:p w:rsidR="00AE4097" w:rsidRDefault="00AE4097" w:rsidP="008C2ED0">
      <w:pPr>
        <w:pStyle w:val="Heading2"/>
        <w:numPr>
          <w:ilvl w:val="1"/>
          <w:numId w:val="2"/>
        </w:numPr>
        <w:suppressAutoHyphens/>
        <w:spacing w:before="0" w:after="0" w:line="360" w:lineRule="auto"/>
        <w:jc w:val="both"/>
        <w:rPr>
          <w:i w:val="0"/>
          <w:sz w:val="22"/>
          <w:szCs w:val="22"/>
          <w:lang w:val="en-US"/>
        </w:rPr>
      </w:pPr>
      <w:bookmarkStart w:id="81" w:name="_Toc288459340"/>
      <w:bookmarkStart w:id="82" w:name="_Toc288725881"/>
      <w:r>
        <w:rPr>
          <w:i w:val="0"/>
          <w:sz w:val="22"/>
          <w:szCs w:val="22"/>
          <w:lang w:val="en-US"/>
        </w:rPr>
        <w:lastRenderedPageBreak/>
        <w:t>Measuring voluntary disclosures</w:t>
      </w:r>
      <w:bookmarkEnd w:id="81"/>
      <w:bookmarkEnd w:id="82"/>
    </w:p>
    <w:p w:rsidR="00AE4097" w:rsidRDefault="00AE4097" w:rsidP="00AE4097">
      <w:pPr>
        <w:pStyle w:val="000"/>
        <w:suppressAutoHyphens/>
        <w:spacing w:line="360" w:lineRule="auto"/>
        <w:ind w:firstLine="567"/>
        <w:jc w:val="both"/>
        <w:rPr>
          <w:sz w:val="22"/>
          <w:szCs w:val="22"/>
          <w:lang w:val="en-US"/>
        </w:rPr>
      </w:pPr>
      <w:r>
        <w:rPr>
          <w:sz w:val="22"/>
          <w:szCs w:val="22"/>
          <w:lang w:val="en-US"/>
        </w:rPr>
        <w:t xml:space="preserve">In prior literature there are several methods known to analyze the narratives in annual reports. To make a comparison between different researches and to choose a suitable method for this research, it is necessary to discuss the different ways to measure voluntary disclosures. </w:t>
      </w:r>
    </w:p>
    <w:p w:rsidR="00AE4097" w:rsidRDefault="00AE4097" w:rsidP="00AE4097">
      <w:pPr>
        <w:pStyle w:val="000"/>
        <w:suppressAutoHyphens/>
        <w:spacing w:line="360" w:lineRule="auto"/>
        <w:jc w:val="both"/>
        <w:rPr>
          <w:b/>
          <w:sz w:val="20"/>
          <w:szCs w:val="20"/>
          <w:lang w:val="en-US"/>
        </w:rPr>
      </w:pPr>
      <w:r>
        <w:rPr>
          <w:sz w:val="22"/>
          <w:szCs w:val="22"/>
          <w:lang w:val="en-US"/>
        </w:rPr>
        <w:tab/>
      </w:r>
      <w:r>
        <w:rPr>
          <w:sz w:val="22"/>
          <w:szCs w:val="22"/>
          <w:lang w:val="en-US"/>
        </w:rPr>
        <w:tab/>
      </w:r>
      <w:r>
        <w:rPr>
          <w:sz w:val="22"/>
          <w:szCs w:val="22"/>
          <w:lang w:val="en-US"/>
        </w:rPr>
        <w:tab/>
      </w:r>
      <w:r>
        <w:rPr>
          <w:sz w:val="22"/>
          <w:szCs w:val="22"/>
          <w:lang w:val="en-US"/>
        </w:rPr>
        <w:tab/>
      </w:r>
      <w:r>
        <w:rPr>
          <w:sz w:val="22"/>
          <w:szCs w:val="22"/>
          <w:lang w:val="en-US"/>
        </w:rPr>
        <w:tab/>
      </w:r>
      <w:r>
        <w:rPr>
          <w:sz w:val="22"/>
          <w:szCs w:val="22"/>
          <w:lang w:val="en-US"/>
        </w:rPr>
        <w:tab/>
      </w:r>
      <w:r>
        <w:rPr>
          <w:sz w:val="22"/>
          <w:szCs w:val="22"/>
          <w:lang w:val="en-US"/>
        </w:rPr>
        <w:tab/>
      </w:r>
      <w:r>
        <w:rPr>
          <w:sz w:val="22"/>
          <w:szCs w:val="22"/>
          <w:lang w:val="en-US"/>
        </w:rPr>
        <w:tab/>
      </w:r>
      <w:r>
        <w:rPr>
          <w:sz w:val="22"/>
          <w:szCs w:val="22"/>
          <w:lang w:val="en-US"/>
        </w:rPr>
        <w:tab/>
      </w:r>
      <w:r>
        <w:rPr>
          <w:sz w:val="22"/>
          <w:szCs w:val="22"/>
          <w:lang w:val="en-US"/>
        </w:rPr>
        <w:tab/>
      </w:r>
      <w:r>
        <w:rPr>
          <w:sz w:val="20"/>
          <w:szCs w:val="20"/>
          <w:lang w:val="en-US"/>
        </w:rPr>
        <w:tab/>
      </w:r>
    </w:p>
    <w:p w:rsidR="00AE4097" w:rsidRDefault="00AE4097" w:rsidP="00AE4097">
      <w:pPr>
        <w:suppressAutoHyphens/>
        <w:spacing w:after="200" w:line="276" w:lineRule="auto"/>
        <w:jc w:val="both"/>
        <w:rPr>
          <w:sz w:val="22"/>
          <w:szCs w:val="22"/>
          <w:lang w:val="en-US"/>
        </w:rPr>
      </w:pPr>
      <w:r>
        <w:rPr>
          <w:noProof/>
        </w:rPr>
        <w:drawing>
          <wp:inline distT="0" distB="0" distL="0" distR="0">
            <wp:extent cx="5762625" cy="3067050"/>
            <wp:effectExtent l="1905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762625" cy="3067050"/>
                    </a:xfrm>
                    <a:prstGeom prst="rect">
                      <a:avLst/>
                    </a:prstGeom>
                    <a:noFill/>
                    <a:ln w="9525">
                      <a:noFill/>
                      <a:miter lim="800000"/>
                      <a:headEnd/>
                      <a:tailEnd/>
                    </a:ln>
                  </pic:spPr>
                </pic:pic>
              </a:graphicData>
            </a:graphic>
          </wp:inline>
        </w:drawing>
      </w:r>
    </w:p>
    <w:p w:rsidR="00AE4097" w:rsidRDefault="00AE4097" w:rsidP="00AE4097">
      <w:pPr>
        <w:suppressAutoHyphens/>
        <w:spacing w:after="200" w:line="276" w:lineRule="auto"/>
        <w:ind w:left="1134"/>
        <w:jc w:val="both"/>
        <w:rPr>
          <w:b/>
          <w:sz w:val="20"/>
          <w:szCs w:val="20"/>
          <w:lang w:val="en-US"/>
        </w:rPr>
      </w:pPr>
      <w:r>
        <w:rPr>
          <w:b/>
          <w:sz w:val="22"/>
          <w:szCs w:val="22"/>
          <w:lang w:val="en-US"/>
        </w:rPr>
        <w:t xml:space="preserve">Figure </w:t>
      </w:r>
      <w:r>
        <w:rPr>
          <w:b/>
          <w:sz w:val="20"/>
          <w:szCs w:val="20"/>
          <w:lang w:val="en-US"/>
        </w:rPr>
        <w:t>1: Approaches to the analysis of narratives in annual reports (Beattie et al., 2004)</w:t>
      </w:r>
    </w:p>
    <w:p w:rsidR="00AE4097" w:rsidRDefault="00AE4097" w:rsidP="00AE4097">
      <w:pPr>
        <w:suppressAutoHyphens/>
        <w:spacing w:line="360" w:lineRule="auto"/>
        <w:ind w:firstLine="567"/>
        <w:jc w:val="both"/>
        <w:rPr>
          <w:sz w:val="22"/>
          <w:szCs w:val="22"/>
          <w:lang w:val="en-US"/>
        </w:rPr>
      </w:pPr>
      <w:r>
        <w:rPr>
          <w:sz w:val="22"/>
          <w:szCs w:val="22"/>
          <w:lang w:val="en-US"/>
        </w:rPr>
        <w:t>From the article of Beattie et al. (2004) appears that there are different models to measure disclosures. They made a distinction between subjective and semi-objective. The models the article mentions are s</w:t>
      </w:r>
      <w:r>
        <w:rPr>
          <w:bCs/>
          <w:color w:val="000000"/>
          <w:sz w:val="22"/>
          <w:szCs w:val="22"/>
          <w:lang w:val="en-US"/>
        </w:rPr>
        <w:t xml:space="preserve">ubjective ratings, disclosure index studies and textual analyses. The first one is subjective, where the other two methods are semi-objective. Textual analyses can be split up into three subgroups: thematic content analysis, readability studies and linguistic analysis. </w:t>
      </w:r>
      <w:r>
        <w:rPr>
          <w:sz w:val="22"/>
          <w:szCs w:val="22"/>
          <w:lang w:val="en-US"/>
        </w:rPr>
        <w:t>What is being measured varies across approaches. Further in this section, each of the five models will be explained.</w:t>
      </w:r>
    </w:p>
    <w:p w:rsidR="00AE4097" w:rsidRDefault="00AE4097" w:rsidP="00AE4097">
      <w:pPr>
        <w:suppressAutoHyphens/>
        <w:spacing w:line="360" w:lineRule="auto"/>
        <w:ind w:firstLine="567"/>
        <w:jc w:val="both"/>
        <w:rPr>
          <w:b/>
          <w:sz w:val="22"/>
          <w:szCs w:val="22"/>
          <w:lang w:val="en-US"/>
        </w:rPr>
      </w:pPr>
    </w:p>
    <w:p w:rsidR="00AE4097" w:rsidRDefault="00AE4097" w:rsidP="008C2ED0">
      <w:pPr>
        <w:pStyle w:val="Heading3"/>
        <w:numPr>
          <w:ilvl w:val="2"/>
          <w:numId w:val="2"/>
        </w:numPr>
        <w:tabs>
          <w:tab w:val="num" w:pos="1004"/>
        </w:tabs>
        <w:suppressAutoHyphens/>
        <w:spacing w:before="0" w:after="0" w:line="360" w:lineRule="auto"/>
        <w:jc w:val="both"/>
        <w:rPr>
          <w:b w:val="0"/>
          <w:i/>
          <w:sz w:val="22"/>
          <w:szCs w:val="22"/>
          <w:lang w:val="en-US"/>
        </w:rPr>
      </w:pPr>
      <w:bookmarkStart w:id="83" w:name="_Toc288459341"/>
      <w:bookmarkStart w:id="84" w:name="_Toc288725882"/>
      <w:r>
        <w:rPr>
          <w:b w:val="0"/>
          <w:i/>
          <w:sz w:val="22"/>
          <w:szCs w:val="22"/>
          <w:lang w:val="en-US"/>
        </w:rPr>
        <w:t>Subjective ratings</w:t>
      </w:r>
      <w:bookmarkEnd w:id="83"/>
      <w:bookmarkEnd w:id="84"/>
    </w:p>
    <w:p w:rsidR="00AE4097" w:rsidRDefault="00AE4097" w:rsidP="00AE4097">
      <w:pPr>
        <w:suppressAutoHyphens/>
        <w:spacing w:line="360" w:lineRule="auto"/>
        <w:ind w:firstLine="567"/>
        <w:jc w:val="both"/>
        <w:rPr>
          <w:sz w:val="22"/>
          <w:szCs w:val="22"/>
          <w:lang w:val="en-US"/>
        </w:rPr>
      </w:pPr>
      <w:r>
        <w:rPr>
          <w:sz w:val="22"/>
          <w:szCs w:val="22"/>
          <w:lang w:val="en-US"/>
        </w:rPr>
        <w:t xml:space="preserve">These ratings are based on analysts’ perceptions rather than on direct measures of actual disclosures and provide an overall measure of corporate communications with investors. The rankings are separate ratings for the way in which the information is disclosed (annual, quarterly or other reports). The Association of Investment Management and Research (AIMR) in the </w:t>
      </w:r>
      <w:r w:rsidR="00F073FE">
        <w:rPr>
          <w:sz w:val="22"/>
          <w:szCs w:val="22"/>
          <w:lang w:val="en-US"/>
        </w:rPr>
        <w:t>US</w:t>
      </w:r>
      <w:r>
        <w:rPr>
          <w:sz w:val="22"/>
          <w:szCs w:val="22"/>
          <w:lang w:val="en-US"/>
        </w:rPr>
        <w:t xml:space="preserve"> used this approach, but discontinued the disclosure rankings in 1997. In other countries these ratings are not routinely available at all. Critics mention that the ratings are influenced by the personal bias of the analysts’ perceptions of the disclosure. Healy and Palepu (2001) are critical as well. They mention the lack of clarity; do the analysts on the panels take the ratings seriously</w:t>
      </w:r>
      <w:proofErr w:type="gramStart"/>
      <w:r>
        <w:rPr>
          <w:sz w:val="22"/>
          <w:szCs w:val="22"/>
          <w:lang w:val="en-US"/>
        </w:rPr>
        <w:t>?,</w:t>
      </w:r>
      <w:proofErr w:type="gramEnd"/>
      <w:r>
        <w:rPr>
          <w:sz w:val="22"/>
          <w:szCs w:val="22"/>
          <w:lang w:val="en-US"/>
        </w:rPr>
        <w:t xml:space="preserve"> it is not clear how firms are selected for inclusion, and they discuss the potential biases by analysts as well. (Beattie et al 2004). </w:t>
      </w:r>
      <w:r>
        <w:rPr>
          <w:sz w:val="22"/>
          <w:szCs w:val="22"/>
          <w:lang w:val="en-US"/>
        </w:rPr>
        <w:lastRenderedPageBreak/>
        <w:t xml:space="preserve">This method is not suitable for this paper. It is too difficult to find enough analysts to ask for their perceptions. Further this research does not really examine management’s incentives to disclose voluntary information, it focuses on how much they report in their annual reports and wants to </w:t>
      </w:r>
      <w:proofErr w:type="gramStart"/>
      <w:r>
        <w:rPr>
          <w:sz w:val="22"/>
          <w:szCs w:val="22"/>
          <w:lang w:val="en-US"/>
        </w:rPr>
        <w:t>know  if</w:t>
      </w:r>
      <w:proofErr w:type="gramEnd"/>
      <w:r>
        <w:rPr>
          <w:sz w:val="22"/>
          <w:szCs w:val="22"/>
          <w:lang w:val="en-US"/>
        </w:rPr>
        <w:t xml:space="preserve"> they have disclosed different or more information in the years of the financial crisis. Asking analysts to answer these </w:t>
      </w:r>
      <w:proofErr w:type="gramStart"/>
      <w:r>
        <w:rPr>
          <w:sz w:val="22"/>
          <w:szCs w:val="22"/>
          <w:lang w:val="en-US"/>
        </w:rPr>
        <w:t>questions,</w:t>
      </w:r>
      <w:proofErr w:type="gramEnd"/>
      <w:r>
        <w:rPr>
          <w:sz w:val="22"/>
          <w:szCs w:val="22"/>
          <w:lang w:val="en-US"/>
        </w:rPr>
        <w:t xml:space="preserve"> would make the outcome too subjective.</w:t>
      </w:r>
    </w:p>
    <w:p w:rsidR="00AE4097" w:rsidRDefault="00AE4097" w:rsidP="00AE4097">
      <w:pPr>
        <w:pStyle w:val="000"/>
        <w:suppressAutoHyphens/>
        <w:spacing w:line="360" w:lineRule="auto"/>
        <w:jc w:val="both"/>
        <w:rPr>
          <w:sz w:val="22"/>
          <w:szCs w:val="22"/>
          <w:lang w:val="en-US"/>
        </w:rPr>
      </w:pP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85" w:name="_Toc285109166"/>
      <w:bookmarkStart w:id="86" w:name="_Toc288459342"/>
      <w:bookmarkStart w:id="87" w:name="_Toc288725883"/>
      <w:r>
        <w:rPr>
          <w:b w:val="0"/>
          <w:i/>
          <w:sz w:val="22"/>
          <w:szCs w:val="22"/>
          <w:lang w:val="en-US"/>
        </w:rPr>
        <w:t>Disclosure index studies</w:t>
      </w:r>
      <w:bookmarkEnd w:id="85"/>
      <w:bookmarkEnd w:id="86"/>
      <w:bookmarkEnd w:id="87"/>
    </w:p>
    <w:p w:rsidR="00AE4097" w:rsidRDefault="00AE4097" w:rsidP="00A82089">
      <w:pPr>
        <w:pStyle w:val="ecx000"/>
        <w:shd w:val="clear" w:color="auto" w:fill="FFFFFF"/>
        <w:suppressAutoHyphens/>
        <w:spacing w:after="0" w:line="360" w:lineRule="auto"/>
        <w:ind w:firstLine="567"/>
        <w:jc w:val="both"/>
        <w:rPr>
          <w:sz w:val="22"/>
          <w:szCs w:val="22"/>
          <w:lang w:val="en-US"/>
        </w:rPr>
      </w:pPr>
      <w:r>
        <w:rPr>
          <w:sz w:val="22"/>
          <w:szCs w:val="22"/>
          <w:lang w:val="en-US"/>
        </w:rPr>
        <w:t xml:space="preserve">This model measures the level of disclosure, whereas the amount of disclosures is used as a proxy for the quality of disclosures (Marston and Shrives, 1991; Botosan, 1997). They make use of predefined information items. A coding scheme can be a simple binary coding, showing the presence or absence of an item (presence scores 1 and absence scores 0) or it can be an ordinal measure consisting of three levels. Quantified disclosures score 2, qualified disclosures score 1 and no disclosures score 0. According to Botosan (1997) it is important to disclose quality, but this is very difficult to assess. Researchers argue that quantity and quality are positively related. </w:t>
      </w:r>
    </w:p>
    <w:p w:rsidR="00AE4097" w:rsidRDefault="00AE4097" w:rsidP="00A82089">
      <w:pPr>
        <w:pStyle w:val="ecx000"/>
        <w:shd w:val="clear" w:color="auto" w:fill="FFFFFF"/>
        <w:suppressAutoHyphens/>
        <w:spacing w:after="0" w:line="360" w:lineRule="auto"/>
        <w:jc w:val="both"/>
        <w:rPr>
          <w:sz w:val="22"/>
          <w:szCs w:val="22"/>
          <w:lang w:val="en-US"/>
        </w:rPr>
      </w:pPr>
      <w:r>
        <w:rPr>
          <w:sz w:val="22"/>
          <w:szCs w:val="22"/>
          <w:lang w:val="en-US"/>
        </w:rPr>
        <w:tab/>
        <w:t xml:space="preserve">Marston and Shrives (1991) examined the use of disclosure indices in accounting research, especially in companies’ annual reports. In this context, the distinction between mandatory and voluntary disclosures is taken into account. The disclosure index score “can give a measure of the </w:t>
      </w:r>
      <w:r>
        <w:rPr>
          <w:i/>
          <w:iCs/>
          <w:sz w:val="22"/>
          <w:szCs w:val="22"/>
          <w:lang w:val="en-US"/>
        </w:rPr>
        <w:t xml:space="preserve">extent </w:t>
      </w:r>
      <w:r>
        <w:rPr>
          <w:sz w:val="22"/>
          <w:szCs w:val="22"/>
          <w:lang w:val="en-US"/>
        </w:rPr>
        <w:t xml:space="preserve">of disclosure but not necessarily the </w:t>
      </w:r>
      <w:r>
        <w:rPr>
          <w:i/>
          <w:iCs/>
          <w:sz w:val="22"/>
          <w:szCs w:val="22"/>
          <w:lang w:val="en-US"/>
        </w:rPr>
        <w:t xml:space="preserve">quality </w:t>
      </w:r>
      <w:r>
        <w:rPr>
          <w:sz w:val="22"/>
          <w:szCs w:val="22"/>
          <w:lang w:val="en-US"/>
        </w:rPr>
        <w:t xml:space="preserve">of disclosure”. This score has proved to be a valuable research method that also in future times will be used when studying company disclosures, despite the subjectivity involved. </w:t>
      </w:r>
      <w:proofErr w:type="gramStart"/>
      <w:r>
        <w:rPr>
          <w:sz w:val="22"/>
          <w:szCs w:val="22"/>
          <w:lang w:val="en-US"/>
        </w:rPr>
        <w:t>(Marston and Shrives, 1991).</w:t>
      </w:r>
      <w:proofErr w:type="gramEnd"/>
      <w:r>
        <w:rPr>
          <w:sz w:val="22"/>
          <w:szCs w:val="22"/>
          <w:lang w:val="en-US"/>
        </w:rPr>
        <w:t xml:space="preserve"> The index is separated in a weighted and an un-weighted part. The weighted part is a result of a survey to determine the importance of specific items. The disadvantage is that the weighted and unweighted scores give the same results if there are many items (Beattie et al. 2004). Besides the distinction in a weighted/unweighted part, a distinction in nested and un-nested items is possible as well. This means that the items can be grouped into hierarchical categories (Beattie et al., 2004). However, the disadvantage is that the indices provide a measure of the quantity of disclosure rather than the quality of disclosure (Marston and Shrives, 1991). The disclosure index, which was used by Cooke (1989a</w:t>
      </w:r>
      <w:proofErr w:type="gramStart"/>
      <w:r>
        <w:rPr>
          <w:sz w:val="22"/>
          <w:szCs w:val="22"/>
          <w:lang w:val="en-US"/>
        </w:rPr>
        <w:t>;1989b</w:t>
      </w:r>
      <w:proofErr w:type="gramEnd"/>
      <w:r>
        <w:rPr>
          <w:sz w:val="22"/>
          <w:szCs w:val="22"/>
          <w:lang w:val="en-US"/>
        </w:rPr>
        <w:t xml:space="preserve">) compares the actual level of disclosure with the possible level of disclosure, which is determined per research. The disclosure index can be summarized as follows: </w:t>
      </w:r>
      <w:r>
        <w:rPr>
          <w:sz w:val="22"/>
          <w:szCs w:val="22"/>
          <w:lang w:val="en-US"/>
        </w:rPr>
        <w:tab/>
      </w:r>
    </w:p>
    <w:p w:rsidR="00AE4097" w:rsidRPr="004A39E9" w:rsidRDefault="00AE4097" w:rsidP="00AE4097">
      <w:pPr>
        <w:pStyle w:val="ecx000"/>
        <w:shd w:val="clear" w:color="auto" w:fill="FFFFFF"/>
        <w:suppressAutoHyphens/>
        <w:spacing w:after="0"/>
        <w:ind w:left="6237" w:firstLine="567"/>
        <w:rPr>
          <w:lang w:val="en-US"/>
        </w:rPr>
      </w:pPr>
      <w:proofErr w:type="gramStart"/>
      <w:r w:rsidRPr="004A39E9">
        <w:rPr>
          <w:b/>
          <w:lang w:val="en-US"/>
        </w:rPr>
        <w:t>m</w:t>
      </w:r>
      <w:proofErr w:type="gramEnd"/>
      <w:r>
        <w:rPr>
          <w:b/>
          <w:lang w:val="en-US"/>
        </w:rPr>
        <w:tab/>
      </w:r>
      <w:r>
        <w:rPr>
          <w:b/>
          <w:lang w:val="en-US"/>
        </w:rPr>
        <w:tab/>
        <w:t>n</w:t>
      </w:r>
    </w:p>
    <w:p w:rsidR="00AE4097" w:rsidRDefault="00AE4097" w:rsidP="00AE4097">
      <w:pPr>
        <w:pStyle w:val="ecx000"/>
        <w:shd w:val="clear" w:color="auto" w:fill="FFFFFF"/>
        <w:suppressAutoHyphens/>
        <w:spacing w:after="0"/>
        <w:rPr>
          <w:b/>
          <w:lang w:val="en-US"/>
        </w:rPr>
      </w:pPr>
      <w:r>
        <w:rPr>
          <w:b/>
          <w:sz w:val="22"/>
          <w:szCs w:val="22"/>
          <w:lang w:val="en-US"/>
        </w:rPr>
        <w:t xml:space="preserve">Risk disclosure index = Actual disclosure / Total possible disclosure =  </w:t>
      </w:r>
      <w:r>
        <w:rPr>
          <w:b/>
          <w:sz w:val="22"/>
          <w:szCs w:val="22"/>
          <w:lang w:val="en-US"/>
        </w:rPr>
        <w:tab/>
      </w:r>
      <w:r w:rsidRPr="004A39E9">
        <w:rPr>
          <w:b/>
          <w:sz w:val="40"/>
          <w:szCs w:val="40"/>
          <w:lang w:val="en-US"/>
        </w:rPr>
        <w:sym w:font="Symbol" w:char="F053"/>
      </w:r>
      <w:r>
        <w:rPr>
          <w:b/>
          <w:sz w:val="40"/>
          <w:szCs w:val="40"/>
          <w:lang w:val="en-US"/>
        </w:rPr>
        <w:t xml:space="preserve"> </w:t>
      </w:r>
      <w:proofErr w:type="spellStart"/>
      <w:proofErr w:type="gramStart"/>
      <w:r>
        <w:rPr>
          <w:b/>
          <w:sz w:val="32"/>
          <w:szCs w:val="32"/>
          <w:lang w:val="en-US"/>
        </w:rPr>
        <w:t>d</w:t>
      </w:r>
      <w:r>
        <w:rPr>
          <w:b/>
          <w:lang w:val="en-US"/>
        </w:rPr>
        <w:t>t</w:t>
      </w:r>
      <w:proofErr w:type="spellEnd"/>
      <w:proofErr w:type="gramEnd"/>
      <w:r>
        <w:rPr>
          <w:b/>
          <w:lang w:val="en-US"/>
        </w:rPr>
        <w:t xml:space="preserve">   </w:t>
      </w:r>
      <w:r>
        <w:rPr>
          <w:b/>
          <w:sz w:val="40"/>
          <w:szCs w:val="40"/>
          <w:lang w:val="en-US"/>
        </w:rPr>
        <w:t xml:space="preserve">/ </w:t>
      </w:r>
      <w:r>
        <w:rPr>
          <w:b/>
          <w:sz w:val="40"/>
          <w:szCs w:val="40"/>
          <w:lang w:val="en-US"/>
        </w:rPr>
        <w:tab/>
      </w:r>
      <w:r w:rsidRPr="004A39E9">
        <w:rPr>
          <w:b/>
          <w:sz w:val="40"/>
          <w:szCs w:val="40"/>
          <w:lang w:val="en-US"/>
        </w:rPr>
        <w:sym w:font="Symbol" w:char="F053"/>
      </w:r>
      <w:r>
        <w:rPr>
          <w:b/>
          <w:sz w:val="40"/>
          <w:szCs w:val="40"/>
          <w:lang w:val="en-US"/>
        </w:rPr>
        <w:t xml:space="preserve"> </w:t>
      </w:r>
      <w:proofErr w:type="spellStart"/>
      <w:r>
        <w:rPr>
          <w:b/>
          <w:sz w:val="32"/>
          <w:szCs w:val="32"/>
          <w:lang w:val="en-US"/>
        </w:rPr>
        <w:t>d</w:t>
      </w:r>
      <w:r>
        <w:rPr>
          <w:b/>
          <w:lang w:val="en-US"/>
        </w:rPr>
        <w:t>t</w:t>
      </w:r>
      <w:proofErr w:type="spellEnd"/>
    </w:p>
    <w:p w:rsidR="00AE4097" w:rsidRDefault="00AE4097" w:rsidP="00AE4097">
      <w:pPr>
        <w:pStyle w:val="ecx000"/>
        <w:shd w:val="clear" w:color="auto" w:fill="FFFFFF"/>
        <w:suppressAutoHyphens/>
        <w:spacing w:after="0"/>
        <w:rPr>
          <w:b/>
          <w:lang w:val="en-US"/>
        </w:rPr>
      </w:pP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r>
        <w:rPr>
          <w:b/>
          <w:lang w:val="en-US"/>
        </w:rPr>
        <w:tab/>
      </w:r>
      <w:proofErr w:type="gramStart"/>
      <w:r>
        <w:rPr>
          <w:b/>
          <w:lang w:val="en-US"/>
        </w:rPr>
        <w:t>r-1</w:t>
      </w:r>
      <w:proofErr w:type="gramEnd"/>
      <w:r>
        <w:rPr>
          <w:b/>
          <w:lang w:val="en-US"/>
        </w:rPr>
        <w:tab/>
      </w:r>
      <w:r>
        <w:rPr>
          <w:b/>
          <w:lang w:val="en-US"/>
        </w:rPr>
        <w:tab/>
        <w:t>r-1</w:t>
      </w:r>
    </w:p>
    <w:p w:rsidR="00AE4097" w:rsidRDefault="00AE4097" w:rsidP="00AE4097">
      <w:pPr>
        <w:pStyle w:val="ecx000"/>
        <w:shd w:val="clear" w:color="auto" w:fill="FFFFFF"/>
        <w:suppressAutoHyphens/>
        <w:spacing w:after="0" w:line="360" w:lineRule="auto"/>
        <w:jc w:val="both"/>
        <w:rPr>
          <w:b/>
          <w:sz w:val="22"/>
          <w:szCs w:val="22"/>
          <w:lang w:val="en-US"/>
        </w:rPr>
      </w:pPr>
    </w:p>
    <w:p w:rsidR="00AE4097" w:rsidRDefault="00AE4097" w:rsidP="00AE4097">
      <w:pPr>
        <w:pStyle w:val="ecx000"/>
        <w:shd w:val="clear" w:color="auto" w:fill="FFFFFF"/>
        <w:suppressAutoHyphens/>
        <w:spacing w:after="0" w:line="360" w:lineRule="auto"/>
        <w:jc w:val="both"/>
        <w:rPr>
          <w:i/>
          <w:sz w:val="22"/>
          <w:szCs w:val="22"/>
          <w:lang w:val="en-US"/>
        </w:rPr>
      </w:pPr>
      <w:r>
        <w:rPr>
          <w:i/>
          <w:sz w:val="22"/>
          <w:szCs w:val="22"/>
          <w:lang w:val="en-US"/>
        </w:rPr>
        <w:t xml:space="preserve">Where </w:t>
      </w:r>
      <w:r>
        <w:rPr>
          <w:i/>
          <w:sz w:val="22"/>
          <w:szCs w:val="22"/>
          <w:lang w:val="en-US"/>
        </w:rPr>
        <w:tab/>
        <w:t xml:space="preserve">d = </w:t>
      </w:r>
      <w:r>
        <w:rPr>
          <w:i/>
          <w:sz w:val="22"/>
          <w:szCs w:val="22"/>
          <w:lang w:val="en-US"/>
        </w:rPr>
        <w:tab/>
        <w:t>1 if item is disclosed</w:t>
      </w:r>
    </w:p>
    <w:p w:rsidR="00AE4097" w:rsidRDefault="00AE4097" w:rsidP="00AE4097">
      <w:pPr>
        <w:pStyle w:val="ecx000"/>
        <w:shd w:val="clear" w:color="auto" w:fill="FFFFFF"/>
        <w:suppressAutoHyphens/>
        <w:spacing w:after="0" w:line="360" w:lineRule="auto"/>
        <w:ind w:left="1134"/>
        <w:jc w:val="both"/>
        <w:rPr>
          <w:i/>
          <w:sz w:val="22"/>
          <w:szCs w:val="22"/>
          <w:lang w:val="en-US"/>
        </w:rPr>
      </w:pPr>
      <w:r>
        <w:rPr>
          <w:i/>
          <w:sz w:val="22"/>
          <w:szCs w:val="22"/>
          <w:lang w:val="en-US"/>
        </w:rPr>
        <w:tab/>
        <w:t>0 if item is not disclosed</w:t>
      </w:r>
    </w:p>
    <w:p w:rsidR="00AE4097" w:rsidRDefault="00AE4097" w:rsidP="00AE4097">
      <w:pPr>
        <w:pStyle w:val="ecx000"/>
        <w:shd w:val="clear" w:color="auto" w:fill="FFFFFF"/>
        <w:suppressAutoHyphens/>
        <w:spacing w:after="0" w:line="360" w:lineRule="auto"/>
        <w:ind w:left="1134"/>
        <w:jc w:val="both"/>
        <w:rPr>
          <w:i/>
          <w:sz w:val="22"/>
          <w:szCs w:val="22"/>
          <w:lang w:val="en-US"/>
        </w:rPr>
      </w:pPr>
      <w:r>
        <w:rPr>
          <w:i/>
          <w:sz w:val="22"/>
          <w:szCs w:val="22"/>
          <w:lang w:val="en-US"/>
        </w:rPr>
        <w:t>m =</w:t>
      </w:r>
      <w:r>
        <w:rPr>
          <w:i/>
          <w:sz w:val="22"/>
          <w:szCs w:val="22"/>
          <w:lang w:val="en-US"/>
        </w:rPr>
        <w:tab/>
        <w:t>number of items disclosed</w:t>
      </w:r>
    </w:p>
    <w:p w:rsidR="00AE4097" w:rsidRDefault="00AE4097" w:rsidP="00AE4097">
      <w:pPr>
        <w:pStyle w:val="ecx000"/>
        <w:shd w:val="clear" w:color="auto" w:fill="FFFFFF"/>
        <w:suppressAutoHyphens/>
        <w:spacing w:after="0" w:line="360" w:lineRule="auto"/>
        <w:ind w:left="1134"/>
        <w:jc w:val="both"/>
        <w:rPr>
          <w:sz w:val="22"/>
          <w:szCs w:val="22"/>
          <w:lang w:val="en-US"/>
        </w:rPr>
      </w:pPr>
      <w:r>
        <w:rPr>
          <w:i/>
          <w:sz w:val="22"/>
          <w:szCs w:val="22"/>
          <w:lang w:val="en-US"/>
        </w:rPr>
        <w:t xml:space="preserve">n = </w:t>
      </w:r>
      <w:r>
        <w:rPr>
          <w:i/>
          <w:sz w:val="22"/>
          <w:szCs w:val="22"/>
          <w:lang w:val="en-US"/>
        </w:rPr>
        <w:tab/>
        <w:t>maximum number of disclosure items possible</w:t>
      </w:r>
    </w:p>
    <w:p w:rsidR="00AE4097" w:rsidRDefault="00AE4097" w:rsidP="00AE4097">
      <w:pPr>
        <w:pStyle w:val="ecx000"/>
        <w:shd w:val="clear" w:color="auto" w:fill="FFFFFF"/>
        <w:suppressAutoHyphens/>
        <w:spacing w:after="0" w:line="360" w:lineRule="auto"/>
        <w:ind w:firstLine="567"/>
        <w:jc w:val="both"/>
        <w:rPr>
          <w:sz w:val="22"/>
          <w:szCs w:val="22"/>
          <w:lang w:val="en-US"/>
        </w:rPr>
      </w:pPr>
      <w:r>
        <w:rPr>
          <w:sz w:val="22"/>
          <w:szCs w:val="22"/>
          <w:lang w:val="en-US"/>
        </w:rPr>
        <w:lastRenderedPageBreak/>
        <w:t xml:space="preserve">Companies can disclose a large number of items, so researchers are focusing on a sub-set of items, such as social and environmental disclosures, mandatory disclosures or risk disclosures. Most studies using disclosure index scores examine either inter-company or inter-country differences. Only few studies make use of wide-ranging measures of general disclosures; it is too complex and time-consuming (Beattie et al., 2004). </w:t>
      </w:r>
    </w:p>
    <w:p w:rsidR="00AE4097" w:rsidRDefault="00AE4097" w:rsidP="00AE4097">
      <w:pPr>
        <w:pStyle w:val="ecx000"/>
        <w:shd w:val="clear" w:color="auto" w:fill="FFFFFF"/>
        <w:suppressAutoHyphens/>
        <w:spacing w:after="0" w:line="360" w:lineRule="auto"/>
        <w:jc w:val="both"/>
        <w:rPr>
          <w:sz w:val="22"/>
          <w:szCs w:val="22"/>
          <w:lang w:val="en-US"/>
        </w:rPr>
      </w:pPr>
      <w:r>
        <w:rPr>
          <w:sz w:val="22"/>
          <w:szCs w:val="22"/>
          <w:lang w:val="en-US"/>
        </w:rPr>
        <w:tab/>
        <w:t>To measure the voluntary disclosure level it is also possible to create one’s own disclosure index model. Botosan (1997) constructed her own index, in which the items were derived from recommendations provided in the Jenkins report (AICPA, 1994), the SRI International survey (1987) and the CICA (1991). They described five categories of information: background information, summary of historical results, key non-financial statistics, projected information, and management discussion and analysis. The index consists of 35 elements spread across these categories. Further, Robb, Single and Zarzeski (2001) made an index for non-financial disclosures also based on the Jenkins report. A total of 65 items were grouped into three forward looking topics (environment around the company, strategy and management, and company trends) and three historical topics (environment of the company, production, and customers). They made use of an ordinal coding scheme, so each item could score a 1 (no disclosure), 2 (some disclosure) or 3 (extensive disclosure).</w:t>
      </w:r>
    </w:p>
    <w:p w:rsidR="00AE4097" w:rsidRDefault="00AE4097" w:rsidP="00AE4097">
      <w:pPr>
        <w:pStyle w:val="ecx000"/>
        <w:shd w:val="clear" w:color="auto" w:fill="FFFFFF"/>
        <w:spacing w:after="0" w:line="360" w:lineRule="auto"/>
        <w:jc w:val="both"/>
        <w:rPr>
          <w:i/>
          <w:sz w:val="22"/>
          <w:szCs w:val="22"/>
          <w:lang w:val="en-US"/>
        </w:rPr>
      </w:pPr>
    </w:p>
    <w:p w:rsidR="00AE4097" w:rsidRDefault="00AE4097" w:rsidP="008C2ED0">
      <w:pPr>
        <w:pStyle w:val="Heading3"/>
        <w:numPr>
          <w:ilvl w:val="2"/>
          <w:numId w:val="2"/>
        </w:numPr>
        <w:tabs>
          <w:tab w:val="num" w:pos="1004"/>
        </w:tabs>
        <w:suppressAutoHyphens/>
        <w:spacing w:before="0" w:after="0" w:line="360" w:lineRule="auto"/>
        <w:jc w:val="both"/>
        <w:rPr>
          <w:b w:val="0"/>
          <w:i/>
          <w:sz w:val="22"/>
          <w:szCs w:val="22"/>
          <w:lang w:val="en-US"/>
        </w:rPr>
      </w:pPr>
      <w:bookmarkStart w:id="88" w:name="_Toc288459343"/>
      <w:bookmarkStart w:id="89" w:name="_Toc288725884"/>
      <w:r>
        <w:rPr>
          <w:b w:val="0"/>
          <w:i/>
          <w:sz w:val="22"/>
          <w:szCs w:val="22"/>
          <w:lang w:val="en-US"/>
        </w:rPr>
        <w:t>Textual analysis</w:t>
      </w:r>
      <w:bookmarkEnd w:id="88"/>
      <w:bookmarkEnd w:id="89"/>
    </w:p>
    <w:p w:rsidR="00AE4097" w:rsidRDefault="00AE4097" w:rsidP="00AE4097">
      <w:pPr>
        <w:pStyle w:val="000"/>
        <w:suppressAutoHyphens/>
        <w:spacing w:line="360" w:lineRule="auto"/>
        <w:ind w:firstLine="567"/>
        <w:jc w:val="both"/>
        <w:rPr>
          <w:sz w:val="22"/>
          <w:szCs w:val="22"/>
          <w:lang w:val="en-US"/>
        </w:rPr>
      </w:pPr>
      <w:r>
        <w:rPr>
          <w:sz w:val="22"/>
          <w:szCs w:val="22"/>
          <w:lang w:val="en-US"/>
        </w:rPr>
        <w:t xml:space="preserve">Another method to measure disclosures is the textual analysis, for which the whole text has to be examined. In this type of analysis three categories can be distinguished: thematic content analysis, readability studies and linguistic analysis. </w:t>
      </w:r>
    </w:p>
    <w:p w:rsidR="00AE4097" w:rsidRPr="001A5DFC" w:rsidRDefault="00AE4097" w:rsidP="00AE4097">
      <w:pPr>
        <w:pStyle w:val="000"/>
        <w:suppressAutoHyphens/>
        <w:spacing w:line="360" w:lineRule="auto"/>
        <w:ind w:firstLine="567"/>
        <w:jc w:val="both"/>
        <w:rPr>
          <w:sz w:val="22"/>
          <w:szCs w:val="22"/>
          <w:lang w:val="en-US"/>
        </w:rPr>
      </w:pPr>
      <w:r>
        <w:rPr>
          <w:sz w:val="22"/>
          <w:szCs w:val="22"/>
          <w:lang w:val="en-US"/>
        </w:rPr>
        <w:t xml:space="preserve">The </w:t>
      </w:r>
      <w:r>
        <w:rPr>
          <w:i/>
          <w:sz w:val="22"/>
          <w:szCs w:val="22"/>
          <w:lang w:val="en-US"/>
        </w:rPr>
        <w:t>thematic content analysis</w:t>
      </w:r>
      <w:r>
        <w:rPr>
          <w:sz w:val="22"/>
          <w:szCs w:val="22"/>
          <w:lang w:val="en-US"/>
        </w:rPr>
        <w:t xml:space="preserve"> is based on reviewing the content of accounting narratives (Jones and Shoemaker, 1994). They examine the entire content or focus on specific sections of the annual report. Most studies make use of ‘themes’, which may be longer or shorter than a sentence. To be exact,</w:t>
      </w:r>
      <w:r>
        <w:rPr>
          <w:bCs/>
          <w:color w:val="000000"/>
          <w:sz w:val="22"/>
          <w:szCs w:val="22"/>
          <w:lang w:val="en-US"/>
        </w:rPr>
        <w:t xml:space="preserve"> this approach does not examine the amount of text or at the way it is presented, but it examines the message within the text. It is a less reliable semi-objective method since different people might find a different message in the same text. </w:t>
      </w:r>
      <w:r>
        <w:rPr>
          <w:sz w:val="22"/>
          <w:szCs w:val="22"/>
          <w:lang w:val="en-US"/>
        </w:rPr>
        <w:t>The themes of studies are of interest and they are recorded into units that are analyzed. According to the FASB (2001b) a prescribed list of detailed disclosures that is unique to each industry should be examined when using this method. The FASB report makes no attempt to quantify the amount or nature of disclosures in these topic categories. The list was made to represent good practice (Beattie et al. 2004).</w:t>
      </w:r>
      <w:r w:rsidRPr="001A5DFC">
        <w:rPr>
          <w:sz w:val="22"/>
          <w:szCs w:val="22"/>
          <w:lang w:val="en-US"/>
        </w:rPr>
        <w:t xml:space="preserve"> Since this approach ignores the amount of text, it is not a good measure for this research. </w:t>
      </w:r>
    </w:p>
    <w:p w:rsidR="00AE4097" w:rsidRDefault="00AE4097" w:rsidP="00AE4097">
      <w:pPr>
        <w:pStyle w:val="000"/>
        <w:suppressAutoHyphens/>
        <w:spacing w:line="360" w:lineRule="auto"/>
        <w:jc w:val="both"/>
        <w:rPr>
          <w:bCs/>
          <w:color w:val="000000"/>
          <w:sz w:val="22"/>
          <w:szCs w:val="22"/>
          <w:lang w:val="en-US"/>
        </w:rPr>
      </w:pPr>
      <w:r>
        <w:rPr>
          <w:b/>
          <w:sz w:val="22"/>
          <w:szCs w:val="22"/>
          <w:lang w:val="en-US"/>
        </w:rPr>
        <w:tab/>
      </w:r>
      <w:r>
        <w:rPr>
          <w:i/>
          <w:sz w:val="22"/>
          <w:szCs w:val="22"/>
          <w:lang w:val="en-US"/>
        </w:rPr>
        <w:t>Readability studies</w:t>
      </w:r>
      <w:r>
        <w:rPr>
          <w:b/>
          <w:sz w:val="22"/>
          <w:szCs w:val="22"/>
          <w:lang w:val="en-US"/>
        </w:rPr>
        <w:t xml:space="preserve"> </w:t>
      </w:r>
      <w:r>
        <w:rPr>
          <w:bCs/>
          <w:color w:val="000000"/>
          <w:sz w:val="22"/>
          <w:szCs w:val="22"/>
          <w:lang w:val="en-US"/>
        </w:rPr>
        <w:t xml:space="preserve">examine the degree of difficulty of the text and judge the length of the sentences and the difficulty of the words. </w:t>
      </w:r>
      <w:r>
        <w:rPr>
          <w:sz w:val="22"/>
          <w:szCs w:val="22"/>
          <w:lang w:val="en-US"/>
        </w:rPr>
        <w:t xml:space="preserve">The readability formula, such as the Flesch index, is used to analyze it. The scores are compared to external benchmarks to evaluate the degree of difficulty. </w:t>
      </w:r>
      <w:r>
        <w:rPr>
          <w:bCs/>
          <w:color w:val="000000"/>
          <w:sz w:val="22"/>
          <w:szCs w:val="22"/>
          <w:lang w:val="en-US"/>
        </w:rPr>
        <w:t xml:space="preserve">It is questionable if this is a good measurement for the quality of a disclosure, because there is no attention for the reader’s level. Despite the objectivity and reliability of annual report narratives, there are many </w:t>
      </w:r>
      <w:r>
        <w:rPr>
          <w:bCs/>
          <w:color w:val="000000"/>
          <w:sz w:val="22"/>
          <w:szCs w:val="22"/>
          <w:lang w:val="en-US"/>
        </w:rPr>
        <w:lastRenderedPageBreak/>
        <w:t>problems with the application of readability scores. Measures for children’s writings are inappropriate for adults, technical writings and readability scores focus on word and sentence-level features, not on the whole text (Jones and Shoemaker 1994). Finally, there is no attention for the reader’s interest and motivations. Because of the many problems of this model, this research will not use a readability studies to measure the content of risk disclosures.</w:t>
      </w:r>
    </w:p>
    <w:p w:rsidR="00AE4097" w:rsidRDefault="00AE4097" w:rsidP="00AE4097">
      <w:pPr>
        <w:pStyle w:val="000"/>
        <w:suppressAutoHyphens/>
        <w:spacing w:line="360" w:lineRule="auto"/>
        <w:ind w:firstLine="567"/>
        <w:jc w:val="both"/>
        <w:rPr>
          <w:bCs/>
          <w:color w:val="000000"/>
          <w:sz w:val="22"/>
          <w:szCs w:val="22"/>
          <w:lang w:val="en-US"/>
        </w:rPr>
      </w:pPr>
      <w:r>
        <w:rPr>
          <w:i/>
          <w:sz w:val="22"/>
          <w:szCs w:val="22"/>
          <w:lang w:val="en-US"/>
        </w:rPr>
        <w:t xml:space="preserve">Linguistic analyses </w:t>
      </w:r>
      <w:r>
        <w:rPr>
          <w:sz w:val="22"/>
          <w:szCs w:val="22"/>
          <w:lang w:val="en-US"/>
        </w:rPr>
        <w:t>are using a texture index that captures a much richer set of text characteristics than readability formulas (Sydserff and Weetman, 1999).</w:t>
      </w:r>
      <w:r>
        <w:rPr>
          <w:bCs/>
          <w:color w:val="000000"/>
          <w:sz w:val="22"/>
          <w:szCs w:val="22"/>
          <w:lang w:val="en-US"/>
        </w:rPr>
        <w:t xml:space="preserve"> There is </w:t>
      </w:r>
      <w:proofErr w:type="gramStart"/>
      <w:r>
        <w:rPr>
          <w:bCs/>
          <w:color w:val="000000"/>
          <w:sz w:val="22"/>
          <w:szCs w:val="22"/>
          <w:lang w:val="en-US"/>
        </w:rPr>
        <w:t>much  attention</w:t>
      </w:r>
      <w:proofErr w:type="gramEnd"/>
      <w:r>
        <w:rPr>
          <w:bCs/>
          <w:color w:val="000000"/>
          <w:sz w:val="22"/>
          <w:szCs w:val="22"/>
          <w:lang w:val="en-US"/>
        </w:rPr>
        <w:t xml:space="preserve"> for many different aspects of the text. This analysis requires further research </w:t>
      </w:r>
      <w:r w:rsidRPr="00D952B7">
        <w:rPr>
          <w:bCs/>
          <w:sz w:val="22"/>
          <w:szCs w:val="22"/>
          <w:lang w:val="en-US"/>
        </w:rPr>
        <w:t>of users’ weightings for</w:t>
      </w:r>
      <w:r>
        <w:rPr>
          <w:bCs/>
          <w:color w:val="000000"/>
          <w:sz w:val="22"/>
          <w:szCs w:val="22"/>
          <w:lang w:val="en-US"/>
        </w:rPr>
        <w:t xml:space="preserve"> each text characteristic. Unfortunately, this analysis is not very useful for determining the quantity of disclosures. Studies show that a higher texture score did not necessarily mean a better disclosure (Beattie et al., 2004)  and more research still has to be done on which criteria are representative for the quantity of disclosures. For that reason this analysis will not be used in this research. </w:t>
      </w:r>
    </w:p>
    <w:p w:rsidR="00AE4097" w:rsidRDefault="00AE4097" w:rsidP="00AE4097">
      <w:pPr>
        <w:suppressAutoHyphens/>
        <w:spacing w:line="360" w:lineRule="auto"/>
        <w:jc w:val="both"/>
        <w:rPr>
          <w:sz w:val="22"/>
          <w:szCs w:val="22"/>
          <w:lang w:val="en-US"/>
        </w:rPr>
      </w:pPr>
      <w:r>
        <w:rPr>
          <w:i/>
          <w:iCs/>
          <w:sz w:val="22"/>
          <w:szCs w:val="22"/>
          <w:lang w:val="en-US"/>
        </w:rPr>
        <w:tab/>
      </w:r>
      <w:r>
        <w:rPr>
          <w:bCs/>
          <w:iCs/>
          <w:color w:val="000000"/>
          <w:sz w:val="22"/>
          <w:szCs w:val="22"/>
          <w:lang w:val="en-US"/>
        </w:rPr>
        <w:t>Beattie et al. (2004) argued</w:t>
      </w:r>
      <w:r>
        <w:rPr>
          <w:bCs/>
          <w:color w:val="000000"/>
          <w:sz w:val="22"/>
          <w:szCs w:val="22"/>
          <w:lang w:val="en-US"/>
        </w:rPr>
        <w:t xml:space="preserve"> that current approaches have two fundamental limitations. The first is that they are one-dimensional, whereas disclosure is a complex, multi-faceted concept. Only one aspect of the text like absence/presence or topic length is discussed instead of the combination of different aspects. Further, there is little attention for the type of disclosure in relation to the topic. The second limitation is that they focus on </w:t>
      </w:r>
      <w:r w:rsidRPr="001501F8">
        <w:rPr>
          <w:bCs/>
          <w:color w:val="000000"/>
          <w:sz w:val="22"/>
          <w:szCs w:val="22"/>
          <w:lang w:val="en-US"/>
        </w:rPr>
        <w:t>partial items instead of the entire content of the annual report. None of the methods give a detailed analysis of the whole content of the entire annual report. Beattie et al. (2004) therefore introduce ‘</w:t>
      </w:r>
      <w:r w:rsidRPr="001501F8">
        <w:rPr>
          <w:bCs/>
          <w:iCs/>
          <w:color w:val="000000"/>
          <w:sz w:val="22"/>
          <w:szCs w:val="22"/>
          <w:lang w:val="en-US"/>
        </w:rPr>
        <w:t xml:space="preserve">a four-dimensional framework’, which involves three terms: time-orientation, financial orientation and quantitative orientation. </w:t>
      </w:r>
      <w:r w:rsidRPr="001501F8">
        <w:rPr>
          <w:iCs/>
          <w:color w:val="000000"/>
          <w:sz w:val="22"/>
          <w:szCs w:val="22"/>
          <w:lang w:val="en-US"/>
        </w:rPr>
        <w:t>The</w:t>
      </w:r>
      <w:r>
        <w:rPr>
          <w:iCs/>
          <w:color w:val="000000"/>
          <w:sz w:val="22"/>
          <w:szCs w:val="22"/>
          <w:lang w:val="en-US"/>
        </w:rPr>
        <w:t xml:space="preserve"> topic analysis is based upon the comprehensive model of business reporting proposed in the Jenkins report</w:t>
      </w:r>
      <w:r>
        <w:rPr>
          <w:color w:val="000000"/>
          <w:sz w:val="22"/>
          <w:szCs w:val="22"/>
          <w:lang w:val="en-US"/>
        </w:rPr>
        <w:t xml:space="preserve"> </w:t>
      </w:r>
      <w:r>
        <w:rPr>
          <w:sz w:val="22"/>
          <w:szCs w:val="22"/>
          <w:lang w:val="en-US"/>
        </w:rPr>
        <w:t xml:space="preserve">(AICPA, 1994). This framework is multi-dimensional and analyses every section of the annual report that is voluntary disclosed (Beattie et al., 2004). </w:t>
      </w:r>
    </w:p>
    <w:p w:rsidR="00AE4097" w:rsidRDefault="00AE4097" w:rsidP="00AE4097">
      <w:pPr>
        <w:suppressAutoHyphens/>
        <w:spacing w:line="360" w:lineRule="auto"/>
        <w:jc w:val="both"/>
        <w:rPr>
          <w:sz w:val="22"/>
          <w:szCs w:val="22"/>
          <w:lang w:val="en-US"/>
        </w:rPr>
      </w:pPr>
    </w:p>
    <w:p w:rsidR="00AE4097" w:rsidRDefault="00AE4097" w:rsidP="008C2ED0">
      <w:pPr>
        <w:pStyle w:val="Heading3"/>
        <w:numPr>
          <w:ilvl w:val="2"/>
          <w:numId w:val="2"/>
        </w:numPr>
        <w:tabs>
          <w:tab w:val="num" w:pos="1004"/>
        </w:tabs>
        <w:suppressAutoHyphens/>
        <w:spacing w:before="0" w:after="0" w:line="360" w:lineRule="auto"/>
        <w:jc w:val="both"/>
        <w:rPr>
          <w:b w:val="0"/>
          <w:i/>
          <w:sz w:val="22"/>
          <w:szCs w:val="22"/>
          <w:lang w:val="en-US"/>
        </w:rPr>
      </w:pPr>
      <w:bookmarkStart w:id="90" w:name="_Toc288459344"/>
      <w:bookmarkStart w:id="91" w:name="_Toc288725885"/>
      <w:r>
        <w:rPr>
          <w:b w:val="0"/>
          <w:i/>
          <w:sz w:val="22"/>
          <w:szCs w:val="22"/>
          <w:lang w:val="en-US"/>
        </w:rPr>
        <w:t>Content analysis</w:t>
      </w:r>
      <w:bookmarkEnd w:id="90"/>
      <w:bookmarkEnd w:id="91"/>
    </w:p>
    <w:p w:rsidR="00AE4097" w:rsidRDefault="00AE4097" w:rsidP="00AE4097">
      <w:pPr>
        <w:pStyle w:val="BodyTextIndent"/>
        <w:suppressAutoHyphens/>
      </w:pPr>
      <w:r>
        <w:t xml:space="preserve">Content analysis is a method of codifying texts into various categories based on selected criteria, which is useful when a large amount of data must </w:t>
      </w:r>
      <w:proofErr w:type="gramStart"/>
      <w:r>
        <w:t>be</w:t>
      </w:r>
      <w:proofErr w:type="gramEnd"/>
      <w:r>
        <w:t xml:space="preserve"> analyzed (Holsti, 1969). It is important that the classification process is reliable and valid. Reliable means that different people will code the text in the same way and valid is that the variables generated from the procedure are what the researcher intended to present (Weber, 1985). Krippendorff (1980) describes three types of reliability used for determining the classification of text units. The first one is stability, which means the extent to which the same coder is consistent over time when coding the same content. The second type is reproducibility (or inter-coder reliability); the extent to which different coders produce the same results when coding the same content. Last, accuracy is important as well. This is the extent to which the classification of text corresponds to a standard or norm. The most used measure is reproducibility, because stability is a weak measure of reliability and a standard or norm seldom exists (Beattie et al., 2004). According to Milne and Adler (1999), content analysis involves two activities: </w:t>
      </w:r>
    </w:p>
    <w:p w:rsidR="00AE4097" w:rsidRPr="00235119" w:rsidRDefault="00AE4097" w:rsidP="00AE4097">
      <w:pPr>
        <w:pStyle w:val="BodyTextIndent"/>
        <w:suppressAutoHyphens/>
        <w:ind w:firstLine="0"/>
      </w:pPr>
      <w:r>
        <w:lastRenderedPageBreak/>
        <w:t xml:space="preserve">“the </w:t>
      </w:r>
      <w:r w:rsidRPr="00C333E1">
        <w:t xml:space="preserve">construction of a classification scheme and devising a set of rules about ‘what’ and ‘how’ to code, measure and record the data to be classified”. Content analysis can either be computer-aided or </w:t>
      </w:r>
      <w:r w:rsidRPr="00FE2F2B">
        <w:t>human-coded (Beattie et al., 2004). The last one</w:t>
      </w:r>
      <w:r w:rsidRPr="00C333E1">
        <w:t xml:space="preserve"> has the advantage, because it allows the quantitative assessment of achieved reliability whereas the machine counting of words still requires subjective inputs in relation to the identification of key words (Smith and Taffler, 2000). </w:t>
      </w:r>
    </w:p>
    <w:p w:rsidR="00AE4097" w:rsidRDefault="00AE4097" w:rsidP="00AE4097">
      <w:pPr>
        <w:suppressAutoHyphens/>
        <w:spacing w:line="360" w:lineRule="auto"/>
        <w:ind w:firstLine="567"/>
        <w:jc w:val="both"/>
        <w:rPr>
          <w:sz w:val="22"/>
          <w:szCs w:val="22"/>
          <w:lang w:val="en-US"/>
        </w:rPr>
      </w:pPr>
      <w:r>
        <w:rPr>
          <w:sz w:val="22"/>
          <w:szCs w:val="22"/>
          <w:lang w:val="en-US"/>
        </w:rPr>
        <w:t xml:space="preserve">Content analysis is a widely used method in prior accounting research. According to Linsley and Shrives (2006a), there are several possibilities in choosing a coding and counting unit: words, page proportions or sentences. Milne and Adler (1999), Beretta and Bozzolan (2004), Linsley and Shrives (2006a) and Abraham and Cox (2007) use sentences for coding and measuring risk disclosures. It is not useful to look at single words only. Without a sentence they have no meaning at all. More reliable results will be achieved by looking at the words in their proper context. Nor is it easy to decide which words are describing risk disclosures. However, a limitation of using sentences is that companies have the possibility to use a particular style of writing to influence the disclosure </w:t>
      </w:r>
      <w:proofErr w:type="gramStart"/>
      <w:r>
        <w:rPr>
          <w:sz w:val="22"/>
          <w:szCs w:val="22"/>
          <w:lang w:val="en-US"/>
        </w:rPr>
        <w:t>measurement’s  outcome</w:t>
      </w:r>
      <w:proofErr w:type="gramEnd"/>
      <w:r>
        <w:rPr>
          <w:sz w:val="22"/>
          <w:szCs w:val="22"/>
          <w:lang w:val="en-US"/>
        </w:rPr>
        <w:t xml:space="preserve"> (Abraham and Cox, 2007). </w:t>
      </w:r>
    </w:p>
    <w:p w:rsidR="00AE4097" w:rsidRDefault="00AE4097" w:rsidP="00AE4097">
      <w:pPr>
        <w:suppressAutoHyphens/>
        <w:spacing w:line="360" w:lineRule="auto"/>
        <w:ind w:firstLine="567"/>
        <w:jc w:val="both"/>
        <w:rPr>
          <w:sz w:val="22"/>
          <w:szCs w:val="22"/>
          <w:lang w:val="en-US"/>
        </w:rPr>
      </w:pPr>
      <w:r>
        <w:rPr>
          <w:sz w:val="22"/>
          <w:szCs w:val="22"/>
          <w:lang w:val="en-US"/>
        </w:rPr>
        <w:t xml:space="preserve">Another weakness of content analysis is that it is a subjective method. Because of this, Linsley and Shrives (2006a) argue that there is need for a reliable and valid coding scheme. Some other studies, such as Bowman (1984), suggest that more than one person should read and code the document in order to decrease the subjectivity of the analysis. Despite its limitation, a content analysis is used for this research. When comparing this paper with prior research, it is essential that the research method is the same as in other researches. If not, it would not be possible to make a reliable comparison between these studies. </w:t>
      </w:r>
      <w:r w:rsidRPr="001A5DFC">
        <w:rPr>
          <w:sz w:val="22"/>
          <w:szCs w:val="22"/>
          <w:lang w:val="en-US"/>
        </w:rPr>
        <w:t>Because of</w:t>
      </w:r>
      <w:r>
        <w:rPr>
          <w:sz w:val="22"/>
          <w:szCs w:val="22"/>
          <w:lang w:val="en-US"/>
        </w:rPr>
        <w:t xml:space="preserve"> some </w:t>
      </w:r>
      <w:r w:rsidRPr="001A5DFC">
        <w:rPr>
          <w:sz w:val="22"/>
          <w:szCs w:val="22"/>
          <w:lang w:val="en-US"/>
        </w:rPr>
        <w:t>limitations of the content analysis, it is useful to combine a content analysis with another measure of voluntary disclosures. The contributing value of this paper is that it combines a content analysis (measure the number of sentences) with a risk disclosure index.</w:t>
      </w:r>
      <w:r>
        <w:rPr>
          <w:sz w:val="22"/>
          <w:szCs w:val="22"/>
          <w:lang w:val="en-US"/>
        </w:rPr>
        <w:t xml:space="preserve"> </w:t>
      </w:r>
    </w:p>
    <w:p w:rsidR="00AE4097" w:rsidRDefault="00AE4097" w:rsidP="008C2ED0">
      <w:pPr>
        <w:pStyle w:val="Heading2"/>
        <w:numPr>
          <w:ilvl w:val="1"/>
          <w:numId w:val="2"/>
        </w:numPr>
        <w:suppressAutoHyphens/>
        <w:jc w:val="both"/>
        <w:rPr>
          <w:i w:val="0"/>
          <w:sz w:val="22"/>
          <w:szCs w:val="22"/>
          <w:lang w:val="en-US"/>
        </w:rPr>
      </w:pPr>
      <w:bookmarkStart w:id="92" w:name="_Toc288459345"/>
      <w:bookmarkStart w:id="93" w:name="_Toc288725886"/>
      <w:r>
        <w:rPr>
          <w:i w:val="0"/>
          <w:sz w:val="22"/>
          <w:szCs w:val="22"/>
          <w:lang w:val="en-US"/>
        </w:rPr>
        <w:t>Risk reporting</w:t>
      </w:r>
      <w:bookmarkEnd w:id="92"/>
      <w:bookmarkEnd w:id="93"/>
    </w:p>
    <w:p w:rsidR="00AE4097" w:rsidRDefault="00AE4097" w:rsidP="00AE4097">
      <w:pPr>
        <w:pStyle w:val="000"/>
        <w:suppressAutoHyphens/>
        <w:spacing w:line="360" w:lineRule="auto"/>
        <w:ind w:firstLine="567"/>
        <w:jc w:val="both"/>
        <w:rPr>
          <w:sz w:val="22"/>
          <w:szCs w:val="22"/>
          <w:lang w:val="en-US"/>
        </w:rPr>
      </w:pPr>
      <w:r w:rsidRPr="00C9304B">
        <w:rPr>
          <w:sz w:val="22"/>
          <w:szCs w:val="22"/>
          <w:lang w:val="en-US"/>
        </w:rPr>
        <w:t xml:space="preserve">In recent years, the concept of risk will get more considerable attention (Power, 2004). Before it is possible to examine the amount and content of </w:t>
      </w:r>
      <w:r>
        <w:rPr>
          <w:sz w:val="22"/>
          <w:szCs w:val="22"/>
          <w:lang w:val="en-US"/>
        </w:rPr>
        <w:t>risk reporting</w:t>
      </w:r>
      <w:r w:rsidRPr="00C9304B">
        <w:rPr>
          <w:sz w:val="22"/>
          <w:szCs w:val="22"/>
          <w:lang w:val="en-US"/>
        </w:rPr>
        <w:t xml:space="preserve"> it is important to know what is meant </w:t>
      </w:r>
      <w:r w:rsidRPr="00F073FE">
        <w:rPr>
          <w:sz w:val="22"/>
          <w:szCs w:val="22"/>
          <w:lang w:val="en-US"/>
        </w:rPr>
        <w:t xml:space="preserve">by </w:t>
      </w:r>
      <w:r w:rsidR="00F073FE" w:rsidRPr="00F073FE">
        <w:rPr>
          <w:sz w:val="22"/>
          <w:szCs w:val="22"/>
          <w:lang w:val="en-US"/>
        </w:rPr>
        <w:t>risk reporting</w:t>
      </w:r>
      <w:r w:rsidRPr="00F073FE">
        <w:rPr>
          <w:sz w:val="22"/>
          <w:szCs w:val="22"/>
          <w:lang w:val="en-US"/>
        </w:rPr>
        <w:t>. This</w:t>
      </w:r>
      <w:r w:rsidRPr="00C9304B">
        <w:rPr>
          <w:sz w:val="22"/>
          <w:szCs w:val="22"/>
          <w:lang w:val="en-US"/>
        </w:rPr>
        <w:t xml:space="preserve"> paragraph reviews several definitions of risk as described in literature, then it explains the Enterprise Risk Management framework and it ends with a description of the different risk categories used in prior research.</w:t>
      </w:r>
    </w:p>
    <w:p w:rsidR="00AE4097" w:rsidRDefault="00AE4097" w:rsidP="00AE4097">
      <w:pPr>
        <w:pStyle w:val="000"/>
        <w:suppressAutoHyphens/>
        <w:spacing w:line="360" w:lineRule="auto"/>
        <w:jc w:val="both"/>
        <w:rPr>
          <w:sz w:val="22"/>
          <w:szCs w:val="22"/>
          <w:lang w:val="en-US"/>
        </w:rPr>
      </w:pPr>
    </w:p>
    <w:p w:rsidR="00AE4097" w:rsidRDefault="00AE4097" w:rsidP="008C2ED0">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94" w:name="_Toc285109170"/>
      <w:bookmarkStart w:id="95" w:name="_Toc288459346"/>
      <w:bookmarkStart w:id="96" w:name="_Toc288725887"/>
      <w:r>
        <w:rPr>
          <w:b w:val="0"/>
          <w:i/>
          <w:sz w:val="22"/>
          <w:szCs w:val="22"/>
          <w:lang w:val="en-US"/>
        </w:rPr>
        <w:t>Definition of risk</w:t>
      </w:r>
      <w:bookmarkEnd w:id="94"/>
      <w:bookmarkEnd w:id="95"/>
      <w:bookmarkEnd w:id="96"/>
    </w:p>
    <w:p w:rsidR="00AE4097" w:rsidRDefault="00AE4097" w:rsidP="00AE4097">
      <w:pPr>
        <w:pStyle w:val="000"/>
        <w:suppressAutoHyphens/>
        <w:spacing w:line="360" w:lineRule="auto"/>
        <w:jc w:val="both"/>
        <w:rPr>
          <w:sz w:val="22"/>
          <w:szCs w:val="22"/>
          <w:lang w:val="en-US"/>
        </w:rPr>
      </w:pPr>
      <w:r>
        <w:rPr>
          <w:sz w:val="22"/>
          <w:szCs w:val="22"/>
          <w:lang w:val="en-US"/>
        </w:rPr>
        <w:t xml:space="preserve">In everyday language ‘risk’ is a very broad concept, synonymous for example for hazard, threat or harm (Lupton, 1999). There is no clear definition of ‘risk’. The dictionary describes ‘risk’ as “danger for loss or damage”. This is in accordance with the negative association most people have with the term ‘risk’. This is </w:t>
      </w:r>
      <w:proofErr w:type="gramStart"/>
      <w:r>
        <w:rPr>
          <w:sz w:val="22"/>
          <w:szCs w:val="22"/>
          <w:lang w:val="en-US"/>
        </w:rPr>
        <w:t>an</w:t>
      </w:r>
      <w:proofErr w:type="gramEnd"/>
      <w:r>
        <w:rPr>
          <w:sz w:val="22"/>
          <w:szCs w:val="22"/>
          <w:lang w:val="en-US"/>
        </w:rPr>
        <w:t xml:space="preserve"> one-sided concept. Risk just measures the potentials for downside outcomes or </w:t>
      </w:r>
      <w:r>
        <w:rPr>
          <w:sz w:val="22"/>
          <w:szCs w:val="22"/>
          <w:lang w:val="en-US"/>
        </w:rPr>
        <w:lastRenderedPageBreak/>
        <w:t xml:space="preserve">losses. However, a risk can be positive as well. The two-sided concept consists of both downside (negative) and upside (positive) components. Firms should be able to make use of the upside risks to control risk exposure and minimize the effect of the downside risks. For investors it is important to identify the companies that have done so (Lajili and Zéghal, 2005). The two-sided concept is part of   the modern view of risk, contrary to the pre-modern period, when risks were considered to be bad (Linsley and Shrives, 2006a). </w:t>
      </w:r>
    </w:p>
    <w:p w:rsidR="00AE4097" w:rsidRDefault="00AE4097" w:rsidP="00AE4097">
      <w:pPr>
        <w:pStyle w:val="000"/>
        <w:suppressAutoHyphens/>
        <w:spacing w:line="360" w:lineRule="auto"/>
        <w:ind w:firstLine="567"/>
        <w:jc w:val="both"/>
        <w:rPr>
          <w:sz w:val="22"/>
          <w:szCs w:val="22"/>
          <w:lang w:val="en-US"/>
        </w:rPr>
      </w:pPr>
      <w:r>
        <w:rPr>
          <w:sz w:val="22"/>
          <w:szCs w:val="22"/>
          <w:lang w:val="en-US"/>
        </w:rPr>
        <w:t xml:space="preserve">There are more definitions of risk than the </w:t>
      </w:r>
      <w:proofErr w:type="gramStart"/>
      <w:r>
        <w:rPr>
          <w:sz w:val="22"/>
          <w:szCs w:val="22"/>
          <w:lang w:val="en-US"/>
        </w:rPr>
        <w:t>dictionary’s</w:t>
      </w:r>
      <w:proofErr w:type="gramEnd"/>
      <w:r>
        <w:rPr>
          <w:sz w:val="22"/>
          <w:szCs w:val="22"/>
          <w:lang w:val="en-US"/>
        </w:rPr>
        <w:t>. Risk is considered to be synonymous for uncertainty, which exists in situations where probabilities were not available. Finance textbooks define ‘risk’ as “a set of outcomes arising from a decision that can be assigned probabilities whereas ‘uncertainty’ arises when probabilities cannot be assigned to the set of outcomes” (Watson and Head, 1998). The ASB and the ICAEW define ‘risk’ as the “uncertainty as to the amount of benefits. The term includes both potential for gain and exposure to loss” (ICAEW, 1998). The definition by Linsley and Shrives (2006) is more extensive: “any opportunity or prospect, or any hazard, danger, harm, threat or exposure, that has already impacted upon the company or may impact upon the company in the future or management of such opportunity, prospect, hazard, harm, threat or exposure”. This broad definition includes both ‘good’ / ‘bad’ risks and ‘uncertainty’. This is in accordance with Lupton’s (1999) notion that risk is a very broad concept. The definition of Linsley and Shrives (2006a) is used in this thesis. When examining the influence of the financial crisis on the risk paragraph, it is useful to look at both the positive and the negative components of risk. Finally, Beretta and Bozzolan (2004) defined risk disclosures as “the communication of factors that have the potential to affect expected results”.</w:t>
      </w:r>
    </w:p>
    <w:p w:rsidR="00AE4097" w:rsidRDefault="00AE4097" w:rsidP="00AE4097">
      <w:pPr>
        <w:pStyle w:val="000"/>
        <w:suppressAutoHyphens/>
        <w:spacing w:line="360" w:lineRule="auto"/>
        <w:ind w:firstLine="567"/>
        <w:jc w:val="both"/>
        <w:rPr>
          <w:sz w:val="22"/>
          <w:szCs w:val="22"/>
          <w:lang w:val="en-US"/>
        </w:rPr>
      </w:pPr>
    </w:p>
    <w:p w:rsidR="00AE4097" w:rsidRDefault="00AE4097" w:rsidP="008C2ED0">
      <w:pPr>
        <w:pStyle w:val="Heading3"/>
        <w:numPr>
          <w:ilvl w:val="2"/>
          <w:numId w:val="2"/>
        </w:numPr>
        <w:tabs>
          <w:tab w:val="clear" w:pos="720"/>
          <w:tab w:val="num" w:pos="1004"/>
        </w:tabs>
        <w:suppressAutoHyphens/>
        <w:spacing w:before="0" w:after="0" w:line="360" w:lineRule="auto"/>
        <w:jc w:val="both"/>
        <w:rPr>
          <w:sz w:val="22"/>
          <w:szCs w:val="22"/>
          <w:lang w:val="en-US"/>
        </w:rPr>
      </w:pPr>
      <w:bookmarkStart w:id="97" w:name="_Toc285109171"/>
      <w:bookmarkStart w:id="98" w:name="_Toc288459347"/>
      <w:bookmarkStart w:id="99" w:name="_Toc288725888"/>
      <w:r>
        <w:rPr>
          <w:b w:val="0"/>
          <w:i/>
          <w:sz w:val="22"/>
          <w:szCs w:val="22"/>
          <w:lang w:val="en-US"/>
        </w:rPr>
        <w:t>Enterprise Risk Management framework</w:t>
      </w:r>
      <w:bookmarkEnd w:id="97"/>
      <w:bookmarkEnd w:id="98"/>
      <w:bookmarkEnd w:id="99"/>
    </w:p>
    <w:p w:rsidR="007C1A3A" w:rsidRDefault="00AE4097" w:rsidP="00AE4097">
      <w:pPr>
        <w:pStyle w:val="000"/>
        <w:suppressAutoHyphens/>
        <w:spacing w:line="360" w:lineRule="auto"/>
        <w:jc w:val="both"/>
        <w:rPr>
          <w:sz w:val="22"/>
          <w:szCs w:val="22"/>
          <w:lang w:val="en-US"/>
        </w:rPr>
      </w:pPr>
      <w:r w:rsidRPr="00D952B7">
        <w:rPr>
          <w:sz w:val="22"/>
          <w:szCs w:val="22"/>
          <w:lang w:val="en-US"/>
        </w:rPr>
        <w:t>Now the definition of risk is clear, the meaning of risk management must be explained as well. Risk management has become a serious part of the company’s internal</w:t>
      </w:r>
      <w:r>
        <w:rPr>
          <w:sz w:val="22"/>
          <w:szCs w:val="22"/>
          <w:lang w:val="en-US"/>
        </w:rPr>
        <w:t xml:space="preserve"> control and governance, because of the increasing complexity of doing business (Amran et al., 2009). In 2004 the Committee of Sponsoring Organizations of the Treadway Commission (COSO) published a new framework placing it within the broader context of Enterprise Risk Management (ERM): ‘Enterprise Risk Management – an Integrated Framework (COSO II). This model is the sequel of the ‘Internal Control – an Integrated Framework’, which was released in 1992 also by the COSO. This model served as a fundament when seriously discussing internal control. Managers had to take measures to ensure the effectiveness and efficiency of operations, reliable financial reporting, and legal and regulatory compliance. The total of these actions formed the process of internal control, which was defined as ‘the sum of the tools and techniques used by management to ensure it achieves its objectives’ (Gauthier, 2006). COSO II defines Enterprise Risk Management as ‘a process effected by an entity’s board of directors, management and other personnel, applied in strategy setting and across the enterprise, designed to identify potential events that may affect the entity, and manage risk to be within its risk appetite, </w:t>
      </w:r>
    </w:p>
    <w:p w:rsidR="00AE4097" w:rsidRDefault="00AE4097" w:rsidP="00AE4097">
      <w:pPr>
        <w:pStyle w:val="000"/>
        <w:suppressAutoHyphens/>
        <w:spacing w:line="360" w:lineRule="auto"/>
        <w:jc w:val="both"/>
        <w:rPr>
          <w:sz w:val="22"/>
          <w:szCs w:val="22"/>
          <w:lang w:val="en-US"/>
        </w:rPr>
      </w:pPr>
      <w:proofErr w:type="gramStart"/>
      <w:r>
        <w:rPr>
          <w:sz w:val="22"/>
          <w:szCs w:val="22"/>
          <w:lang w:val="en-US"/>
        </w:rPr>
        <w:lastRenderedPageBreak/>
        <w:t>to</w:t>
      </w:r>
      <w:proofErr w:type="gramEnd"/>
      <w:r>
        <w:rPr>
          <w:sz w:val="22"/>
          <w:szCs w:val="22"/>
          <w:lang w:val="en-US"/>
        </w:rPr>
        <w:t xml:space="preserve"> provide reasonable assurance regarding the achievement of entity objectives. This process necessarily involves both individual units within an organization and the organization as a whole’ (Gauthier, 2006). </w:t>
      </w:r>
    </w:p>
    <w:p w:rsidR="00AE4097" w:rsidRDefault="00AE4097" w:rsidP="00AE4097">
      <w:pPr>
        <w:pStyle w:val="000"/>
        <w:suppressAutoHyphens/>
        <w:spacing w:line="360" w:lineRule="auto"/>
        <w:ind w:firstLine="567"/>
        <w:jc w:val="center"/>
        <w:rPr>
          <w:sz w:val="22"/>
          <w:szCs w:val="22"/>
          <w:lang w:val="en-US"/>
        </w:rPr>
      </w:pPr>
      <w:r>
        <w:rPr>
          <w:noProof/>
          <w:sz w:val="22"/>
          <w:szCs w:val="22"/>
        </w:rPr>
        <w:drawing>
          <wp:inline distT="0" distB="0" distL="0" distR="0">
            <wp:extent cx="3152775" cy="2819400"/>
            <wp:effectExtent l="19050" t="0" r="9525" b="0"/>
            <wp:docPr id="1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 cstate="print"/>
                    <a:srcRect/>
                    <a:stretch>
                      <a:fillRect/>
                    </a:stretch>
                  </pic:blipFill>
                  <pic:spPr bwMode="auto">
                    <a:xfrm>
                      <a:off x="0" y="0"/>
                      <a:ext cx="3152775" cy="2819400"/>
                    </a:xfrm>
                    <a:prstGeom prst="rect">
                      <a:avLst/>
                    </a:prstGeom>
                    <a:noFill/>
                    <a:ln w="9525">
                      <a:noFill/>
                      <a:miter lim="800000"/>
                      <a:headEnd/>
                      <a:tailEnd/>
                    </a:ln>
                  </pic:spPr>
                </pic:pic>
              </a:graphicData>
            </a:graphic>
          </wp:inline>
        </w:drawing>
      </w:r>
    </w:p>
    <w:p w:rsidR="00AE4097" w:rsidRDefault="00AE4097" w:rsidP="00182F32">
      <w:pPr>
        <w:pStyle w:val="000"/>
        <w:suppressAutoHyphens/>
        <w:ind w:left="2835"/>
        <w:jc w:val="both"/>
        <w:rPr>
          <w:b/>
          <w:sz w:val="22"/>
          <w:szCs w:val="20"/>
          <w:lang w:val="en-US"/>
        </w:rPr>
      </w:pPr>
      <w:r>
        <w:rPr>
          <w:b/>
          <w:sz w:val="22"/>
          <w:szCs w:val="20"/>
          <w:lang w:val="en-US"/>
        </w:rPr>
        <w:t>Figure 2: COSO II Framework</w:t>
      </w:r>
    </w:p>
    <w:p w:rsidR="00AE4097" w:rsidRDefault="00AE4097" w:rsidP="00AE4097">
      <w:pPr>
        <w:pStyle w:val="000"/>
        <w:suppressAutoHyphens/>
        <w:jc w:val="both"/>
        <w:rPr>
          <w:sz w:val="22"/>
          <w:szCs w:val="20"/>
          <w:lang w:val="en-US"/>
        </w:rPr>
      </w:pPr>
    </w:p>
    <w:p w:rsidR="00AE4097" w:rsidRDefault="00AE4097" w:rsidP="00A82089">
      <w:pPr>
        <w:pStyle w:val="000"/>
        <w:suppressAutoHyphens/>
        <w:spacing w:line="360" w:lineRule="auto"/>
        <w:ind w:firstLine="360"/>
        <w:jc w:val="both"/>
        <w:rPr>
          <w:sz w:val="22"/>
          <w:szCs w:val="22"/>
          <w:lang w:val="en-US"/>
        </w:rPr>
      </w:pPr>
      <w:r>
        <w:rPr>
          <w:sz w:val="22"/>
          <w:szCs w:val="22"/>
          <w:lang w:val="en-US"/>
        </w:rPr>
        <w:t>The ERM framework looks at activities at all levels of the organization. This framework uses the three basic managerial objectives from COSO I (operations, reporting and compliance), identifies a new category of strategic objectives and has eight interrelated components (Gauthier, 2006), which a company has to consider. The components are as follows:</w:t>
      </w:r>
    </w:p>
    <w:p w:rsidR="00AE4097" w:rsidRDefault="00AE4097" w:rsidP="00A82089">
      <w:pPr>
        <w:pStyle w:val="000"/>
        <w:numPr>
          <w:ilvl w:val="0"/>
          <w:numId w:val="12"/>
        </w:numPr>
        <w:suppressAutoHyphens/>
        <w:spacing w:line="360" w:lineRule="auto"/>
        <w:jc w:val="both"/>
        <w:rPr>
          <w:sz w:val="22"/>
          <w:szCs w:val="22"/>
          <w:lang w:val="en-US"/>
        </w:rPr>
      </w:pPr>
      <w:r>
        <w:rPr>
          <w:sz w:val="22"/>
          <w:szCs w:val="22"/>
          <w:lang w:val="en-US"/>
        </w:rPr>
        <w:t>Internal environment (identification of an entity’s tolerance for loss or risk appetite)</w:t>
      </w:r>
    </w:p>
    <w:p w:rsidR="00AE4097" w:rsidRDefault="00AE4097" w:rsidP="00A82089">
      <w:pPr>
        <w:pStyle w:val="000"/>
        <w:numPr>
          <w:ilvl w:val="0"/>
          <w:numId w:val="12"/>
        </w:numPr>
        <w:suppressAutoHyphens/>
        <w:spacing w:line="360" w:lineRule="auto"/>
        <w:jc w:val="both"/>
        <w:rPr>
          <w:sz w:val="22"/>
          <w:szCs w:val="22"/>
          <w:lang w:val="en-US"/>
        </w:rPr>
      </w:pPr>
      <w:r>
        <w:rPr>
          <w:sz w:val="22"/>
          <w:szCs w:val="22"/>
          <w:lang w:val="en-US"/>
        </w:rPr>
        <w:t>Objective setting (providing the context for risk assessment, given that a risk is defined as something that could prevent an entity from achieving its objectives)</w:t>
      </w:r>
    </w:p>
    <w:p w:rsidR="00AE4097" w:rsidRDefault="00AE4097" w:rsidP="00A82089">
      <w:pPr>
        <w:pStyle w:val="000"/>
        <w:numPr>
          <w:ilvl w:val="0"/>
          <w:numId w:val="12"/>
        </w:numPr>
        <w:suppressAutoHyphens/>
        <w:spacing w:line="360" w:lineRule="auto"/>
        <w:jc w:val="both"/>
        <w:rPr>
          <w:sz w:val="22"/>
          <w:szCs w:val="22"/>
          <w:lang w:val="en-US"/>
        </w:rPr>
      </w:pPr>
      <w:r>
        <w:rPr>
          <w:sz w:val="22"/>
          <w:szCs w:val="22"/>
          <w:lang w:val="en-US"/>
        </w:rPr>
        <w:t>Event identification (distinguish between opportunities and risks)</w:t>
      </w:r>
    </w:p>
    <w:p w:rsidR="00AE4097" w:rsidRDefault="00AE4097" w:rsidP="00A82089">
      <w:pPr>
        <w:pStyle w:val="000"/>
        <w:numPr>
          <w:ilvl w:val="0"/>
          <w:numId w:val="12"/>
        </w:numPr>
        <w:suppressAutoHyphens/>
        <w:spacing w:line="360" w:lineRule="auto"/>
        <w:jc w:val="both"/>
        <w:rPr>
          <w:sz w:val="22"/>
          <w:szCs w:val="22"/>
          <w:lang w:val="en-US"/>
        </w:rPr>
      </w:pPr>
      <w:r w:rsidRPr="00C9304B">
        <w:rPr>
          <w:sz w:val="22"/>
          <w:szCs w:val="22"/>
          <w:lang w:val="en-US"/>
        </w:rPr>
        <w:t>Risk assessment (inherent risk)</w:t>
      </w:r>
    </w:p>
    <w:p w:rsidR="00AE4097" w:rsidRPr="00C9304B" w:rsidRDefault="00AE4097" w:rsidP="00A82089">
      <w:pPr>
        <w:pStyle w:val="000"/>
        <w:numPr>
          <w:ilvl w:val="0"/>
          <w:numId w:val="12"/>
        </w:numPr>
        <w:suppressAutoHyphens/>
        <w:spacing w:line="360" w:lineRule="auto"/>
        <w:jc w:val="both"/>
        <w:rPr>
          <w:sz w:val="22"/>
          <w:szCs w:val="22"/>
          <w:lang w:val="en-US"/>
        </w:rPr>
      </w:pPr>
      <w:r w:rsidRPr="00C9304B">
        <w:rPr>
          <w:sz w:val="22"/>
          <w:szCs w:val="22"/>
          <w:lang w:val="en-US"/>
        </w:rPr>
        <w:t>Risk response (decisions to reduce, share, or accept inherent risk so that any remaining or residual risk is consistent with the entity’s risk appetite)</w:t>
      </w:r>
    </w:p>
    <w:p w:rsidR="00AE4097" w:rsidRDefault="00AE4097" w:rsidP="00A82089">
      <w:pPr>
        <w:pStyle w:val="000"/>
        <w:numPr>
          <w:ilvl w:val="0"/>
          <w:numId w:val="12"/>
        </w:numPr>
        <w:suppressAutoHyphens/>
        <w:spacing w:line="360" w:lineRule="auto"/>
        <w:jc w:val="both"/>
        <w:rPr>
          <w:sz w:val="22"/>
          <w:szCs w:val="22"/>
          <w:lang w:val="en-US"/>
        </w:rPr>
      </w:pPr>
      <w:r>
        <w:rPr>
          <w:sz w:val="22"/>
          <w:szCs w:val="22"/>
          <w:lang w:val="en-US"/>
        </w:rPr>
        <w:t>Control activities (concrete steps taken to respond to risk)</w:t>
      </w:r>
    </w:p>
    <w:p w:rsidR="00AE4097" w:rsidRDefault="00AE4097" w:rsidP="00A82089">
      <w:pPr>
        <w:pStyle w:val="000"/>
        <w:numPr>
          <w:ilvl w:val="0"/>
          <w:numId w:val="12"/>
        </w:numPr>
        <w:suppressAutoHyphens/>
        <w:spacing w:line="360" w:lineRule="auto"/>
        <w:jc w:val="both"/>
        <w:rPr>
          <w:sz w:val="22"/>
          <w:szCs w:val="22"/>
          <w:lang w:val="en-US"/>
        </w:rPr>
      </w:pPr>
      <w:r>
        <w:rPr>
          <w:sz w:val="22"/>
          <w:szCs w:val="22"/>
          <w:lang w:val="en-US"/>
        </w:rPr>
        <w:t>Information and communication (specifically to include a provision for ‘upstream reporting’ in the case of management override)</w:t>
      </w:r>
    </w:p>
    <w:p w:rsidR="00AE4097" w:rsidRDefault="00AE4097" w:rsidP="00A82089">
      <w:pPr>
        <w:pStyle w:val="000"/>
        <w:numPr>
          <w:ilvl w:val="0"/>
          <w:numId w:val="12"/>
        </w:numPr>
        <w:suppressAutoHyphens/>
        <w:spacing w:line="360" w:lineRule="auto"/>
        <w:jc w:val="both"/>
        <w:rPr>
          <w:sz w:val="22"/>
          <w:szCs w:val="22"/>
          <w:lang w:val="en-US"/>
        </w:rPr>
      </w:pPr>
      <w:r>
        <w:rPr>
          <w:sz w:val="22"/>
          <w:szCs w:val="22"/>
          <w:lang w:val="en-US"/>
        </w:rPr>
        <w:t>Monitoring</w:t>
      </w:r>
    </w:p>
    <w:p w:rsidR="00AE4097" w:rsidRDefault="00AE4097" w:rsidP="00A82089">
      <w:pPr>
        <w:pStyle w:val="000"/>
        <w:suppressAutoHyphens/>
        <w:spacing w:line="360" w:lineRule="auto"/>
        <w:ind w:firstLine="360"/>
        <w:jc w:val="both"/>
        <w:rPr>
          <w:sz w:val="22"/>
          <w:szCs w:val="22"/>
          <w:lang w:val="en-US"/>
        </w:rPr>
      </w:pPr>
      <w:r>
        <w:rPr>
          <w:sz w:val="22"/>
          <w:szCs w:val="22"/>
          <w:lang w:val="en-US"/>
        </w:rPr>
        <w:t xml:space="preserve">COSO II does not replace COSO I, but expands the elements of internal control as set out in COSO I. The emphasis on risk management is stronger than COSO 1, whereby the value of this model is more useful for managers. They can make clear statements about which risks are relevant, what is needed to control these risks and the cost of doing so. Nowadays, corporate governance codes are becoming increasingly important. A good framework for managing internal control is necessary. </w:t>
      </w:r>
      <w:r>
        <w:rPr>
          <w:sz w:val="22"/>
          <w:szCs w:val="22"/>
          <w:lang w:val="en-US"/>
        </w:rPr>
        <w:lastRenderedPageBreak/>
        <w:t xml:space="preserve">According to Amran et al. (2009), accounting regulatory bodies should compel companies in a developed country to disclose about their risk management. However, in many countries risk management disclosures are still voluntary. </w:t>
      </w:r>
    </w:p>
    <w:p w:rsidR="00AE4097" w:rsidRDefault="00AE4097" w:rsidP="00A82089">
      <w:pPr>
        <w:pStyle w:val="000"/>
        <w:suppressAutoHyphens/>
        <w:spacing w:line="360" w:lineRule="auto"/>
        <w:jc w:val="both"/>
        <w:rPr>
          <w:sz w:val="22"/>
          <w:szCs w:val="22"/>
          <w:lang w:val="en-US"/>
        </w:rPr>
      </w:pPr>
    </w:p>
    <w:p w:rsidR="00AE4097" w:rsidRDefault="00AE4097" w:rsidP="00A82089">
      <w:pPr>
        <w:pStyle w:val="Heading3"/>
        <w:numPr>
          <w:ilvl w:val="2"/>
          <w:numId w:val="2"/>
        </w:numPr>
        <w:tabs>
          <w:tab w:val="num" w:pos="1004"/>
        </w:tabs>
        <w:suppressAutoHyphens/>
        <w:spacing w:before="0" w:after="0" w:line="360" w:lineRule="auto"/>
        <w:jc w:val="both"/>
        <w:rPr>
          <w:b w:val="0"/>
          <w:i/>
          <w:sz w:val="22"/>
          <w:szCs w:val="22"/>
          <w:lang w:val="en-US"/>
        </w:rPr>
      </w:pPr>
      <w:bookmarkStart w:id="100" w:name="_Toc288459348"/>
      <w:bookmarkStart w:id="101" w:name="_Toc288725889"/>
      <w:r>
        <w:rPr>
          <w:b w:val="0"/>
          <w:i/>
          <w:sz w:val="22"/>
          <w:szCs w:val="22"/>
          <w:lang w:val="en-US"/>
        </w:rPr>
        <w:t>Risk categories</w:t>
      </w:r>
      <w:bookmarkEnd w:id="100"/>
      <w:bookmarkEnd w:id="101"/>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In general, companies report mostly about the financial risks they face. Nowadays, especially since the current financial crisis, also other risks have become important for users of financial statements. Companies should disclose more about other risks, such as operational, strategic and empowerment risk. To get a better understanding of risk reporting these different types of risk have to be identified. The risk classification schemes in prior </w:t>
      </w:r>
      <w:proofErr w:type="gramStart"/>
      <w:r>
        <w:rPr>
          <w:sz w:val="22"/>
          <w:szCs w:val="22"/>
          <w:lang w:val="en-US"/>
        </w:rPr>
        <w:t>research,</w:t>
      </w:r>
      <w:proofErr w:type="gramEnd"/>
      <w:r>
        <w:rPr>
          <w:sz w:val="22"/>
          <w:szCs w:val="22"/>
          <w:lang w:val="en-US"/>
        </w:rPr>
        <w:t xml:space="preserve"> can vary across researchers. To choose a suitable categorization model for this paper some of these models are now reviewed. </w:t>
      </w:r>
    </w:p>
    <w:p w:rsidR="00AE4097" w:rsidRDefault="00AE4097" w:rsidP="00A82089">
      <w:pPr>
        <w:pStyle w:val="000"/>
        <w:suppressAutoHyphens/>
        <w:spacing w:line="360" w:lineRule="auto"/>
        <w:jc w:val="both"/>
        <w:rPr>
          <w:sz w:val="22"/>
          <w:szCs w:val="22"/>
          <w:lang w:val="en-US"/>
        </w:rPr>
      </w:pPr>
      <w:r>
        <w:rPr>
          <w:sz w:val="22"/>
          <w:szCs w:val="22"/>
          <w:lang w:val="en-US"/>
        </w:rPr>
        <w:tab/>
        <w:t xml:space="preserve">Jorion (1997) categorized a company’s risks into three groups. The first type of </w:t>
      </w:r>
      <w:proofErr w:type="gramStart"/>
      <w:r>
        <w:rPr>
          <w:sz w:val="22"/>
          <w:szCs w:val="22"/>
          <w:lang w:val="en-US"/>
        </w:rPr>
        <w:t>risk  is</w:t>
      </w:r>
      <w:proofErr w:type="gramEnd"/>
      <w:r>
        <w:rPr>
          <w:sz w:val="22"/>
          <w:szCs w:val="22"/>
          <w:lang w:val="en-US"/>
        </w:rPr>
        <w:t xml:space="preserve"> business risk, which is the risk related to the company’s internal skills or competitive advantage. This type of risk arises from technological innovations, product design and marketing. Then, there are strategic risks, which are related to basic changes in the economy or the political environment. Financial risks constitute the last category. These are related to possible losses in the financial markets. </w:t>
      </w:r>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One of the professional accountancy firms, Arthur Andersen, developed another risk model, which is used by ICAEW (1998), Kajüter (2001), Linsley and </w:t>
      </w:r>
      <w:proofErr w:type="gramStart"/>
      <w:r>
        <w:rPr>
          <w:sz w:val="22"/>
          <w:szCs w:val="22"/>
          <w:lang w:val="en-US"/>
        </w:rPr>
        <w:t>Shrives</w:t>
      </w:r>
      <w:proofErr w:type="gramEnd"/>
      <w:r>
        <w:rPr>
          <w:sz w:val="22"/>
          <w:szCs w:val="22"/>
          <w:lang w:val="en-US"/>
        </w:rPr>
        <w:t xml:space="preserve"> (2006a) and Amran et al. (2009). This model divides risk into two categories: external risks (general environment) and internal risks (process risks, which are split up into financial and non-financial risks). A financial risk has an immediate effect on monetary assets and liabilities. All other risks are non-financial, in other words indirect financial risks. They affect the business and the comparative position and are noticeable in the long term. The indirect financial risks correspond to the business risk category of Jorion (1997); the external risks are similar to the strategic risks; and the financial risks are called the same. But the sub categories, which belong to the category of financial </w:t>
      </w:r>
      <w:proofErr w:type="gramStart"/>
      <w:r>
        <w:rPr>
          <w:sz w:val="22"/>
          <w:szCs w:val="22"/>
          <w:lang w:val="en-US"/>
        </w:rPr>
        <w:t>risks</w:t>
      </w:r>
      <w:proofErr w:type="gramEnd"/>
      <w:r>
        <w:rPr>
          <w:sz w:val="22"/>
          <w:szCs w:val="22"/>
          <w:lang w:val="en-US"/>
        </w:rPr>
        <w:t xml:space="preserve"> are different. The ICAEW (1998) considers liquidity risk, market risk and credit risk to be financial risks, but Jorion also includes operational risk and legal risk to the financial risk category.</w:t>
      </w:r>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Besides the widely used model of Arthur Andersen, Cabedo and Tirado (2004) used a quite similar risk classification. They divided risk into three major categories: external risks (general factors in the environment in which the company operates); business risks (nature of the company’s business); and financial risks (direct impact on net cash flows). Further, Crouhy et al. (2006) grouped the risk factors into eight categories. </w:t>
      </w:r>
      <w:proofErr w:type="gramStart"/>
      <w:r>
        <w:rPr>
          <w:sz w:val="22"/>
          <w:szCs w:val="22"/>
          <w:lang w:val="en-US"/>
        </w:rPr>
        <w:t>Market risk, credit risk, liquidity risk, operational risk, legal and regulatory risk, business risk, strategic risk and reputation risk.</w:t>
      </w:r>
      <w:proofErr w:type="gramEnd"/>
      <w:r>
        <w:rPr>
          <w:sz w:val="22"/>
          <w:szCs w:val="22"/>
          <w:lang w:val="en-US"/>
        </w:rPr>
        <w:t xml:space="preserve"> The first three categories constitute the financial risk. According to Crouhy et al. (2006), there are three types of operational risks: technology risk, fraud risk and human factor risk. Finally, the last three risk categories can be grouped together as business risk, which refers to the typical risks a company faces. </w:t>
      </w:r>
    </w:p>
    <w:p w:rsidR="00AE4097" w:rsidRDefault="00AE4097" w:rsidP="00A82089">
      <w:pPr>
        <w:pStyle w:val="000"/>
        <w:suppressAutoHyphens/>
        <w:spacing w:line="360" w:lineRule="auto"/>
        <w:jc w:val="both"/>
        <w:rPr>
          <w:sz w:val="22"/>
          <w:szCs w:val="22"/>
          <w:lang w:val="en-US"/>
        </w:rPr>
      </w:pPr>
      <w:r>
        <w:rPr>
          <w:color w:val="FFFF00"/>
          <w:sz w:val="22"/>
          <w:szCs w:val="22"/>
          <w:lang w:val="en-US"/>
        </w:rPr>
        <w:lastRenderedPageBreak/>
        <w:tab/>
      </w:r>
      <w:r>
        <w:rPr>
          <w:sz w:val="22"/>
          <w:szCs w:val="22"/>
          <w:lang w:val="en-US"/>
        </w:rPr>
        <w:t>The models of the different researchers are quite similar, although there are small differences. For this paper, the model of Linsley and Shrives (2006a) is used. It is the most recent and complete risk categorization scheme, which contains all other classificati</w:t>
      </w:r>
      <w:r w:rsidRPr="006837AF">
        <w:rPr>
          <w:sz w:val="22"/>
          <w:szCs w:val="22"/>
          <w:lang w:val="en-US"/>
        </w:rPr>
        <w:t>ons. The six ris</w:t>
      </w:r>
      <w:r>
        <w:rPr>
          <w:sz w:val="22"/>
          <w:szCs w:val="22"/>
          <w:lang w:val="en-US"/>
        </w:rPr>
        <w:t>k categories are financial risk, operations risk, empowerment risk</w:t>
      </w:r>
      <w:r w:rsidRPr="006837AF">
        <w:rPr>
          <w:sz w:val="22"/>
          <w:szCs w:val="22"/>
          <w:lang w:val="en-US"/>
        </w:rPr>
        <w:t>, information</w:t>
      </w:r>
      <w:r>
        <w:rPr>
          <w:sz w:val="22"/>
          <w:szCs w:val="22"/>
          <w:lang w:val="en-US"/>
        </w:rPr>
        <w:t xml:space="preserve"> processing and technology risk, integrity risk and strategic risk</w:t>
      </w:r>
      <w:r w:rsidRPr="006837AF">
        <w:rPr>
          <w:sz w:val="22"/>
          <w:szCs w:val="22"/>
          <w:lang w:val="en-US"/>
        </w:rPr>
        <w:t>. The financial risks will be explained in the next paragraph. Further, operation risks are related to potential losses due to inadequate or failing internal processes, people and systems or resulting from external events (Ridder, 2007). Some examples are product development, efficiency and performance, product and service failure, and health and safety. The third risk category, empowerment risk, concerns the power inside the company. A</w:t>
      </w:r>
      <w:r>
        <w:rPr>
          <w:sz w:val="22"/>
          <w:szCs w:val="22"/>
          <w:lang w:val="en-US"/>
        </w:rPr>
        <w:t xml:space="preserve">ll companies have a management </w:t>
      </w:r>
      <w:r w:rsidRPr="006837AF">
        <w:rPr>
          <w:sz w:val="22"/>
          <w:szCs w:val="22"/>
          <w:lang w:val="en-US"/>
        </w:rPr>
        <w:t>that is responsible for the company’s policy. In practice, it is very important to outsource some responsibilities to the lower levels in the company. Further, a lack of good communication between lower and upper levels, and in between a lev</w:t>
      </w:r>
      <w:r>
        <w:rPr>
          <w:sz w:val="22"/>
          <w:szCs w:val="22"/>
          <w:lang w:val="en-US"/>
        </w:rPr>
        <w:t>el will led to empowerment risk</w:t>
      </w:r>
      <w:r w:rsidRPr="006837AF">
        <w:rPr>
          <w:sz w:val="22"/>
          <w:szCs w:val="22"/>
          <w:lang w:val="en-US"/>
        </w:rPr>
        <w:t xml:space="preserve"> as well. The last sub category of empowerment risk is change </w:t>
      </w:r>
      <w:r w:rsidRPr="00BC2C70">
        <w:rPr>
          <w:sz w:val="22"/>
          <w:szCs w:val="22"/>
          <w:lang w:val="en-US"/>
        </w:rPr>
        <w:t>readiness: If people are ready to do their job</w:t>
      </w:r>
      <w:r>
        <w:rPr>
          <w:sz w:val="22"/>
          <w:szCs w:val="22"/>
          <w:lang w:val="en-US"/>
        </w:rPr>
        <w:t xml:space="preserve"> in a</w:t>
      </w:r>
      <w:r w:rsidRPr="00BC2C70">
        <w:rPr>
          <w:sz w:val="22"/>
          <w:szCs w:val="22"/>
          <w:lang w:val="en-US"/>
        </w:rPr>
        <w:t xml:space="preserve"> new environment has more effect than only the training the employees will get.</w:t>
      </w:r>
      <w:r w:rsidRPr="006837AF">
        <w:rPr>
          <w:sz w:val="22"/>
          <w:szCs w:val="22"/>
          <w:lang w:val="en-US"/>
        </w:rPr>
        <w:t xml:space="preserve"> Then, information processing and technology risk implies the risks involved with information access, information availability, and infrastructure (Linsley and Shrives, 2006a). The fifth risk category as described by Linsley and Shrives (2006a) is integrity risk. This type of risk covers management and employee fraud, illegal acts by persons involved in the company, and reputation risk, which becomes more important in recent years, mainly because of the many accounting scandals. The last type of risk is one of the most important risk categories. Strategic risk refers to the risk of significant investments for which there is a high uncertainty about success and profitability (Crouhy et al., 2006). Further, the </w:t>
      </w:r>
      <w:proofErr w:type="gramStart"/>
      <w:r w:rsidRPr="006837AF">
        <w:rPr>
          <w:sz w:val="22"/>
          <w:szCs w:val="22"/>
          <w:lang w:val="en-US"/>
        </w:rPr>
        <w:t>risks a company faces</w:t>
      </w:r>
      <w:proofErr w:type="gramEnd"/>
      <w:r w:rsidRPr="006837AF">
        <w:rPr>
          <w:sz w:val="22"/>
          <w:szCs w:val="22"/>
          <w:lang w:val="en-US"/>
        </w:rPr>
        <w:t xml:space="preserve"> in the industry in which it is operating and the competitors are strategic risks as well. Even regulatory risks are a strategic risk. Appendix III will show the different categories and their sub-categories as described by Linsley and Shrives (2006a).</w:t>
      </w:r>
    </w:p>
    <w:p w:rsidR="00AE4097" w:rsidRDefault="00AE4097" w:rsidP="00A82089">
      <w:pPr>
        <w:pStyle w:val="Heading2"/>
        <w:numPr>
          <w:ilvl w:val="1"/>
          <w:numId w:val="2"/>
        </w:numPr>
        <w:suppressAutoHyphens/>
        <w:spacing w:line="360" w:lineRule="auto"/>
        <w:jc w:val="both"/>
        <w:rPr>
          <w:i w:val="0"/>
          <w:sz w:val="22"/>
          <w:szCs w:val="22"/>
          <w:lang w:val="en-US"/>
        </w:rPr>
      </w:pPr>
      <w:bookmarkStart w:id="102" w:name="_Toc288459349"/>
      <w:bookmarkStart w:id="103" w:name="_Toc288725890"/>
      <w:r>
        <w:rPr>
          <w:i w:val="0"/>
          <w:sz w:val="22"/>
          <w:szCs w:val="22"/>
          <w:lang w:val="en-US"/>
        </w:rPr>
        <w:t>Requirements for risk reporting</w:t>
      </w:r>
      <w:bookmarkEnd w:id="102"/>
      <w:bookmarkEnd w:id="103"/>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In the past few years there is more frequent discussion about risk disclosures and corporate governance has increased as a result of some major corporate financial scandals, such as Enron, WorldCom and Ahold. Corporate governance is the framework of rules and practices to ensure accountability, fairness and transparency in the company’s relation with all stakeholders (Business Dictionary). The confidence in the capital market and in companies has been damaged. Another reason for the loss of confidence by stakeholders is the current financial crisis. Companies are trying to restore the trust. To achieve this, it is necessary to disclose information to their stakeholders in order to keep them informed about the company’s main activities. Since the introduction of IFRS in 2005 risk reporting has become less voluntarily for all listed companies in Europe. Companies must provide adequate information about the risks and uncertainties they are facing and will face in future, especially for the financial risks. </w:t>
      </w:r>
    </w:p>
    <w:p w:rsidR="00AE4097" w:rsidRDefault="00AE4097" w:rsidP="00A82089">
      <w:pPr>
        <w:pStyle w:val="000"/>
        <w:suppressAutoHyphens/>
        <w:spacing w:line="360" w:lineRule="auto"/>
        <w:ind w:firstLine="567"/>
        <w:jc w:val="both"/>
        <w:rPr>
          <w:sz w:val="22"/>
          <w:szCs w:val="22"/>
          <w:lang w:val="en-US"/>
        </w:rPr>
      </w:pPr>
      <w:r>
        <w:rPr>
          <w:sz w:val="22"/>
          <w:szCs w:val="22"/>
          <w:lang w:val="en-US"/>
        </w:rPr>
        <w:lastRenderedPageBreak/>
        <w:t xml:space="preserve">This paragraph describes the different rules and regulation regarding risk reporting, which is necessary for this research. Listed companies in the Netherlands have to comply with the International Financial Reporting Standards (IFRS) and the Dutch Corporate Governance Code. </w:t>
      </w:r>
    </w:p>
    <w:p w:rsidR="00AE4097" w:rsidRDefault="00AE4097" w:rsidP="00A82089">
      <w:pPr>
        <w:pStyle w:val="000"/>
        <w:suppressAutoHyphens/>
        <w:spacing w:line="360" w:lineRule="auto"/>
        <w:ind w:firstLine="567"/>
        <w:jc w:val="both"/>
        <w:rPr>
          <w:sz w:val="22"/>
          <w:szCs w:val="22"/>
          <w:lang w:val="en-US"/>
        </w:rPr>
      </w:pPr>
    </w:p>
    <w:p w:rsidR="00AE4097" w:rsidRDefault="00AE4097" w:rsidP="00A82089">
      <w:pPr>
        <w:pStyle w:val="Heading3"/>
        <w:numPr>
          <w:ilvl w:val="2"/>
          <w:numId w:val="2"/>
        </w:numPr>
        <w:tabs>
          <w:tab w:val="num" w:pos="1004"/>
        </w:tabs>
        <w:suppressAutoHyphens/>
        <w:spacing w:before="0" w:after="0" w:line="360" w:lineRule="auto"/>
        <w:jc w:val="both"/>
        <w:rPr>
          <w:b w:val="0"/>
          <w:i/>
          <w:sz w:val="22"/>
          <w:szCs w:val="22"/>
          <w:lang w:val="en-US"/>
        </w:rPr>
      </w:pPr>
      <w:bookmarkStart w:id="104" w:name="_Toc288459350"/>
      <w:bookmarkStart w:id="105" w:name="_Toc288725891"/>
      <w:r>
        <w:rPr>
          <w:b w:val="0"/>
          <w:i/>
          <w:sz w:val="22"/>
          <w:szCs w:val="22"/>
          <w:lang w:val="en-US"/>
        </w:rPr>
        <w:t>IFRS</w:t>
      </w:r>
      <w:bookmarkEnd w:id="104"/>
      <w:bookmarkEnd w:id="105"/>
      <w:r>
        <w:rPr>
          <w:b w:val="0"/>
          <w:i/>
          <w:sz w:val="22"/>
          <w:szCs w:val="22"/>
          <w:lang w:val="en-US"/>
        </w:rPr>
        <w:t xml:space="preserve"> </w:t>
      </w:r>
    </w:p>
    <w:p w:rsidR="00AE4097" w:rsidRDefault="00AE4097" w:rsidP="00A82089">
      <w:pPr>
        <w:pStyle w:val="000"/>
        <w:suppressAutoHyphens/>
        <w:spacing w:line="360" w:lineRule="auto"/>
        <w:ind w:firstLine="567"/>
        <w:jc w:val="both"/>
        <w:rPr>
          <w:sz w:val="22"/>
          <w:szCs w:val="22"/>
          <w:lang w:val="en-US"/>
        </w:rPr>
      </w:pPr>
      <w:r>
        <w:rPr>
          <w:sz w:val="22"/>
          <w:szCs w:val="22"/>
          <w:lang w:val="en-US"/>
        </w:rPr>
        <w:t>The international Financial Reporting Standards (IFRS) are the accounting rules for all stock listed companies in Europe since January 2005. IFRS presents no extensive standard for risk reporting, but there are several rules regarding risk reporting. Almost all regulation concerning risks focuses on financial risk. The same applies for IFRS, where the rules regarding risk reporting are included in IFRS 7: Financial Instruments: Disclosures. IFRS 7 needs to be applied by all entities since 1 January 2007. However, the extent of disclosure that is required depends on the extent of the company’s use of financial instruments and its exposure to risk. Earlier application is encouraged, so if a company applies IFRS 7 earlier than 1 January 2007, it shall disclose that fact. Important in this study is that the research period already starts in 2006. In this year, companies are disclosing according to IAS 32: Financial Instruments: Disclosure and Presentation or IFRS 7. This may influence the results.</w:t>
      </w:r>
    </w:p>
    <w:p w:rsidR="00AE4097" w:rsidRDefault="00AE4097" w:rsidP="00A82089">
      <w:pPr>
        <w:pStyle w:val="000"/>
        <w:suppressAutoHyphens/>
        <w:spacing w:line="360" w:lineRule="auto"/>
        <w:jc w:val="both"/>
        <w:rPr>
          <w:sz w:val="22"/>
          <w:szCs w:val="22"/>
          <w:lang w:val="en-US"/>
        </w:rPr>
      </w:pPr>
    </w:p>
    <w:p w:rsidR="00AE4097" w:rsidRDefault="00AE4097" w:rsidP="00A82089">
      <w:pPr>
        <w:pStyle w:val="000"/>
        <w:pBdr>
          <w:top w:val="single" w:sz="4" w:space="1" w:color="auto"/>
          <w:bottom w:val="single" w:sz="4" w:space="1" w:color="auto"/>
        </w:pBdr>
        <w:suppressAutoHyphens/>
        <w:spacing w:line="360" w:lineRule="auto"/>
        <w:jc w:val="both"/>
        <w:rPr>
          <w:sz w:val="20"/>
          <w:szCs w:val="18"/>
          <w:lang w:val="en-US"/>
        </w:rPr>
      </w:pPr>
      <w:r>
        <w:rPr>
          <w:sz w:val="20"/>
          <w:szCs w:val="18"/>
          <w:lang w:val="en-US"/>
        </w:rPr>
        <w:t>The IFRS requires disclosure of:</w:t>
      </w:r>
    </w:p>
    <w:p w:rsidR="00AE4097" w:rsidRDefault="00AE4097" w:rsidP="00A82089">
      <w:pPr>
        <w:pStyle w:val="000"/>
        <w:suppressAutoHyphens/>
        <w:spacing w:line="360" w:lineRule="auto"/>
        <w:ind w:left="1134" w:hanging="567"/>
        <w:jc w:val="both"/>
        <w:rPr>
          <w:sz w:val="20"/>
          <w:szCs w:val="18"/>
          <w:lang w:val="en-US"/>
        </w:rPr>
      </w:pPr>
      <w:r>
        <w:rPr>
          <w:sz w:val="20"/>
          <w:szCs w:val="18"/>
          <w:lang w:val="en-US"/>
        </w:rPr>
        <w:t>(a)</w:t>
      </w:r>
      <w:r>
        <w:rPr>
          <w:sz w:val="20"/>
          <w:szCs w:val="18"/>
          <w:lang w:val="en-US"/>
        </w:rPr>
        <w:tab/>
        <w:t xml:space="preserve"> </w:t>
      </w:r>
      <w:proofErr w:type="gramStart"/>
      <w:r>
        <w:rPr>
          <w:sz w:val="20"/>
          <w:szCs w:val="18"/>
          <w:lang w:val="en-US"/>
        </w:rPr>
        <w:t>the</w:t>
      </w:r>
      <w:proofErr w:type="gramEnd"/>
      <w:r>
        <w:rPr>
          <w:sz w:val="20"/>
          <w:szCs w:val="18"/>
          <w:lang w:val="en-US"/>
        </w:rPr>
        <w:t xml:space="preserve"> significance of financial instruments for the entity’s financial position and performance. These disclosures incorporate many of the </w:t>
      </w:r>
      <w:proofErr w:type="gramStart"/>
      <w:r>
        <w:rPr>
          <w:sz w:val="20"/>
          <w:szCs w:val="18"/>
          <w:lang w:val="en-US"/>
        </w:rPr>
        <w:t>requirement</w:t>
      </w:r>
      <w:proofErr w:type="gramEnd"/>
      <w:r>
        <w:rPr>
          <w:sz w:val="20"/>
          <w:szCs w:val="18"/>
          <w:lang w:val="en-US"/>
        </w:rPr>
        <w:t xml:space="preserve"> previously in </w:t>
      </w:r>
      <w:r>
        <w:rPr>
          <w:sz w:val="20"/>
          <w:szCs w:val="18"/>
          <w:u w:val="single"/>
          <w:lang w:val="en-US"/>
        </w:rPr>
        <w:t>IAS32.</w:t>
      </w:r>
    </w:p>
    <w:p w:rsidR="00AE4097" w:rsidRDefault="00AE4097" w:rsidP="00A82089">
      <w:pPr>
        <w:pStyle w:val="000"/>
        <w:suppressAutoHyphens/>
        <w:spacing w:line="360" w:lineRule="auto"/>
        <w:ind w:left="1134" w:hanging="567"/>
        <w:jc w:val="both"/>
        <w:rPr>
          <w:sz w:val="20"/>
          <w:szCs w:val="18"/>
          <w:lang w:val="en-US"/>
        </w:rPr>
      </w:pPr>
      <w:r>
        <w:rPr>
          <w:sz w:val="20"/>
          <w:szCs w:val="18"/>
          <w:lang w:val="en-US"/>
        </w:rPr>
        <w:t>(b)</w:t>
      </w:r>
      <w:r>
        <w:rPr>
          <w:sz w:val="20"/>
          <w:szCs w:val="18"/>
          <w:lang w:val="en-US"/>
        </w:rPr>
        <w:tab/>
      </w:r>
      <w:proofErr w:type="gramStart"/>
      <w:r>
        <w:rPr>
          <w:sz w:val="20"/>
          <w:szCs w:val="18"/>
          <w:lang w:val="en-US"/>
        </w:rPr>
        <w:t>qualitative</w:t>
      </w:r>
      <w:proofErr w:type="gramEnd"/>
      <w:r>
        <w:rPr>
          <w:sz w:val="20"/>
          <w:szCs w:val="18"/>
          <w:lang w:val="en-US"/>
        </w:rPr>
        <w:t xml:space="preserve"> and quantitative information about exposure to risks arising from financial instruments, including specified minimum disclosures about credit risk, liquidity risk and market risk. The qualitative disclosures describe management’s objectives, policies and processes for managing those risks. The quantitative risk, based on information provided internally to the entity’s key management personnel. Together, these </w:t>
      </w:r>
      <w:proofErr w:type="gramStart"/>
      <w:r>
        <w:rPr>
          <w:sz w:val="20"/>
          <w:szCs w:val="18"/>
          <w:lang w:val="en-US"/>
        </w:rPr>
        <w:t>disclosure</w:t>
      </w:r>
      <w:proofErr w:type="gramEnd"/>
      <w:r>
        <w:rPr>
          <w:sz w:val="20"/>
          <w:szCs w:val="18"/>
          <w:lang w:val="en-US"/>
        </w:rPr>
        <w:t xml:space="preserve"> provide an overview of the entity’s use of financial instruments and the exposures to risks they create.</w:t>
      </w:r>
    </w:p>
    <w:p w:rsidR="00AE4097" w:rsidRPr="00292CC5" w:rsidRDefault="00AE4097" w:rsidP="00A82089">
      <w:pPr>
        <w:pBdr>
          <w:top w:val="single" w:sz="4" w:space="1" w:color="auto"/>
        </w:pBdr>
        <w:suppressAutoHyphens/>
        <w:spacing w:line="360" w:lineRule="auto"/>
        <w:jc w:val="both"/>
        <w:rPr>
          <w:sz w:val="18"/>
          <w:szCs w:val="18"/>
          <w:lang w:val="en-US"/>
        </w:rPr>
      </w:pPr>
      <w:r w:rsidRPr="00292CC5">
        <w:rPr>
          <w:sz w:val="18"/>
          <w:szCs w:val="18"/>
          <w:lang w:val="en-US"/>
        </w:rPr>
        <w:t xml:space="preserve">Source: IFRS 7.IN 5 (Main features of the IFRS) </w:t>
      </w:r>
    </w:p>
    <w:p w:rsidR="00AE4097" w:rsidRDefault="00AE4097" w:rsidP="00A82089">
      <w:pPr>
        <w:pStyle w:val="000"/>
        <w:suppressAutoHyphens/>
        <w:spacing w:line="360" w:lineRule="auto"/>
        <w:jc w:val="both"/>
        <w:rPr>
          <w:sz w:val="22"/>
          <w:szCs w:val="22"/>
          <w:lang w:val="en-US"/>
        </w:rPr>
      </w:pPr>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An entity shall disclose information that enables users of its financial statement to evaluate the nature and extent of risks arising from financial instruments to which the entity is exposed during the period and at the end of the reporting period, and how the entity manages those risks. </w:t>
      </w:r>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IFRS 7 applies to all kind of risks arising from all financial instruments. For this research, the most important part is the risk related paragraph of the requirements, </w:t>
      </w:r>
      <w:proofErr w:type="gramStart"/>
      <w:r>
        <w:rPr>
          <w:i/>
          <w:sz w:val="22"/>
          <w:szCs w:val="22"/>
          <w:lang w:val="en-US"/>
        </w:rPr>
        <w:t>The</w:t>
      </w:r>
      <w:proofErr w:type="gramEnd"/>
      <w:r>
        <w:rPr>
          <w:i/>
          <w:sz w:val="22"/>
          <w:szCs w:val="22"/>
          <w:lang w:val="en-US"/>
        </w:rPr>
        <w:t xml:space="preserve"> nature and extent of risks arising from financial instruments</w:t>
      </w:r>
      <w:r>
        <w:rPr>
          <w:sz w:val="22"/>
          <w:szCs w:val="22"/>
          <w:lang w:val="en-US"/>
        </w:rPr>
        <w:t>. In this paragraph, IFRS 7 made a distinction between two different types of disclosures: qualitative and quantitative disclosures. Qualitative disclosures are necessary to complement the required quantitative disclosures and provide a better understanding of the company’s risk management activities by the users of the financial statements. In the table below, the requirements for qualitative disclosures are described.</w:t>
      </w:r>
    </w:p>
    <w:p w:rsidR="00AE4097" w:rsidRDefault="00AE4097" w:rsidP="00A82089">
      <w:pPr>
        <w:pStyle w:val="000"/>
        <w:suppressAutoHyphens/>
        <w:spacing w:line="360" w:lineRule="auto"/>
        <w:jc w:val="both"/>
        <w:rPr>
          <w:sz w:val="20"/>
          <w:szCs w:val="18"/>
          <w:lang w:val="en-US"/>
        </w:rPr>
      </w:pPr>
    </w:p>
    <w:p w:rsidR="00AE4097" w:rsidRDefault="00AE4097" w:rsidP="00A82089">
      <w:pPr>
        <w:pStyle w:val="000"/>
        <w:pBdr>
          <w:top w:val="single" w:sz="4" w:space="1" w:color="auto"/>
          <w:bottom w:val="single" w:sz="4" w:space="1" w:color="auto"/>
        </w:pBdr>
        <w:suppressAutoHyphens/>
        <w:spacing w:line="360" w:lineRule="auto"/>
        <w:jc w:val="both"/>
        <w:rPr>
          <w:sz w:val="20"/>
          <w:szCs w:val="18"/>
          <w:lang w:val="en-US"/>
        </w:rPr>
      </w:pPr>
      <w:r>
        <w:rPr>
          <w:sz w:val="20"/>
          <w:szCs w:val="18"/>
          <w:lang w:val="en-US"/>
        </w:rPr>
        <w:lastRenderedPageBreak/>
        <w:t>For each type of risk arising from financial instruments, an entity shall disclose:</w:t>
      </w:r>
    </w:p>
    <w:p w:rsidR="00AE4097" w:rsidRDefault="00AE4097" w:rsidP="00A82089">
      <w:pPr>
        <w:suppressAutoHyphens/>
        <w:spacing w:line="360" w:lineRule="auto"/>
        <w:ind w:firstLine="720"/>
        <w:jc w:val="both"/>
        <w:rPr>
          <w:sz w:val="20"/>
          <w:szCs w:val="18"/>
          <w:lang w:val="en-US"/>
        </w:rPr>
      </w:pPr>
      <w:r>
        <w:rPr>
          <w:sz w:val="20"/>
          <w:szCs w:val="18"/>
          <w:lang w:val="en-US"/>
        </w:rPr>
        <w:t>(a)</w:t>
      </w:r>
      <w:r>
        <w:rPr>
          <w:sz w:val="20"/>
          <w:szCs w:val="18"/>
          <w:lang w:val="en-US"/>
        </w:rPr>
        <w:tab/>
      </w:r>
      <w:proofErr w:type="gramStart"/>
      <w:r>
        <w:rPr>
          <w:sz w:val="20"/>
          <w:szCs w:val="18"/>
          <w:lang w:val="en-US"/>
        </w:rPr>
        <w:t>the</w:t>
      </w:r>
      <w:proofErr w:type="gramEnd"/>
      <w:r>
        <w:rPr>
          <w:sz w:val="20"/>
          <w:szCs w:val="18"/>
          <w:lang w:val="en-US"/>
        </w:rPr>
        <w:t xml:space="preserve"> exposures to risk and how they arise;</w:t>
      </w:r>
    </w:p>
    <w:p w:rsidR="00AE4097" w:rsidRDefault="00AE4097" w:rsidP="00A82089">
      <w:pPr>
        <w:pStyle w:val="BodyTextIndent2"/>
        <w:suppressAutoHyphens/>
      </w:pPr>
      <w:r>
        <w:t>(b)</w:t>
      </w:r>
      <w:r>
        <w:tab/>
      </w:r>
      <w:proofErr w:type="gramStart"/>
      <w:r>
        <w:t>its</w:t>
      </w:r>
      <w:proofErr w:type="gramEnd"/>
      <w:r>
        <w:t xml:space="preserve"> objectives, policies and processes for managing the risk and the methods used to measure the risk; and</w:t>
      </w:r>
    </w:p>
    <w:p w:rsidR="00AE4097" w:rsidRDefault="00AE4097" w:rsidP="00A82089">
      <w:pPr>
        <w:suppressAutoHyphens/>
        <w:spacing w:line="360" w:lineRule="auto"/>
        <w:ind w:left="1134" w:hanging="414"/>
        <w:jc w:val="both"/>
        <w:rPr>
          <w:sz w:val="20"/>
          <w:szCs w:val="18"/>
          <w:lang w:val="en-US"/>
        </w:rPr>
      </w:pPr>
      <w:r>
        <w:rPr>
          <w:sz w:val="20"/>
          <w:szCs w:val="18"/>
          <w:lang w:val="en-US"/>
        </w:rPr>
        <w:t xml:space="preserve">(c) </w:t>
      </w:r>
      <w:r>
        <w:rPr>
          <w:sz w:val="20"/>
          <w:szCs w:val="18"/>
          <w:lang w:val="en-US"/>
        </w:rPr>
        <w:tab/>
      </w:r>
      <w:proofErr w:type="gramStart"/>
      <w:r>
        <w:rPr>
          <w:sz w:val="20"/>
          <w:szCs w:val="18"/>
          <w:lang w:val="en-US"/>
        </w:rPr>
        <w:t>any</w:t>
      </w:r>
      <w:proofErr w:type="gramEnd"/>
      <w:r>
        <w:rPr>
          <w:sz w:val="20"/>
          <w:szCs w:val="18"/>
          <w:lang w:val="en-US"/>
        </w:rPr>
        <w:t xml:space="preserve"> changes in (a) or (b) from the previous period.</w:t>
      </w:r>
    </w:p>
    <w:p w:rsidR="00AE4097" w:rsidRPr="00292CC5" w:rsidRDefault="00AE4097" w:rsidP="00A82089">
      <w:pPr>
        <w:pBdr>
          <w:top w:val="single" w:sz="4" w:space="1" w:color="auto"/>
        </w:pBdr>
        <w:suppressAutoHyphens/>
        <w:spacing w:line="360" w:lineRule="auto"/>
        <w:jc w:val="both"/>
        <w:rPr>
          <w:sz w:val="18"/>
          <w:szCs w:val="18"/>
          <w:lang w:val="en-US"/>
        </w:rPr>
      </w:pPr>
      <w:r w:rsidRPr="00292CC5">
        <w:rPr>
          <w:sz w:val="18"/>
          <w:szCs w:val="18"/>
          <w:lang w:val="en-US"/>
        </w:rPr>
        <w:t>Source: IFRS 7.33 (Qualitative disclosures)</w:t>
      </w:r>
    </w:p>
    <w:p w:rsidR="00AE4097" w:rsidRPr="00607B37" w:rsidRDefault="00AE4097" w:rsidP="00A82089">
      <w:pPr>
        <w:pBdr>
          <w:top w:val="single" w:sz="4" w:space="1" w:color="auto"/>
        </w:pBdr>
        <w:spacing w:line="360" w:lineRule="auto"/>
        <w:jc w:val="both"/>
        <w:rPr>
          <w:sz w:val="20"/>
          <w:szCs w:val="20"/>
          <w:lang w:val="en-US"/>
        </w:rPr>
      </w:pPr>
    </w:p>
    <w:p w:rsidR="00AE4097" w:rsidRDefault="00AE4097" w:rsidP="00A82089">
      <w:pPr>
        <w:pBdr>
          <w:top w:val="single" w:sz="4" w:space="1" w:color="auto"/>
        </w:pBdr>
        <w:suppressAutoHyphens/>
        <w:spacing w:line="360" w:lineRule="auto"/>
        <w:ind w:firstLine="567"/>
        <w:jc w:val="both"/>
        <w:rPr>
          <w:sz w:val="22"/>
          <w:szCs w:val="22"/>
          <w:lang w:val="en-US"/>
        </w:rPr>
      </w:pPr>
      <w:r>
        <w:rPr>
          <w:sz w:val="22"/>
          <w:szCs w:val="22"/>
          <w:lang w:val="en-US"/>
        </w:rPr>
        <w:t xml:space="preserve">Quantitative disclosures provide information about the extent to which a company is exposed to risks based on the information available to key management personnel. For this kind of disclosures, it is necessary to motivate changes. </w:t>
      </w:r>
    </w:p>
    <w:p w:rsidR="00AE4097" w:rsidRPr="00607B37" w:rsidRDefault="00AE4097" w:rsidP="00A82089">
      <w:pPr>
        <w:pBdr>
          <w:top w:val="single" w:sz="4" w:space="1" w:color="auto"/>
        </w:pBdr>
        <w:suppressAutoHyphens/>
        <w:spacing w:line="360" w:lineRule="auto"/>
        <w:jc w:val="both"/>
        <w:rPr>
          <w:sz w:val="20"/>
          <w:szCs w:val="20"/>
          <w:lang w:val="en-US"/>
        </w:rPr>
      </w:pPr>
    </w:p>
    <w:p w:rsidR="00AE4097" w:rsidRDefault="00AE4097" w:rsidP="00A82089">
      <w:pPr>
        <w:pStyle w:val="000"/>
        <w:pBdr>
          <w:top w:val="single" w:sz="4" w:space="1" w:color="auto"/>
          <w:bottom w:val="single" w:sz="4" w:space="0" w:color="auto"/>
        </w:pBdr>
        <w:suppressAutoHyphens/>
        <w:spacing w:line="360" w:lineRule="auto"/>
        <w:jc w:val="both"/>
        <w:rPr>
          <w:sz w:val="20"/>
          <w:szCs w:val="18"/>
          <w:lang w:val="en-US"/>
        </w:rPr>
      </w:pPr>
      <w:r>
        <w:rPr>
          <w:sz w:val="20"/>
          <w:szCs w:val="18"/>
          <w:lang w:val="en-US"/>
        </w:rPr>
        <w:t>For each type of risk arising from financial instruments, an entity shall disclose:</w:t>
      </w:r>
    </w:p>
    <w:p w:rsidR="00AE4097" w:rsidRDefault="00AE4097" w:rsidP="00A82089">
      <w:pPr>
        <w:suppressAutoHyphens/>
        <w:spacing w:line="360" w:lineRule="auto"/>
        <w:jc w:val="both"/>
        <w:rPr>
          <w:sz w:val="20"/>
          <w:szCs w:val="18"/>
          <w:lang w:val="en-US"/>
        </w:rPr>
      </w:pPr>
      <w:r>
        <w:rPr>
          <w:sz w:val="20"/>
          <w:szCs w:val="18"/>
          <w:lang w:val="en-US"/>
        </w:rPr>
        <w:tab/>
        <w:t>(a)</w:t>
      </w:r>
      <w:r>
        <w:rPr>
          <w:sz w:val="20"/>
          <w:szCs w:val="18"/>
          <w:lang w:val="en-US"/>
        </w:rPr>
        <w:tab/>
      </w:r>
      <w:proofErr w:type="gramStart"/>
      <w:r>
        <w:rPr>
          <w:sz w:val="20"/>
          <w:szCs w:val="18"/>
          <w:lang w:val="en-US"/>
        </w:rPr>
        <w:t>summary</w:t>
      </w:r>
      <w:proofErr w:type="gramEnd"/>
      <w:r>
        <w:rPr>
          <w:sz w:val="20"/>
          <w:szCs w:val="18"/>
          <w:lang w:val="en-US"/>
        </w:rPr>
        <w:t xml:space="preserve"> quantitative data about its exposure to that risk at the end of the </w:t>
      </w:r>
    </w:p>
    <w:p w:rsidR="00AE4097" w:rsidRDefault="00AE4097" w:rsidP="00A82089">
      <w:pPr>
        <w:suppressAutoHyphens/>
        <w:spacing w:line="360" w:lineRule="auto"/>
        <w:ind w:left="567" w:firstLine="567"/>
        <w:jc w:val="both"/>
        <w:rPr>
          <w:sz w:val="20"/>
          <w:szCs w:val="18"/>
          <w:lang w:val="en-US"/>
        </w:rPr>
      </w:pPr>
      <w:proofErr w:type="gramStart"/>
      <w:r>
        <w:rPr>
          <w:sz w:val="20"/>
          <w:szCs w:val="18"/>
          <w:lang w:val="en-US"/>
        </w:rPr>
        <w:t>reporting</w:t>
      </w:r>
      <w:proofErr w:type="gramEnd"/>
      <w:r>
        <w:rPr>
          <w:sz w:val="20"/>
          <w:szCs w:val="18"/>
          <w:lang w:val="en-US"/>
        </w:rPr>
        <w:t xml:space="preserve"> period. This disclosure shall be based on the information provided </w:t>
      </w:r>
    </w:p>
    <w:p w:rsidR="00AE4097" w:rsidRDefault="00AE4097" w:rsidP="00A82089">
      <w:pPr>
        <w:suppressAutoHyphens/>
        <w:spacing w:line="360" w:lineRule="auto"/>
        <w:ind w:left="567" w:firstLine="567"/>
        <w:jc w:val="both"/>
        <w:rPr>
          <w:sz w:val="20"/>
          <w:szCs w:val="18"/>
          <w:lang w:val="en-US"/>
        </w:rPr>
      </w:pPr>
      <w:proofErr w:type="gramStart"/>
      <w:r>
        <w:rPr>
          <w:sz w:val="20"/>
          <w:szCs w:val="18"/>
          <w:lang w:val="en-US"/>
        </w:rPr>
        <w:t>internally</w:t>
      </w:r>
      <w:proofErr w:type="gramEnd"/>
      <w:r>
        <w:rPr>
          <w:sz w:val="20"/>
          <w:szCs w:val="18"/>
          <w:lang w:val="en-US"/>
        </w:rPr>
        <w:t xml:space="preserve"> to key management personnel of the entity’s (as defined in </w:t>
      </w:r>
      <w:r>
        <w:rPr>
          <w:sz w:val="20"/>
          <w:szCs w:val="18"/>
          <w:u w:val="single"/>
          <w:lang w:val="en-US"/>
        </w:rPr>
        <w:t>IAS24</w:t>
      </w:r>
      <w:r>
        <w:rPr>
          <w:sz w:val="20"/>
          <w:szCs w:val="18"/>
          <w:lang w:val="en-US"/>
        </w:rPr>
        <w:t xml:space="preserve"> </w:t>
      </w:r>
      <w:r>
        <w:rPr>
          <w:sz w:val="20"/>
          <w:szCs w:val="18"/>
          <w:lang w:val="en-US"/>
        </w:rPr>
        <w:tab/>
      </w:r>
    </w:p>
    <w:p w:rsidR="00AE4097" w:rsidRDefault="00AE4097" w:rsidP="00A82089">
      <w:pPr>
        <w:suppressAutoHyphens/>
        <w:spacing w:line="360" w:lineRule="auto"/>
        <w:ind w:left="1134"/>
        <w:jc w:val="both"/>
        <w:rPr>
          <w:sz w:val="20"/>
          <w:szCs w:val="18"/>
          <w:lang w:val="en-US"/>
        </w:rPr>
      </w:pPr>
      <w:r>
        <w:rPr>
          <w:sz w:val="20"/>
          <w:szCs w:val="18"/>
          <w:lang w:val="en-US"/>
        </w:rPr>
        <w:t xml:space="preserve">Related Party Disclosures), for example the entity’s board of directors or chief executive officer. </w:t>
      </w:r>
    </w:p>
    <w:p w:rsidR="00AE4097" w:rsidRDefault="00AE4097" w:rsidP="00A82089">
      <w:pPr>
        <w:suppressAutoHyphens/>
        <w:spacing w:line="360" w:lineRule="auto"/>
        <w:jc w:val="both"/>
        <w:rPr>
          <w:sz w:val="20"/>
          <w:szCs w:val="18"/>
          <w:lang w:val="en-US"/>
        </w:rPr>
      </w:pPr>
      <w:r>
        <w:rPr>
          <w:sz w:val="20"/>
          <w:szCs w:val="18"/>
          <w:lang w:val="en-US"/>
        </w:rPr>
        <w:tab/>
        <w:t>(b)</w:t>
      </w:r>
      <w:r>
        <w:rPr>
          <w:sz w:val="20"/>
          <w:szCs w:val="18"/>
          <w:lang w:val="en-US"/>
        </w:rPr>
        <w:tab/>
      </w:r>
      <w:proofErr w:type="gramStart"/>
      <w:r>
        <w:rPr>
          <w:sz w:val="20"/>
          <w:szCs w:val="18"/>
          <w:lang w:val="en-US"/>
        </w:rPr>
        <w:t>the</w:t>
      </w:r>
      <w:proofErr w:type="gramEnd"/>
      <w:r>
        <w:rPr>
          <w:sz w:val="20"/>
          <w:szCs w:val="18"/>
          <w:lang w:val="en-US"/>
        </w:rPr>
        <w:t xml:space="preserve"> disclosure required by paragraphs 35-42, to the extent not provided in (a), </w:t>
      </w:r>
    </w:p>
    <w:p w:rsidR="00AE4097" w:rsidRDefault="00AE4097" w:rsidP="00A82089">
      <w:pPr>
        <w:suppressAutoHyphens/>
        <w:spacing w:line="360" w:lineRule="auto"/>
        <w:ind w:left="1134"/>
        <w:jc w:val="both"/>
        <w:rPr>
          <w:sz w:val="20"/>
          <w:szCs w:val="18"/>
          <w:lang w:val="en-US"/>
        </w:rPr>
      </w:pPr>
      <w:proofErr w:type="gramStart"/>
      <w:r>
        <w:rPr>
          <w:sz w:val="20"/>
          <w:szCs w:val="18"/>
          <w:lang w:val="en-US"/>
        </w:rPr>
        <w:t>unless</w:t>
      </w:r>
      <w:proofErr w:type="gramEnd"/>
      <w:r>
        <w:rPr>
          <w:sz w:val="20"/>
          <w:szCs w:val="18"/>
          <w:lang w:val="en-US"/>
        </w:rPr>
        <w:t xml:space="preserve"> the risk is not material (see </w:t>
      </w:r>
      <w:r>
        <w:rPr>
          <w:sz w:val="20"/>
          <w:szCs w:val="18"/>
          <w:u w:val="single"/>
          <w:lang w:val="en-US"/>
        </w:rPr>
        <w:t>paragraphs 29-31</w:t>
      </w:r>
      <w:r>
        <w:rPr>
          <w:sz w:val="20"/>
          <w:szCs w:val="18"/>
          <w:lang w:val="en-US"/>
        </w:rPr>
        <w:t xml:space="preserve"> of IAS 1 for a discussion of materiality).</w:t>
      </w:r>
    </w:p>
    <w:p w:rsidR="00AE4097" w:rsidRDefault="00AE4097" w:rsidP="00A82089">
      <w:pPr>
        <w:suppressAutoHyphens/>
        <w:spacing w:line="360" w:lineRule="auto"/>
        <w:jc w:val="both"/>
        <w:rPr>
          <w:sz w:val="20"/>
          <w:szCs w:val="18"/>
          <w:lang w:val="en-US"/>
        </w:rPr>
      </w:pPr>
      <w:r>
        <w:rPr>
          <w:sz w:val="20"/>
          <w:szCs w:val="18"/>
          <w:lang w:val="en-US"/>
        </w:rPr>
        <w:tab/>
        <w:t xml:space="preserve">(c) </w:t>
      </w:r>
      <w:r>
        <w:rPr>
          <w:sz w:val="20"/>
          <w:szCs w:val="18"/>
          <w:lang w:val="en-US"/>
        </w:rPr>
        <w:tab/>
      </w:r>
      <w:proofErr w:type="gramStart"/>
      <w:r>
        <w:rPr>
          <w:sz w:val="20"/>
          <w:szCs w:val="18"/>
          <w:lang w:val="en-US"/>
        </w:rPr>
        <w:t>concentrations</w:t>
      </w:r>
      <w:proofErr w:type="gramEnd"/>
      <w:r>
        <w:rPr>
          <w:sz w:val="20"/>
          <w:szCs w:val="18"/>
          <w:lang w:val="en-US"/>
        </w:rPr>
        <w:t xml:space="preserve"> of risk if not apparent from (a) and (b).</w:t>
      </w:r>
    </w:p>
    <w:p w:rsidR="00AE4097" w:rsidRDefault="00AE4097" w:rsidP="00A82089">
      <w:pPr>
        <w:suppressAutoHyphens/>
        <w:spacing w:line="360" w:lineRule="auto"/>
        <w:jc w:val="both"/>
        <w:rPr>
          <w:sz w:val="20"/>
          <w:szCs w:val="18"/>
          <w:lang w:val="en-US"/>
        </w:rPr>
      </w:pPr>
      <w:r>
        <w:rPr>
          <w:sz w:val="20"/>
          <w:szCs w:val="18"/>
          <w:lang w:val="en-US"/>
        </w:rPr>
        <w:t>If the quantitative data disclosed as at the end of the reporting period are unrepresentative of an entity’s exposure to risk during the period, an entity shall provide further information that is representative.</w:t>
      </w:r>
    </w:p>
    <w:p w:rsidR="00AE4097" w:rsidRPr="00292CC5" w:rsidRDefault="00AE4097" w:rsidP="00A82089">
      <w:pPr>
        <w:pBdr>
          <w:top w:val="single" w:sz="4" w:space="1" w:color="auto"/>
        </w:pBdr>
        <w:suppressAutoHyphens/>
        <w:spacing w:line="360" w:lineRule="auto"/>
        <w:jc w:val="both"/>
        <w:rPr>
          <w:sz w:val="18"/>
          <w:szCs w:val="18"/>
          <w:lang w:val="fr-FR"/>
        </w:rPr>
      </w:pPr>
      <w:r w:rsidRPr="00292CC5">
        <w:rPr>
          <w:sz w:val="18"/>
          <w:szCs w:val="18"/>
          <w:lang w:val="fr-FR"/>
        </w:rPr>
        <w:t xml:space="preserve">Source: IFRS 7.34-7.35 (Quantitative </w:t>
      </w:r>
      <w:r w:rsidRPr="00292CC5">
        <w:rPr>
          <w:sz w:val="18"/>
          <w:szCs w:val="18"/>
          <w:lang w:val="en-US"/>
        </w:rPr>
        <w:t>disclosures</w:t>
      </w:r>
      <w:r w:rsidRPr="00292CC5">
        <w:rPr>
          <w:sz w:val="18"/>
          <w:szCs w:val="18"/>
          <w:lang w:val="fr-FR"/>
        </w:rPr>
        <w:t>)</w:t>
      </w:r>
    </w:p>
    <w:p w:rsidR="00AE4097" w:rsidRPr="00607B37" w:rsidRDefault="00AE4097" w:rsidP="00A82089">
      <w:pPr>
        <w:pBdr>
          <w:top w:val="single" w:sz="4" w:space="1" w:color="auto"/>
        </w:pBdr>
        <w:suppressAutoHyphens/>
        <w:spacing w:line="360" w:lineRule="auto"/>
        <w:jc w:val="both"/>
        <w:rPr>
          <w:sz w:val="20"/>
          <w:szCs w:val="20"/>
          <w:lang w:val="fr-FR"/>
        </w:rPr>
      </w:pPr>
    </w:p>
    <w:p w:rsidR="00AE4097" w:rsidRDefault="00AE4097" w:rsidP="00A82089">
      <w:pPr>
        <w:pStyle w:val="BodyText"/>
        <w:suppressAutoHyphens/>
        <w:spacing w:line="360" w:lineRule="auto"/>
        <w:ind w:firstLine="567"/>
        <w:rPr>
          <w:sz w:val="22"/>
        </w:rPr>
      </w:pPr>
      <w:r>
        <w:rPr>
          <w:sz w:val="22"/>
        </w:rPr>
        <w:t xml:space="preserve">The IASB made some amendments for the quantitative disclosures mentioned in IFRS 7, which entities shall apply in their annual reports from 1 January 2011. As this study examines the years from 2006 to 2009, these amendments are not further discussed. </w:t>
      </w:r>
    </w:p>
    <w:p w:rsidR="00AE4097" w:rsidRDefault="00AE4097" w:rsidP="00A82089">
      <w:pPr>
        <w:suppressAutoHyphens/>
        <w:spacing w:line="360" w:lineRule="auto"/>
        <w:ind w:firstLine="567"/>
        <w:jc w:val="both"/>
        <w:rPr>
          <w:sz w:val="22"/>
          <w:szCs w:val="22"/>
          <w:lang w:val="en-US"/>
        </w:rPr>
      </w:pPr>
      <w:r>
        <w:rPr>
          <w:sz w:val="22"/>
          <w:szCs w:val="22"/>
          <w:lang w:val="en-US"/>
        </w:rPr>
        <w:t>Just like other regulations, IFRS 7 focuses on financial business risks as well. This type of risk can be categorized into six categories: credit risk, currency risk, interest rate risk, liquidity risk, market risk and other price risk (IFRS 7, appendix A). More detailed requirements are only given for credit risk, liquidity risk and market risk.</w:t>
      </w:r>
    </w:p>
    <w:p w:rsidR="00AE4097" w:rsidRPr="007C1A3A" w:rsidRDefault="00AE4097" w:rsidP="00A82089">
      <w:pPr>
        <w:suppressAutoHyphens/>
        <w:spacing w:line="360" w:lineRule="auto"/>
        <w:jc w:val="both"/>
        <w:rPr>
          <w:rStyle w:val="OpmaakprofielCalibri11pt"/>
          <w:rFonts w:ascii="Times New Roman" w:hAnsi="Times New Roman"/>
          <w:szCs w:val="22"/>
          <w:lang w:val="en-US"/>
        </w:rPr>
      </w:pPr>
      <w:r>
        <w:rPr>
          <w:sz w:val="22"/>
          <w:szCs w:val="22"/>
          <w:lang w:val="en-US"/>
        </w:rPr>
        <w:tab/>
      </w:r>
      <w:r w:rsidRPr="007C1A3A">
        <w:rPr>
          <w:i/>
          <w:sz w:val="22"/>
          <w:szCs w:val="22"/>
          <w:lang w:val="en-US"/>
        </w:rPr>
        <w:t>Credit risk</w:t>
      </w:r>
      <w:r w:rsidRPr="007C1A3A">
        <w:rPr>
          <w:sz w:val="22"/>
          <w:szCs w:val="22"/>
          <w:lang w:val="en-US"/>
        </w:rPr>
        <w:t xml:space="preserve"> is defined as ‘the risk that one party to a financial instrument w</w:t>
      </w:r>
      <w:r w:rsidRPr="007C1A3A">
        <w:rPr>
          <w:rStyle w:val="OpmaakprofielCalibri11pt"/>
          <w:rFonts w:ascii="Times New Roman" w:hAnsi="Times New Roman"/>
          <w:szCs w:val="22"/>
          <w:lang w:val="en-US"/>
        </w:rPr>
        <w:t>ill cause a financial loss for the other party by failing to discharge an obligation’ (IFRS, appendix A). For each class of financial instruments, IFRS 7 requires disclosure of the amount that best represents its maximum exposure to credit risk. The collateral held or other credit improvements are not taken into account, but a description is necessary. Further, a company shall disclose some information about the credit quality of financial assets that are not past due or impaired. The amount of the financial assets that would be past due or impaired have been renegotiated (IFRS 7.36).</w:t>
      </w:r>
    </w:p>
    <w:p w:rsidR="00AE4097" w:rsidRPr="007C1A3A" w:rsidRDefault="00AE4097" w:rsidP="00A82089">
      <w:pPr>
        <w:suppressAutoHyphens/>
        <w:spacing w:line="360" w:lineRule="auto"/>
        <w:ind w:firstLine="567"/>
        <w:jc w:val="both"/>
        <w:rPr>
          <w:sz w:val="22"/>
          <w:szCs w:val="22"/>
          <w:lang w:val="en-US"/>
        </w:rPr>
      </w:pPr>
      <w:r w:rsidRPr="007C1A3A">
        <w:rPr>
          <w:i/>
          <w:sz w:val="22"/>
          <w:szCs w:val="22"/>
          <w:lang w:val="en-US"/>
        </w:rPr>
        <w:lastRenderedPageBreak/>
        <w:t>Liquidity risk</w:t>
      </w:r>
      <w:r w:rsidRPr="007C1A3A">
        <w:rPr>
          <w:sz w:val="22"/>
          <w:szCs w:val="22"/>
          <w:lang w:val="en-US"/>
        </w:rPr>
        <w:t xml:space="preserve"> is defined as ‘the risk that an entity will encounter difficulty in meeting obligations associated with financial liabilities that are settled by delivering cash or another financial asset </w:t>
      </w:r>
      <w:r w:rsidRPr="007C1A3A">
        <w:rPr>
          <w:rStyle w:val="OpmaakprofielCalibri11pt"/>
          <w:rFonts w:ascii="Times New Roman" w:hAnsi="Times New Roman"/>
          <w:szCs w:val="22"/>
          <w:lang w:val="en-US"/>
        </w:rPr>
        <w:t xml:space="preserve">(IFRS, appendix A). </w:t>
      </w:r>
      <w:r w:rsidRPr="007C1A3A">
        <w:rPr>
          <w:sz w:val="22"/>
          <w:szCs w:val="22"/>
          <w:lang w:val="en-US"/>
        </w:rPr>
        <w:t>IFRS 7 requires that an entity shall disclose a maturity analysis for both non-derivative and derivative financial liabilities showing their remaining contractual maturities. Finally, a description of how companies manage those liquidity risks is required (IFRS 7.39).</w:t>
      </w:r>
    </w:p>
    <w:p w:rsidR="00AE4097" w:rsidRPr="007C1A3A" w:rsidRDefault="00AE4097" w:rsidP="00A82089">
      <w:pPr>
        <w:suppressAutoHyphens/>
        <w:spacing w:line="360" w:lineRule="auto"/>
        <w:ind w:firstLine="567"/>
        <w:jc w:val="both"/>
        <w:rPr>
          <w:rStyle w:val="OpmaakprofielCalibri11pt"/>
          <w:rFonts w:ascii="Times New Roman" w:hAnsi="Times New Roman"/>
          <w:szCs w:val="22"/>
          <w:lang w:val="en-US"/>
        </w:rPr>
      </w:pPr>
      <w:r w:rsidRPr="007C1A3A">
        <w:rPr>
          <w:rStyle w:val="OpmaakprofielCalibri11pt"/>
          <w:rFonts w:ascii="Times New Roman" w:hAnsi="Times New Roman"/>
          <w:i/>
          <w:szCs w:val="22"/>
          <w:lang w:val="en-US"/>
        </w:rPr>
        <w:t>Market risk</w:t>
      </w:r>
      <w:r w:rsidRPr="007C1A3A">
        <w:rPr>
          <w:rStyle w:val="OpmaakprofielCalibri11pt"/>
          <w:rFonts w:ascii="Times New Roman" w:hAnsi="Times New Roman"/>
          <w:szCs w:val="22"/>
          <w:lang w:val="en-US"/>
        </w:rPr>
        <w:t xml:space="preserve"> is defined as ‘the risk that the fair value or future cash flows of a financial instrument will fluctuate because of changes in market prices’. This type of risk can be divided in three other categories: currency risk, interest rate risk and other price risk (IFRS, appendix A). Companies are required to disclose a sensitivity analysis for each type of market risk to which a company is exposed during the period. This analysis should give a description of how profit or loss and equity would have been affected by changes in the relevant risk variable that was possible on that date. Further, they have to give a description of the methods and assumptions used for preparing the analysis. The changes from the previous period in the methods and assumptions used, including an explanation for these changes, should be disclosed as well (IFRS 7.40). When a company uses a sensitivity analysis, for example a value-at-risk, then this method can be used instead of the analysis of IFRS 7.40. If a company decides to make use of this kind of sensitive analysis, they have to give an explanation for the analysis, the main parameters and assumptions, the objective of the </w:t>
      </w:r>
      <w:proofErr w:type="gramStart"/>
      <w:r w:rsidRPr="007C1A3A">
        <w:rPr>
          <w:rStyle w:val="OpmaakprofielCalibri11pt"/>
          <w:rFonts w:ascii="Times New Roman" w:hAnsi="Times New Roman"/>
          <w:szCs w:val="22"/>
          <w:lang w:val="en-US"/>
        </w:rPr>
        <w:t>method  and</w:t>
      </w:r>
      <w:proofErr w:type="gramEnd"/>
      <w:r w:rsidRPr="007C1A3A">
        <w:rPr>
          <w:rStyle w:val="OpmaakprofielCalibri11pt"/>
          <w:rFonts w:ascii="Times New Roman" w:hAnsi="Times New Roman"/>
          <w:szCs w:val="22"/>
          <w:lang w:val="en-US"/>
        </w:rPr>
        <w:t xml:space="preserve"> the limitations (IFRS 7.41). Finally, there is a possibility that the sensitivity analysis is unrepresentative for a risk inherent in a financial statement. </w:t>
      </w:r>
      <w:proofErr w:type="gramStart"/>
      <w:r w:rsidRPr="007C1A3A">
        <w:rPr>
          <w:rStyle w:val="OpmaakprofielCalibri11pt"/>
          <w:rFonts w:ascii="Times New Roman" w:hAnsi="Times New Roman"/>
          <w:szCs w:val="22"/>
          <w:lang w:val="en-US"/>
        </w:rPr>
        <w:t>If so, the company should disclose the fact and the reason why it believes that the analysis is not representative (IFRS 7.42).</w:t>
      </w:r>
      <w:proofErr w:type="gramEnd"/>
    </w:p>
    <w:p w:rsidR="00AE4097" w:rsidRPr="007C1A3A" w:rsidRDefault="00AE4097" w:rsidP="00A82089">
      <w:pPr>
        <w:suppressAutoHyphens/>
        <w:spacing w:line="360" w:lineRule="auto"/>
        <w:jc w:val="both"/>
        <w:rPr>
          <w:sz w:val="22"/>
          <w:szCs w:val="22"/>
          <w:lang w:val="en-US"/>
        </w:rPr>
      </w:pPr>
      <w:r w:rsidRPr="007C1A3A">
        <w:rPr>
          <w:rStyle w:val="OpmaakprofielCalibri11pt"/>
          <w:rFonts w:ascii="Times New Roman" w:hAnsi="Times New Roman"/>
          <w:szCs w:val="22"/>
          <w:lang w:val="en-US"/>
        </w:rPr>
        <w:tab/>
      </w:r>
      <w:r w:rsidRPr="007C1A3A">
        <w:rPr>
          <w:sz w:val="22"/>
          <w:szCs w:val="22"/>
          <w:lang w:val="en-US"/>
        </w:rPr>
        <w:t xml:space="preserve">IFRS just gives a broad description of the biggest risks and uncertainties a company faces, such as financial risks. There are no detailed requirements given about other types of risks, as mentioned by previous research. </w:t>
      </w:r>
    </w:p>
    <w:p w:rsidR="00AE4097" w:rsidRPr="007C1A3A" w:rsidRDefault="00AE4097" w:rsidP="00A82089">
      <w:pPr>
        <w:suppressAutoHyphens/>
        <w:spacing w:line="360" w:lineRule="auto"/>
        <w:jc w:val="both"/>
        <w:rPr>
          <w:sz w:val="22"/>
          <w:szCs w:val="22"/>
          <w:lang w:val="en-US"/>
        </w:rPr>
      </w:pPr>
    </w:p>
    <w:p w:rsidR="00AE4097" w:rsidRDefault="00AE4097" w:rsidP="00A82089">
      <w:pPr>
        <w:pStyle w:val="Heading3"/>
        <w:numPr>
          <w:ilvl w:val="2"/>
          <w:numId w:val="2"/>
        </w:numPr>
        <w:tabs>
          <w:tab w:val="num" w:pos="1004"/>
        </w:tabs>
        <w:suppressAutoHyphens/>
        <w:spacing w:before="0" w:after="0" w:line="360" w:lineRule="auto"/>
        <w:jc w:val="both"/>
        <w:rPr>
          <w:b w:val="0"/>
          <w:i/>
          <w:sz w:val="22"/>
          <w:szCs w:val="22"/>
          <w:lang w:val="en-US"/>
        </w:rPr>
      </w:pPr>
      <w:bookmarkStart w:id="106" w:name="_Toc288725892"/>
      <w:r>
        <w:rPr>
          <w:b w:val="0"/>
          <w:i/>
          <w:sz w:val="22"/>
          <w:szCs w:val="22"/>
          <w:lang w:val="en-US"/>
        </w:rPr>
        <w:t>Dutch Corporate Governance Code</w:t>
      </w:r>
      <w:bookmarkEnd w:id="106"/>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Regulation concerning risk disclosures in the Netherlands can be found in the Dutch Corporate Governance Code (‘Code Tabaksblat’). Since this study examines companies listed on the AEX-index, it has to be explained further. </w:t>
      </w:r>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The content of this code is regulated in the Dutch national law (art. 2:391 BW). Art. 2:391 </w:t>
      </w:r>
      <w:proofErr w:type="gramStart"/>
      <w:r>
        <w:rPr>
          <w:sz w:val="22"/>
          <w:szCs w:val="22"/>
          <w:lang w:val="en-US"/>
        </w:rPr>
        <w:t>lid</w:t>
      </w:r>
      <w:proofErr w:type="gramEnd"/>
      <w:r>
        <w:rPr>
          <w:sz w:val="22"/>
          <w:szCs w:val="22"/>
          <w:lang w:val="en-US"/>
        </w:rPr>
        <w:t xml:space="preserve"> I BW states that the annual reports should give a description of the principal risks and uncertainties the company faces and art. 2:391 lid 3 BW states that goal and policy of risk management on the use of financial instruments have to be reported as well. Further, companies have to pay attention to the price, credit, liquidity and cash flow risks they face. This is incorporated in the guidelines for annual reporting (‘Raad voor de Jaarverslaggeving (RJ)’290.0). The code is not only binding for listed companies, but practice shows that especially listed companies pay attention to this subject. The Dutch Corporate Governance Code does not have explicit rules regarding risk reporting, such as IFRS. </w:t>
      </w:r>
    </w:p>
    <w:p w:rsidR="00AE4097" w:rsidRDefault="00AE4097" w:rsidP="00A82089">
      <w:pPr>
        <w:pStyle w:val="000"/>
        <w:suppressAutoHyphens/>
        <w:spacing w:line="360" w:lineRule="auto"/>
        <w:ind w:firstLine="567"/>
        <w:jc w:val="both"/>
        <w:rPr>
          <w:sz w:val="22"/>
          <w:szCs w:val="22"/>
          <w:lang w:val="en-US"/>
        </w:rPr>
      </w:pPr>
      <w:r>
        <w:rPr>
          <w:sz w:val="22"/>
          <w:szCs w:val="22"/>
          <w:lang w:val="en-US"/>
        </w:rPr>
        <w:lastRenderedPageBreak/>
        <w:t>In 2003, the ‘Code Tabaksblat’, also known as ‘Code 2003’ was presented as the new Dutch Corporate Governance Code as a substitute of the ‘Code Frijns’. From January 1, 2009, the code has been transformed into a new: ‘Code 2008’. Because this study examines the years from 2006 to 2009, two codes have to be considered. The first code will be used for the years 2006-2008 and ‘Code 2008’ will only be used for the last year, 2009. Before conclusions can be made, it is important to know if there are big differences between these two codes. The importance of a good risk management and control system and the way companies have to report about this are included in the best practice provisions II.1.3, II.1.4, II.1.5 and II.1.8 (Ernst and Young, 2008).</w:t>
      </w:r>
    </w:p>
    <w:p w:rsidR="00AE4097" w:rsidRDefault="00AE4097" w:rsidP="00A82089">
      <w:pPr>
        <w:pStyle w:val="BodyText"/>
        <w:suppressAutoHyphens/>
        <w:autoSpaceDE w:val="0"/>
        <w:autoSpaceDN w:val="0"/>
        <w:adjustRightInd w:val="0"/>
        <w:spacing w:line="360" w:lineRule="auto"/>
        <w:ind w:firstLine="567"/>
        <w:rPr>
          <w:sz w:val="22"/>
        </w:rPr>
      </w:pPr>
      <w:r>
        <w:rPr>
          <w:sz w:val="22"/>
        </w:rPr>
        <w:t>According to ‘Code 2003’, “the company shall have an internal risk management and control system that is suitable for the company” (BP II.1.3). In their annual report, the company’s management shall declare that the internal risk management and control systems are adequate and effective and they have to prove this. Further, the management should describe significant changes that have been made and the major improvements which are planned as discussed with the audit committee and the supervisory board (BP II.1.4). BP II.1.5 states that the management shall give a review of the sensitivity of the company results to external factors and variables. Finally, BP II.1.8 states that the supervisory board shall discuss the corporate strategy and the company‘s risks as well as the results of the assessment of the structure and operation of the systems at least once a year.</w:t>
      </w:r>
    </w:p>
    <w:p w:rsidR="00AE4097" w:rsidRPr="00F26E06" w:rsidRDefault="00AE4097" w:rsidP="00A82089">
      <w:pPr>
        <w:suppressAutoHyphens/>
        <w:spacing w:line="360" w:lineRule="auto"/>
        <w:ind w:firstLine="567"/>
        <w:jc w:val="both"/>
        <w:rPr>
          <w:sz w:val="22"/>
          <w:szCs w:val="22"/>
          <w:lang w:val="en-US"/>
        </w:rPr>
      </w:pPr>
      <w:r>
        <w:rPr>
          <w:sz w:val="22"/>
          <w:szCs w:val="22"/>
          <w:lang w:val="en-US"/>
        </w:rPr>
        <w:t xml:space="preserve">There are no big differences between the two codes with regard to risk reporting. BP II.1.3 is identical for both ‘Code 2003’ and ‘Code 2008’. BP II.1.4 is quite similar in both codes. The earlier code gives a description of adequacy and effectiveness of internal risk management and control system, while ‘Code 2008’ only gives a description of the main risks related to the company’s strategy and the systems’ design and effectiveness. The rest of BP II.1.4 is identical in both codes. However, BP II.1.5 shows differences. The new code states that internal risk management and control system should provide a reasonable assurance that the financial reporting shows no </w:t>
      </w:r>
      <w:r w:rsidRPr="00D952B7">
        <w:rPr>
          <w:sz w:val="22"/>
          <w:szCs w:val="22"/>
          <w:lang w:val="en-US"/>
        </w:rPr>
        <w:t>substantial errors. The</w:t>
      </w:r>
      <w:r>
        <w:rPr>
          <w:sz w:val="22"/>
          <w:szCs w:val="22"/>
          <w:lang w:val="en-US"/>
        </w:rPr>
        <w:t xml:space="preserve"> management board should give enough evidence of this. In ‘Code 2003’ the reasonable assurance is </w:t>
      </w:r>
      <w:r w:rsidRPr="00F26E06">
        <w:rPr>
          <w:sz w:val="22"/>
          <w:szCs w:val="22"/>
          <w:lang w:val="en-US"/>
        </w:rPr>
        <w:t xml:space="preserve">described under BP II.1.4, but there is nothing mentioned about substantial errors. BP II.1.5 of ‘Code 2003’ is identical to BP II.1.6 in the new code. BP II.1.8 only shows a small difference. Instead of the systems’ structure and operation, the new code speaks of design and effectiveness. The conclusion is that the codes are approximately identical, on the understanding that ‘Code 2008’ is more extensive. </w:t>
      </w:r>
    </w:p>
    <w:p w:rsidR="00AE4097" w:rsidRDefault="00AE4097" w:rsidP="00A82089">
      <w:pPr>
        <w:suppressAutoHyphens/>
        <w:spacing w:line="360" w:lineRule="auto"/>
        <w:ind w:firstLine="567"/>
        <w:jc w:val="both"/>
        <w:rPr>
          <w:sz w:val="22"/>
          <w:szCs w:val="22"/>
          <w:lang w:val="en-US"/>
        </w:rPr>
      </w:pPr>
      <w:r w:rsidRPr="00F26E06">
        <w:rPr>
          <w:sz w:val="22"/>
          <w:szCs w:val="22"/>
          <w:lang w:val="en-US"/>
        </w:rPr>
        <w:t xml:space="preserve">When companies report about their risks, they have to take into account three components. First, a risk profile of the company. This is an exposition of the most important operational, strategic, </w:t>
      </w:r>
      <w:proofErr w:type="gramStart"/>
      <w:r w:rsidRPr="00F26E06">
        <w:rPr>
          <w:sz w:val="22"/>
          <w:szCs w:val="22"/>
          <w:lang w:val="en-US"/>
        </w:rPr>
        <w:t>financial</w:t>
      </w:r>
      <w:proofErr w:type="gramEnd"/>
      <w:r w:rsidRPr="00F26E06">
        <w:rPr>
          <w:sz w:val="22"/>
          <w:szCs w:val="22"/>
          <w:lang w:val="en-US"/>
        </w:rPr>
        <w:t xml:space="preserve"> and compliance risks a company faces. It can be concluded that annual reports should define only relevant risks. However, the risk </w:t>
      </w:r>
      <w:proofErr w:type="gramStart"/>
      <w:r w:rsidRPr="00F26E06">
        <w:rPr>
          <w:sz w:val="22"/>
          <w:szCs w:val="22"/>
          <w:lang w:val="en-US"/>
        </w:rPr>
        <w:t>paragraphs in most annual reports is</w:t>
      </w:r>
      <w:proofErr w:type="gramEnd"/>
      <w:r w:rsidRPr="00F26E06">
        <w:rPr>
          <w:sz w:val="22"/>
          <w:szCs w:val="22"/>
          <w:lang w:val="en-US"/>
        </w:rPr>
        <w:t xml:space="preserve"> a list of all risks a company faces, regardless of the probability and the possible impact of the risk. In fact, every company has to think about how relevant the endless list of risks is. The actual goal of risk reporting is creating transparency, but with an endless list of risks the reader has to determine which risks are actually relevant. Some </w:t>
      </w:r>
      <w:proofErr w:type="gramStart"/>
      <w:r w:rsidRPr="00F26E06">
        <w:rPr>
          <w:sz w:val="22"/>
          <w:szCs w:val="22"/>
          <w:lang w:val="en-US"/>
        </w:rPr>
        <w:t>parties,</w:t>
      </w:r>
      <w:proofErr w:type="gramEnd"/>
      <w:r w:rsidRPr="00F26E06">
        <w:rPr>
          <w:sz w:val="22"/>
          <w:szCs w:val="22"/>
          <w:lang w:val="en-US"/>
        </w:rPr>
        <w:t xml:space="preserve"> like VEB (Dutch investors’ association) and Eumedion (a Dutch representative </w:t>
      </w:r>
      <w:r w:rsidRPr="00F26E06">
        <w:rPr>
          <w:sz w:val="22"/>
          <w:szCs w:val="22"/>
          <w:lang w:val="en-US"/>
        </w:rPr>
        <w:lastRenderedPageBreak/>
        <w:t>body for institutional investors in the field of corporate governance) state</w:t>
      </w:r>
      <w:r>
        <w:rPr>
          <w:sz w:val="22"/>
          <w:szCs w:val="22"/>
          <w:lang w:val="en-US"/>
        </w:rPr>
        <w:t xml:space="preserve"> that every company should give </w:t>
      </w:r>
      <w:r w:rsidRPr="00F26E06">
        <w:rPr>
          <w:sz w:val="22"/>
          <w:szCs w:val="22"/>
          <w:lang w:val="en-US"/>
        </w:rPr>
        <w:t xml:space="preserve">a brief summary. </w:t>
      </w:r>
      <w:proofErr w:type="gramStart"/>
      <w:r w:rsidRPr="00F26E06">
        <w:rPr>
          <w:sz w:val="22"/>
          <w:szCs w:val="22"/>
          <w:lang w:val="en-US"/>
        </w:rPr>
        <w:t>For example a top-5 most relevant risks for their business.</w:t>
      </w:r>
      <w:proofErr w:type="gramEnd"/>
      <w:r w:rsidRPr="00F26E06">
        <w:rPr>
          <w:sz w:val="22"/>
          <w:szCs w:val="22"/>
          <w:lang w:val="en-US"/>
        </w:rPr>
        <w:t xml:space="preserve"> The second component is a description of the risk management system. And finally, the in-control statement should be included in the risk paragraph as well (Groot, 2008).</w:t>
      </w:r>
    </w:p>
    <w:p w:rsidR="00AE4097" w:rsidRDefault="00AE4097" w:rsidP="00A82089">
      <w:pPr>
        <w:pStyle w:val="000"/>
        <w:suppressAutoHyphens/>
        <w:spacing w:line="360" w:lineRule="auto"/>
        <w:ind w:firstLine="567"/>
        <w:jc w:val="both"/>
        <w:rPr>
          <w:sz w:val="22"/>
          <w:szCs w:val="22"/>
          <w:lang w:val="en-US"/>
        </w:rPr>
      </w:pPr>
      <w:r w:rsidRPr="00D952B7">
        <w:rPr>
          <w:sz w:val="22"/>
          <w:szCs w:val="22"/>
          <w:lang w:val="en-US"/>
        </w:rPr>
        <w:t xml:space="preserve">It is interesting to examine how non-financial companies deal with IFRS 7 and the </w:t>
      </w:r>
      <w:r>
        <w:rPr>
          <w:sz w:val="22"/>
          <w:szCs w:val="22"/>
          <w:lang w:val="en-US"/>
        </w:rPr>
        <w:t>Dutch Corporate Governance Code</w:t>
      </w:r>
      <w:r w:rsidRPr="00D952B7">
        <w:rPr>
          <w:sz w:val="22"/>
          <w:szCs w:val="22"/>
          <w:lang w:val="en-US"/>
        </w:rPr>
        <w:t xml:space="preserve">. In accordance with </w:t>
      </w:r>
      <w:proofErr w:type="gramStart"/>
      <w:r w:rsidRPr="00D952B7">
        <w:rPr>
          <w:sz w:val="22"/>
          <w:szCs w:val="22"/>
          <w:lang w:val="en-US"/>
        </w:rPr>
        <w:t>an</w:t>
      </w:r>
      <w:proofErr w:type="gramEnd"/>
      <w:r w:rsidRPr="00D952B7">
        <w:rPr>
          <w:sz w:val="22"/>
          <w:szCs w:val="22"/>
          <w:lang w:val="en-US"/>
        </w:rPr>
        <w:t xml:space="preserve"> growing attention for regulations, an increase in the disclosures is to be expected.</w:t>
      </w:r>
    </w:p>
    <w:p w:rsidR="00AE4097" w:rsidRDefault="00AE4097" w:rsidP="00A82089">
      <w:pPr>
        <w:spacing w:line="360" w:lineRule="auto"/>
        <w:jc w:val="both"/>
        <w:rPr>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rPr>
      </w:pPr>
      <w:bookmarkStart w:id="107" w:name="_Toc288459352"/>
      <w:bookmarkStart w:id="108" w:name="_Toc288725893"/>
      <w:r>
        <w:rPr>
          <w:i w:val="0"/>
          <w:sz w:val="22"/>
          <w:szCs w:val="22"/>
          <w:lang w:val="en-US"/>
        </w:rPr>
        <w:t>Financial crisis</w:t>
      </w:r>
      <w:bookmarkEnd w:id="107"/>
      <w:bookmarkEnd w:id="108"/>
    </w:p>
    <w:p w:rsidR="00AE4097" w:rsidRDefault="00AE4097" w:rsidP="00A82089">
      <w:pPr>
        <w:suppressAutoHyphens/>
        <w:spacing w:line="360" w:lineRule="auto"/>
        <w:ind w:firstLine="567"/>
        <w:jc w:val="both"/>
        <w:rPr>
          <w:sz w:val="22"/>
          <w:szCs w:val="22"/>
          <w:lang w:val="en-US"/>
        </w:rPr>
      </w:pPr>
      <w:r>
        <w:rPr>
          <w:sz w:val="22"/>
          <w:szCs w:val="22"/>
          <w:lang w:val="en-US"/>
        </w:rPr>
        <w:t xml:space="preserve">This paragraph will discuss the problems of the financial crisis. First, a description of the causes of the crisis will be given and then it will explain the consequences this has for risk disclosures. </w:t>
      </w:r>
    </w:p>
    <w:p w:rsidR="00AE4097" w:rsidRDefault="00AE4097" w:rsidP="00A82089">
      <w:pPr>
        <w:suppressAutoHyphens/>
        <w:spacing w:line="360" w:lineRule="auto"/>
        <w:jc w:val="both"/>
        <w:rPr>
          <w:sz w:val="22"/>
          <w:szCs w:val="22"/>
          <w:lang w:val="en-US"/>
        </w:rPr>
      </w:pP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109" w:name="_Toc285109177"/>
      <w:bookmarkStart w:id="110" w:name="_Toc288459353"/>
      <w:bookmarkStart w:id="111" w:name="_Toc288725894"/>
      <w:r>
        <w:rPr>
          <w:b w:val="0"/>
          <w:i/>
          <w:sz w:val="22"/>
          <w:szCs w:val="22"/>
          <w:lang w:val="en-US"/>
        </w:rPr>
        <w:t>Causes of the crisis</w:t>
      </w:r>
      <w:bookmarkEnd w:id="109"/>
      <w:bookmarkEnd w:id="110"/>
      <w:bookmarkEnd w:id="111"/>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For the first time since the last crisis in 1930s, in 2008 the world economy experienced a financial crisis. The whole crisis started in 2006 with the housing bubble and the liquidity shortfall in the United States banking system. In September 2008, the international financial system was close to a collapse of large financial institutions and downturns in stock markets around the world. After this, a series of negative events followed, like failures by major financial institutions and government interventions in financial systems around the world. The main reason for the big expansion of this crisis is the failure by the key business and the decrease of consumer’s wealth. </w:t>
      </w:r>
    </w:p>
    <w:p w:rsidR="00AE4097" w:rsidRDefault="00AE4097" w:rsidP="00A82089">
      <w:pPr>
        <w:pStyle w:val="000"/>
        <w:suppressAutoHyphens/>
        <w:spacing w:line="360" w:lineRule="auto"/>
        <w:jc w:val="both"/>
        <w:rPr>
          <w:sz w:val="22"/>
          <w:szCs w:val="22"/>
          <w:lang w:val="en-US"/>
        </w:rPr>
      </w:pPr>
      <w:r>
        <w:rPr>
          <w:sz w:val="22"/>
          <w:szCs w:val="22"/>
          <w:lang w:val="en-US"/>
        </w:rPr>
        <w:tab/>
        <w:t>From the beginning of the 21</w:t>
      </w:r>
      <w:r>
        <w:rPr>
          <w:sz w:val="22"/>
          <w:szCs w:val="22"/>
          <w:vertAlign w:val="superscript"/>
          <w:lang w:val="en-US"/>
        </w:rPr>
        <w:t>st</w:t>
      </w:r>
      <w:r>
        <w:rPr>
          <w:sz w:val="22"/>
          <w:szCs w:val="22"/>
          <w:lang w:val="en-US"/>
        </w:rPr>
        <w:t xml:space="preserve"> century, the stock markets were increasing due to growth in the internet sector. The ‘dot com bubble’ in the </w:t>
      </w:r>
      <w:r w:rsidR="00F073FE">
        <w:rPr>
          <w:sz w:val="22"/>
          <w:szCs w:val="22"/>
          <w:lang w:val="en-US"/>
        </w:rPr>
        <w:t>US</w:t>
      </w:r>
      <w:r>
        <w:rPr>
          <w:sz w:val="22"/>
          <w:szCs w:val="22"/>
          <w:lang w:val="en-US"/>
        </w:rPr>
        <w:t xml:space="preserve"> in 2001 was the first trigger of the financial crisis. </w:t>
      </w:r>
    </w:p>
    <w:p w:rsidR="00AE4097" w:rsidRDefault="00AE4097" w:rsidP="00A82089">
      <w:pPr>
        <w:pStyle w:val="000"/>
        <w:suppressAutoHyphens/>
        <w:spacing w:line="360" w:lineRule="auto"/>
        <w:jc w:val="both"/>
        <w:rPr>
          <w:sz w:val="22"/>
          <w:szCs w:val="22"/>
          <w:lang w:val="en-US"/>
        </w:rPr>
      </w:pPr>
      <w:r>
        <w:rPr>
          <w:sz w:val="22"/>
          <w:szCs w:val="22"/>
          <w:lang w:val="en-US"/>
        </w:rPr>
        <w:t xml:space="preserve">On March, 10 2000, the bubble burst, because of speculation in stocks and widely available venture capital. The central bank of the </w:t>
      </w:r>
      <w:r w:rsidR="00F073FE">
        <w:rPr>
          <w:sz w:val="22"/>
          <w:szCs w:val="22"/>
          <w:lang w:val="en-US"/>
        </w:rPr>
        <w:t>US</w:t>
      </w:r>
      <w:r>
        <w:rPr>
          <w:sz w:val="22"/>
          <w:szCs w:val="22"/>
          <w:lang w:val="en-US"/>
        </w:rPr>
        <w:t xml:space="preserve"> (Federal Reserve) decided to bring back the interest rate from 6% to 1.75%. They wanted to avoid a crisis by restoring the investors’ trust. As a result of the low interest rates, people could lend ‘cheap’ money. Excessive risk taking by banks led to granting mortgages with low interest rates to people who did not have enough income to cover them. A lot of Americans bought a house, which they could not afford. They got ‘subprime’ mortgages, based on the premise that housing prices would </w:t>
      </w:r>
      <w:proofErr w:type="gramStart"/>
      <w:r>
        <w:rPr>
          <w:sz w:val="22"/>
          <w:szCs w:val="22"/>
          <w:lang w:val="en-US"/>
        </w:rPr>
        <w:t>rise</w:t>
      </w:r>
      <w:proofErr w:type="gramEnd"/>
      <w:r>
        <w:rPr>
          <w:sz w:val="22"/>
          <w:szCs w:val="22"/>
          <w:lang w:val="en-US"/>
        </w:rPr>
        <w:t xml:space="preserve">. In general, the crisis is the result from </w:t>
      </w:r>
      <w:proofErr w:type="gramStart"/>
      <w:r>
        <w:rPr>
          <w:sz w:val="22"/>
          <w:szCs w:val="22"/>
          <w:lang w:val="en-US"/>
        </w:rPr>
        <w:t>an</w:t>
      </w:r>
      <w:proofErr w:type="gramEnd"/>
      <w:r>
        <w:rPr>
          <w:sz w:val="22"/>
          <w:szCs w:val="22"/>
          <w:lang w:val="en-US"/>
        </w:rPr>
        <w:t xml:space="preserve"> period of excessive borrowing, lending and investing encouraged by a series of economic and regulation factors, which arose in the market for subprime residential mortgages in the </w:t>
      </w:r>
      <w:r w:rsidR="00F073FE">
        <w:rPr>
          <w:sz w:val="22"/>
          <w:szCs w:val="22"/>
          <w:lang w:val="en-US"/>
        </w:rPr>
        <w:t>US</w:t>
      </w:r>
      <w:r>
        <w:rPr>
          <w:sz w:val="22"/>
          <w:szCs w:val="22"/>
          <w:lang w:val="en-US"/>
        </w:rPr>
        <w:t xml:space="preserve"> in 2005 and 2006. However, this was not limited to the </w:t>
      </w:r>
      <w:r w:rsidR="00F073FE">
        <w:rPr>
          <w:sz w:val="22"/>
          <w:szCs w:val="22"/>
          <w:lang w:val="en-US"/>
        </w:rPr>
        <w:t>US</w:t>
      </w:r>
      <w:r>
        <w:rPr>
          <w:sz w:val="22"/>
          <w:szCs w:val="22"/>
          <w:lang w:val="en-US"/>
        </w:rPr>
        <w:t xml:space="preserve">; it had an impact on almost every market, it was noticeable on a global level. </w:t>
      </w:r>
    </w:p>
    <w:p w:rsidR="00AE4097" w:rsidRDefault="00AE4097" w:rsidP="00A82089">
      <w:pPr>
        <w:pStyle w:val="000"/>
        <w:suppressAutoHyphens/>
        <w:spacing w:line="360" w:lineRule="auto"/>
        <w:jc w:val="both"/>
        <w:rPr>
          <w:sz w:val="22"/>
          <w:szCs w:val="22"/>
          <w:lang w:val="en-US"/>
        </w:rPr>
      </w:pPr>
      <w:r>
        <w:rPr>
          <w:sz w:val="22"/>
          <w:szCs w:val="22"/>
          <w:lang w:val="en-US"/>
        </w:rPr>
        <w:tab/>
        <w:t>The whole process of excessive borrowing and lending is empowered by excessive investments from a wide range of investors around the</w:t>
      </w:r>
      <w:r w:rsidR="007C1A3A">
        <w:rPr>
          <w:sz w:val="22"/>
          <w:szCs w:val="22"/>
          <w:lang w:val="en-US"/>
        </w:rPr>
        <w:t xml:space="preserve"> world, in which ‘securization’ </w:t>
      </w:r>
      <w:r>
        <w:rPr>
          <w:sz w:val="22"/>
          <w:szCs w:val="22"/>
          <w:lang w:val="en-US"/>
        </w:rPr>
        <w:t xml:space="preserve">was an important link. This is ‘a transaction structure in which loans (such as loans secured by residential real estate – i.e., mortgages) are pooled together as collateral underlying the issuance of securities, mainly debt securities’ (Arner, 2009). This process permits banks of assets to convert a future stream of revenue </w:t>
      </w:r>
      <w:r>
        <w:rPr>
          <w:sz w:val="22"/>
          <w:szCs w:val="22"/>
          <w:lang w:val="en-US"/>
        </w:rPr>
        <w:lastRenderedPageBreak/>
        <w:t xml:space="preserve">into a current value pool of capital, which is then used to sustain further lending. It requires investors to purchase the securities to be sure the process is successful. This structure is frequently used in the </w:t>
      </w:r>
      <w:r w:rsidR="00F073FE">
        <w:rPr>
          <w:sz w:val="22"/>
          <w:szCs w:val="22"/>
          <w:lang w:val="en-US"/>
        </w:rPr>
        <w:t>US</w:t>
      </w:r>
      <w:r>
        <w:rPr>
          <w:sz w:val="22"/>
          <w:szCs w:val="22"/>
          <w:lang w:val="en-US"/>
        </w:rPr>
        <w:t xml:space="preserve"> and other Common Law countries.</w:t>
      </w:r>
    </w:p>
    <w:p w:rsidR="00AE4097" w:rsidRDefault="00AE4097" w:rsidP="00A82089">
      <w:pPr>
        <w:pStyle w:val="000"/>
        <w:suppressAutoHyphens/>
        <w:spacing w:line="360" w:lineRule="auto"/>
        <w:jc w:val="both"/>
        <w:rPr>
          <w:sz w:val="22"/>
          <w:szCs w:val="22"/>
          <w:lang w:val="en-US"/>
        </w:rPr>
      </w:pPr>
      <w:r>
        <w:rPr>
          <w:sz w:val="22"/>
          <w:szCs w:val="22"/>
          <w:lang w:val="en-US"/>
        </w:rPr>
        <w:tab/>
        <w:t xml:space="preserve">In 2006, real estate prices in the </w:t>
      </w:r>
      <w:r w:rsidR="00F073FE">
        <w:rPr>
          <w:sz w:val="22"/>
          <w:szCs w:val="22"/>
          <w:lang w:val="en-US"/>
        </w:rPr>
        <w:t>US</w:t>
      </w:r>
      <w:r>
        <w:rPr>
          <w:sz w:val="22"/>
          <w:szCs w:val="22"/>
          <w:lang w:val="en-US"/>
        </w:rPr>
        <w:t xml:space="preserve"> and in some other western countries had reached unsustainable levels. Central banks raised interest rates as a result of global economic growth. 80% of the issued mortgages were adjustable-rate mortgages, so the monthly charges increased in line with the interest rates. Mortgage borrowers in the </w:t>
      </w:r>
      <w:r w:rsidR="00F073FE">
        <w:rPr>
          <w:sz w:val="22"/>
          <w:szCs w:val="22"/>
          <w:lang w:val="en-US"/>
        </w:rPr>
        <w:t>US</w:t>
      </w:r>
      <w:r>
        <w:rPr>
          <w:sz w:val="22"/>
          <w:szCs w:val="22"/>
          <w:lang w:val="en-US"/>
        </w:rPr>
        <w:t xml:space="preserve"> got difficulties meeting their obligations. Failures in loans began to rise. Securities lost their values since lenders expected that price appreciations were high. The securities were held by financial firms from all over the world and the consequence was a large turndown in the capital of different banks (Arner, 2009). Because of the high real estate prices, purchasers stopped entering the markets, resulting into rapidly decreasing real estate prices for the first time since years. Borrowers who had a financial problem couldn’t sell their property to solve this problem. This resulted into a decline in stock prices of financial firms and a lot of banks got liquidity problems. Mistrust between banks arose, so they were unwilling to lend money to each other. Government interventions were unavoidable. This downward spiral led to the crisis in the U.S (Arner, 2009).</w:t>
      </w:r>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All listed banks in the </w:t>
      </w:r>
      <w:r w:rsidR="00F073FE">
        <w:rPr>
          <w:sz w:val="22"/>
          <w:szCs w:val="22"/>
          <w:lang w:val="en-US"/>
        </w:rPr>
        <w:t>US</w:t>
      </w:r>
      <w:r>
        <w:rPr>
          <w:sz w:val="22"/>
          <w:szCs w:val="22"/>
          <w:lang w:val="en-US"/>
        </w:rPr>
        <w:t xml:space="preserve"> and the biggest insurers receive government support. The securitization process makes it possible that securities will easily be spread around the world. Various institutions did not know from whom they were buying and what the risks were. The bankruptcy of Lehman Brothers on September, 15 2008, triggered the financial crisis in the </w:t>
      </w:r>
      <w:r w:rsidR="00F073FE">
        <w:rPr>
          <w:sz w:val="22"/>
          <w:szCs w:val="22"/>
          <w:lang w:val="en-US"/>
        </w:rPr>
        <w:t>US</w:t>
      </w:r>
      <w:r>
        <w:rPr>
          <w:sz w:val="22"/>
          <w:szCs w:val="22"/>
          <w:lang w:val="en-US"/>
        </w:rPr>
        <w:t xml:space="preserve"> and by this time, European banks were involved in the </w:t>
      </w:r>
      <w:r w:rsidR="00F073FE">
        <w:rPr>
          <w:sz w:val="22"/>
          <w:szCs w:val="22"/>
          <w:lang w:val="en-US"/>
        </w:rPr>
        <w:t>US</w:t>
      </w:r>
      <w:r>
        <w:rPr>
          <w:sz w:val="22"/>
          <w:szCs w:val="22"/>
          <w:lang w:val="en-US"/>
        </w:rPr>
        <w:t xml:space="preserve"> crisis as well (Arner, 2009). </w:t>
      </w:r>
      <w:r>
        <w:rPr>
          <w:sz w:val="22"/>
          <w:szCs w:val="22"/>
          <w:lang w:val="en-US"/>
        </w:rPr>
        <w:tab/>
      </w:r>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The combination of debt capital market technology, regulatory incentives, excessively low interest rates and excessive global investor demand meant the beginning of the crisis (Arner, 2009). </w:t>
      </w:r>
    </w:p>
    <w:p w:rsidR="00AE4097" w:rsidRDefault="00AE4097" w:rsidP="00A82089">
      <w:pPr>
        <w:pStyle w:val="000"/>
        <w:suppressAutoHyphens/>
        <w:spacing w:line="360" w:lineRule="auto"/>
        <w:jc w:val="both"/>
        <w:rPr>
          <w:sz w:val="22"/>
          <w:szCs w:val="22"/>
          <w:lang w:val="en-US"/>
        </w:rPr>
      </w:pP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112" w:name="_Toc285109178"/>
      <w:bookmarkStart w:id="113" w:name="_Toc288459354"/>
      <w:bookmarkStart w:id="114" w:name="_Toc288725895"/>
      <w:r>
        <w:rPr>
          <w:b w:val="0"/>
          <w:i/>
          <w:sz w:val="22"/>
          <w:szCs w:val="22"/>
          <w:lang w:val="en-US"/>
        </w:rPr>
        <w:t>Consequences of the crisis for risk disclosures</w:t>
      </w:r>
      <w:bookmarkEnd w:id="112"/>
      <w:bookmarkEnd w:id="113"/>
      <w:bookmarkEnd w:id="114"/>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As a result of the crisis the governments of the </w:t>
      </w:r>
      <w:r w:rsidR="00F073FE">
        <w:rPr>
          <w:sz w:val="22"/>
          <w:szCs w:val="22"/>
          <w:lang w:val="en-US"/>
        </w:rPr>
        <w:t>US</w:t>
      </w:r>
      <w:r>
        <w:rPr>
          <w:sz w:val="22"/>
          <w:szCs w:val="22"/>
          <w:lang w:val="en-US"/>
        </w:rPr>
        <w:t xml:space="preserve">, the European Union, and Switzerland, focused on taking action to prevent the financial crisis from becoming a financial collapse. Some methods they used were interest rate cuts, massive liquidity infusions, capital injections, guarantees, and asset purchases. Unfortunately this was not enough to prevent major adverse economic consequences. Significant changes are needed in both domestic and global financial regulation to </w:t>
      </w:r>
    </w:p>
    <w:p w:rsidR="00AE4097" w:rsidRDefault="00AE4097" w:rsidP="00A82089">
      <w:pPr>
        <w:pStyle w:val="000"/>
        <w:suppressAutoHyphens/>
        <w:spacing w:line="360" w:lineRule="auto"/>
        <w:jc w:val="both"/>
        <w:rPr>
          <w:sz w:val="22"/>
          <w:szCs w:val="22"/>
          <w:lang w:val="en-US"/>
        </w:rPr>
      </w:pPr>
      <w:proofErr w:type="gramStart"/>
      <w:r>
        <w:rPr>
          <w:sz w:val="22"/>
          <w:szCs w:val="22"/>
          <w:lang w:val="en-US"/>
        </w:rPr>
        <w:t>prevent</w:t>
      </w:r>
      <w:proofErr w:type="gramEnd"/>
      <w:r>
        <w:rPr>
          <w:sz w:val="22"/>
          <w:szCs w:val="22"/>
          <w:lang w:val="en-US"/>
        </w:rPr>
        <w:t xml:space="preserve"> future credit crises (Arner, 2009).</w:t>
      </w:r>
    </w:p>
    <w:p w:rsidR="00AE4097" w:rsidRDefault="00AE4097" w:rsidP="00A82089">
      <w:pPr>
        <w:pStyle w:val="000"/>
        <w:suppressAutoHyphens/>
        <w:spacing w:line="360" w:lineRule="auto"/>
        <w:jc w:val="both"/>
        <w:rPr>
          <w:lang w:val="en-US"/>
        </w:rPr>
      </w:pPr>
      <w:r>
        <w:rPr>
          <w:sz w:val="22"/>
          <w:lang w:val="en-US"/>
        </w:rPr>
        <w:tab/>
        <w:t>Central failure in the crisis, concerns the financial institution corporate governance. Financial institutions did not manage their own risks or businesses well. As a consequence, all companies were facing increasing losses, which can be attributed to operational risks (Arner, 2009).</w:t>
      </w:r>
      <w:r>
        <w:rPr>
          <w:lang w:val="en-US"/>
        </w:rPr>
        <w:t xml:space="preserve"> </w:t>
      </w:r>
    </w:p>
    <w:p w:rsidR="00AE4097" w:rsidRDefault="00AE4097" w:rsidP="00A82089">
      <w:pPr>
        <w:suppressAutoHyphens/>
        <w:spacing w:line="360" w:lineRule="auto"/>
        <w:jc w:val="both"/>
        <w:rPr>
          <w:sz w:val="22"/>
          <w:szCs w:val="22"/>
          <w:lang w:val="en-US"/>
        </w:rPr>
      </w:pPr>
      <w:r>
        <w:rPr>
          <w:sz w:val="22"/>
          <w:szCs w:val="22"/>
          <w:lang w:val="en-US"/>
        </w:rPr>
        <w:tab/>
        <w:t xml:space="preserve">Because of the volatile </w:t>
      </w:r>
      <w:r w:rsidRPr="003B3CB9">
        <w:rPr>
          <w:sz w:val="22"/>
          <w:szCs w:val="22"/>
          <w:lang w:val="en-US"/>
        </w:rPr>
        <w:t xml:space="preserve">environment in times of a financial crisis, questions arose about the companies’ risk management practices. Although the crisis arose with financial companies, these questions were important for non-financial companies as well. ‘In this new risk culture, everyone </w:t>
      </w:r>
      <w:r w:rsidRPr="003B3CB9">
        <w:rPr>
          <w:sz w:val="22"/>
          <w:szCs w:val="22"/>
          <w:lang w:val="en-US"/>
        </w:rPr>
        <w:lastRenderedPageBreak/>
        <w:t>needs to consider hem of herself a risk manager with a shared understanding of</w:t>
      </w:r>
      <w:r>
        <w:rPr>
          <w:sz w:val="22"/>
          <w:szCs w:val="22"/>
          <w:lang w:val="en-US"/>
        </w:rPr>
        <w:t xml:space="preserve"> the organizational risk appétit underpinned by a clear governance structure for managing risks’ (KPMG, 2009).</w:t>
      </w:r>
    </w:p>
    <w:p w:rsidR="00AE4097" w:rsidRDefault="00AE4097" w:rsidP="00A82089">
      <w:pPr>
        <w:pStyle w:val="BodyTextIndent"/>
        <w:suppressAutoHyphens/>
      </w:pPr>
      <w:r>
        <w:t>Research shows that the financial reporting by firms has deficiencies, especially with respect to the risk-paragraph (Sundmacher, 2008). Because of this, there is an increasing awareness among managers to understand the risks faced by the firm and to understand how these risks can be managed. Risk taking is the fundamental business in the financial services sector. Appropriate risk disclosures helps investors and other stakeholders to make more informed decisions and can be highly valuable for companies (Sundmacher, 2008).</w:t>
      </w:r>
    </w:p>
    <w:p w:rsidR="00AE4097" w:rsidRDefault="00AE4097" w:rsidP="00A82089">
      <w:pPr>
        <w:suppressAutoHyphens/>
        <w:spacing w:line="360" w:lineRule="auto"/>
        <w:jc w:val="both"/>
        <w:rPr>
          <w:lang w:val="en-US"/>
        </w:rPr>
      </w:pPr>
      <w:r>
        <w:rPr>
          <w:sz w:val="22"/>
          <w:szCs w:val="22"/>
          <w:lang w:val="en-US"/>
        </w:rPr>
        <w:tab/>
      </w:r>
      <w:r>
        <w:rPr>
          <w:sz w:val="22"/>
          <w:lang w:val="en-US"/>
        </w:rPr>
        <w:t>The nature of risks varies from sector to sector. The telecommunication sector is transforming as a result of technological changes, while other sector are facing more strategic business risks. However, this does not mean that one sector is less or more risky than another. The most severe risk all sectors face is the credit crisis. The banking and insurance sector faces direct threats from the financial crisis, while other sectors are under pressure by a tighter credit environment. In these turbulent times not only the companies’ reputations themselves are damaged, but the credit crisis weakens the public trust in the entire sector as well (Arner, 2009).</w:t>
      </w:r>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Another failure in the crisis was that disclosure requirements were not sufficient to support transparency and market discipline (Arner, 2009). Paragraph 2.7, where the requirements for disclosures are discussed, states that voluntary disclosures became more and more mandatory, because of the growing importance of risk disclosures. </w:t>
      </w:r>
    </w:p>
    <w:p w:rsidR="00AE4097" w:rsidRDefault="00AE4097" w:rsidP="00A82089">
      <w:pPr>
        <w:pStyle w:val="000"/>
        <w:suppressAutoHyphens/>
        <w:spacing w:line="360" w:lineRule="auto"/>
        <w:ind w:firstLine="567"/>
        <w:jc w:val="both"/>
        <w:rPr>
          <w:sz w:val="22"/>
          <w:szCs w:val="22"/>
          <w:lang w:val="en-US"/>
        </w:rPr>
      </w:pPr>
      <w:r>
        <w:rPr>
          <w:sz w:val="22"/>
          <w:szCs w:val="22"/>
          <w:lang w:val="en-US"/>
        </w:rPr>
        <w:t>The credit crisis was triggered by a lot of different factors, and in the aftermath of the crisis most sectors have to deal with a tight credit environment.</w:t>
      </w:r>
    </w:p>
    <w:p w:rsidR="00AE4097" w:rsidRDefault="00AE4097" w:rsidP="00A82089">
      <w:pPr>
        <w:pStyle w:val="000"/>
        <w:suppressAutoHyphens/>
        <w:spacing w:line="360" w:lineRule="auto"/>
        <w:jc w:val="both"/>
        <w:rPr>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rPr>
      </w:pPr>
      <w:bookmarkStart w:id="115" w:name="_Toc288459355"/>
      <w:bookmarkStart w:id="116" w:name="_Toc288725896"/>
      <w:r>
        <w:rPr>
          <w:i w:val="0"/>
          <w:sz w:val="22"/>
          <w:szCs w:val="22"/>
          <w:lang w:val="en-US"/>
        </w:rPr>
        <w:t>Summary</w:t>
      </w:r>
      <w:bookmarkEnd w:id="115"/>
      <w:bookmarkEnd w:id="116"/>
      <w:r>
        <w:rPr>
          <w:i w:val="0"/>
          <w:sz w:val="22"/>
          <w:szCs w:val="22"/>
          <w:lang w:val="en-US"/>
        </w:rPr>
        <w:t xml:space="preserve"> </w:t>
      </w:r>
    </w:p>
    <w:p w:rsidR="00AE4097" w:rsidRDefault="00AE4097" w:rsidP="00A82089">
      <w:pPr>
        <w:suppressAutoHyphens/>
        <w:spacing w:line="360" w:lineRule="auto"/>
        <w:ind w:firstLine="567"/>
        <w:jc w:val="both"/>
        <w:rPr>
          <w:sz w:val="22"/>
          <w:szCs w:val="22"/>
          <w:lang w:val="en-US"/>
        </w:rPr>
      </w:pPr>
      <w:r>
        <w:rPr>
          <w:bCs/>
          <w:sz w:val="22"/>
          <w:szCs w:val="22"/>
          <w:lang w:val="en-US"/>
        </w:rPr>
        <w:t xml:space="preserve">This chapter gave some background information regarding disclosures in general and risk disclosures in specific. The chapter started with an introduction. Then, the three types of disclosures were discussed: mandatory, recommend and voluntary disclosures. This research focuses on voluntary disclosures, which can be explained with the positive accounting theory (PAT) in the third paragraph. The PAT explains and predicts accounting practices. It shows how things works, not how things should work (Whitley, 1988). This theory focuses on the supply side of information. It explains the managers’ motives for risk reporting (Watts and Zimmerman, 1986) and </w:t>
      </w:r>
      <w:r>
        <w:rPr>
          <w:sz w:val="22"/>
          <w:szCs w:val="22"/>
          <w:lang w:val="en-US"/>
        </w:rPr>
        <w:t xml:space="preserve">focuses on the relationship between principals (stakeholders) and agents (managers). The demand for information arises from information asymmetry between these two. Both parties have different interests, which results in agency conflicts. Voluntary disclosures are useful to fill this gap (Deegan and Unerman, 2006). </w:t>
      </w:r>
    </w:p>
    <w:p w:rsidR="00AE4097" w:rsidRDefault="00AE4097" w:rsidP="00A82089">
      <w:pPr>
        <w:suppressAutoHyphens/>
        <w:spacing w:line="360" w:lineRule="auto"/>
        <w:ind w:firstLine="567"/>
        <w:jc w:val="both"/>
        <w:rPr>
          <w:sz w:val="22"/>
          <w:szCs w:val="22"/>
          <w:lang w:val="en-US"/>
        </w:rPr>
      </w:pPr>
      <w:r>
        <w:rPr>
          <w:bCs/>
          <w:sz w:val="22"/>
          <w:szCs w:val="22"/>
          <w:lang w:val="en-US"/>
        </w:rPr>
        <w:t xml:space="preserve">The fourth paragraph discussed managers’ motives and constraints for disclosing or not disclosing information. Managers can reduce the cost of capital by reducing information asymmetry by more voluntary disclosures. Other consequences of voluntary disclosures are lower information acquisition cost and an increasing amount of information available to analysts (Graham et al., 2005). </w:t>
      </w:r>
      <w:r>
        <w:rPr>
          <w:bCs/>
          <w:sz w:val="22"/>
          <w:szCs w:val="22"/>
          <w:lang w:val="en-US"/>
        </w:rPr>
        <w:lastRenderedPageBreak/>
        <w:t xml:space="preserve">Further, managers don’t want to lose their job as a result of low stock and poor earnings performance. Other reasons are that managers are directly rewarded by using a variety of stock-based compensation plans (Healy and Palepu, 2001) and talented managers have the incentive to disclose earnings forecasts to make their type public (Trueman, 1986). The litigation cost hypothesis can be both a motive and a constraint. Managers with bad earnings news have a motive to disclose this information earlier to reduce the cost of litigation, while litigation reduces the incentives when managers believe that the legal system punished forecasts which are made in good faith (Skinner, 1994). Despite the motives for disclosing information, voluntary disclosed information can damage the competitive position (Verrechia, 2001; Dye, 2001) and in the case of agency costs, full disclosures </w:t>
      </w:r>
      <w:proofErr w:type="spellStart"/>
      <w:r>
        <w:rPr>
          <w:bCs/>
          <w:sz w:val="22"/>
          <w:szCs w:val="22"/>
          <w:lang w:val="en-US"/>
        </w:rPr>
        <w:t>can not</w:t>
      </w:r>
      <w:proofErr w:type="spellEnd"/>
      <w:r>
        <w:rPr>
          <w:bCs/>
          <w:sz w:val="22"/>
          <w:szCs w:val="22"/>
          <w:lang w:val="en-US"/>
        </w:rPr>
        <w:t xml:space="preserve"> be reached (Nanda et al., 2003; Berger and Hann, 2003). No evidence is found for political costs (Graham et al., 2005). </w:t>
      </w:r>
    </w:p>
    <w:p w:rsidR="00AE4097" w:rsidRDefault="00AE4097" w:rsidP="00A82089">
      <w:pPr>
        <w:suppressAutoHyphens/>
        <w:spacing w:line="360" w:lineRule="auto"/>
        <w:ind w:firstLine="567"/>
        <w:jc w:val="both"/>
        <w:rPr>
          <w:sz w:val="22"/>
          <w:szCs w:val="22"/>
          <w:lang w:val="en-US"/>
        </w:rPr>
      </w:pPr>
      <w:r>
        <w:rPr>
          <w:sz w:val="22"/>
          <w:szCs w:val="22"/>
          <w:lang w:val="en-US"/>
        </w:rPr>
        <w:t>The fifth paragraph described the different methods for measuring disclosures. The methods are s</w:t>
      </w:r>
      <w:r>
        <w:rPr>
          <w:bCs/>
          <w:color w:val="000000"/>
          <w:sz w:val="22"/>
          <w:szCs w:val="22"/>
          <w:lang w:val="en-US"/>
        </w:rPr>
        <w:t>ubjective ratings, disclosure index studies and textual analyses. The last two methods are important f</w:t>
      </w:r>
      <w:r>
        <w:rPr>
          <w:sz w:val="22"/>
          <w:szCs w:val="22"/>
          <w:lang w:val="en-US"/>
        </w:rPr>
        <w:t xml:space="preserve">or this research. When using disclosure indices, the </w:t>
      </w:r>
      <w:r>
        <w:rPr>
          <w:color w:val="2A2A2A"/>
          <w:sz w:val="22"/>
          <w:szCs w:val="22"/>
          <w:lang w:val="en-US"/>
        </w:rPr>
        <w:t xml:space="preserve">amount of disclosures is used as a proxy for the quality of disclosures (Marston and Shrives, 1991; Botosan, 1997). They make use of predefined information items and the coding scheme can be a simple binary coding or an ordinal measure. Textual analysis </w:t>
      </w:r>
      <w:r>
        <w:rPr>
          <w:sz w:val="22"/>
          <w:szCs w:val="22"/>
          <w:lang w:val="en-US"/>
        </w:rPr>
        <w:t xml:space="preserve">reviews the content of accounting narratives, especially when a large amount of data needs to be analyzed (Jones and Shoemaker, 1994). It is a method for codifying text into various categories depending upon selected criteria (Holsti, 1969). There are several possibilities, varying per </w:t>
      </w:r>
    </w:p>
    <w:p w:rsidR="00AE4097" w:rsidRDefault="00AE4097" w:rsidP="00A82089">
      <w:pPr>
        <w:suppressAutoHyphens/>
        <w:spacing w:line="360" w:lineRule="auto"/>
        <w:jc w:val="both"/>
        <w:rPr>
          <w:sz w:val="22"/>
          <w:szCs w:val="22"/>
          <w:lang w:val="en-US"/>
        </w:rPr>
      </w:pPr>
      <w:proofErr w:type="gramStart"/>
      <w:r>
        <w:rPr>
          <w:sz w:val="22"/>
          <w:szCs w:val="22"/>
          <w:lang w:val="en-US"/>
        </w:rPr>
        <w:t>research</w:t>
      </w:r>
      <w:proofErr w:type="gramEnd"/>
      <w:r>
        <w:rPr>
          <w:sz w:val="22"/>
          <w:szCs w:val="22"/>
          <w:lang w:val="en-US"/>
        </w:rPr>
        <w:t>, for choosing a coding and counting unit : words, page proportions or sentences.</w:t>
      </w:r>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After discussing disclosures in general, the other paragraphs were focused on specific risk disclosures. Paragraph 2.6 mentioned the different definitions of ‘risk’. In this research the definition of Linsley and Shrives (2006a) is used, because it includes both the positive and the negative side of risk. Further, it explains the Enterprise Risk Management (ERM) framework (COSO II). With this framework, clear statements can be made about which risks are relevant, what is needed to control these risks and the cost of doing </w:t>
      </w:r>
      <w:proofErr w:type="gramStart"/>
      <w:r>
        <w:rPr>
          <w:sz w:val="22"/>
          <w:szCs w:val="22"/>
          <w:lang w:val="en-US"/>
        </w:rPr>
        <w:t>so.</w:t>
      </w:r>
      <w:proofErr w:type="gramEnd"/>
      <w:r>
        <w:rPr>
          <w:sz w:val="22"/>
          <w:szCs w:val="22"/>
          <w:lang w:val="en-US"/>
        </w:rPr>
        <w:t xml:space="preserve"> A good framework is necessary because corporate governance codes are becoming more important. This paragraph ends with the classification scheme developed by </w:t>
      </w:r>
      <w:r w:rsidR="00466506">
        <w:rPr>
          <w:sz w:val="22"/>
          <w:szCs w:val="22"/>
          <w:lang w:val="en-US"/>
        </w:rPr>
        <w:t>Arthur</w:t>
      </w:r>
      <w:r>
        <w:rPr>
          <w:sz w:val="22"/>
          <w:szCs w:val="22"/>
          <w:lang w:val="en-US"/>
        </w:rPr>
        <w:t xml:space="preserve"> Andersen, also used by Linsley and Shrives (2006a) as well as other researchers.</w:t>
      </w:r>
    </w:p>
    <w:p w:rsidR="00F72955" w:rsidRDefault="00AE4097" w:rsidP="00A82089">
      <w:pPr>
        <w:suppressAutoHyphens/>
        <w:autoSpaceDE w:val="0"/>
        <w:autoSpaceDN w:val="0"/>
        <w:adjustRightInd w:val="0"/>
        <w:spacing w:line="360" w:lineRule="auto"/>
        <w:ind w:firstLine="567"/>
        <w:jc w:val="both"/>
        <w:rPr>
          <w:sz w:val="22"/>
          <w:szCs w:val="22"/>
          <w:lang w:val="en-US"/>
        </w:rPr>
      </w:pPr>
      <w:r>
        <w:rPr>
          <w:sz w:val="22"/>
          <w:szCs w:val="22"/>
          <w:lang w:val="en-US"/>
        </w:rPr>
        <w:t xml:space="preserve">The seventh paragraph of this chapter discussed the requirements for risk reporting. Recently, risk reporting of financial risks became mandatory for listed companies in the European Union. Companies must provide adequate information about the risks and uncertainties they are facing and will face in the future. Because listed companies in the Netherlands have to comply with the International Financial Reporting Standards (IFRS 7) and the Dutch Corporate Governance Code, these requirements are described in this paragraph. In IFRS 7 the requirements concerning risk focuses especially on financial risks (credit risk, currency risk, interest rate risk, liquidity risk, market risk and other price risk). For the other risk categories no additional information is required, just a broad description of the biggest risks and uncertainties is sufficient. </w:t>
      </w:r>
    </w:p>
    <w:p w:rsidR="00AE4097" w:rsidRPr="00B501C4" w:rsidRDefault="00AE4097" w:rsidP="00A82089">
      <w:pPr>
        <w:suppressAutoHyphens/>
        <w:autoSpaceDE w:val="0"/>
        <w:autoSpaceDN w:val="0"/>
        <w:adjustRightInd w:val="0"/>
        <w:spacing w:line="360" w:lineRule="auto"/>
        <w:jc w:val="both"/>
        <w:rPr>
          <w:sz w:val="22"/>
          <w:szCs w:val="22"/>
          <w:lang w:val="en-US"/>
        </w:rPr>
      </w:pPr>
      <w:r>
        <w:rPr>
          <w:sz w:val="22"/>
          <w:szCs w:val="22"/>
          <w:lang w:val="en-US"/>
        </w:rPr>
        <w:lastRenderedPageBreak/>
        <w:t xml:space="preserve">The Dutch Corporate Governance Code (‘Code Tabaksblat’) does not give explicit rules regarding risk reporting. The Code prescribes that the company should have an internal risk management and control system that is adequate and effective (‘in-control statement’). Also that the management should give a review of the sensitivity of the company results to external factors and variables and that the supervisory board should discuss the corporate </w:t>
      </w:r>
      <w:r w:rsidRPr="00B501C4">
        <w:rPr>
          <w:sz w:val="22"/>
          <w:szCs w:val="22"/>
          <w:lang w:val="en-US"/>
        </w:rPr>
        <w:t xml:space="preserve">strategy and the </w:t>
      </w:r>
      <w:proofErr w:type="gramStart"/>
      <w:r w:rsidRPr="00B501C4">
        <w:rPr>
          <w:sz w:val="22"/>
          <w:szCs w:val="22"/>
          <w:lang w:val="en-US"/>
        </w:rPr>
        <w:t>company’s  risks</w:t>
      </w:r>
      <w:proofErr w:type="gramEnd"/>
      <w:r w:rsidRPr="00B501C4">
        <w:rPr>
          <w:sz w:val="22"/>
          <w:szCs w:val="22"/>
          <w:lang w:val="en-US"/>
        </w:rPr>
        <w:t>.</w:t>
      </w:r>
    </w:p>
    <w:p w:rsidR="00AE4097" w:rsidRDefault="00AE4097" w:rsidP="00A82089">
      <w:pPr>
        <w:suppressAutoHyphens/>
        <w:autoSpaceDE w:val="0"/>
        <w:autoSpaceDN w:val="0"/>
        <w:adjustRightInd w:val="0"/>
        <w:spacing w:line="360" w:lineRule="auto"/>
        <w:ind w:firstLine="567"/>
        <w:jc w:val="both"/>
        <w:rPr>
          <w:sz w:val="22"/>
          <w:szCs w:val="22"/>
          <w:lang w:val="en-US"/>
        </w:rPr>
      </w:pPr>
      <w:r w:rsidRPr="00B501C4">
        <w:rPr>
          <w:sz w:val="22"/>
          <w:szCs w:val="22"/>
          <w:lang w:val="en-US"/>
        </w:rPr>
        <w:t>Finally, the last paragraph focused on the financial crisis. Since this study examines the differences in the risk paragraphs before and during the crisis, it is important to know something about the origins of the crisis and its consequences for risk reporting.</w:t>
      </w:r>
      <w:r>
        <w:rPr>
          <w:sz w:val="22"/>
          <w:szCs w:val="22"/>
          <w:lang w:val="en-US"/>
        </w:rPr>
        <w:t xml:space="preserve"> </w:t>
      </w:r>
      <w:r w:rsidRPr="00B501C4">
        <w:rPr>
          <w:sz w:val="22"/>
          <w:szCs w:val="22"/>
          <w:lang w:val="en-US"/>
        </w:rPr>
        <w:t xml:space="preserve">A combination of debt capital market </w:t>
      </w:r>
      <w:r w:rsidRPr="00F72955">
        <w:rPr>
          <w:sz w:val="22"/>
          <w:szCs w:val="22"/>
          <w:lang w:val="en-US"/>
        </w:rPr>
        <w:t>technology, regulatory incentives, excessively low interest rates and excessive global investor demand meant the beginning of the crisis. But main reasons were the failure of the key business and decreasing consumer wealth (Arner, 2009). The methods</w:t>
      </w:r>
      <w:r w:rsidRPr="00B501C4">
        <w:rPr>
          <w:sz w:val="22"/>
          <w:szCs w:val="22"/>
          <w:lang w:val="en-US"/>
        </w:rPr>
        <w:t xml:space="preserve"> as used by the governments in the </w:t>
      </w:r>
      <w:r w:rsidR="00F073FE">
        <w:rPr>
          <w:sz w:val="22"/>
          <w:szCs w:val="22"/>
          <w:lang w:val="en-US"/>
        </w:rPr>
        <w:t>US</w:t>
      </w:r>
      <w:r w:rsidRPr="00B501C4">
        <w:rPr>
          <w:sz w:val="22"/>
          <w:szCs w:val="22"/>
          <w:lang w:val="en-US"/>
        </w:rPr>
        <w:t>, the European Union, and Switzerland, were not enough to prevent major</w:t>
      </w:r>
      <w:r>
        <w:rPr>
          <w:sz w:val="22"/>
          <w:szCs w:val="22"/>
          <w:lang w:val="en-US"/>
        </w:rPr>
        <w:t xml:space="preserve"> adverse economic consequences. </w:t>
      </w:r>
      <w:r w:rsidRPr="00B501C4">
        <w:rPr>
          <w:sz w:val="22"/>
          <w:szCs w:val="22"/>
          <w:lang w:val="en-US"/>
        </w:rPr>
        <w:t>One problem is that financial institutions did not manage their own risks or businesses well. Research shows deficiencies in the financial reporting of firms, especially with respect to the risk paragraph (Sundmacher, 2008). Another failure in the crisis was that disclosure requirements were not sufficient to support transparency and market discipline. To prevent future credit crises, significant changes in both domestic and global financial regulation are needed (Arner, 2009).</w:t>
      </w:r>
    </w:p>
    <w:p w:rsidR="00AE4097" w:rsidRDefault="00AE4097" w:rsidP="00A82089">
      <w:pPr>
        <w:jc w:val="both"/>
        <w:rPr>
          <w:b/>
          <w:lang w:val="en-US"/>
        </w:rPr>
      </w:pPr>
      <w:bookmarkStart w:id="117" w:name="_Toc288459356"/>
      <w:r>
        <w:rPr>
          <w:lang w:val="en-US"/>
        </w:rPr>
        <w:br w:type="page"/>
      </w:r>
    </w:p>
    <w:p w:rsidR="00AE4097" w:rsidRDefault="00AE4097" w:rsidP="00A82089">
      <w:pPr>
        <w:pStyle w:val="Heading1"/>
        <w:numPr>
          <w:ilvl w:val="0"/>
          <w:numId w:val="2"/>
        </w:numPr>
        <w:suppressAutoHyphens/>
        <w:spacing w:line="360" w:lineRule="auto"/>
        <w:jc w:val="both"/>
        <w:rPr>
          <w:sz w:val="24"/>
          <w:lang w:val="en-US"/>
        </w:rPr>
      </w:pPr>
      <w:bookmarkStart w:id="118" w:name="_Toc288725897"/>
      <w:r>
        <w:rPr>
          <w:sz w:val="24"/>
          <w:lang w:val="en-US"/>
        </w:rPr>
        <w:lastRenderedPageBreak/>
        <w:t>Literature review</w:t>
      </w:r>
      <w:bookmarkEnd w:id="117"/>
      <w:bookmarkEnd w:id="118"/>
    </w:p>
    <w:p w:rsidR="00AE4097" w:rsidRDefault="00AE4097" w:rsidP="00A82089">
      <w:pPr>
        <w:pStyle w:val="000"/>
        <w:suppressAutoHyphens/>
        <w:spacing w:line="360" w:lineRule="auto"/>
        <w:jc w:val="both"/>
        <w:rPr>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rPr>
      </w:pPr>
      <w:bookmarkStart w:id="119" w:name="_Toc288459357"/>
      <w:bookmarkStart w:id="120" w:name="_Toc288725898"/>
      <w:r>
        <w:rPr>
          <w:i w:val="0"/>
          <w:sz w:val="22"/>
          <w:szCs w:val="22"/>
          <w:lang w:val="en-US"/>
        </w:rPr>
        <w:t>Introduction</w:t>
      </w:r>
      <w:bookmarkEnd w:id="119"/>
      <w:bookmarkEnd w:id="120"/>
    </w:p>
    <w:p w:rsidR="00AE4097" w:rsidRDefault="00AE4097" w:rsidP="00A82089">
      <w:pPr>
        <w:suppressAutoHyphens/>
        <w:spacing w:line="360" w:lineRule="auto"/>
        <w:ind w:firstLine="567"/>
        <w:jc w:val="both"/>
        <w:rPr>
          <w:sz w:val="22"/>
          <w:szCs w:val="22"/>
          <w:lang w:val="en-US"/>
        </w:rPr>
      </w:pPr>
      <w:r>
        <w:rPr>
          <w:sz w:val="22"/>
          <w:szCs w:val="22"/>
          <w:lang w:val="en-US"/>
        </w:rPr>
        <w:t>This chapter will discuss relevant literature regarding voluntary disclosures, especially risk disclosures.</w:t>
      </w:r>
      <w:r>
        <w:rPr>
          <w:color w:val="FF0000"/>
          <w:sz w:val="22"/>
          <w:szCs w:val="22"/>
          <w:lang w:val="en-US"/>
        </w:rPr>
        <w:t xml:space="preserve"> </w:t>
      </w:r>
      <w:r>
        <w:rPr>
          <w:sz w:val="22"/>
          <w:szCs w:val="22"/>
          <w:lang w:val="en-US"/>
        </w:rPr>
        <w:t>In this review the content, findings and the relevance of the different studies will be summarized. In appendix I a short summary is given of relevant articles for this research, of which only the most relevant ones are discussed in this chapter.</w:t>
      </w:r>
    </w:p>
    <w:p w:rsidR="00AE4097" w:rsidRPr="006837AF" w:rsidRDefault="00AE4097" w:rsidP="00A82089">
      <w:pPr>
        <w:suppressAutoHyphens/>
        <w:spacing w:line="360" w:lineRule="auto"/>
        <w:ind w:firstLine="567"/>
        <w:jc w:val="both"/>
        <w:rPr>
          <w:sz w:val="22"/>
          <w:szCs w:val="22"/>
          <w:lang w:val="en-US"/>
        </w:rPr>
      </w:pPr>
      <w:r>
        <w:rPr>
          <w:sz w:val="22"/>
          <w:szCs w:val="22"/>
          <w:lang w:val="en-US"/>
        </w:rPr>
        <w:t xml:space="preserve">Research on </w:t>
      </w:r>
      <w:r w:rsidRPr="00F073FE">
        <w:rPr>
          <w:sz w:val="22"/>
          <w:szCs w:val="22"/>
          <w:lang w:val="en-US"/>
        </w:rPr>
        <w:t>risk disclosure has mostly been done in the Western countries. There are two groups of research approaches. For the first group the entire annual report is source of content analysis of risk, while the other group</w:t>
      </w:r>
      <w:r>
        <w:rPr>
          <w:sz w:val="22"/>
          <w:szCs w:val="22"/>
          <w:lang w:val="en-US"/>
        </w:rPr>
        <w:t xml:space="preserve"> onl</w:t>
      </w:r>
      <w:r w:rsidRPr="006837AF">
        <w:rPr>
          <w:sz w:val="22"/>
          <w:szCs w:val="22"/>
          <w:lang w:val="en-US"/>
        </w:rPr>
        <w:t xml:space="preserve">y focuses on the management discussion and analysis (MD&amp;A) section (Amran et al., 2009). A large number of disclosure studies have been performed in the last 30 years particularly in countries like the USA, </w:t>
      </w:r>
      <w:r w:rsidR="00F073FE">
        <w:rPr>
          <w:sz w:val="22"/>
          <w:szCs w:val="22"/>
          <w:lang w:val="en-US"/>
        </w:rPr>
        <w:t>UK</w:t>
      </w:r>
      <w:r w:rsidRPr="006837AF">
        <w:rPr>
          <w:sz w:val="22"/>
          <w:szCs w:val="22"/>
          <w:lang w:val="en-US"/>
        </w:rPr>
        <w:t xml:space="preserve">, Canada, and Germany. In these countries, companies are required to disclose more risk information than in other countries (Linsley and Shrives, 2006a). </w:t>
      </w:r>
    </w:p>
    <w:p w:rsidR="00AE4097" w:rsidRPr="006837AF" w:rsidRDefault="00AE4097" w:rsidP="00A82089">
      <w:pPr>
        <w:pStyle w:val="BodyTextIndent3"/>
        <w:suppressAutoHyphens/>
        <w:rPr>
          <w:color w:val="auto"/>
        </w:rPr>
      </w:pPr>
      <w:r w:rsidRPr="006837AF">
        <w:rPr>
          <w:color w:val="auto"/>
        </w:rPr>
        <w:t>The study by Deumes (2008) is the only study found in prior research that discussed ris</w:t>
      </w:r>
      <w:r>
        <w:rPr>
          <w:color w:val="auto"/>
        </w:rPr>
        <w:t xml:space="preserve">k reporting in the Netherlands. </w:t>
      </w:r>
      <w:r w:rsidRPr="006837AF">
        <w:rPr>
          <w:color w:val="auto"/>
        </w:rPr>
        <w:t>This research examined whether companies reported risk-relevant information to prospective investors in the late 1990s. His conclusion was that prospectuses of Dutch listed companies provide adequate information about material investment risks. Because this paper will examine the quantity of the risk paragraph in annual reports before and during the financial crisis, the study of Deumes (2008) is not relevant for this paper. So, this research is examining a new subject of risk reporting in the Netherlands. Besides the study of Deumes (2008), there is more literature regarding risk disclosures. In this chapter the most recent studies on this topic are discussed. The studies from Lajili and Zéghal (2005), Linsley and Shrives (2006a), Abraham and Cox (2007), and Amran et al. (2009) made research to the content and volume of risk paragraphs in annual reports. They made use of the same research method as the one chosen for this paper. However, there is no prior literature that examines the influence of the financial crisis. At the end of this chapter, the different studies will be compared and their contributing value for this research will be discussed.</w:t>
      </w:r>
    </w:p>
    <w:p w:rsidR="00AE4097" w:rsidRDefault="00AE4097" w:rsidP="00A82089">
      <w:pPr>
        <w:suppressAutoHyphens/>
        <w:spacing w:line="360" w:lineRule="auto"/>
        <w:jc w:val="both"/>
        <w:rPr>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rPr>
      </w:pPr>
      <w:bookmarkStart w:id="121" w:name="_Toc288459358"/>
      <w:bookmarkStart w:id="122" w:name="_Toc288725899"/>
      <w:r>
        <w:rPr>
          <w:i w:val="0"/>
          <w:sz w:val="22"/>
          <w:szCs w:val="22"/>
          <w:lang w:val="en-US"/>
        </w:rPr>
        <w:t>Lajili and Zéghal (2005)</w:t>
      </w:r>
      <w:bookmarkEnd w:id="121"/>
      <w:bookmarkEnd w:id="122"/>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This paper examines risk information disclosures in Canadian annual reports. Lajili and Zéghal (2005) are interested in the current risk disclosure environment, its characteristics, and the analytical usefulness of the information disclosed to the firm’s stakeholders. The objective of this study is ‘the way management reports the different types of risks, and which firms and industries are reporting certain categories of risks and associated risk management strategies’. The first step in analyzing risk disclosures is studying the intensity and nature of risk-related information, as well as the volume and location of this information. Their goal is to know which industries and companies disclose this kind </w:t>
      </w:r>
    </w:p>
    <w:p w:rsidR="00AE4097" w:rsidRDefault="00AE4097" w:rsidP="00A82089">
      <w:pPr>
        <w:pStyle w:val="000"/>
        <w:suppressAutoHyphens/>
        <w:spacing w:line="360" w:lineRule="auto"/>
        <w:jc w:val="both"/>
        <w:rPr>
          <w:sz w:val="22"/>
          <w:szCs w:val="22"/>
          <w:lang w:val="en-US"/>
        </w:rPr>
      </w:pPr>
      <w:proofErr w:type="gramStart"/>
      <w:r>
        <w:rPr>
          <w:sz w:val="22"/>
          <w:szCs w:val="22"/>
          <w:lang w:val="en-US"/>
        </w:rPr>
        <w:t>of</w:t>
      </w:r>
      <w:proofErr w:type="gramEnd"/>
      <w:r>
        <w:rPr>
          <w:sz w:val="22"/>
          <w:szCs w:val="22"/>
          <w:lang w:val="en-US"/>
        </w:rPr>
        <w:t xml:space="preserve"> information, how much they are disclosing, and where they report the information. The sample</w:t>
      </w:r>
    </w:p>
    <w:p w:rsidR="00F72955" w:rsidRDefault="00AE4097" w:rsidP="00A82089">
      <w:pPr>
        <w:pStyle w:val="000"/>
        <w:suppressAutoHyphens/>
        <w:spacing w:line="360" w:lineRule="auto"/>
        <w:jc w:val="both"/>
        <w:rPr>
          <w:sz w:val="22"/>
          <w:szCs w:val="22"/>
          <w:lang w:val="en-US"/>
        </w:rPr>
      </w:pPr>
      <w:proofErr w:type="gramStart"/>
      <w:r>
        <w:rPr>
          <w:sz w:val="22"/>
          <w:szCs w:val="22"/>
          <w:lang w:val="en-US"/>
        </w:rPr>
        <w:lastRenderedPageBreak/>
        <w:t>consists</w:t>
      </w:r>
      <w:proofErr w:type="gramEnd"/>
      <w:r>
        <w:rPr>
          <w:sz w:val="22"/>
          <w:szCs w:val="22"/>
          <w:lang w:val="en-US"/>
        </w:rPr>
        <w:t xml:space="preserve"> of 300 Canadian companies listed on the TSE in December 1999. They analyze the risk </w:t>
      </w:r>
    </w:p>
    <w:p w:rsidR="00AE4097" w:rsidRDefault="00AE4097" w:rsidP="00A82089">
      <w:pPr>
        <w:pStyle w:val="000"/>
        <w:suppressAutoHyphens/>
        <w:spacing w:line="360" w:lineRule="auto"/>
        <w:jc w:val="both"/>
        <w:rPr>
          <w:sz w:val="22"/>
          <w:szCs w:val="22"/>
          <w:lang w:val="en-US"/>
        </w:rPr>
      </w:pPr>
      <w:proofErr w:type="gramStart"/>
      <w:r>
        <w:rPr>
          <w:sz w:val="22"/>
          <w:szCs w:val="22"/>
          <w:lang w:val="en-US"/>
        </w:rPr>
        <w:t>information</w:t>
      </w:r>
      <w:proofErr w:type="gramEnd"/>
      <w:r>
        <w:rPr>
          <w:sz w:val="22"/>
          <w:szCs w:val="22"/>
          <w:lang w:val="en-US"/>
        </w:rPr>
        <w:t xml:space="preserve"> in the annual reports using a content analysis. They adopt this method mainly because risk disclosures, especially non-financial types, are largely disclosed qualitatively. </w:t>
      </w:r>
      <w:r w:rsidRPr="00310D3C">
        <w:rPr>
          <w:sz w:val="22"/>
          <w:szCs w:val="22"/>
          <w:lang w:val="en-US"/>
        </w:rPr>
        <w:t>Besides the two authors</w:t>
      </w:r>
      <w:r>
        <w:rPr>
          <w:sz w:val="22"/>
          <w:szCs w:val="22"/>
          <w:lang w:val="en-US"/>
        </w:rPr>
        <w:t xml:space="preserve"> one graduate student familiar with the content analysis, codes the risk information in the annual reports as well. This increases the reliability of the analysis, which is useful for managers, board directors, and stakeholders. They focus on improvements of the current disclosure environment especially in the turbulent economy where risk has a great scope. Lajili and Zéghal (2005) analyzed both the MD&amp;A section and the notes to the financial statements. They measure the volume of risk disclosure by the number of words and sentences as reported in the annual reports. They used this to calculate the frequency distribution and the descriptive statistics. The mean risk disclosure in the MD&amp;A is 216 words and 10 sentences. The mean disclosure in the notes to the financial statements is 204 words and 10 sentences. The main results of this research are that the risk information disclosed is almost exclusively </w:t>
      </w:r>
      <w:r w:rsidRPr="00310D3C">
        <w:rPr>
          <w:sz w:val="22"/>
          <w:szCs w:val="22"/>
          <w:lang w:val="en-US"/>
        </w:rPr>
        <w:t>qualitative and is located in the notes to the financial statements and/or in the MD&amp;A section. Further, the most common risk categories were financial risk, commodity risk and market risk (business risk). Also the current disclosures emphasize on downside risk, while up-side effects and value-creating opportunities do not occur. Risk assessment and analysis is quite limited and lacks quantitative insights. Lajili</w:t>
      </w:r>
      <w:r>
        <w:rPr>
          <w:sz w:val="22"/>
          <w:szCs w:val="22"/>
          <w:lang w:val="en-US"/>
        </w:rPr>
        <w:t xml:space="preserve"> and Zéghal (2005) conclude that in the future more comprehensive and formal risk disclosures might be useful to reduce information asymmetry between managers and stakeholders. In future research a risk management disclosure index could be built based on the content analysis presented in this paper, using a combination of word and sentence coding to measure the volume of disclosure in each risk category. Another point to focus on in future is the market relevance of derivatives and other hedging instruments in the Canadian context in comparison to the U.S (Lajili and Zéghal, 2005).</w:t>
      </w:r>
    </w:p>
    <w:p w:rsidR="00AE4097" w:rsidRDefault="00AE4097" w:rsidP="00A82089">
      <w:pPr>
        <w:pStyle w:val="000"/>
        <w:suppressAutoHyphens/>
        <w:spacing w:line="360" w:lineRule="auto"/>
        <w:ind w:firstLine="567"/>
        <w:jc w:val="both"/>
        <w:rPr>
          <w:sz w:val="22"/>
          <w:szCs w:val="22"/>
          <w:lang w:val="en-US"/>
        </w:rPr>
      </w:pPr>
    </w:p>
    <w:p w:rsidR="00AE4097" w:rsidRDefault="00AE4097" w:rsidP="00A82089">
      <w:pPr>
        <w:pStyle w:val="Heading2"/>
        <w:numPr>
          <w:ilvl w:val="1"/>
          <w:numId w:val="2"/>
        </w:numPr>
        <w:tabs>
          <w:tab w:val="clear" w:pos="720"/>
          <w:tab w:val="num" w:pos="862"/>
        </w:tabs>
        <w:suppressAutoHyphens/>
        <w:spacing w:before="0" w:after="0" w:line="360" w:lineRule="auto"/>
        <w:jc w:val="both"/>
        <w:rPr>
          <w:i w:val="0"/>
          <w:sz w:val="22"/>
          <w:szCs w:val="22"/>
          <w:lang w:val="en-US"/>
        </w:rPr>
      </w:pPr>
      <w:bookmarkStart w:id="123" w:name="_Toc285109183"/>
      <w:bookmarkStart w:id="124" w:name="_Toc288459359"/>
      <w:bookmarkStart w:id="125" w:name="_Toc288725900"/>
      <w:r>
        <w:rPr>
          <w:i w:val="0"/>
          <w:sz w:val="22"/>
          <w:szCs w:val="22"/>
          <w:lang w:val="en-US"/>
        </w:rPr>
        <w:t>Linsley and Shrives (2006a)</w:t>
      </w:r>
      <w:bookmarkEnd w:id="123"/>
      <w:bookmarkEnd w:id="124"/>
      <w:bookmarkEnd w:id="125"/>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Linsley and Shrives (2006a) examine risk information disclosed by </w:t>
      </w:r>
      <w:r w:rsidR="00F073FE">
        <w:rPr>
          <w:sz w:val="22"/>
          <w:szCs w:val="22"/>
          <w:lang w:val="en-US"/>
        </w:rPr>
        <w:t>UK</w:t>
      </w:r>
      <w:r>
        <w:rPr>
          <w:sz w:val="22"/>
          <w:szCs w:val="22"/>
          <w:lang w:val="en-US"/>
        </w:rPr>
        <w:t xml:space="preserve"> public companies within their </w:t>
      </w:r>
      <w:r w:rsidRPr="005064C9">
        <w:rPr>
          <w:sz w:val="22"/>
          <w:szCs w:val="22"/>
          <w:lang w:val="en-US"/>
        </w:rPr>
        <w:t>annual reports. The sample consists of 79 non-financial firms listed within the FTSE 100 index as at 1 January, 2000. They examine if there is a relation between company size or level of risk and risk disclosures. To analyze the risk disclosures a content analysis distinguishing between monetary and non-monetary, past and future, and good and bad disclosures was used. Linsley</w:t>
      </w:r>
      <w:r>
        <w:rPr>
          <w:sz w:val="22"/>
          <w:szCs w:val="22"/>
          <w:lang w:val="en-US"/>
        </w:rPr>
        <w:t xml:space="preserve"> and Shrives (2006a) excluded financial companies from their research, because they expected these companies to make significantly different types of risk disclosures. They made use of a risk classification scheme with the following risk categories: financial risk, operations risk, empowerment risk, information processing and technology risk, integrity risk, and strategic risk. The companies in the sample are not providing a complete profile of the risks they face. The disclosures of quantified risk information are minimal and a significant part of the risk disclosures consists of generalized statements of risk policy. Further, directors are mainly reporting f</w:t>
      </w:r>
      <w:r w:rsidR="00466506">
        <w:rPr>
          <w:sz w:val="22"/>
          <w:szCs w:val="22"/>
          <w:lang w:val="en-US"/>
        </w:rPr>
        <w:t xml:space="preserve">orward-looking risk information. </w:t>
      </w:r>
      <w:r>
        <w:rPr>
          <w:sz w:val="22"/>
          <w:szCs w:val="22"/>
          <w:lang w:val="en-US"/>
        </w:rPr>
        <w:lastRenderedPageBreak/>
        <w:t xml:space="preserve">This lack of coherence in the risk narratives implies that there is a risk information gap with the result that stakeholders cannot adequately assess the company’s risk profile. A significant association is found between the number of risk disclosures and company size. However, there is no association between the number of risk disclosures and the level of risk, which is measured with five </w:t>
      </w:r>
      <w:r w:rsidRPr="0031637D">
        <w:rPr>
          <w:sz w:val="22"/>
          <w:szCs w:val="22"/>
          <w:lang w:val="en-US"/>
        </w:rPr>
        <w:t xml:space="preserve">different variables (gearing ratio, asset cover, </w:t>
      </w:r>
      <w:proofErr w:type="spellStart"/>
      <w:r w:rsidRPr="0031637D">
        <w:rPr>
          <w:sz w:val="22"/>
          <w:szCs w:val="22"/>
          <w:lang w:val="en-US"/>
        </w:rPr>
        <w:t>quiscore</w:t>
      </w:r>
      <w:proofErr w:type="spellEnd"/>
      <w:r w:rsidRPr="0031637D">
        <w:rPr>
          <w:sz w:val="22"/>
          <w:szCs w:val="22"/>
          <w:lang w:val="en-US"/>
        </w:rPr>
        <w:t xml:space="preserve">, </w:t>
      </w:r>
      <w:proofErr w:type="gramStart"/>
      <w:r w:rsidRPr="0031637D">
        <w:rPr>
          <w:sz w:val="22"/>
          <w:szCs w:val="22"/>
          <w:lang w:val="en-US"/>
        </w:rPr>
        <w:t>book</w:t>
      </w:r>
      <w:proofErr w:type="gramEnd"/>
      <w:r w:rsidRPr="0031637D">
        <w:rPr>
          <w:sz w:val="22"/>
          <w:szCs w:val="22"/>
          <w:lang w:val="en-US"/>
        </w:rPr>
        <w:t xml:space="preserve"> to market value of equity and beta factor). The most common risk disclosures are non-monetary/neutral/non-time specific risk management policy-financial risk disclosures and non-monetary/neutral/non-time specific policy -integrity risk disclosures. The</w:t>
      </w:r>
      <w:r>
        <w:rPr>
          <w:sz w:val="22"/>
          <w:szCs w:val="22"/>
          <w:lang w:val="en-US"/>
        </w:rPr>
        <w:t xml:space="preserve"> risk management policy disclosures excluded, the risk categories with the highest number of disclosures are strategic risk, operations risk, and financial risk. The mean disclosure rate per report is 78 sentences with a minimum of 20 sentences and a maximum of 275. To test the association between the number of risk disclosures and company size they made use of the Pearson correlation coefficient. The Wilcoxon signed ranks test is used to test the hypotheses which </w:t>
      </w:r>
      <w:r w:rsidRPr="00310D3C">
        <w:rPr>
          <w:sz w:val="22"/>
          <w:szCs w:val="22"/>
          <w:lang w:val="en-US"/>
        </w:rPr>
        <w:t>consist of</w:t>
      </w:r>
      <w:r>
        <w:rPr>
          <w:sz w:val="22"/>
          <w:szCs w:val="22"/>
          <w:lang w:val="en-US"/>
        </w:rPr>
        <w:t xml:space="preserve"> the distinction between monetary and non-monetary, past and future, and good and bad disclosures. This means that the non-monetary risk disclosures exceed the monetary risk disclosures for all sample companies, the number of past risk disclosures is not significantly greater than the number of future risk disclosures, and finally, the number of good risk disclosures is significantly greater than the number of bad risk disclosures. As in all research, this study has limitations as well. The content analysis does not measure the quality of risk disclosures and the subjectivity of this method cannot be wholly eliminated, so future research has to adopt this. But despite the limitations, the research method was still effective in making important contributions to literature. Future research has to take into account that risk disclosures are possible in other areas as well, such as cross-country or within specific sectors. These findings could be helpful in understanding the management motivations for reporting risk (Linsley and Shrives, 2006a).</w:t>
      </w:r>
    </w:p>
    <w:p w:rsidR="00AE4097" w:rsidRDefault="00AE4097" w:rsidP="00A82089">
      <w:pPr>
        <w:pStyle w:val="000"/>
        <w:suppressAutoHyphens/>
        <w:spacing w:line="360" w:lineRule="auto"/>
        <w:jc w:val="both"/>
        <w:rPr>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rPr>
      </w:pPr>
      <w:bookmarkStart w:id="126" w:name="_Toc288459360"/>
      <w:bookmarkStart w:id="127" w:name="_Toc288725901"/>
      <w:r>
        <w:rPr>
          <w:i w:val="0"/>
          <w:sz w:val="22"/>
          <w:szCs w:val="22"/>
          <w:lang w:val="en-US"/>
        </w:rPr>
        <w:t>Abraham and Cox (2007)</w:t>
      </w:r>
      <w:bookmarkEnd w:id="126"/>
      <w:bookmarkEnd w:id="127"/>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This research examines narrative risk disclosures from a broad perspective: business, financial, and internal control risk reporting within </w:t>
      </w:r>
      <w:r w:rsidR="00F073FE">
        <w:rPr>
          <w:sz w:val="22"/>
          <w:szCs w:val="22"/>
          <w:lang w:val="en-US"/>
        </w:rPr>
        <w:t>UK</w:t>
      </w:r>
      <w:r>
        <w:rPr>
          <w:sz w:val="22"/>
          <w:szCs w:val="22"/>
          <w:lang w:val="en-US"/>
        </w:rPr>
        <w:t xml:space="preserve"> annual reports and their relation to institutional ownership, board of director, and </w:t>
      </w:r>
      <w:r w:rsidR="00F073FE">
        <w:rPr>
          <w:sz w:val="22"/>
          <w:szCs w:val="22"/>
          <w:lang w:val="en-US"/>
        </w:rPr>
        <w:t>US</w:t>
      </w:r>
      <w:r>
        <w:rPr>
          <w:sz w:val="22"/>
          <w:szCs w:val="22"/>
          <w:lang w:val="en-US"/>
        </w:rPr>
        <w:t xml:space="preserve"> dual-listing characteristics. Abraham and Cox (2007) use the risk reporting classification to investigate the determinants of the quantity of narrative risk information in annual reports. The agency theory is used to explain the different relations, which means that the managers’ interest is different from the owners’ (Jensen and Meckling, 1976). The level of risk can systematically differ across firms, so this study controls for size, industry, and risk variables as well. Because Ahmed and Courtis (1999) find that audit firm size is no significant determinant of annual report disclosure, this variable is not included in this research. As research period, the year 2002 is used. The sample consists of 78 non-financial </w:t>
      </w:r>
      <w:r w:rsidR="00F073FE">
        <w:rPr>
          <w:sz w:val="22"/>
          <w:szCs w:val="22"/>
          <w:lang w:val="en-US"/>
        </w:rPr>
        <w:t>UK</w:t>
      </w:r>
      <w:r>
        <w:rPr>
          <w:sz w:val="22"/>
          <w:szCs w:val="22"/>
          <w:lang w:val="en-US"/>
        </w:rPr>
        <w:t xml:space="preserve"> companies on the FTSE 100 Index, but missing data resulted in a final sample of 71 firms. To quantify risk disclosures, they made use of a content analysis to count the words within risk-related sentences. This means that they highlight each sentence if it </w:t>
      </w:r>
      <w:r>
        <w:rPr>
          <w:sz w:val="22"/>
          <w:szCs w:val="22"/>
          <w:lang w:val="en-US"/>
        </w:rPr>
        <w:lastRenderedPageBreak/>
        <w:t xml:space="preserve">contains risk information, and ignore lack or vagueness of risk information. They followed Botosan (1997) by drawing a list of key words for the purpose of checking the robustness of the primary content analysis. Abraham and Cox (2007) defined a set of dummy variables to account for the possibility that risk reporting may be influenced by the specific industry it belongs to. With the Pearson correlation test, they found that leverage is not significant, which confirms the results of Linsley and Shrives (2006a) and the coefficient on company size is positive and significant. Further, there is a negative relation between corporate ownership by large-term institutions and risk reporting, while a positive relation is found between short-term institutions and risk reporting. From the agency’s perspective, large, long-term institutional shareholders may fulfill a monitoring function, but this does not mean to pressure firms to increase their disclosures. When examining the firm’s board it appears that both executive and independent directors are important in risk reporting. Dependent non-executive directors do not provide more transparency for risk disclosures. Finally, they found that </w:t>
      </w:r>
      <w:r w:rsidR="00F073FE">
        <w:rPr>
          <w:sz w:val="22"/>
          <w:szCs w:val="22"/>
          <w:lang w:val="en-US"/>
        </w:rPr>
        <w:t>UK</w:t>
      </w:r>
      <w:r>
        <w:rPr>
          <w:sz w:val="22"/>
          <w:szCs w:val="22"/>
          <w:lang w:val="en-US"/>
        </w:rPr>
        <w:t xml:space="preserve"> firms with a </w:t>
      </w:r>
      <w:r w:rsidR="00F073FE">
        <w:rPr>
          <w:sz w:val="22"/>
          <w:szCs w:val="22"/>
          <w:lang w:val="en-US"/>
        </w:rPr>
        <w:t>US</w:t>
      </w:r>
      <w:r>
        <w:rPr>
          <w:sz w:val="22"/>
          <w:szCs w:val="22"/>
          <w:lang w:val="en-US"/>
        </w:rPr>
        <w:t xml:space="preserve"> stock exchange listing do not disclose more risk information within their annual reports than non-</w:t>
      </w:r>
      <w:r w:rsidR="00F073FE">
        <w:rPr>
          <w:sz w:val="22"/>
          <w:szCs w:val="22"/>
          <w:lang w:val="en-US"/>
        </w:rPr>
        <w:t>US</w:t>
      </w:r>
      <w:r>
        <w:rPr>
          <w:sz w:val="22"/>
          <w:szCs w:val="22"/>
          <w:lang w:val="en-US"/>
        </w:rPr>
        <w:t xml:space="preserve"> listed companies. Finally, to test the different categorizations of risk, Abraham and Cox (2007) made use of three regression analyses; business, financial, and internal control risk reporting. A limitation of this study concerns the selection of sentences to code risk disclosures. Their word count within sentences investigates only one dimension of risk disclosures. Future research could consider other approaches for measuring risk reporting and build on the insights within this study concerning the relation between risk reporting and the different variables (Abraham and Cox, 2007). </w:t>
      </w:r>
    </w:p>
    <w:p w:rsidR="00466506" w:rsidRDefault="00466506" w:rsidP="00466506">
      <w:pPr>
        <w:pStyle w:val="000"/>
        <w:suppressAutoHyphens/>
        <w:spacing w:line="360" w:lineRule="auto"/>
        <w:jc w:val="both"/>
        <w:rPr>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rPr>
      </w:pPr>
      <w:bookmarkStart w:id="128" w:name="_Toc288459361"/>
      <w:bookmarkStart w:id="129" w:name="_Toc288725902"/>
      <w:r>
        <w:rPr>
          <w:i w:val="0"/>
          <w:sz w:val="22"/>
          <w:szCs w:val="22"/>
          <w:lang w:val="en-US"/>
        </w:rPr>
        <w:t>Amran, Bin and Hassan (2009)</w:t>
      </w:r>
      <w:bookmarkEnd w:id="128"/>
      <w:bookmarkEnd w:id="129"/>
    </w:p>
    <w:p w:rsidR="00F72955" w:rsidRDefault="00AE4097" w:rsidP="00A82089">
      <w:pPr>
        <w:suppressAutoHyphens/>
        <w:spacing w:line="360" w:lineRule="auto"/>
        <w:jc w:val="both"/>
        <w:rPr>
          <w:sz w:val="22"/>
          <w:szCs w:val="22"/>
          <w:lang w:val="en-US"/>
        </w:rPr>
      </w:pPr>
      <w:r>
        <w:rPr>
          <w:sz w:val="22"/>
          <w:szCs w:val="22"/>
          <w:lang w:val="en-US"/>
        </w:rPr>
        <w:t xml:space="preserve">This research provides a better understanding of risk management disclosure practices in Malaysia and is based purely on the checklist </w:t>
      </w:r>
      <w:r w:rsidRPr="00F073FE">
        <w:rPr>
          <w:sz w:val="22"/>
          <w:szCs w:val="22"/>
          <w:lang w:val="en-US"/>
        </w:rPr>
        <w:t xml:space="preserve">by Linsley and Shrives (2006a). </w:t>
      </w:r>
      <w:r w:rsidRPr="00F073FE">
        <w:rPr>
          <w:sz w:val="22"/>
          <w:szCs w:val="22"/>
          <w:lang w:val="fr-FR"/>
        </w:rPr>
        <w:t xml:space="preserve">Amran et al. </w:t>
      </w:r>
      <w:r w:rsidRPr="00F073FE">
        <w:rPr>
          <w:sz w:val="22"/>
          <w:szCs w:val="22"/>
          <w:lang w:val="en-US"/>
        </w:rPr>
        <w:t xml:space="preserve">(2009) empirically tested the sampled </w:t>
      </w:r>
      <w:proofErr w:type="gramStart"/>
      <w:r w:rsidRPr="00F073FE">
        <w:rPr>
          <w:sz w:val="22"/>
          <w:szCs w:val="22"/>
          <w:lang w:val="en-US"/>
        </w:rPr>
        <w:t>companies</w:t>
      </w:r>
      <w:proofErr w:type="gramEnd"/>
      <w:r w:rsidRPr="00F073FE">
        <w:rPr>
          <w:sz w:val="22"/>
          <w:szCs w:val="22"/>
          <w:lang w:val="en-US"/>
        </w:rPr>
        <w:t xml:space="preserve"> characteristics and compared the levels</w:t>
      </w:r>
      <w:r>
        <w:rPr>
          <w:sz w:val="22"/>
          <w:szCs w:val="22"/>
          <w:lang w:val="en-US"/>
        </w:rPr>
        <w:t xml:space="preserve"> of risk faced by these companies with </w:t>
      </w:r>
      <w:r w:rsidRPr="00F72955">
        <w:rPr>
          <w:sz w:val="22"/>
          <w:szCs w:val="22"/>
          <w:lang w:val="en-US"/>
        </w:rPr>
        <w:t xml:space="preserve">the disclosures that were </w:t>
      </w:r>
      <w:r w:rsidR="00F073FE" w:rsidRPr="00F72955">
        <w:rPr>
          <w:sz w:val="22"/>
          <w:szCs w:val="22"/>
          <w:lang w:val="en-US"/>
        </w:rPr>
        <w:t>made. This study</w:t>
      </w:r>
      <w:r w:rsidRPr="00F72955">
        <w:rPr>
          <w:sz w:val="22"/>
          <w:szCs w:val="22"/>
          <w:lang w:val="en-US"/>
        </w:rPr>
        <w:t xml:space="preserve"> focused only on</w:t>
      </w:r>
      <w:r>
        <w:rPr>
          <w:sz w:val="22"/>
          <w:szCs w:val="22"/>
          <w:lang w:val="en-US"/>
        </w:rPr>
        <w:t xml:space="preserve"> the non-financial part or narrative part of the annual report. The annual reports of 100 public listed companies on the Bursa Malaysia for the year 2005 were analyzed. The method used for this study is a content analysis. This method is chosen, </w:t>
      </w:r>
      <w:r w:rsidRPr="00D9318D">
        <w:rPr>
          <w:sz w:val="22"/>
          <w:szCs w:val="22"/>
          <w:lang w:val="en-US"/>
        </w:rPr>
        <w:t xml:space="preserve">because it </w:t>
      </w:r>
      <w:r w:rsidR="00D9318D" w:rsidRPr="00D9318D">
        <w:rPr>
          <w:sz w:val="22"/>
          <w:szCs w:val="22"/>
          <w:lang w:val="en-US"/>
        </w:rPr>
        <w:t>focuses</w:t>
      </w:r>
      <w:r>
        <w:rPr>
          <w:sz w:val="22"/>
          <w:szCs w:val="22"/>
          <w:lang w:val="en-US"/>
        </w:rPr>
        <w:t xml:space="preserve"> on the extent or amount and not on the quality of risk disclosures. The total number of sentences in this sample is very small when compared with the research done by Linsley and </w:t>
      </w:r>
      <w:r w:rsidRPr="00F073FE">
        <w:rPr>
          <w:sz w:val="22"/>
          <w:szCs w:val="22"/>
          <w:lang w:val="en-US"/>
        </w:rPr>
        <w:t xml:space="preserve">Shrives (2006a) in the </w:t>
      </w:r>
      <w:r w:rsidR="00F073FE" w:rsidRPr="00F073FE">
        <w:rPr>
          <w:sz w:val="22"/>
          <w:szCs w:val="22"/>
          <w:lang w:val="en-US"/>
        </w:rPr>
        <w:t>UK</w:t>
      </w:r>
      <w:r w:rsidRPr="00F073FE">
        <w:rPr>
          <w:sz w:val="22"/>
          <w:szCs w:val="22"/>
          <w:lang w:val="en-US"/>
        </w:rPr>
        <w:t>. This</w:t>
      </w:r>
      <w:r>
        <w:rPr>
          <w:sz w:val="22"/>
          <w:szCs w:val="22"/>
          <w:lang w:val="en-US"/>
        </w:rPr>
        <w:t xml:space="preserve"> was expected since disclosure reporting by Malaysian companies is still in an early stage. To ensure the reliability of the risk disclosure score, the coder had a training to understand the checklist and the decision rules. The coder’s understanding was tested by the verification test, in which two persons were involved. One person was the coder, the other the researcher. Both of them analyzed a set of five annual reports. The results of the content analysis were correlated to determine the extent of agreement. There were no significant differences between the scores. The categorization of risk as used by Amran </w:t>
      </w:r>
      <w:proofErr w:type="gramStart"/>
      <w:r>
        <w:rPr>
          <w:sz w:val="22"/>
          <w:szCs w:val="22"/>
          <w:lang w:val="en-US"/>
        </w:rPr>
        <w:t>et</w:t>
      </w:r>
      <w:proofErr w:type="gramEnd"/>
      <w:r>
        <w:rPr>
          <w:sz w:val="22"/>
          <w:szCs w:val="22"/>
          <w:lang w:val="en-US"/>
        </w:rPr>
        <w:t xml:space="preserve">. </w:t>
      </w:r>
      <w:proofErr w:type="gramStart"/>
      <w:r>
        <w:rPr>
          <w:sz w:val="22"/>
          <w:szCs w:val="22"/>
          <w:lang w:val="en-US"/>
        </w:rPr>
        <w:t>al</w:t>
      </w:r>
      <w:proofErr w:type="gramEnd"/>
      <w:r>
        <w:rPr>
          <w:sz w:val="22"/>
          <w:szCs w:val="22"/>
          <w:lang w:val="en-US"/>
        </w:rPr>
        <w:t xml:space="preserve"> (2009), is based on the model of Linsley and Shrives (2006a). The most reported risk </w:t>
      </w:r>
      <w:r w:rsidRPr="001D31CD">
        <w:rPr>
          <w:sz w:val="22"/>
          <w:szCs w:val="22"/>
          <w:lang w:val="en-US"/>
        </w:rPr>
        <w:t>categories were strategic</w:t>
      </w:r>
      <w:r>
        <w:rPr>
          <w:sz w:val="22"/>
          <w:szCs w:val="22"/>
          <w:lang w:val="en-US"/>
        </w:rPr>
        <w:t xml:space="preserve"> risk, operations risk and </w:t>
      </w:r>
    </w:p>
    <w:p w:rsidR="00AE4097" w:rsidRDefault="00AE4097" w:rsidP="00A82089">
      <w:pPr>
        <w:suppressAutoHyphens/>
        <w:spacing w:line="360" w:lineRule="auto"/>
        <w:jc w:val="both"/>
        <w:rPr>
          <w:sz w:val="22"/>
          <w:szCs w:val="22"/>
          <w:lang w:val="en-US"/>
        </w:rPr>
      </w:pPr>
      <w:proofErr w:type="gramStart"/>
      <w:r>
        <w:rPr>
          <w:sz w:val="22"/>
          <w:szCs w:val="22"/>
          <w:lang w:val="en-US"/>
        </w:rPr>
        <w:lastRenderedPageBreak/>
        <w:t>empowerment</w:t>
      </w:r>
      <w:proofErr w:type="gramEnd"/>
      <w:r>
        <w:rPr>
          <w:sz w:val="22"/>
          <w:szCs w:val="22"/>
          <w:lang w:val="en-US"/>
        </w:rPr>
        <w:t xml:space="preserve"> risk.</w:t>
      </w:r>
      <w:r w:rsidR="00F72955">
        <w:rPr>
          <w:sz w:val="22"/>
          <w:szCs w:val="22"/>
          <w:lang w:val="en-US"/>
        </w:rPr>
        <w:t xml:space="preserve"> </w:t>
      </w:r>
      <w:r>
        <w:rPr>
          <w:sz w:val="22"/>
          <w:szCs w:val="22"/>
          <w:lang w:val="en-US"/>
        </w:rPr>
        <w:t>The total amount of sentenc</w:t>
      </w:r>
      <w:r w:rsidRPr="006837AF">
        <w:rPr>
          <w:sz w:val="22"/>
          <w:szCs w:val="22"/>
          <w:lang w:val="en-US"/>
        </w:rPr>
        <w:t>es for r</w:t>
      </w:r>
      <w:r w:rsidR="00D9318D">
        <w:rPr>
          <w:sz w:val="22"/>
          <w:szCs w:val="22"/>
          <w:lang w:val="en-US"/>
        </w:rPr>
        <w:t xml:space="preserve">isk management </w:t>
      </w:r>
      <w:r w:rsidR="00D9318D" w:rsidRPr="00D9318D">
        <w:rPr>
          <w:sz w:val="22"/>
          <w:szCs w:val="22"/>
          <w:lang w:val="en-US"/>
        </w:rPr>
        <w:t xml:space="preserve">disclosure </w:t>
      </w:r>
      <w:r w:rsidRPr="00D9318D">
        <w:rPr>
          <w:sz w:val="22"/>
          <w:szCs w:val="22"/>
          <w:lang w:val="en-US"/>
        </w:rPr>
        <w:t>ranged from three</w:t>
      </w:r>
      <w:r w:rsidRPr="006837AF">
        <w:rPr>
          <w:sz w:val="22"/>
          <w:szCs w:val="22"/>
          <w:lang w:val="en-US"/>
        </w:rPr>
        <w:t xml:space="preserve"> sentences to the maximum of 78 sentences with a</w:t>
      </w:r>
      <w:r w:rsidRPr="001D31CD">
        <w:rPr>
          <w:sz w:val="22"/>
          <w:szCs w:val="22"/>
          <w:lang w:val="en-US"/>
        </w:rPr>
        <w:t>n average of 20 sentences. Before the correlations were calculated, the Kurtosis and Skewness tests were used to measure the normal distribution. Both dependent and independent variables were found</w:t>
      </w:r>
      <w:r w:rsidRPr="006837AF">
        <w:rPr>
          <w:sz w:val="22"/>
          <w:szCs w:val="22"/>
          <w:lang w:val="en-US"/>
        </w:rPr>
        <w:t xml:space="preserve"> not to be normally distributed. The variables were transformed to normal scores before the multiple regression analysis in assessing the variability of the extent of risk disclosure was carried out. </w:t>
      </w:r>
      <w:r>
        <w:rPr>
          <w:sz w:val="22"/>
          <w:szCs w:val="22"/>
          <w:lang w:val="en-US"/>
        </w:rPr>
        <w:t xml:space="preserve">To ensure the </w:t>
      </w:r>
      <w:r w:rsidRPr="00D9318D">
        <w:rPr>
          <w:sz w:val="22"/>
          <w:szCs w:val="22"/>
          <w:lang w:val="en-US"/>
        </w:rPr>
        <w:t xml:space="preserve">rigorousness of the regression the multicollinearity, homoscedasticity and linearity tests were conducted. The variables </w:t>
      </w:r>
      <w:r w:rsidR="00D9318D">
        <w:rPr>
          <w:sz w:val="22"/>
          <w:szCs w:val="22"/>
          <w:lang w:val="en-US"/>
        </w:rPr>
        <w:t xml:space="preserve">that </w:t>
      </w:r>
      <w:r w:rsidRPr="00D9318D">
        <w:rPr>
          <w:sz w:val="22"/>
          <w:szCs w:val="22"/>
          <w:lang w:val="en-US"/>
        </w:rPr>
        <w:t>were used</w:t>
      </w:r>
      <w:r>
        <w:rPr>
          <w:sz w:val="22"/>
          <w:szCs w:val="22"/>
          <w:lang w:val="en-US"/>
        </w:rPr>
        <w:t xml:space="preserve"> for the </w:t>
      </w:r>
      <w:r w:rsidRPr="00D9318D">
        <w:rPr>
          <w:sz w:val="22"/>
          <w:szCs w:val="22"/>
          <w:lang w:val="en-US"/>
        </w:rPr>
        <w:t>regression are company diversification strategy, leverage, size and industry. None of the diversification variables were significant</w:t>
      </w:r>
      <w:r>
        <w:rPr>
          <w:sz w:val="22"/>
          <w:szCs w:val="22"/>
          <w:lang w:val="en-US"/>
        </w:rPr>
        <w:t xml:space="preserve">, while </w:t>
      </w:r>
      <w:r w:rsidRPr="00D9318D">
        <w:rPr>
          <w:sz w:val="22"/>
          <w:szCs w:val="22"/>
          <w:lang w:val="en-US"/>
        </w:rPr>
        <w:t>the other variables were positively correlated. The relation of company size was expected by the stakeholder theory. If a company becomes bigger, it will have more stakeholders who are interested in the company. Finally, the nature of the industry influences the extent of risk disclosures as well. Industries with more risk exposure, namely infrastructure and technology industries, should report more about their risks. One of the limitations of this research is that it is purely based on the checklist by Linsley and Shrives</w:t>
      </w:r>
      <w:r>
        <w:rPr>
          <w:sz w:val="22"/>
          <w:szCs w:val="22"/>
          <w:lang w:val="en-US"/>
        </w:rPr>
        <w:t xml:space="preserve"> (2006a). For further research it is interesting to create a local risk measurement checklist that reflects the local stakeholders demand. Another point for future research is looking deeper into the different variables that are involved (Amran et. al, 2009). </w:t>
      </w:r>
    </w:p>
    <w:p w:rsidR="00AE4097" w:rsidRDefault="00AE4097" w:rsidP="00A82089">
      <w:pPr>
        <w:pStyle w:val="000"/>
        <w:suppressAutoHyphens/>
        <w:spacing w:line="360" w:lineRule="auto"/>
        <w:jc w:val="both"/>
        <w:rPr>
          <w:color w:val="FF0000"/>
          <w:sz w:val="22"/>
          <w:szCs w:val="22"/>
          <w:highlight w:val="yellow"/>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rPr>
      </w:pPr>
      <w:bookmarkStart w:id="130" w:name="_Toc288459362"/>
      <w:bookmarkStart w:id="131" w:name="_Toc288725903"/>
      <w:r>
        <w:rPr>
          <w:i w:val="0"/>
          <w:sz w:val="22"/>
          <w:szCs w:val="22"/>
          <w:lang w:val="en-US"/>
        </w:rPr>
        <w:t>Review of the literature</w:t>
      </w:r>
      <w:bookmarkEnd w:id="130"/>
      <w:bookmarkEnd w:id="131"/>
    </w:p>
    <w:p w:rsidR="00AE4097" w:rsidRDefault="00AE4097" w:rsidP="00A82089">
      <w:pPr>
        <w:suppressAutoHyphens/>
        <w:spacing w:line="360" w:lineRule="auto"/>
        <w:ind w:firstLine="567"/>
        <w:jc w:val="both"/>
        <w:rPr>
          <w:sz w:val="22"/>
          <w:szCs w:val="22"/>
          <w:lang w:val="en-US"/>
        </w:rPr>
      </w:pPr>
      <w:r>
        <w:rPr>
          <w:sz w:val="22"/>
          <w:szCs w:val="22"/>
          <w:lang w:val="en-US"/>
        </w:rPr>
        <w:t xml:space="preserve">Now that the different studies have been discussed, the similarities and differences between them must be </w:t>
      </w:r>
      <w:proofErr w:type="gramStart"/>
      <w:r>
        <w:rPr>
          <w:sz w:val="22"/>
          <w:szCs w:val="22"/>
          <w:lang w:val="en-US"/>
        </w:rPr>
        <w:t>mentioned  as</w:t>
      </w:r>
      <w:proofErr w:type="gramEnd"/>
      <w:r>
        <w:rPr>
          <w:sz w:val="22"/>
          <w:szCs w:val="22"/>
          <w:lang w:val="en-US"/>
        </w:rPr>
        <w:t xml:space="preserve"> well as  the relevance of these articles for this research. </w:t>
      </w:r>
    </w:p>
    <w:p w:rsidR="00AE4097" w:rsidRDefault="00AE4097" w:rsidP="00A82089">
      <w:pPr>
        <w:suppressAutoHyphens/>
        <w:spacing w:line="360" w:lineRule="auto"/>
        <w:jc w:val="both"/>
        <w:rPr>
          <w:sz w:val="22"/>
          <w:szCs w:val="22"/>
          <w:lang w:val="en-US"/>
        </w:rPr>
      </w:pPr>
      <w:r>
        <w:rPr>
          <w:sz w:val="22"/>
          <w:szCs w:val="22"/>
          <w:lang w:val="en-US"/>
        </w:rPr>
        <w:tab/>
        <w:t xml:space="preserve">All articles make use of the same research method; a content analysis. The implementation of this method is not the same in every research. Some authors measure both words and sentences, while others measure only one of them. Because in almost all previous research the research method is a content analysis, this research also uses this method. However, there is a difference. Lajili and Zéghal (2005) mentioned that it is useful for future research to prepare a risk disclosure index. This research introduces a risk disclosure index in combination with measuring the number of sentences. With this research method it compensates for the limitation mentioned in the article by Amran et al. (2009). Their research is purely based on the </w:t>
      </w:r>
      <w:r w:rsidRPr="005064C9">
        <w:rPr>
          <w:sz w:val="22"/>
          <w:szCs w:val="22"/>
          <w:lang w:val="en-US"/>
        </w:rPr>
        <w:t>research by Linsley</w:t>
      </w:r>
      <w:r>
        <w:rPr>
          <w:sz w:val="22"/>
          <w:szCs w:val="22"/>
          <w:lang w:val="en-US"/>
        </w:rPr>
        <w:t xml:space="preserve"> and Shrives (2006a). The combination of a risk disclosure index and the measurement of the number of sentences </w:t>
      </w:r>
      <w:proofErr w:type="gramStart"/>
      <w:r>
        <w:rPr>
          <w:sz w:val="22"/>
          <w:szCs w:val="22"/>
          <w:lang w:val="en-US"/>
        </w:rPr>
        <w:t>is</w:t>
      </w:r>
      <w:proofErr w:type="gramEnd"/>
      <w:r>
        <w:rPr>
          <w:sz w:val="22"/>
          <w:szCs w:val="22"/>
          <w:lang w:val="en-US"/>
        </w:rPr>
        <w:t xml:space="preserve"> new, it is not present in the </w:t>
      </w:r>
      <w:r w:rsidRPr="005064C9">
        <w:rPr>
          <w:sz w:val="22"/>
          <w:szCs w:val="22"/>
          <w:lang w:val="en-US"/>
        </w:rPr>
        <w:t>article by Linsley</w:t>
      </w:r>
      <w:r>
        <w:rPr>
          <w:sz w:val="22"/>
          <w:szCs w:val="22"/>
          <w:lang w:val="en-US"/>
        </w:rPr>
        <w:t xml:space="preserve"> and Shrives (2006a). Lajili and Zéghal (2005) and Amran et al. (2009) want to ensure the reliability of the risk disclosure score. They do this by comparing the scores of a few annual reports by two different coders with a verification test. In both cases, there were no significant differences between the scores. As this research also makes use of a content analysis, such a verification test must be implemented as well. </w:t>
      </w:r>
    </w:p>
    <w:p w:rsidR="00AE4097" w:rsidRDefault="00AE4097" w:rsidP="00A82089">
      <w:pPr>
        <w:suppressAutoHyphens/>
        <w:spacing w:line="360" w:lineRule="auto"/>
        <w:jc w:val="both"/>
        <w:rPr>
          <w:sz w:val="22"/>
          <w:szCs w:val="22"/>
          <w:lang w:val="en-US"/>
        </w:rPr>
      </w:pPr>
      <w:r>
        <w:rPr>
          <w:sz w:val="22"/>
          <w:szCs w:val="22"/>
          <w:lang w:val="en-US"/>
        </w:rPr>
        <w:tab/>
        <w:t xml:space="preserve">A lot of previous researchers excluded the financial companies from their research, because they expected that these companies made significantly different types of risk disclosures. To make a good </w:t>
      </w:r>
      <w:r>
        <w:rPr>
          <w:sz w:val="22"/>
          <w:szCs w:val="22"/>
          <w:lang w:val="en-US"/>
        </w:rPr>
        <w:lastRenderedPageBreak/>
        <w:t xml:space="preserve">comparison between this research and prior literature, this paper examines non-financial companies as well. In all researches the article by Lajili and Zéghal (2005) </w:t>
      </w:r>
      <w:proofErr w:type="gramStart"/>
      <w:r>
        <w:rPr>
          <w:sz w:val="22"/>
          <w:szCs w:val="22"/>
          <w:lang w:val="en-US"/>
        </w:rPr>
        <w:t>excepted</w:t>
      </w:r>
      <w:proofErr w:type="gramEnd"/>
      <w:r>
        <w:rPr>
          <w:sz w:val="22"/>
          <w:szCs w:val="22"/>
          <w:lang w:val="en-US"/>
        </w:rPr>
        <w:t>, the sample size is almost the same. Whereas other articles analyze only one research year, this paper has a contributing value to the topic of risk disclosures by examine more than one research year. However, Linsley and Shrives (2006a) mention that cross-country testing is useful in future research. As this research has a four year research period, testing cross-country is too time-consuming.</w:t>
      </w:r>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Although this study is based on Linsley and Shrives (2006a), it does not make the distinction between monetary/non-monetary, past/future, and good/bad news by studying the risk paragraphs in annual reports. In this paper is chosen for a risk disclosure index instead of measuring all sentences. It is too time-consuming to measure all sentences in the annual reports on the basis of this distinction. However, the different risk categories which are introduced by Linsley and Shrives (2006a) are used. This classification is used by other researchers as well (for example Amran et al. (2009)) because it is very broad and quite similar to the classification as used in the annual reports of Dutch listed companies. The risk categorization by Linsley and Shrives (2006a) is </w:t>
      </w:r>
      <w:proofErr w:type="gramStart"/>
      <w:r>
        <w:rPr>
          <w:sz w:val="22"/>
          <w:szCs w:val="22"/>
          <w:lang w:val="en-US"/>
        </w:rPr>
        <w:t>used,</w:t>
      </w:r>
      <w:proofErr w:type="gramEnd"/>
      <w:r>
        <w:rPr>
          <w:sz w:val="22"/>
          <w:szCs w:val="22"/>
          <w:lang w:val="en-US"/>
        </w:rPr>
        <w:t xml:space="preserve"> however, the financial risk category in this paper is more extensive. Further, Lajili and Zéghal (2005) found that the financial, market and commodity risk categories are the most important ones, while Linsley and Shrives (2006a) found that the companies in the sample reported mostly about the strategic, financial and operational risk categories. </w:t>
      </w:r>
    </w:p>
    <w:p w:rsidR="00AE4097" w:rsidRDefault="00AE4097" w:rsidP="00A82089">
      <w:pPr>
        <w:suppressAutoHyphens/>
        <w:spacing w:line="360" w:lineRule="auto"/>
        <w:jc w:val="both"/>
        <w:rPr>
          <w:sz w:val="22"/>
          <w:szCs w:val="22"/>
          <w:lang w:val="en-US"/>
        </w:rPr>
      </w:pPr>
      <w:r>
        <w:rPr>
          <w:sz w:val="22"/>
          <w:szCs w:val="22"/>
          <w:lang w:val="en-US"/>
        </w:rPr>
        <w:tab/>
        <w:t xml:space="preserve">In every research control variables are used, which are varying per study. The articles in this section use size, leverage, profitability, and industry as control variables. Size is not a good measure for this research, because all companies are listed on the AEX-index. They have the same listing-status, so they are comparable to one another. The other three variables, leverage, profitability and industry are useful for this study. The results </w:t>
      </w:r>
      <w:proofErr w:type="gramStart"/>
      <w:r>
        <w:rPr>
          <w:sz w:val="22"/>
          <w:szCs w:val="22"/>
          <w:lang w:val="en-US"/>
        </w:rPr>
        <w:t>for  leverage</w:t>
      </w:r>
      <w:proofErr w:type="gramEnd"/>
      <w:r>
        <w:rPr>
          <w:sz w:val="22"/>
          <w:szCs w:val="22"/>
          <w:lang w:val="en-US"/>
        </w:rPr>
        <w:t xml:space="preserve"> are mixed. Linsley and Shrives (2006a) and Abraham and Cox (2007) found no significant relation between leverage and risk disclosures, while Amran et al. (2009) found a positive relation. Further, Amran </w:t>
      </w:r>
      <w:proofErr w:type="gramStart"/>
      <w:r>
        <w:rPr>
          <w:sz w:val="22"/>
          <w:szCs w:val="22"/>
          <w:lang w:val="en-US"/>
        </w:rPr>
        <w:t>et</w:t>
      </w:r>
      <w:proofErr w:type="gramEnd"/>
      <w:r>
        <w:rPr>
          <w:sz w:val="22"/>
          <w:szCs w:val="22"/>
          <w:lang w:val="en-US"/>
        </w:rPr>
        <w:t xml:space="preserve">. </w:t>
      </w:r>
      <w:proofErr w:type="gramStart"/>
      <w:r>
        <w:rPr>
          <w:sz w:val="22"/>
          <w:szCs w:val="22"/>
          <w:lang w:val="en-US"/>
        </w:rPr>
        <w:t>al</w:t>
      </w:r>
      <w:proofErr w:type="gramEnd"/>
      <w:r>
        <w:rPr>
          <w:sz w:val="22"/>
          <w:szCs w:val="22"/>
          <w:lang w:val="en-US"/>
        </w:rPr>
        <w:t xml:space="preserve"> (2009) found no significant relation between risk disclosures and company profitability. For industry a significant positive relation was found. Some researchers examine other relations as well. It is too time-consuming to use all variables in this research, so it will not further be discussed here. </w:t>
      </w:r>
    </w:p>
    <w:p w:rsidR="00AE4097" w:rsidRDefault="00AE4097" w:rsidP="00A82089">
      <w:pPr>
        <w:suppressAutoHyphens/>
        <w:spacing w:line="360" w:lineRule="auto"/>
        <w:ind w:firstLine="567"/>
        <w:jc w:val="both"/>
        <w:rPr>
          <w:sz w:val="22"/>
          <w:szCs w:val="22"/>
          <w:lang w:val="en-US"/>
        </w:rPr>
      </w:pPr>
      <w:r>
        <w:rPr>
          <w:sz w:val="22"/>
          <w:szCs w:val="22"/>
          <w:lang w:val="en-US"/>
        </w:rPr>
        <w:t>Finally, Amran et al. (2009) state that it is useful for future research to examine the local stakeholder demand. Risk disclosures can be seen from two perspectives. First, from the managers’ perspective; what do they want to disclose? The other perspective is from the stakeholders’ view. The stakeholders’ perspective is based on decision usefulness; what information do they need? This paper examines annual reports from the management point of view. The central question here is whether the management reports more about the risks and control mechanisms during the crisis than before.</w:t>
      </w:r>
    </w:p>
    <w:p w:rsidR="00F72955" w:rsidRDefault="00F72955" w:rsidP="00A82089">
      <w:pPr>
        <w:suppressAutoHyphens/>
        <w:spacing w:line="360" w:lineRule="auto"/>
        <w:ind w:firstLine="567"/>
        <w:jc w:val="both"/>
        <w:rPr>
          <w:sz w:val="22"/>
          <w:szCs w:val="22"/>
          <w:lang w:val="en-US"/>
        </w:rPr>
      </w:pPr>
    </w:p>
    <w:p w:rsidR="00AE4097" w:rsidRDefault="00AE4097" w:rsidP="00A82089">
      <w:pPr>
        <w:pStyle w:val="Heading2"/>
        <w:numPr>
          <w:ilvl w:val="1"/>
          <w:numId w:val="2"/>
        </w:numPr>
        <w:tabs>
          <w:tab w:val="clear" w:pos="720"/>
          <w:tab w:val="num" w:pos="862"/>
        </w:tabs>
        <w:suppressAutoHyphens/>
        <w:spacing w:before="0" w:after="0" w:line="360" w:lineRule="auto"/>
        <w:jc w:val="both"/>
        <w:rPr>
          <w:i w:val="0"/>
          <w:sz w:val="22"/>
          <w:szCs w:val="22"/>
          <w:lang w:val="en-US"/>
        </w:rPr>
      </w:pPr>
      <w:bookmarkStart w:id="132" w:name="_Toc285109187"/>
      <w:bookmarkStart w:id="133" w:name="_Toc288459363"/>
      <w:bookmarkStart w:id="134" w:name="_Toc288725904"/>
      <w:r>
        <w:rPr>
          <w:i w:val="0"/>
          <w:sz w:val="22"/>
          <w:szCs w:val="22"/>
          <w:lang w:val="en-US"/>
        </w:rPr>
        <w:lastRenderedPageBreak/>
        <w:t>Summary</w:t>
      </w:r>
      <w:bookmarkEnd w:id="132"/>
      <w:bookmarkEnd w:id="133"/>
      <w:bookmarkEnd w:id="134"/>
    </w:p>
    <w:p w:rsidR="00AE4097" w:rsidRDefault="00AE4097" w:rsidP="00A82089">
      <w:pPr>
        <w:suppressAutoHyphens/>
        <w:spacing w:line="360" w:lineRule="auto"/>
        <w:ind w:firstLine="567"/>
        <w:jc w:val="both"/>
        <w:rPr>
          <w:sz w:val="22"/>
          <w:szCs w:val="22"/>
          <w:lang w:val="en-US"/>
        </w:rPr>
      </w:pPr>
      <w:r>
        <w:rPr>
          <w:sz w:val="22"/>
          <w:szCs w:val="22"/>
          <w:lang w:val="en-US"/>
        </w:rPr>
        <w:t xml:space="preserve">Previous research gives a broad description of disclosures in general, but not much research was done on risk reporting practices, especially in the Netherlands. In this chapter, the most relevant articles for this research are discussed. For a better understanding of all literature regarding risk disclosures, a short overview is given in appendix I. </w:t>
      </w:r>
    </w:p>
    <w:p w:rsidR="00AE4097" w:rsidRDefault="00AE4097" w:rsidP="00A82089">
      <w:pPr>
        <w:pStyle w:val="000"/>
        <w:suppressAutoHyphens/>
        <w:spacing w:line="360" w:lineRule="auto"/>
        <w:ind w:firstLine="567"/>
        <w:jc w:val="both"/>
        <w:rPr>
          <w:sz w:val="22"/>
          <w:szCs w:val="22"/>
          <w:lang w:val="en-US"/>
        </w:rPr>
      </w:pPr>
      <w:r>
        <w:rPr>
          <w:sz w:val="22"/>
          <w:szCs w:val="22"/>
          <w:lang w:val="en-US"/>
        </w:rPr>
        <w:t>Basis for this research is the paper by Linsley and Shrives (2006a)</w:t>
      </w:r>
      <w:proofErr w:type="gramStart"/>
      <w:r>
        <w:rPr>
          <w:sz w:val="22"/>
          <w:szCs w:val="22"/>
          <w:lang w:val="en-US"/>
        </w:rPr>
        <w:t>,</w:t>
      </w:r>
      <w:proofErr w:type="gramEnd"/>
      <w:r>
        <w:rPr>
          <w:sz w:val="22"/>
          <w:szCs w:val="22"/>
          <w:lang w:val="en-US"/>
        </w:rPr>
        <w:t xml:space="preserve"> however some adjustments have been made. The categorization scheme is more extensive, the way the research is done is different, and the sample period is four years instead of one year. </w:t>
      </w:r>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As in other researches, the financial companies are excluded from the sample. This kind of companies made significantly different types of risk disclosures. Almost all studies have chosen for a similar sample size in their research, except for Lajili and Zéghal (2005). The verification test, used by Lajili and Zéghal (2005) and Amran et al. (2009), is used to ensure the reliability of the risk disclosure scores. </w:t>
      </w:r>
    </w:p>
    <w:p w:rsidR="00AE4097" w:rsidRDefault="00AE4097" w:rsidP="00A82089">
      <w:pPr>
        <w:pStyle w:val="000"/>
        <w:suppressAutoHyphens/>
        <w:spacing w:line="360" w:lineRule="auto"/>
        <w:ind w:firstLine="567"/>
        <w:jc w:val="both"/>
        <w:rPr>
          <w:sz w:val="22"/>
          <w:szCs w:val="22"/>
          <w:lang w:val="en-US"/>
        </w:rPr>
      </w:pPr>
      <w:r>
        <w:rPr>
          <w:sz w:val="22"/>
          <w:szCs w:val="22"/>
          <w:lang w:val="en-US"/>
        </w:rPr>
        <w:t>Finally, most of the control variables mentioned in previous literature are also used in this research. The control variables are profitability, leverage and type of industry. Size is not used. All companies in the sample are listed on the AEX-index. These companies have the same listing-status, which means that they are comparable. When using size as a control variable, no differences are expected. Therefore it is not useful to use size as control variable in this research. Previous research gives mixed results for the relations between control variables and risk disclosures. All results are shown in the review in appendix I.</w:t>
      </w:r>
    </w:p>
    <w:p w:rsidR="00AE4097" w:rsidRDefault="00AE4097" w:rsidP="00A82089">
      <w:pPr>
        <w:pStyle w:val="000"/>
        <w:suppressAutoHyphens/>
        <w:spacing w:line="360" w:lineRule="auto"/>
        <w:ind w:firstLine="567"/>
        <w:jc w:val="both"/>
        <w:rPr>
          <w:sz w:val="22"/>
          <w:szCs w:val="22"/>
          <w:lang w:val="en-US"/>
        </w:rPr>
      </w:pPr>
      <w:r>
        <w:rPr>
          <w:sz w:val="22"/>
          <w:szCs w:val="22"/>
          <w:lang w:val="en-US"/>
        </w:rPr>
        <w:t>Reviewing literature shows that this research is based on previous literature, but it reckons with the limitations and recommendations for future research. It can be concluded that this paper has a contributing value for the topic of risk disclosures in the Netherlands.</w:t>
      </w:r>
    </w:p>
    <w:p w:rsidR="00AE4097" w:rsidRDefault="00AE4097" w:rsidP="00A82089">
      <w:pPr>
        <w:pStyle w:val="000"/>
        <w:suppressAutoHyphens/>
        <w:spacing w:line="360" w:lineRule="auto"/>
        <w:jc w:val="both"/>
        <w:rPr>
          <w:lang w:val="en-US"/>
        </w:rPr>
      </w:pPr>
    </w:p>
    <w:p w:rsidR="00AE4097" w:rsidRDefault="00AE4097" w:rsidP="00A82089">
      <w:pPr>
        <w:pStyle w:val="Heading1"/>
        <w:numPr>
          <w:ilvl w:val="0"/>
          <w:numId w:val="2"/>
        </w:numPr>
        <w:suppressAutoHyphens/>
        <w:spacing w:before="0" w:after="0" w:line="360" w:lineRule="auto"/>
        <w:jc w:val="both"/>
        <w:rPr>
          <w:sz w:val="24"/>
          <w:lang w:val="en-US"/>
        </w:rPr>
      </w:pPr>
      <w:r>
        <w:rPr>
          <w:sz w:val="24"/>
          <w:lang w:val="en-US"/>
        </w:rPr>
        <w:br w:type="page"/>
      </w:r>
      <w:bookmarkStart w:id="135" w:name="_Toc288459364"/>
      <w:bookmarkStart w:id="136" w:name="_Toc288725905"/>
      <w:r>
        <w:rPr>
          <w:sz w:val="24"/>
          <w:lang w:val="en-US"/>
        </w:rPr>
        <w:lastRenderedPageBreak/>
        <w:t>Research design</w:t>
      </w:r>
      <w:bookmarkEnd w:id="135"/>
      <w:bookmarkEnd w:id="136"/>
    </w:p>
    <w:p w:rsidR="00AE4097" w:rsidRDefault="00AE4097" w:rsidP="00AE4097">
      <w:pPr>
        <w:pStyle w:val="000"/>
        <w:suppressAutoHyphens/>
        <w:spacing w:line="360" w:lineRule="auto"/>
        <w:jc w:val="both"/>
        <w:rPr>
          <w:sz w:val="22"/>
          <w:szCs w:val="22"/>
          <w:lang w:val="en-US"/>
        </w:rPr>
      </w:pPr>
    </w:p>
    <w:p w:rsidR="00AE4097" w:rsidRDefault="00AE4097" w:rsidP="008C2ED0">
      <w:pPr>
        <w:pStyle w:val="Heading2"/>
        <w:numPr>
          <w:ilvl w:val="1"/>
          <w:numId w:val="2"/>
        </w:numPr>
        <w:suppressAutoHyphens/>
        <w:spacing w:before="0" w:after="0" w:line="360" w:lineRule="auto"/>
        <w:jc w:val="both"/>
        <w:rPr>
          <w:i w:val="0"/>
          <w:sz w:val="22"/>
          <w:szCs w:val="22"/>
          <w:lang w:val="en-US"/>
        </w:rPr>
      </w:pPr>
      <w:bookmarkStart w:id="137" w:name="_Toc288459365"/>
      <w:bookmarkStart w:id="138" w:name="_Toc288725906"/>
      <w:r>
        <w:rPr>
          <w:i w:val="0"/>
          <w:sz w:val="22"/>
          <w:szCs w:val="22"/>
          <w:lang w:val="en-US"/>
        </w:rPr>
        <w:t>Introduction</w:t>
      </w:r>
      <w:bookmarkEnd w:id="137"/>
      <w:bookmarkEnd w:id="138"/>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After studying prior literature about risk disclosures, this chapter describes the research design. The literature review, described in the previous chapter, can be used as a basis for this research. However, no research can be found that is similar to this paper. The paper that is closest to this </w:t>
      </w:r>
      <w:proofErr w:type="gramStart"/>
      <w:r>
        <w:rPr>
          <w:sz w:val="22"/>
          <w:szCs w:val="22"/>
          <w:lang w:val="en-US"/>
        </w:rPr>
        <w:t>study,</w:t>
      </w:r>
      <w:proofErr w:type="gramEnd"/>
      <w:r>
        <w:rPr>
          <w:sz w:val="22"/>
          <w:szCs w:val="22"/>
          <w:lang w:val="en-US"/>
        </w:rPr>
        <w:t xml:space="preserve"> is the paper by Linsley and Shrives (2006a). They examine the relation between company specific characteristics (company size and level of risk) and the amount and nature of the risk paragraphs in </w:t>
      </w:r>
      <w:r w:rsidR="00F073FE">
        <w:rPr>
          <w:sz w:val="22"/>
          <w:szCs w:val="22"/>
          <w:lang w:val="en-US"/>
        </w:rPr>
        <w:t>UK</w:t>
      </w:r>
      <w:r w:rsidRPr="005064C9">
        <w:rPr>
          <w:sz w:val="22"/>
          <w:szCs w:val="22"/>
          <w:lang w:val="en-US"/>
        </w:rPr>
        <w:t xml:space="preserve"> annual reports. Their paper is </w:t>
      </w:r>
      <w:r w:rsidR="005064C9" w:rsidRPr="005064C9">
        <w:rPr>
          <w:sz w:val="22"/>
          <w:szCs w:val="22"/>
          <w:lang w:val="en-US"/>
        </w:rPr>
        <w:t>generally known and it is</w:t>
      </w:r>
      <w:r w:rsidRPr="005064C9">
        <w:rPr>
          <w:sz w:val="22"/>
          <w:szCs w:val="22"/>
          <w:lang w:val="en-US"/>
        </w:rPr>
        <w:t xml:space="preserve"> used by a lot of</w:t>
      </w:r>
      <w:r>
        <w:rPr>
          <w:sz w:val="22"/>
          <w:szCs w:val="22"/>
          <w:lang w:val="en-US"/>
        </w:rPr>
        <w:t xml:space="preserve"> other researchers as well. This paper examines the influence of the financial crisis on risk paragraphs. This means that the content analysis is different and also the statistical methods used are not similar. The design of this research will be discussed in this chapter.</w:t>
      </w:r>
    </w:p>
    <w:p w:rsidR="00AE4097" w:rsidRDefault="00AE4097" w:rsidP="00A82089">
      <w:pPr>
        <w:pStyle w:val="000"/>
        <w:suppressAutoHyphens/>
        <w:spacing w:line="360" w:lineRule="auto"/>
        <w:jc w:val="both"/>
        <w:rPr>
          <w:sz w:val="22"/>
          <w:szCs w:val="22"/>
          <w:lang w:val="en-US"/>
        </w:rPr>
      </w:pPr>
      <w:r>
        <w:rPr>
          <w:sz w:val="22"/>
          <w:szCs w:val="22"/>
          <w:lang w:val="en-US"/>
        </w:rPr>
        <w:tab/>
      </w:r>
      <w:proofErr w:type="gramStart"/>
      <w:r>
        <w:rPr>
          <w:sz w:val="22"/>
          <w:szCs w:val="22"/>
          <w:lang w:val="en-US"/>
        </w:rPr>
        <w:t>First, the sample selection which consists of the sample size and sample period, will be discussed.</w:t>
      </w:r>
      <w:proofErr w:type="gramEnd"/>
      <w:r>
        <w:rPr>
          <w:sz w:val="22"/>
          <w:szCs w:val="22"/>
          <w:lang w:val="en-US"/>
        </w:rPr>
        <w:t xml:space="preserve"> Then the research approach which can be split up in the risk disclosure index and the control </w:t>
      </w:r>
      <w:proofErr w:type="gramStart"/>
      <w:r>
        <w:rPr>
          <w:sz w:val="22"/>
          <w:szCs w:val="22"/>
          <w:lang w:val="en-US"/>
        </w:rPr>
        <w:t>variables,</w:t>
      </w:r>
      <w:proofErr w:type="gramEnd"/>
      <w:r>
        <w:rPr>
          <w:sz w:val="22"/>
          <w:szCs w:val="22"/>
          <w:lang w:val="en-US"/>
        </w:rPr>
        <w:t xml:space="preserve"> will be further explained. In the fourth paragraph the different hypotheses will be formulated. The chapter ends with a summary.</w:t>
      </w:r>
    </w:p>
    <w:p w:rsidR="00AE4097" w:rsidRDefault="00AE4097" w:rsidP="00A82089">
      <w:pPr>
        <w:pStyle w:val="000"/>
        <w:suppressAutoHyphens/>
        <w:spacing w:line="360" w:lineRule="auto"/>
        <w:jc w:val="both"/>
        <w:rPr>
          <w:sz w:val="22"/>
          <w:szCs w:val="22"/>
          <w:lang w:val="en-US"/>
        </w:rPr>
      </w:pPr>
    </w:p>
    <w:p w:rsidR="00AE4097" w:rsidRPr="005064C9" w:rsidRDefault="00AE4097" w:rsidP="00A82089">
      <w:pPr>
        <w:pStyle w:val="Heading2"/>
        <w:numPr>
          <w:ilvl w:val="1"/>
          <w:numId w:val="2"/>
        </w:numPr>
        <w:tabs>
          <w:tab w:val="clear" w:pos="720"/>
          <w:tab w:val="num" w:pos="862"/>
        </w:tabs>
        <w:suppressAutoHyphens/>
        <w:spacing w:before="0" w:after="0" w:line="360" w:lineRule="auto"/>
        <w:jc w:val="both"/>
        <w:rPr>
          <w:i w:val="0"/>
          <w:sz w:val="22"/>
          <w:szCs w:val="22"/>
          <w:lang w:val="en-US"/>
        </w:rPr>
      </w:pPr>
      <w:bookmarkStart w:id="139" w:name="_Toc285109190"/>
      <w:bookmarkStart w:id="140" w:name="_Toc288459366"/>
      <w:bookmarkStart w:id="141" w:name="_Toc288725907"/>
      <w:r w:rsidRPr="005064C9">
        <w:rPr>
          <w:i w:val="0"/>
          <w:sz w:val="22"/>
          <w:szCs w:val="22"/>
          <w:lang w:val="en-US"/>
        </w:rPr>
        <w:t>Sample selection</w:t>
      </w:r>
      <w:bookmarkEnd w:id="139"/>
      <w:bookmarkEnd w:id="140"/>
      <w:bookmarkEnd w:id="141"/>
    </w:p>
    <w:p w:rsidR="00AE4097" w:rsidRDefault="00AE4097" w:rsidP="00A82089">
      <w:pPr>
        <w:suppressAutoHyphens/>
        <w:spacing w:line="360" w:lineRule="auto"/>
        <w:ind w:firstLine="567"/>
        <w:jc w:val="both"/>
        <w:rPr>
          <w:sz w:val="22"/>
          <w:szCs w:val="22"/>
          <w:lang w:val="en-US"/>
        </w:rPr>
      </w:pPr>
      <w:r w:rsidRPr="005064C9">
        <w:rPr>
          <w:sz w:val="22"/>
          <w:szCs w:val="22"/>
          <w:lang w:val="en-US"/>
        </w:rPr>
        <w:t xml:space="preserve">As a sample non-financial companies in the Netherlands is chosen. Financial companies are excluded from this sample, because they are expected to make </w:t>
      </w:r>
      <w:r w:rsidR="005064C9" w:rsidRPr="005064C9">
        <w:rPr>
          <w:sz w:val="22"/>
          <w:szCs w:val="22"/>
          <w:lang w:val="en-US"/>
        </w:rPr>
        <w:t xml:space="preserve">a </w:t>
      </w:r>
      <w:r w:rsidRPr="005064C9">
        <w:rPr>
          <w:sz w:val="22"/>
          <w:szCs w:val="22"/>
          <w:lang w:val="en-US"/>
        </w:rPr>
        <w:t>significantly different type of risk disclosures compared</w:t>
      </w:r>
      <w:r>
        <w:rPr>
          <w:sz w:val="22"/>
          <w:szCs w:val="22"/>
          <w:lang w:val="en-US"/>
        </w:rPr>
        <w:t xml:space="preserve"> to other firms (Bessis, 2002). Because they face more risks, financial companies have to deal with more extensive legislation. The business of financial companies is totally different from the business of non-financial companies. This will distort the research results. Therefore it is better to study them independently. To use only non-financial companies is in line with prior research.</w:t>
      </w:r>
    </w:p>
    <w:p w:rsidR="00AE4097" w:rsidRDefault="00AE4097" w:rsidP="00A82089">
      <w:pPr>
        <w:suppressAutoHyphens/>
        <w:spacing w:line="360" w:lineRule="auto"/>
        <w:ind w:firstLine="567"/>
        <w:jc w:val="both"/>
        <w:rPr>
          <w:sz w:val="22"/>
          <w:szCs w:val="22"/>
          <w:highlight w:val="yellow"/>
          <w:lang w:val="en-US"/>
        </w:rPr>
      </w:pPr>
      <w:r>
        <w:rPr>
          <w:sz w:val="22"/>
          <w:szCs w:val="22"/>
          <w:lang w:val="en-US"/>
        </w:rPr>
        <w:t xml:space="preserve">Considering the time-consuming process of a content analysis it is impossible to examine all companies listed on the Euronext. Bearing in mind that small companies report less extensive risk disclosures than large companies, this sample only consists of companies that are listed on the AEX-index. </w:t>
      </w:r>
      <w:r w:rsidRPr="00310D3C">
        <w:rPr>
          <w:sz w:val="22"/>
          <w:szCs w:val="22"/>
          <w:lang w:val="en-US"/>
        </w:rPr>
        <w:t>Twenty-five companies</w:t>
      </w:r>
      <w:r>
        <w:rPr>
          <w:sz w:val="22"/>
          <w:szCs w:val="22"/>
          <w:lang w:val="en-US"/>
        </w:rPr>
        <w:t xml:space="preserve">, including financial companies are listed on this index. When eliminating the financial companies, the sample consists of 20 companies. However, after examining all annual reports, 2 companies, Airfrance-KLM and Arcelor Mittal, appeared to have no risk paragraphs in </w:t>
      </w:r>
      <w:r w:rsidRPr="00310D3C">
        <w:rPr>
          <w:sz w:val="22"/>
          <w:szCs w:val="22"/>
          <w:lang w:val="en-US"/>
        </w:rPr>
        <w:t>their annual reports. They reported their financial risks in financial statements, but this part of the annual report is not included in this research. This resulted into a final sample of 18 companies listed on the AEX-index on 30 September, 2010. The composition of the AEX-index is changing every half year, but the companies that were listed at the moment this research started are taken as references.</w:t>
      </w:r>
    </w:p>
    <w:p w:rsidR="00AE4097" w:rsidRDefault="00AE4097" w:rsidP="00A82089">
      <w:pPr>
        <w:suppressAutoHyphens/>
        <w:spacing w:line="360" w:lineRule="auto"/>
        <w:ind w:firstLine="567"/>
        <w:jc w:val="both"/>
        <w:rPr>
          <w:sz w:val="22"/>
          <w:szCs w:val="22"/>
          <w:lang w:val="en-US"/>
        </w:rPr>
      </w:pPr>
      <w:r>
        <w:rPr>
          <w:sz w:val="22"/>
          <w:szCs w:val="22"/>
          <w:lang w:val="en-US"/>
        </w:rPr>
        <w:t xml:space="preserve">Because this study aims to examine the influence of the financial crisis, the annual reports of the companies before and during the financial crisis have to be studied. To get reliable results, two years </w:t>
      </w:r>
      <w:r>
        <w:rPr>
          <w:sz w:val="22"/>
          <w:szCs w:val="22"/>
          <w:lang w:val="en-US"/>
        </w:rPr>
        <w:lastRenderedPageBreak/>
        <w:t xml:space="preserve">before and two years during the </w:t>
      </w:r>
      <w:r w:rsidRPr="005064C9">
        <w:rPr>
          <w:sz w:val="22"/>
          <w:szCs w:val="22"/>
          <w:lang w:val="en-US"/>
        </w:rPr>
        <w:t>crisis are compared. The</w:t>
      </w:r>
      <w:r>
        <w:rPr>
          <w:sz w:val="22"/>
          <w:szCs w:val="22"/>
          <w:lang w:val="en-US"/>
        </w:rPr>
        <w:t xml:space="preserve"> sample period is from 2006 to 2009, in which the years 2006 and 2007 represent the risk disclosures before the financial crisis, the annual reports from 2008 and 2009 disclose risk information during this crisis. </w:t>
      </w:r>
    </w:p>
    <w:p w:rsidR="00AE4097" w:rsidRDefault="00AE4097" w:rsidP="00A82089">
      <w:pPr>
        <w:spacing w:line="360" w:lineRule="auto"/>
        <w:jc w:val="both"/>
        <w:rPr>
          <w:sz w:val="22"/>
          <w:szCs w:val="22"/>
          <w:lang w:val="en-US"/>
        </w:rPr>
      </w:pPr>
      <w:r>
        <w:rPr>
          <w:sz w:val="22"/>
          <w:szCs w:val="22"/>
          <w:lang w:val="en-US"/>
        </w:rPr>
        <w:t xml:space="preserve">                                                                                                                                                                                                                                                                                                    </w:t>
      </w:r>
    </w:p>
    <w:p w:rsidR="00AE4097" w:rsidRDefault="00AE4097" w:rsidP="00A82089">
      <w:pPr>
        <w:pStyle w:val="Heading2"/>
        <w:numPr>
          <w:ilvl w:val="1"/>
          <w:numId w:val="2"/>
        </w:numPr>
        <w:tabs>
          <w:tab w:val="clear" w:pos="720"/>
          <w:tab w:val="num" w:pos="862"/>
        </w:tabs>
        <w:suppressAutoHyphens/>
        <w:spacing w:before="0" w:after="0" w:line="360" w:lineRule="auto"/>
        <w:jc w:val="both"/>
        <w:rPr>
          <w:i w:val="0"/>
          <w:sz w:val="22"/>
          <w:szCs w:val="22"/>
          <w:lang w:val="en-US"/>
        </w:rPr>
      </w:pPr>
      <w:bookmarkStart w:id="142" w:name="_Toc285109191"/>
      <w:bookmarkStart w:id="143" w:name="_Toc288459367"/>
      <w:bookmarkStart w:id="144" w:name="_Toc288725908"/>
      <w:r>
        <w:rPr>
          <w:i w:val="0"/>
          <w:sz w:val="22"/>
          <w:szCs w:val="22"/>
          <w:lang w:val="en-US"/>
        </w:rPr>
        <w:t>Research approach</w:t>
      </w:r>
      <w:bookmarkEnd w:id="142"/>
      <w:bookmarkEnd w:id="143"/>
      <w:bookmarkEnd w:id="144"/>
    </w:p>
    <w:p w:rsidR="00AE4097" w:rsidRDefault="00AE4097" w:rsidP="00A82089">
      <w:pPr>
        <w:suppressAutoHyphens/>
        <w:spacing w:line="360" w:lineRule="auto"/>
        <w:ind w:firstLine="567"/>
        <w:jc w:val="both"/>
        <w:rPr>
          <w:sz w:val="22"/>
          <w:szCs w:val="22"/>
          <w:lang w:val="en-US"/>
        </w:rPr>
      </w:pPr>
      <w:r>
        <w:rPr>
          <w:sz w:val="22"/>
          <w:szCs w:val="22"/>
          <w:lang w:val="en-US"/>
        </w:rPr>
        <w:t xml:space="preserve">Risk information is usually communicated at three levels: internal, external, and an intermediate level in between the first two levels. This study focuses on external reporting (or public disclosure) of risk related information. The risk information is published in annual reports. These reports provide qualitative and quantitative risk information in the financial statements (mainly in the footnotes) or in the management discussion and analysis (MD&amp;A) sections (Lajili and Zéghal, 2005). According to IFRS, companies should report all relevant information concerning financial risks in their financial statements. Because other risks are important as well, and it is too time-consuming to examine both sections, only the risk </w:t>
      </w:r>
      <w:r w:rsidRPr="009F5B0F">
        <w:rPr>
          <w:sz w:val="22"/>
          <w:szCs w:val="22"/>
          <w:lang w:val="en-US"/>
        </w:rPr>
        <w:t>paragraph in the MD&amp;A section has</w:t>
      </w:r>
      <w:r>
        <w:rPr>
          <w:sz w:val="22"/>
          <w:szCs w:val="22"/>
          <w:lang w:val="en-US"/>
        </w:rPr>
        <w:t xml:space="preserve"> been studied. In this section all risk categories are reported, whereas in the financial statements only the financial risks are disclosed. If a company does not have a separate risk paragraph in its annual report, it is excluded from the sample. There are several different approaches to the analysis of narratives in annual reports. For this study a content analysis is selected (see paragraph 2.5.4). Although the paper by Linsley and Shrives (2006a) serves as a basis, this research is carried out differently. Here a risk disclosure index is used to determine a risk disclosure score for every company in the sample. This will be further explained in the next section. </w:t>
      </w:r>
    </w:p>
    <w:p w:rsidR="00AE4097" w:rsidRDefault="00AE4097" w:rsidP="00A82089">
      <w:pPr>
        <w:suppressAutoHyphens/>
        <w:spacing w:line="360" w:lineRule="auto"/>
        <w:ind w:firstLine="567"/>
        <w:jc w:val="both"/>
        <w:rPr>
          <w:sz w:val="22"/>
          <w:szCs w:val="22"/>
          <w:lang w:val="en-US"/>
        </w:rPr>
      </w:pPr>
    </w:p>
    <w:p w:rsidR="00AE4097" w:rsidRDefault="00AE4097" w:rsidP="00A82089">
      <w:pPr>
        <w:pStyle w:val="Heading3"/>
        <w:numPr>
          <w:ilvl w:val="2"/>
          <w:numId w:val="2"/>
        </w:numPr>
        <w:tabs>
          <w:tab w:val="num" w:pos="1004"/>
        </w:tabs>
        <w:suppressAutoHyphens/>
        <w:spacing w:before="0" w:after="0" w:line="360" w:lineRule="auto"/>
        <w:jc w:val="both"/>
        <w:rPr>
          <w:b w:val="0"/>
          <w:i/>
          <w:sz w:val="22"/>
          <w:szCs w:val="22"/>
          <w:lang w:val="en-US"/>
        </w:rPr>
      </w:pPr>
      <w:bookmarkStart w:id="145" w:name="_Toc288459368"/>
      <w:bookmarkStart w:id="146" w:name="_Toc288725909"/>
      <w:r>
        <w:rPr>
          <w:b w:val="0"/>
          <w:i/>
          <w:sz w:val="22"/>
          <w:szCs w:val="22"/>
          <w:lang w:val="en-US"/>
        </w:rPr>
        <w:t>Risk disclosure index</w:t>
      </w:r>
      <w:bookmarkEnd w:id="145"/>
      <w:bookmarkEnd w:id="146"/>
    </w:p>
    <w:p w:rsidR="00AE4097" w:rsidRPr="008E6B89" w:rsidRDefault="00AE4097" w:rsidP="00A82089">
      <w:pPr>
        <w:suppressAutoHyphens/>
        <w:spacing w:line="360" w:lineRule="auto"/>
        <w:jc w:val="both"/>
        <w:rPr>
          <w:sz w:val="22"/>
          <w:szCs w:val="22"/>
          <w:lang w:val="en-US"/>
        </w:rPr>
      </w:pPr>
      <w:r w:rsidRPr="00113ACB">
        <w:rPr>
          <w:sz w:val="22"/>
          <w:szCs w:val="22"/>
          <w:lang w:val="en-US"/>
        </w:rPr>
        <w:t>Because the content analysi</w:t>
      </w:r>
      <w:r w:rsidR="005064C9">
        <w:rPr>
          <w:sz w:val="22"/>
          <w:szCs w:val="22"/>
          <w:lang w:val="en-US"/>
        </w:rPr>
        <w:t xml:space="preserve">s is under a lot of criticism, </w:t>
      </w:r>
      <w:r w:rsidRPr="00113ACB">
        <w:rPr>
          <w:sz w:val="22"/>
          <w:szCs w:val="22"/>
          <w:lang w:val="en-US"/>
        </w:rPr>
        <w:t xml:space="preserve">a risk disclosure index </w:t>
      </w:r>
      <w:r w:rsidR="005064C9">
        <w:rPr>
          <w:sz w:val="22"/>
          <w:szCs w:val="22"/>
          <w:lang w:val="en-US"/>
        </w:rPr>
        <w:t xml:space="preserve">has been developed </w:t>
      </w:r>
      <w:r w:rsidRPr="00113ACB">
        <w:rPr>
          <w:sz w:val="22"/>
          <w:szCs w:val="22"/>
          <w:lang w:val="en-US"/>
        </w:rPr>
        <w:t xml:space="preserve">instead of coding the ‘sentences’ according to the different characteristics </w:t>
      </w:r>
      <w:r>
        <w:rPr>
          <w:sz w:val="22"/>
          <w:szCs w:val="22"/>
          <w:lang w:val="en-US"/>
        </w:rPr>
        <w:t>(see paragraph 2.5.4). Milne and Adler (1999) emphasize the importance of mentioning which unit of analysis forms the basis for coding decisions, because ‘reliability concerns coding errors, not measurement errors’. Further, with this research method it is difficult to meet the three conditions of readability by Krippendorff (1980), it is too time-consuming and the most important reason is that it is highly subjective, when done by one single person. The subjectivity can be reduced by using a binary coding scheme with predetermined criteria and Milne and Adler (1999) and Linsley and Shrives (2006a) state that the reliability of the coding process can be improved by constructing decision rules that the coder can refer to (Linsley and Shrives, 2006a). The decision rules are described in appendix III. A third method to reduce subjectivity is to do a verification test, which means that together with the author of this paper a second person examines the risk paragraph as well. A student of the Erasmus University Rotterdam studied three randomly chosen annual reports. These annual r</w:t>
      </w:r>
      <w:r w:rsidRPr="008E6B89">
        <w:rPr>
          <w:sz w:val="22"/>
          <w:szCs w:val="22"/>
          <w:lang w:val="en-US"/>
        </w:rPr>
        <w:t xml:space="preserve">eports were chosen with the RANDBETWEEN-function in Excel. The annual reports which were randomly chosen are </w:t>
      </w:r>
      <w:r w:rsidRPr="004A3F38">
        <w:rPr>
          <w:sz w:val="22"/>
          <w:szCs w:val="22"/>
          <w:lang w:val="en-US"/>
        </w:rPr>
        <w:t xml:space="preserve">ASML (2006), KPN (2009) and Randstad (2009). When both persons have examined the risk paragraph, the </w:t>
      </w:r>
      <w:r w:rsidRPr="004A3F38">
        <w:rPr>
          <w:sz w:val="22"/>
          <w:szCs w:val="22"/>
          <w:lang w:val="en-US"/>
        </w:rPr>
        <w:lastRenderedPageBreak/>
        <w:t>scores are compared</w:t>
      </w:r>
      <w:r w:rsidR="006A6A0F" w:rsidRPr="004A3F38">
        <w:rPr>
          <w:sz w:val="22"/>
          <w:szCs w:val="22"/>
          <w:lang w:val="en-US"/>
        </w:rPr>
        <w:t xml:space="preserve"> to each other</w:t>
      </w:r>
      <w:r w:rsidRPr="004A3F38">
        <w:rPr>
          <w:sz w:val="22"/>
          <w:szCs w:val="22"/>
          <w:lang w:val="en-US"/>
        </w:rPr>
        <w:t>. Both coders</w:t>
      </w:r>
      <w:r w:rsidRPr="008E6B89">
        <w:rPr>
          <w:sz w:val="22"/>
          <w:szCs w:val="22"/>
          <w:lang w:val="en-US"/>
        </w:rPr>
        <w:t xml:space="preserve"> gave exactly the same scores to the risk categories in the risk paragraph of ASML (2006) and KPN (2009). </w:t>
      </w:r>
      <w:proofErr w:type="gramStart"/>
      <w:r w:rsidRPr="008E6B89">
        <w:rPr>
          <w:sz w:val="22"/>
          <w:szCs w:val="22"/>
          <w:lang w:val="en-US"/>
        </w:rPr>
        <w:t>However, when calculating the scores for Randstad (2006) there is a small difference.</w:t>
      </w:r>
      <w:proofErr w:type="gramEnd"/>
      <w:r w:rsidRPr="008E6B89">
        <w:rPr>
          <w:sz w:val="22"/>
          <w:szCs w:val="22"/>
          <w:lang w:val="en-US"/>
        </w:rPr>
        <w:t xml:space="preserve"> The author of this paper had a risk disclosure score of 0.7, while the student had a score of 0.75. In the annual </w:t>
      </w:r>
      <w:proofErr w:type="gramStart"/>
      <w:r w:rsidRPr="008E6B89">
        <w:rPr>
          <w:sz w:val="22"/>
          <w:szCs w:val="22"/>
          <w:lang w:val="en-US"/>
        </w:rPr>
        <w:t>report  a</w:t>
      </w:r>
      <w:proofErr w:type="gramEnd"/>
      <w:r w:rsidRPr="008E6B89">
        <w:rPr>
          <w:sz w:val="22"/>
          <w:szCs w:val="22"/>
          <w:lang w:val="en-US"/>
        </w:rPr>
        <w:t xml:space="preserve"> risk was described under the heading ‘operational risk’. However, the risk categorization by Linsley and Shrives (2006a), which is used in this research, is more extensive than the risk categorization in </w:t>
      </w:r>
      <w:proofErr w:type="spellStart"/>
      <w:r w:rsidRPr="008E6B89">
        <w:rPr>
          <w:sz w:val="22"/>
          <w:szCs w:val="22"/>
          <w:lang w:val="en-US"/>
        </w:rPr>
        <w:t>Randstad’s</w:t>
      </w:r>
      <w:proofErr w:type="spellEnd"/>
      <w:r w:rsidRPr="008E6B89">
        <w:rPr>
          <w:sz w:val="22"/>
          <w:szCs w:val="22"/>
          <w:lang w:val="en-US"/>
        </w:rPr>
        <w:t xml:space="preserve"> annual report. The author of this paper categorized the risk as an empowerment risk. So, the different scores can be contributed to a different categorization of the risk categories. The student admitted that she was not fully aware that the categori</w:t>
      </w:r>
      <w:r>
        <w:rPr>
          <w:sz w:val="22"/>
          <w:szCs w:val="22"/>
          <w:lang w:val="en-US"/>
        </w:rPr>
        <w:t xml:space="preserve">zation as used in this </w:t>
      </w:r>
      <w:r w:rsidRPr="005064C9">
        <w:rPr>
          <w:sz w:val="22"/>
          <w:szCs w:val="22"/>
          <w:lang w:val="en-US"/>
        </w:rPr>
        <w:t>research was not</w:t>
      </w:r>
      <w:r w:rsidRPr="008E6B89">
        <w:rPr>
          <w:sz w:val="22"/>
          <w:szCs w:val="22"/>
          <w:lang w:val="en-US"/>
        </w:rPr>
        <w:t xml:space="preserve"> equal to the headings used in the risk paragraph. While the other two risk disclosure indices were completely the same, the small diffe</w:t>
      </w:r>
      <w:r>
        <w:rPr>
          <w:sz w:val="22"/>
          <w:szCs w:val="22"/>
          <w:lang w:val="en-US"/>
        </w:rPr>
        <w:t xml:space="preserve">rence for Randstad (2009) </w:t>
      </w:r>
      <w:r w:rsidR="005064C9">
        <w:rPr>
          <w:sz w:val="22"/>
          <w:szCs w:val="22"/>
          <w:lang w:val="en-US"/>
        </w:rPr>
        <w:t>is</w:t>
      </w:r>
      <w:r w:rsidRPr="00310D3C">
        <w:rPr>
          <w:sz w:val="22"/>
          <w:szCs w:val="22"/>
          <w:lang w:val="en-US"/>
        </w:rPr>
        <w:t xml:space="preserve"> negligible</w:t>
      </w:r>
      <w:r w:rsidRPr="008E6B89">
        <w:rPr>
          <w:sz w:val="22"/>
          <w:szCs w:val="22"/>
          <w:lang w:val="en-US"/>
        </w:rPr>
        <w:t>. It can be concluded that there are no significant differences between the findings of the author of this paper and the student’s findings. This means that the author of this paper measures reliable risk disclosure scores. But despite of the fact that the index is calculated by more than one person, it will always be a subjective method.</w:t>
      </w:r>
    </w:p>
    <w:p w:rsidR="00AE4097" w:rsidRDefault="00AE4097" w:rsidP="00AE4097">
      <w:pPr>
        <w:suppressAutoHyphens/>
        <w:spacing w:line="360" w:lineRule="auto"/>
        <w:ind w:firstLine="567"/>
        <w:jc w:val="both"/>
        <w:rPr>
          <w:sz w:val="22"/>
          <w:szCs w:val="22"/>
          <w:lang w:val="en-US"/>
        </w:rPr>
      </w:pPr>
      <w:r w:rsidRPr="008E6B89">
        <w:rPr>
          <w:sz w:val="22"/>
          <w:szCs w:val="22"/>
          <w:lang w:val="en-US"/>
        </w:rPr>
        <w:t xml:space="preserve">There is no predetermined standard for categorizing risk disclosures. In this research the different risk categories are based on the risk classification scheme by Linsley and Shrives (2006a) (Appendix IV). </w:t>
      </w:r>
      <w:proofErr w:type="gramStart"/>
      <w:r w:rsidRPr="008E6B89">
        <w:rPr>
          <w:sz w:val="22"/>
          <w:szCs w:val="22"/>
          <w:lang w:val="en-US"/>
        </w:rPr>
        <w:t>The choose</w:t>
      </w:r>
      <w:proofErr w:type="gramEnd"/>
      <w:r w:rsidRPr="008E6B89">
        <w:rPr>
          <w:sz w:val="22"/>
          <w:szCs w:val="22"/>
          <w:lang w:val="en-US"/>
        </w:rPr>
        <w:t xml:space="preserve"> is made for this model instead of the categorization as described in the Dutch corporate governance (operational, strategic, financial and compliance risks). Not all Dutch listed companies used this classification scheme and because no prior research has been done in the Netherlands, there is no reason for using that model. However, the model of Linsley and Shrives (2006a) is used by other researchers as well, which makes comparing less </w:t>
      </w:r>
      <w:r>
        <w:rPr>
          <w:sz w:val="22"/>
          <w:szCs w:val="22"/>
          <w:lang w:val="en-US"/>
        </w:rPr>
        <w:t>difficult. However, the model by</w:t>
      </w:r>
      <w:r w:rsidRPr="008E6B89">
        <w:rPr>
          <w:sz w:val="22"/>
          <w:szCs w:val="22"/>
          <w:lang w:val="en-US"/>
        </w:rPr>
        <w:t xml:space="preserve"> Linsley and Shrives (2006a) is modified. They</w:t>
      </w:r>
      <w:r>
        <w:rPr>
          <w:sz w:val="22"/>
          <w:szCs w:val="22"/>
          <w:lang w:val="en-US"/>
        </w:rPr>
        <w:t xml:space="preserve"> mentioned financial risks and five other non-financial risk categories. This paper has divided the financial risk category into five different risk categories. The five non-financial risk categories are identical to those </w:t>
      </w:r>
      <w:r w:rsidRPr="005064C9">
        <w:rPr>
          <w:sz w:val="22"/>
          <w:szCs w:val="22"/>
          <w:lang w:val="en-US"/>
        </w:rPr>
        <w:t>in the paper by Linsley</w:t>
      </w:r>
      <w:r>
        <w:rPr>
          <w:sz w:val="22"/>
          <w:szCs w:val="22"/>
          <w:lang w:val="en-US"/>
        </w:rPr>
        <w:t xml:space="preserve"> and Shrives (2006a). The risk categories are:</w:t>
      </w:r>
    </w:p>
    <w:p w:rsidR="008131D1" w:rsidRDefault="008131D1" w:rsidP="00AE4097">
      <w:pPr>
        <w:suppressAutoHyphens/>
        <w:spacing w:line="360" w:lineRule="auto"/>
        <w:ind w:firstLine="567"/>
        <w:jc w:val="both"/>
        <w:rPr>
          <w:sz w:val="22"/>
          <w:szCs w:val="22"/>
          <w:lang w:val="en-US"/>
        </w:rPr>
      </w:pPr>
    </w:p>
    <w:tbl>
      <w:tblPr>
        <w:tblStyle w:val="TableGrid"/>
        <w:tblW w:w="0" w:type="auto"/>
        <w:jc w:val="center"/>
        <w:tblLook w:val="04A0"/>
      </w:tblPr>
      <w:tblGrid>
        <w:gridCol w:w="1809"/>
        <w:gridCol w:w="3828"/>
      </w:tblGrid>
      <w:tr w:rsidR="00AE4097" w:rsidTr="00176384">
        <w:trPr>
          <w:jc w:val="center"/>
        </w:trPr>
        <w:tc>
          <w:tcPr>
            <w:tcW w:w="1809" w:type="dxa"/>
            <w:tcBorders>
              <w:bottom w:val="nil"/>
            </w:tcBorders>
          </w:tcPr>
          <w:p w:rsidR="00AE4097" w:rsidRPr="003C2728" w:rsidRDefault="00AE4097" w:rsidP="00176384">
            <w:pPr>
              <w:suppressAutoHyphens/>
              <w:spacing w:line="360" w:lineRule="auto"/>
              <w:rPr>
                <w:sz w:val="20"/>
                <w:szCs w:val="20"/>
                <w:lang w:val="en-US"/>
              </w:rPr>
            </w:pPr>
            <w:r>
              <w:rPr>
                <w:sz w:val="20"/>
                <w:szCs w:val="20"/>
                <w:lang w:val="en-US"/>
              </w:rPr>
              <w:t>Financial risks</w:t>
            </w:r>
          </w:p>
        </w:tc>
        <w:tc>
          <w:tcPr>
            <w:tcW w:w="3828" w:type="dxa"/>
          </w:tcPr>
          <w:p w:rsidR="00AE4097" w:rsidRPr="003C2728" w:rsidRDefault="00AE4097" w:rsidP="00176384">
            <w:pPr>
              <w:suppressAutoHyphens/>
              <w:spacing w:line="360" w:lineRule="auto"/>
              <w:rPr>
                <w:sz w:val="20"/>
                <w:szCs w:val="20"/>
                <w:lang w:val="en-US"/>
              </w:rPr>
            </w:pPr>
            <w:r>
              <w:rPr>
                <w:sz w:val="20"/>
                <w:szCs w:val="20"/>
                <w:lang w:val="en-US"/>
              </w:rPr>
              <w:t>Credit risk</w:t>
            </w:r>
          </w:p>
        </w:tc>
      </w:tr>
      <w:tr w:rsidR="00AE4097" w:rsidTr="00176384">
        <w:trPr>
          <w:jc w:val="center"/>
        </w:trPr>
        <w:tc>
          <w:tcPr>
            <w:tcW w:w="1809" w:type="dxa"/>
            <w:tcBorders>
              <w:top w:val="nil"/>
              <w:bottom w:val="nil"/>
            </w:tcBorders>
          </w:tcPr>
          <w:p w:rsidR="00AE4097" w:rsidRPr="003C2728" w:rsidRDefault="00AE4097" w:rsidP="00176384">
            <w:pPr>
              <w:suppressAutoHyphens/>
              <w:spacing w:line="360" w:lineRule="auto"/>
              <w:rPr>
                <w:sz w:val="20"/>
                <w:szCs w:val="20"/>
                <w:lang w:val="en-US"/>
              </w:rPr>
            </w:pPr>
          </w:p>
        </w:tc>
        <w:tc>
          <w:tcPr>
            <w:tcW w:w="3828" w:type="dxa"/>
          </w:tcPr>
          <w:p w:rsidR="00AE4097" w:rsidRPr="003C2728" w:rsidRDefault="00AE4097" w:rsidP="00176384">
            <w:pPr>
              <w:suppressAutoHyphens/>
              <w:spacing w:line="360" w:lineRule="auto"/>
              <w:rPr>
                <w:sz w:val="20"/>
                <w:szCs w:val="20"/>
                <w:lang w:val="en-US"/>
              </w:rPr>
            </w:pPr>
            <w:r>
              <w:rPr>
                <w:sz w:val="20"/>
                <w:szCs w:val="20"/>
                <w:lang w:val="en-US"/>
              </w:rPr>
              <w:t>Price risk</w:t>
            </w:r>
          </w:p>
        </w:tc>
      </w:tr>
      <w:tr w:rsidR="00AE4097" w:rsidTr="00176384">
        <w:trPr>
          <w:jc w:val="center"/>
        </w:trPr>
        <w:tc>
          <w:tcPr>
            <w:tcW w:w="1809" w:type="dxa"/>
            <w:tcBorders>
              <w:top w:val="nil"/>
              <w:bottom w:val="nil"/>
            </w:tcBorders>
          </w:tcPr>
          <w:p w:rsidR="00AE4097" w:rsidRPr="003C2728" w:rsidRDefault="00AE4097" w:rsidP="00176384">
            <w:pPr>
              <w:suppressAutoHyphens/>
              <w:spacing w:line="360" w:lineRule="auto"/>
              <w:rPr>
                <w:sz w:val="20"/>
                <w:szCs w:val="20"/>
                <w:lang w:val="en-US"/>
              </w:rPr>
            </w:pPr>
          </w:p>
        </w:tc>
        <w:tc>
          <w:tcPr>
            <w:tcW w:w="3828" w:type="dxa"/>
          </w:tcPr>
          <w:p w:rsidR="00AE4097" w:rsidRPr="003C2728" w:rsidRDefault="00AE4097" w:rsidP="00176384">
            <w:pPr>
              <w:suppressAutoHyphens/>
              <w:spacing w:line="360" w:lineRule="auto"/>
              <w:rPr>
                <w:sz w:val="20"/>
                <w:szCs w:val="20"/>
                <w:lang w:val="en-US"/>
              </w:rPr>
            </w:pPr>
            <w:r>
              <w:rPr>
                <w:sz w:val="20"/>
                <w:szCs w:val="20"/>
                <w:lang w:val="en-US"/>
              </w:rPr>
              <w:t>Liquidity risk</w:t>
            </w:r>
          </w:p>
        </w:tc>
      </w:tr>
      <w:tr w:rsidR="00AE4097" w:rsidTr="00176384">
        <w:trPr>
          <w:jc w:val="center"/>
        </w:trPr>
        <w:tc>
          <w:tcPr>
            <w:tcW w:w="1809" w:type="dxa"/>
            <w:tcBorders>
              <w:top w:val="nil"/>
              <w:bottom w:val="nil"/>
            </w:tcBorders>
          </w:tcPr>
          <w:p w:rsidR="00AE4097" w:rsidRPr="003C2728" w:rsidRDefault="00AE4097" w:rsidP="00176384">
            <w:pPr>
              <w:suppressAutoHyphens/>
              <w:spacing w:line="360" w:lineRule="auto"/>
              <w:rPr>
                <w:sz w:val="20"/>
                <w:szCs w:val="20"/>
                <w:lang w:val="en-US"/>
              </w:rPr>
            </w:pPr>
          </w:p>
        </w:tc>
        <w:tc>
          <w:tcPr>
            <w:tcW w:w="3828" w:type="dxa"/>
          </w:tcPr>
          <w:p w:rsidR="00AE4097" w:rsidRPr="003C2728" w:rsidRDefault="00AE4097" w:rsidP="00176384">
            <w:pPr>
              <w:suppressAutoHyphens/>
              <w:spacing w:line="360" w:lineRule="auto"/>
              <w:rPr>
                <w:sz w:val="20"/>
                <w:szCs w:val="20"/>
                <w:lang w:val="en-US"/>
              </w:rPr>
            </w:pPr>
            <w:r>
              <w:rPr>
                <w:sz w:val="20"/>
                <w:szCs w:val="20"/>
                <w:lang w:val="en-US"/>
              </w:rPr>
              <w:t>Interest risk</w:t>
            </w:r>
          </w:p>
        </w:tc>
      </w:tr>
      <w:tr w:rsidR="00AE4097" w:rsidTr="00176384">
        <w:trPr>
          <w:jc w:val="center"/>
        </w:trPr>
        <w:tc>
          <w:tcPr>
            <w:tcW w:w="1809" w:type="dxa"/>
            <w:tcBorders>
              <w:top w:val="nil"/>
              <w:bottom w:val="single" w:sz="4" w:space="0" w:color="auto"/>
            </w:tcBorders>
          </w:tcPr>
          <w:p w:rsidR="00AE4097" w:rsidRPr="003C2728" w:rsidRDefault="00AE4097" w:rsidP="00176384">
            <w:pPr>
              <w:suppressAutoHyphens/>
              <w:spacing w:line="360" w:lineRule="auto"/>
              <w:rPr>
                <w:sz w:val="20"/>
                <w:szCs w:val="20"/>
                <w:lang w:val="en-US"/>
              </w:rPr>
            </w:pPr>
          </w:p>
        </w:tc>
        <w:tc>
          <w:tcPr>
            <w:tcW w:w="3828" w:type="dxa"/>
          </w:tcPr>
          <w:p w:rsidR="00AE4097" w:rsidRPr="003C2728" w:rsidRDefault="00AE4097" w:rsidP="00176384">
            <w:pPr>
              <w:suppressAutoHyphens/>
              <w:spacing w:line="360" w:lineRule="auto"/>
              <w:rPr>
                <w:sz w:val="20"/>
                <w:szCs w:val="20"/>
                <w:lang w:val="en-US"/>
              </w:rPr>
            </w:pPr>
            <w:r>
              <w:rPr>
                <w:sz w:val="20"/>
                <w:szCs w:val="20"/>
                <w:lang w:val="en-US"/>
              </w:rPr>
              <w:t>Currency risk</w:t>
            </w:r>
          </w:p>
        </w:tc>
      </w:tr>
      <w:tr w:rsidR="00AE4097" w:rsidTr="00176384">
        <w:trPr>
          <w:jc w:val="center"/>
        </w:trPr>
        <w:tc>
          <w:tcPr>
            <w:tcW w:w="1809" w:type="dxa"/>
            <w:tcBorders>
              <w:bottom w:val="nil"/>
            </w:tcBorders>
          </w:tcPr>
          <w:p w:rsidR="00AE4097" w:rsidRPr="003C2728" w:rsidRDefault="00AE4097" w:rsidP="00176384">
            <w:pPr>
              <w:suppressAutoHyphens/>
              <w:spacing w:line="360" w:lineRule="auto"/>
              <w:rPr>
                <w:sz w:val="20"/>
                <w:szCs w:val="20"/>
                <w:lang w:val="en-US"/>
              </w:rPr>
            </w:pPr>
            <w:r>
              <w:rPr>
                <w:sz w:val="20"/>
                <w:szCs w:val="20"/>
                <w:lang w:val="en-US"/>
              </w:rPr>
              <w:t>Non-financial risks</w:t>
            </w:r>
          </w:p>
        </w:tc>
        <w:tc>
          <w:tcPr>
            <w:tcW w:w="3828" w:type="dxa"/>
          </w:tcPr>
          <w:p w:rsidR="00AE4097" w:rsidRPr="003C2728" w:rsidRDefault="00AE4097" w:rsidP="00176384">
            <w:pPr>
              <w:suppressAutoHyphens/>
              <w:spacing w:line="360" w:lineRule="auto"/>
              <w:rPr>
                <w:sz w:val="20"/>
                <w:szCs w:val="20"/>
                <w:lang w:val="en-US"/>
              </w:rPr>
            </w:pPr>
            <w:r>
              <w:rPr>
                <w:sz w:val="20"/>
                <w:szCs w:val="20"/>
                <w:lang w:val="en-US"/>
              </w:rPr>
              <w:t>Operational risk</w:t>
            </w:r>
          </w:p>
        </w:tc>
      </w:tr>
      <w:tr w:rsidR="00AE4097" w:rsidTr="00176384">
        <w:trPr>
          <w:jc w:val="center"/>
        </w:trPr>
        <w:tc>
          <w:tcPr>
            <w:tcW w:w="1809" w:type="dxa"/>
            <w:tcBorders>
              <w:top w:val="nil"/>
              <w:bottom w:val="nil"/>
            </w:tcBorders>
          </w:tcPr>
          <w:p w:rsidR="00AE4097" w:rsidRPr="003C2728" w:rsidRDefault="00AE4097" w:rsidP="00176384">
            <w:pPr>
              <w:suppressAutoHyphens/>
              <w:spacing w:line="360" w:lineRule="auto"/>
              <w:rPr>
                <w:sz w:val="20"/>
                <w:szCs w:val="20"/>
                <w:lang w:val="en-US"/>
              </w:rPr>
            </w:pPr>
          </w:p>
        </w:tc>
        <w:tc>
          <w:tcPr>
            <w:tcW w:w="3828" w:type="dxa"/>
          </w:tcPr>
          <w:p w:rsidR="00AE4097" w:rsidRPr="003C2728" w:rsidRDefault="00AE4097" w:rsidP="00176384">
            <w:pPr>
              <w:suppressAutoHyphens/>
              <w:spacing w:line="360" w:lineRule="auto"/>
              <w:rPr>
                <w:sz w:val="20"/>
                <w:szCs w:val="20"/>
                <w:lang w:val="en-US"/>
              </w:rPr>
            </w:pPr>
            <w:r>
              <w:rPr>
                <w:sz w:val="20"/>
                <w:szCs w:val="20"/>
                <w:lang w:val="en-US"/>
              </w:rPr>
              <w:t>Empowerment risk</w:t>
            </w:r>
          </w:p>
        </w:tc>
      </w:tr>
      <w:tr w:rsidR="00AE4097" w:rsidTr="00176384">
        <w:trPr>
          <w:jc w:val="center"/>
        </w:trPr>
        <w:tc>
          <w:tcPr>
            <w:tcW w:w="1809" w:type="dxa"/>
            <w:tcBorders>
              <w:top w:val="nil"/>
              <w:bottom w:val="nil"/>
            </w:tcBorders>
          </w:tcPr>
          <w:p w:rsidR="00AE4097" w:rsidRPr="003C2728" w:rsidRDefault="00AE4097" w:rsidP="00176384">
            <w:pPr>
              <w:suppressAutoHyphens/>
              <w:spacing w:line="360" w:lineRule="auto"/>
              <w:rPr>
                <w:sz w:val="20"/>
                <w:szCs w:val="20"/>
                <w:lang w:val="en-US"/>
              </w:rPr>
            </w:pPr>
          </w:p>
        </w:tc>
        <w:tc>
          <w:tcPr>
            <w:tcW w:w="3828" w:type="dxa"/>
          </w:tcPr>
          <w:p w:rsidR="00AE4097" w:rsidRPr="003C2728" w:rsidRDefault="00AE4097" w:rsidP="00176384">
            <w:pPr>
              <w:suppressAutoHyphens/>
              <w:spacing w:line="360" w:lineRule="auto"/>
              <w:rPr>
                <w:sz w:val="20"/>
                <w:szCs w:val="20"/>
                <w:lang w:val="en-US"/>
              </w:rPr>
            </w:pPr>
            <w:r w:rsidRPr="003C2728">
              <w:rPr>
                <w:sz w:val="20"/>
                <w:szCs w:val="20"/>
                <w:lang w:val="en-US"/>
              </w:rPr>
              <w:t>Information processing and technology risk</w:t>
            </w:r>
          </w:p>
        </w:tc>
      </w:tr>
      <w:tr w:rsidR="00AE4097" w:rsidTr="00176384">
        <w:trPr>
          <w:jc w:val="center"/>
        </w:trPr>
        <w:tc>
          <w:tcPr>
            <w:tcW w:w="1809" w:type="dxa"/>
            <w:tcBorders>
              <w:top w:val="nil"/>
              <w:bottom w:val="nil"/>
            </w:tcBorders>
          </w:tcPr>
          <w:p w:rsidR="00AE4097" w:rsidRPr="003C2728" w:rsidRDefault="00AE4097" w:rsidP="00176384">
            <w:pPr>
              <w:suppressAutoHyphens/>
              <w:spacing w:line="360" w:lineRule="auto"/>
              <w:rPr>
                <w:sz w:val="22"/>
                <w:szCs w:val="22"/>
                <w:lang w:val="en-US"/>
              </w:rPr>
            </w:pPr>
          </w:p>
        </w:tc>
        <w:tc>
          <w:tcPr>
            <w:tcW w:w="3828" w:type="dxa"/>
          </w:tcPr>
          <w:p w:rsidR="00AE4097" w:rsidRPr="003C2728" w:rsidRDefault="00AE4097" w:rsidP="00176384">
            <w:pPr>
              <w:suppressAutoHyphens/>
              <w:spacing w:line="360" w:lineRule="auto"/>
              <w:rPr>
                <w:sz w:val="20"/>
                <w:szCs w:val="20"/>
                <w:lang w:val="en-US"/>
              </w:rPr>
            </w:pPr>
            <w:r w:rsidRPr="003C2728">
              <w:rPr>
                <w:sz w:val="20"/>
                <w:szCs w:val="20"/>
                <w:lang w:val="en-US"/>
              </w:rPr>
              <w:t>Integrity risk</w:t>
            </w:r>
          </w:p>
        </w:tc>
      </w:tr>
      <w:tr w:rsidR="00AE4097" w:rsidTr="00176384">
        <w:trPr>
          <w:jc w:val="center"/>
        </w:trPr>
        <w:tc>
          <w:tcPr>
            <w:tcW w:w="1809" w:type="dxa"/>
            <w:tcBorders>
              <w:top w:val="nil"/>
            </w:tcBorders>
          </w:tcPr>
          <w:p w:rsidR="00AE4097" w:rsidRDefault="00AE4097" w:rsidP="00176384">
            <w:pPr>
              <w:suppressAutoHyphens/>
              <w:spacing w:line="360" w:lineRule="auto"/>
              <w:jc w:val="both"/>
              <w:rPr>
                <w:color w:val="FF0000"/>
                <w:sz w:val="22"/>
                <w:szCs w:val="22"/>
                <w:lang w:val="en-US"/>
              </w:rPr>
            </w:pPr>
          </w:p>
        </w:tc>
        <w:tc>
          <w:tcPr>
            <w:tcW w:w="3828" w:type="dxa"/>
          </w:tcPr>
          <w:p w:rsidR="00AE4097" w:rsidRPr="003C2728" w:rsidRDefault="00AE4097" w:rsidP="00176384">
            <w:pPr>
              <w:suppressAutoHyphens/>
              <w:spacing w:line="360" w:lineRule="auto"/>
              <w:jc w:val="both"/>
              <w:rPr>
                <w:sz w:val="20"/>
                <w:szCs w:val="20"/>
                <w:lang w:val="en-US"/>
              </w:rPr>
            </w:pPr>
            <w:r>
              <w:rPr>
                <w:sz w:val="20"/>
                <w:szCs w:val="20"/>
                <w:lang w:val="en-US"/>
              </w:rPr>
              <w:t>Strategic risk</w:t>
            </w:r>
          </w:p>
        </w:tc>
      </w:tr>
    </w:tbl>
    <w:p w:rsidR="00AE4097" w:rsidRPr="00485D4A" w:rsidRDefault="00AE4097" w:rsidP="00AE4097">
      <w:pPr>
        <w:suppressAutoHyphens/>
        <w:ind w:left="4536"/>
        <w:jc w:val="both"/>
        <w:rPr>
          <w:b/>
          <w:sz w:val="20"/>
          <w:szCs w:val="20"/>
          <w:lang w:val="en-US"/>
        </w:rPr>
      </w:pPr>
      <w:r>
        <w:rPr>
          <w:b/>
          <w:sz w:val="22"/>
          <w:szCs w:val="20"/>
          <w:lang w:val="en-US"/>
        </w:rPr>
        <w:t xml:space="preserve">    </w:t>
      </w:r>
      <w:r>
        <w:rPr>
          <w:b/>
          <w:sz w:val="22"/>
          <w:szCs w:val="20"/>
          <w:lang w:val="en-US"/>
        </w:rPr>
        <w:tab/>
        <w:t xml:space="preserve">   </w:t>
      </w:r>
      <w:r w:rsidRPr="00485D4A">
        <w:rPr>
          <w:b/>
          <w:sz w:val="20"/>
          <w:szCs w:val="20"/>
          <w:lang w:val="en-US"/>
        </w:rPr>
        <w:t>Table 2: Risk categories</w:t>
      </w:r>
    </w:p>
    <w:p w:rsidR="00AE4097" w:rsidRDefault="00AE4097" w:rsidP="00AE4097">
      <w:pPr>
        <w:suppressAutoHyphens/>
        <w:ind w:left="4536"/>
        <w:jc w:val="both"/>
        <w:rPr>
          <w:b/>
          <w:sz w:val="22"/>
          <w:szCs w:val="20"/>
          <w:lang w:val="en-US"/>
        </w:rPr>
      </w:pPr>
    </w:p>
    <w:p w:rsidR="00AE4097" w:rsidRDefault="00AE4097" w:rsidP="00A82089">
      <w:pPr>
        <w:suppressAutoHyphens/>
        <w:spacing w:line="360" w:lineRule="auto"/>
        <w:jc w:val="both"/>
        <w:rPr>
          <w:sz w:val="22"/>
          <w:szCs w:val="22"/>
          <w:lang w:val="en-US"/>
        </w:rPr>
      </w:pPr>
      <w:r>
        <w:rPr>
          <w:sz w:val="22"/>
          <w:szCs w:val="22"/>
          <w:lang w:val="en-US"/>
        </w:rPr>
        <w:lastRenderedPageBreak/>
        <w:t>An example of the risk disclosure index is added in appendix V. The risk disclosure score is developed as follows. First, the company receives a score of ‘1’ if the risk category is mentioned and a score of ‘0’ when it is not mentioned in the risk paragraph. The second part in developing the score is the question if the company mentioned the control mechanism for the particular risk in their annual report. The company scores a ‘1’ if it does mention a control mechanism and the company will get a score of ‘0’ when no control mechanism is described. If the scores for every risk category are given the risk disclosure score can be measured. To obtain this score, the total score should be divided by the total possible score. The total possible score is the number of risk categories times the number of columns (risk mentioned + control mentioned). For this index the total possible score is 20. When both scores are known, the risk disclosure score can be measured:</w:t>
      </w:r>
    </w:p>
    <w:p w:rsidR="00AE4097" w:rsidRDefault="00AE4097" w:rsidP="00A82089">
      <w:pPr>
        <w:suppressAutoHyphens/>
        <w:spacing w:line="360" w:lineRule="auto"/>
        <w:jc w:val="both"/>
        <w:rPr>
          <w:sz w:val="22"/>
          <w:szCs w:val="20"/>
          <w:lang w:val="en-US"/>
        </w:rPr>
      </w:pPr>
    </w:p>
    <w:p w:rsidR="00AE4097" w:rsidRDefault="00AE4097" w:rsidP="00A82089">
      <w:pPr>
        <w:pStyle w:val="BodyText"/>
        <w:suppressAutoHyphens/>
        <w:spacing w:line="360" w:lineRule="auto"/>
        <w:rPr>
          <w:b/>
          <w:bCs/>
          <w:i/>
          <w:iCs/>
          <w:sz w:val="22"/>
        </w:rPr>
      </w:pPr>
      <w:r>
        <w:rPr>
          <w:b/>
          <w:bCs/>
          <w:i/>
          <w:iCs/>
          <w:sz w:val="22"/>
        </w:rPr>
        <w:t>Risk disclosure score = (Score risk mentioned + Score control mentioned) / Total possible score</w:t>
      </w:r>
    </w:p>
    <w:p w:rsidR="00AE4097" w:rsidRDefault="00AE4097" w:rsidP="00A82089">
      <w:pPr>
        <w:suppressAutoHyphens/>
        <w:spacing w:line="360" w:lineRule="auto"/>
        <w:jc w:val="both"/>
        <w:rPr>
          <w:b/>
          <w:i/>
          <w:noProof/>
          <w:sz w:val="20"/>
          <w:szCs w:val="20"/>
          <w:lang w:val="en-US"/>
        </w:rPr>
      </w:pPr>
    </w:p>
    <w:p w:rsidR="00AE4097" w:rsidRDefault="00AE4097" w:rsidP="00A82089">
      <w:pPr>
        <w:pStyle w:val="Heading3"/>
        <w:numPr>
          <w:ilvl w:val="2"/>
          <w:numId w:val="2"/>
        </w:numPr>
        <w:tabs>
          <w:tab w:val="num" w:pos="1004"/>
        </w:tabs>
        <w:suppressAutoHyphens/>
        <w:spacing w:before="0" w:after="0" w:line="360" w:lineRule="auto"/>
        <w:jc w:val="both"/>
        <w:rPr>
          <w:b w:val="0"/>
          <w:i/>
          <w:sz w:val="22"/>
          <w:szCs w:val="22"/>
          <w:lang w:val="en-US"/>
        </w:rPr>
      </w:pPr>
      <w:bookmarkStart w:id="147" w:name="_Toc288459369"/>
      <w:bookmarkStart w:id="148" w:name="_Toc288725910"/>
      <w:r>
        <w:rPr>
          <w:b w:val="0"/>
          <w:i/>
          <w:sz w:val="22"/>
          <w:szCs w:val="22"/>
          <w:lang w:val="en-US"/>
        </w:rPr>
        <w:t>Control variables</w:t>
      </w:r>
      <w:bookmarkEnd w:id="147"/>
      <w:bookmarkEnd w:id="148"/>
      <w:r>
        <w:rPr>
          <w:b w:val="0"/>
          <w:i/>
          <w:sz w:val="22"/>
          <w:szCs w:val="22"/>
          <w:lang w:val="en-US"/>
        </w:rPr>
        <w:t xml:space="preserve"> </w:t>
      </w:r>
    </w:p>
    <w:p w:rsidR="00AE4097" w:rsidRDefault="00AE4097" w:rsidP="00A82089">
      <w:pPr>
        <w:suppressAutoHyphens/>
        <w:spacing w:line="360" w:lineRule="auto"/>
        <w:ind w:firstLine="360"/>
        <w:jc w:val="both"/>
        <w:rPr>
          <w:sz w:val="22"/>
          <w:szCs w:val="22"/>
          <w:lang w:val="en-US"/>
        </w:rPr>
      </w:pPr>
      <w:r>
        <w:rPr>
          <w:sz w:val="22"/>
          <w:szCs w:val="22"/>
          <w:lang w:val="en-US"/>
        </w:rPr>
        <w:t xml:space="preserve">The level of risk disclosures may systematically differ between firms due to other factors (Abraham and Cox, 2007). To limit these </w:t>
      </w:r>
      <w:r w:rsidRPr="001C12FB">
        <w:rPr>
          <w:sz w:val="22"/>
          <w:szCs w:val="22"/>
          <w:lang w:val="en-US"/>
        </w:rPr>
        <w:t>factors, this study controls for profitability</w:t>
      </w:r>
      <w:r>
        <w:rPr>
          <w:sz w:val="22"/>
          <w:szCs w:val="22"/>
          <w:lang w:val="en-US"/>
        </w:rPr>
        <w:t>, level of risk, and type of industry. The control variables in this study are more extensive than the variables used by Linsley and Shrives (2006a). They just take company size and level of company risk. The data of the control variables are obtained from the ThomsonOneBanker for the 18 companies in the sample. The rest of the paragraph describes how these variables are measured.</w:t>
      </w:r>
    </w:p>
    <w:p w:rsidR="00AE4097" w:rsidRDefault="00AE4097" w:rsidP="00A82089">
      <w:pPr>
        <w:suppressAutoHyphens/>
        <w:spacing w:line="360" w:lineRule="auto"/>
        <w:ind w:firstLine="360"/>
        <w:jc w:val="both"/>
        <w:rPr>
          <w:sz w:val="22"/>
          <w:szCs w:val="22"/>
          <w:lang w:val="en-US"/>
        </w:rPr>
      </w:pPr>
      <w:r>
        <w:rPr>
          <w:sz w:val="22"/>
          <w:szCs w:val="22"/>
          <w:lang w:val="en-US"/>
        </w:rPr>
        <w:t xml:space="preserve">The </w:t>
      </w:r>
      <w:r>
        <w:rPr>
          <w:i/>
          <w:iCs/>
          <w:sz w:val="22"/>
          <w:szCs w:val="22"/>
          <w:lang w:val="en-US"/>
        </w:rPr>
        <w:t>profitability of a company</w:t>
      </w:r>
      <w:r>
        <w:rPr>
          <w:sz w:val="22"/>
          <w:szCs w:val="22"/>
          <w:lang w:val="en-US"/>
        </w:rPr>
        <w:t xml:space="preserve"> will be measured by return on assets (ROA): the ratio of net profit in million </w:t>
      </w:r>
      <w:proofErr w:type="gramStart"/>
      <w:r>
        <w:rPr>
          <w:sz w:val="22"/>
          <w:szCs w:val="22"/>
          <w:lang w:val="en-US"/>
        </w:rPr>
        <w:t>euro</w:t>
      </w:r>
      <w:proofErr w:type="gramEnd"/>
      <w:r>
        <w:rPr>
          <w:sz w:val="22"/>
          <w:szCs w:val="22"/>
          <w:lang w:val="en-US"/>
        </w:rPr>
        <w:t xml:space="preserve"> to book value of total assets in million euro. This is considered to be an acceptable measure of company profitability (Linsley et al., 2006b). </w:t>
      </w:r>
    </w:p>
    <w:p w:rsidR="00AE4097" w:rsidRDefault="00AE4097" w:rsidP="00A82089">
      <w:pPr>
        <w:suppressAutoHyphens/>
        <w:spacing w:line="360" w:lineRule="auto"/>
        <w:ind w:firstLine="360"/>
        <w:jc w:val="both"/>
        <w:rPr>
          <w:sz w:val="22"/>
          <w:szCs w:val="22"/>
          <w:lang w:val="en-US"/>
        </w:rPr>
      </w:pPr>
      <w:r>
        <w:rPr>
          <w:sz w:val="22"/>
          <w:szCs w:val="22"/>
          <w:lang w:val="en-US"/>
        </w:rPr>
        <w:t xml:space="preserve">Measuring the </w:t>
      </w:r>
      <w:r>
        <w:rPr>
          <w:i/>
          <w:iCs/>
          <w:sz w:val="22"/>
          <w:szCs w:val="22"/>
          <w:lang w:val="en-US"/>
        </w:rPr>
        <w:t>level of risk</w:t>
      </w:r>
      <w:r>
        <w:rPr>
          <w:sz w:val="22"/>
          <w:szCs w:val="22"/>
          <w:lang w:val="en-US"/>
        </w:rPr>
        <w:t xml:space="preserve"> is much more problematical as there is no single measure. Most of the measures focus on a specific kind of risk. The measure which is used in this research is company leverage. A higher leverage is associated with a higher level of risk, due to higher volatility of profits. This can be calculated with the debt/equity ratio.</w:t>
      </w:r>
    </w:p>
    <w:p w:rsidR="00AE4097" w:rsidRDefault="00AE4097" w:rsidP="00A82089">
      <w:pPr>
        <w:suppressAutoHyphens/>
        <w:spacing w:line="360" w:lineRule="auto"/>
        <w:ind w:firstLine="426"/>
        <w:jc w:val="both"/>
        <w:rPr>
          <w:sz w:val="22"/>
          <w:szCs w:val="22"/>
          <w:lang w:val="en-US"/>
        </w:rPr>
      </w:pPr>
      <w:r>
        <w:rPr>
          <w:sz w:val="22"/>
          <w:szCs w:val="22"/>
          <w:lang w:val="en-US"/>
        </w:rPr>
        <w:t xml:space="preserve">In this research the </w:t>
      </w:r>
      <w:r>
        <w:rPr>
          <w:i/>
          <w:iCs/>
          <w:sz w:val="22"/>
          <w:szCs w:val="22"/>
          <w:lang w:val="en-US"/>
        </w:rPr>
        <w:t>type of industry</w:t>
      </w:r>
      <w:r>
        <w:rPr>
          <w:sz w:val="22"/>
          <w:szCs w:val="22"/>
          <w:lang w:val="en-US"/>
        </w:rPr>
        <w:t xml:space="preserve"> is a nominal variable to measure the possibility that risk reporting will be influenced by the general </w:t>
      </w:r>
      <w:r w:rsidRPr="001C12FB">
        <w:rPr>
          <w:sz w:val="22"/>
          <w:szCs w:val="22"/>
          <w:lang w:val="en-US"/>
        </w:rPr>
        <w:t>relationships that are inherent to each industry (Abraham</w:t>
      </w:r>
      <w:r>
        <w:rPr>
          <w:sz w:val="22"/>
          <w:szCs w:val="22"/>
          <w:lang w:val="en-US"/>
        </w:rPr>
        <w:t xml:space="preserve"> and Cox, 2007). Based on the Industry Classification Benchmark (ICB), there are 10 industries. Because this paper leaves out financial companies, it is using only 9 categories. However, none of the companies as listed on the AEX-index are active in the health care and utilities industry. So these industries are excluded as well. The final industry classification consists of 7 categories. Therefore seven variables are created: 1=OIGS (oil and gas), 2=BMAT (basic materials), 3=IND (industrials), 4=CONSG (consumer goods), 5=CONSS (consumer services), 6=TELEC (telecommunications), and 7=TECHN (technology). </w:t>
      </w:r>
    </w:p>
    <w:p w:rsidR="00AE4097" w:rsidRDefault="00AE4097" w:rsidP="00A82089">
      <w:pPr>
        <w:suppressAutoHyphens/>
        <w:spacing w:line="360" w:lineRule="auto"/>
        <w:ind w:firstLine="360"/>
        <w:jc w:val="both"/>
        <w:rPr>
          <w:sz w:val="22"/>
          <w:szCs w:val="22"/>
          <w:lang w:val="en-US"/>
        </w:rPr>
      </w:pPr>
    </w:p>
    <w:p w:rsidR="00AE4097" w:rsidRDefault="00AE4097" w:rsidP="00A82089">
      <w:pPr>
        <w:pStyle w:val="Heading2"/>
        <w:numPr>
          <w:ilvl w:val="1"/>
          <w:numId w:val="2"/>
        </w:numPr>
        <w:suppressAutoHyphens/>
        <w:spacing w:before="0" w:after="0" w:line="360" w:lineRule="auto"/>
        <w:jc w:val="both"/>
        <w:rPr>
          <w:i w:val="0"/>
          <w:sz w:val="22"/>
          <w:szCs w:val="22"/>
          <w:lang w:val="en-US"/>
        </w:rPr>
      </w:pPr>
      <w:bookmarkStart w:id="149" w:name="_Toc288459370"/>
      <w:bookmarkStart w:id="150" w:name="_Toc288725911"/>
      <w:r>
        <w:rPr>
          <w:i w:val="0"/>
          <w:sz w:val="22"/>
          <w:szCs w:val="22"/>
          <w:lang w:val="en-US"/>
        </w:rPr>
        <w:lastRenderedPageBreak/>
        <w:t>Hypotheses development</w:t>
      </w:r>
      <w:bookmarkEnd w:id="149"/>
      <w:bookmarkEnd w:id="150"/>
      <w:r>
        <w:rPr>
          <w:i w:val="0"/>
          <w:sz w:val="22"/>
          <w:szCs w:val="22"/>
          <w:lang w:val="en-US"/>
        </w:rPr>
        <w:t xml:space="preserve"> </w:t>
      </w:r>
    </w:p>
    <w:p w:rsidR="00AE4097" w:rsidRDefault="00AE4097" w:rsidP="00A82089">
      <w:pPr>
        <w:suppressAutoHyphens/>
        <w:spacing w:line="360" w:lineRule="auto"/>
        <w:ind w:firstLine="567"/>
        <w:jc w:val="both"/>
        <w:rPr>
          <w:sz w:val="22"/>
          <w:szCs w:val="22"/>
          <w:lang w:val="en-US"/>
        </w:rPr>
      </w:pPr>
      <w:r>
        <w:rPr>
          <w:sz w:val="22"/>
          <w:szCs w:val="22"/>
          <w:lang w:val="en-US"/>
        </w:rPr>
        <w:t xml:space="preserve">In this paragraph several hypotheses are formulated. With the result of the first hypothesis an answer for the research question, as mentioned in paragraph 1.4, will be given. With the help of the other hypotheses an attempt will be done to explain the expected differences between the risk disclosure scores. </w:t>
      </w:r>
    </w:p>
    <w:p w:rsidR="00AE4097" w:rsidRDefault="00AE4097" w:rsidP="00A82089">
      <w:pPr>
        <w:suppressAutoHyphens/>
        <w:spacing w:line="360" w:lineRule="auto"/>
        <w:jc w:val="both"/>
        <w:rPr>
          <w:sz w:val="22"/>
          <w:szCs w:val="22"/>
          <w:lang w:val="en-US"/>
        </w:rPr>
      </w:pPr>
    </w:p>
    <w:p w:rsidR="00AE4097" w:rsidRDefault="00AE4097" w:rsidP="00A82089">
      <w:pPr>
        <w:pStyle w:val="Heading3"/>
        <w:numPr>
          <w:ilvl w:val="2"/>
          <w:numId w:val="2"/>
        </w:numPr>
        <w:tabs>
          <w:tab w:val="clear" w:pos="720"/>
          <w:tab w:val="num" w:pos="1004"/>
        </w:tabs>
        <w:suppressAutoHyphens/>
        <w:spacing w:before="0" w:after="0" w:line="360" w:lineRule="auto"/>
        <w:jc w:val="both"/>
        <w:rPr>
          <w:b w:val="0"/>
          <w:i/>
          <w:sz w:val="22"/>
          <w:szCs w:val="22"/>
          <w:lang w:val="en-US"/>
        </w:rPr>
      </w:pPr>
      <w:bookmarkStart w:id="151" w:name="_Toc285109195"/>
      <w:bookmarkStart w:id="152" w:name="_Toc288459371"/>
      <w:bookmarkStart w:id="153" w:name="_Toc288725912"/>
      <w:r>
        <w:rPr>
          <w:b w:val="0"/>
          <w:i/>
          <w:sz w:val="22"/>
          <w:szCs w:val="22"/>
          <w:lang w:val="en-US"/>
        </w:rPr>
        <w:t>Risk disclosure and the financial crisis</w:t>
      </w:r>
      <w:bookmarkEnd w:id="151"/>
      <w:bookmarkEnd w:id="152"/>
      <w:bookmarkEnd w:id="153"/>
    </w:p>
    <w:p w:rsidR="00AE4097" w:rsidRDefault="00AE4097" w:rsidP="00A82089">
      <w:pPr>
        <w:pStyle w:val="000"/>
        <w:suppressAutoHyphens/>
        <w:spacing w:line="360" w:lineRule="auto"/>
        <w:ind w:firstLine="567"/>
        <w:jc w:val="both"/>
        <w:rPr>
          <w:sz w:val="22"/>
          <w:szCs w:val="22"/>
          <w:lang w:val="en-US"/>
        </w:rPr>
      </w:pPr>
      <w:r>
        <w:rPr>
          <w:sz w:val="22"/>
          <w:szCs w:val="22"/>
          <w:lang w:val="en-US"/>
        </w:rPr>
        <w:t xml:space="preserve">The aim of this study is to examine if the financial crisis has influence on the risk paragraph of Dutch listed companies. The question is if companies report more about the risks they face and their risk management policy after introduction of the financial crisis. The crisis causes a tight credit market. In such a situation, it is important for companies to gain a competitive advantage to make sure that they obtain enough credit, but it is important that investors can assess the value of the firm as well. One of the causes of the crisis </w:t>
      </w:r>
      <w:proofErr w:type="gramStart"/>
      <w:r>
        <w:rPr>
          <w:sz w:val="22"/>
          <w:szCs w:val="22"/>
          <w:lang w:val="en-US"/>
        </w:rPr>
        <w:t>were</w:t>
      </w:r>
      <w:proofErr w:type="gramEnd"/>
      <w:r>
        <w:rPr>
          <w:sz w:val="22"/>
          <w:szCs w:val="22"/>
          <w:lang w:val="en-US"/>
        </w:rPr>
        <w:t xml:space="preserve"> deficiencies in the annual reports of companies, which resulted in an increasing awareness among managers to understand their risks and to learn how to manage these. Further, stakeholders will ask for better financial reporting as well. With appropriate risk disclosures they can make more informed decisions. This research expects that companies will disclose more risk information during the crisis than before. Other researchers also suggest that when the financial position is threatened the amount of bad news in risk disclosures will </w:t>
      </w:r>
      <w:r>
        <w:rPr>
          <w:sz w:val="22"/>
          <w:szCs w:val="22"/>
          <w:shd w:val="clear" w:color="auto" w:fill="FFFFFF"/>
          <w:lang w:val="en-US"/>
        </w:rPr>
        <w:t>increase (Suijs, 2005). This results</w:t>
      </w:r>
      <w:r>
        <w:rPr>
          <w:sz w:val="22"/>
          <w:szCs w:val="22"/>
          <w:lang w:val="en-US"/>
        </w:rPr>
        <w:t xml:space="preserve"> into the following hypothesis:</w:t>
      </w:r>
    </w:p>
    <w:p w:rsidR="00AE4097" w:rsidRDefault="00AE4097" w:rsidP="00A82089">
      <w:pPr>
        <w:pStyle w:val="000"/>
        <w:suppressAutoHyphens/>
        <w:spacing w:line="360" w:lineRule="auto"/>
        <w:jc w:val="both"/>
        <w:rPr>
          <w:sz w:val="22"/>
          <w:szCs w:val="22"/>
          <w:lang w:val="en-US"/>
        </w:rPr>
      </w:pPr>
    </w:p>
    <w:p w:rsidR="00AE4097" w:rsidRDefault="00AE4097" w:rsidP="00A82089">
      <w:pPr>
        <w:suppressAutoHyphens/>
        <w:spacing w:line="360" w:lineRule="auto"/>
        <w:jc w:val="both"/>
        <w:rPr>
          <w:i/>
          <w:sz w:val="22"/>
          <w:szCs w:val="22"/>
          <w:lang w:val="en-US"/>
        </w:rPr>
      </w:pPr>
      <w:r>
        <w:rPr>
          <w:b/>
          <w:i/>
          <w:sz w:val="22"/>
          <w:szCs w:val="22"/>
          <w:lang w:val="en-US"/>
        </w:rPr>
        <w:t>H1:</w:t>
      </w:r>
      <w:r>
        <w:rPr>
          <w:i/>
          <w:sz w:val="22"/>
          <w:szCs w:val="22"/>
          <w:lang w:val="en-US"/>
        </w:rPr>
        <w:t xml:space="preserve"> Non-financial Dutch listed companies will disclose higher amounts of risk information in 2008-2009 (during the crisis) than in 2006-2007 (before the crisis). </w:t>
      </w:r>
    </w:p>
    <w:p w:rsidR="00AE4097" w:rsidRPr="008E6B89" w:rsidRDefault="00AE4097" w:rsidP="00A82089">
      <w:pPr>
        <w:suppressAutoHyphens/>
        <w:spacing w:line="360" w:lineRule="auto"/>
        <w:jc w:val="both"/>
        <w:rPr>
          <w:i/>
          <w:sz w:val="22"/>
          <w:szCs w:val="22"/>
          <w:lang w:val="en-US"/>
        </w:rPr>
      </w:pPr>
    </w:p>
    <w:p w:rsidR="00AE4097" w:rsidRPr="008E6B89" w:rsidRDefault="00AE4097" w:rsidP="00A82089">
      <w:pPr>
        <w:pStyle w:val="Heading3"/>
        <w:numPr>
          <w:ilvl w:val="2"/>
          <w:numId w:val="2"/>
        </w:numPr>
        <w:tabs>
          <w:tab w:val="num" w:pos="1004"/>
        </w:tabs>
        <w:suppressAutoHyphens/>
        <w:spacing w:before="0" w:after="0" w:line="360" w:lineRule="auto"/>
        <w:jc w:val="both"/>
        <w:rPr>
          <w:b w:val="0"/>
          <w:i/>
          <w:sz w:val="22"/>
          <w:szCs w:val="22"/>
          <w:lang w:val="en-US"/>
        </w:rPr>
      </w:pPr>
      <w:bookmarkStart w:id="154" w:name="_Toc288459372"/>
      <w:bookmarkStart w:id="155" w:name="_Toc288725913"/>
      <w:r w:rsidRPr="008E6B89">
        <w:rPr>
          <w:b w:val="0"/>
          <w:i/>
          <w:sz w:val="22"/>
          <w:szCs w:val="22"/>
          <w:lang w:val="en-US"/>
        </w:rPr>
        <w:t>Risk disclosure and company profitability</w:t>
      </w:r>
      <w:bookmarkEnd w:id="154"/>
      <w:bookmarkEnd w:id="155"/>
    </w:p>
    <w:p w:rsidR="00AE4097" w:rsidRDefault="00AE4097" w:rsidP="00A82089">
      <w:pPr>
        <w:pStyle w:val="000"/>
        <w:suppressAutoHyphens/>
        <w:spacing w:line="360" w:lineRule="auto"/>
        <w:ind w:firstLine="567"/>
        <w:jc w:val="both"/>
        <w:rPr>
          <w:sz w:val="22"/>
          <w:szCs w:val="22"/>
          <w:lang w:val="en-US"/>
        </w:rPr>
      </w:pPr>
      <w:r w:rsidRPr="008E6B89">
        <w:rPr>
          <w:sz w:val="22"/>
          <w:szCs w:val="22"/>
          <w:lang w:val="en-US"/>
        </w:rPr>
        <w:t>When a company is well performing, investors are less interested in the risks the company faces and in its risk management policy. So, they may not require extensive risk disclosures. However, poorly performing companies may experience increased pressure for extensive risk disclosures. According to Deumes and Knechel (2008), there is an insignificant, negative relationship with internal control reporting. But a profitable company may have more resources available to invest in risk management systems in order to</w:t>
      </w:r>
      <w:r>
        <w:rPr>
          <w:sz w:val="22"/>
          <w:szCs w:val="22"/>
          <w:lang w:val="en-US"/>
        </w:rPr>
        <w:t xml:space="preserve"> assess and manage their risks. </w:t>
      </w:r>
      <w:r w:rsidRPr="008E6B89">
        <w:rPr>
          <w:sz w:val="22"/>
          <w:szCs w:val="22"/>
          <w:lang w:val="en-US"/>
        </w:rPr>
        <w:t xml:space="preserve">Another reason for providing more detailed risk information is that they want to support their own position (Inchausti, 1997). In accordance with the positive accounting theory, more profitable companies are more exposed to political pressure, and therefore use more voluntary disclosures to avoid regulation and reduce their political cost (Watts and Zimmerman, 1986). But there is a possibility that companies with a better risk management have higher levels of company profitability and that they want to publish their superior risk management abilities to the market via disclosures in annual reports (Linsley et al., 2006b). This </w:t>
      </w:r>
      <w:r w:rsidRPr="001C12FB">
        <w:rPr>
          <w:sz w:val="22"/>
          <w:szCs w:val="22"/>
          <w:lang w:val="en-US"/>
        </w:rPr>
        <w:t xml:space="preserve">implies a positive relation between the company’s profitability and risk disclosures and is </w:t>
      </w:r>
      <w:r w:rsidRPr="001C12FB">
        <w:rPr>
          <w:sz w:val="22"/>
          <w:szCs w:val="22"/>
          <w:lang w:val="en-US"/>
        </w:rPr>
        <w:lastRenderedPageBreak/>
        <w:t xml:space="preserve">in line with Holland (2005), who argued that companies disclose more voluntary information during ‘good times’, than during ‘ bad times’. So far researchers haven’t found a clear relation between these variables. This means that there are mixed results </w:t>
      </w:r>
      <w:proofErr w:type="gramStart"/>
      <w:r w:rsidRPr="001C12FB">
        <w:rPr>
          <w:sz w:val="22"/>
          <w:szCs w:val="22"/>
          <w:lang w:val="en-US"/>
        </w:rPr>
        <w:t>regarding  the</w:t>
      </w:r>
      <w:proofErr w:type="gramEnd"/>
      <w:r w:rsidRPr="001C12FB">
        <w:rPr>
          <w:sz w:val="22"/>
          <w:szCs w:val="22"/>
          <w:lang w:val="en-US"/>
        </w:rPr>
        <w:t xml:space="preserve"> relation between risk disclosures and profitability (Ahmed and Courtis, 1999). One explanation for the mixed results is that disclosure is a way to mitigate firm specific market risk, which can result into a</w:t>
      </w:r>
      <w:r>
        <w:rPr>
          <w:sz w:val="22"/>
          <w:szCs w:val="22"/>
          <w:lang w:val="en-US"/>
        </w:rPr>
        <w:t xml:space="preserve"> reduction of the cost of capital (Botosan, 1997). This paper is based on Linsley et al. (2006b), who find a positive relation between company profitability and risk disclosures. The second hypothesis is as follows:</w:t>
      </w:r>
    </w:p>
    <w:p w:rsidR="00AE4097" w:rsidRDefault="00AE4097" w:rsidP="00A82089">
      <w:pPr>
        <w:pStyle w:val="000"/>
        <w:suppressAutoHyphens/>
        <w:spacing w:line="360" w:lineRule="auto"/>
        <w:jc w:val="both"/>
        <w:rPr>
          <w:sz w:val="22"/>
          <w:szCs w:val="22"/>
          <w:lang w:val="en-US"/>
        </w:rPr>
      </w:pPr>
    </w:p>
    <w:p w:rsidR="00AE4097" w:rsidRDefault="00AE4097" w:rsidP="00A82089">
      <w:pPr>
        <w:suppressAutoHyphens/>
        <w:spacing w:line="360" w:lineRule="auto"/>
        <w:jc w:val="both"/>
        <w:rPr>
          <w:i/>
          <w:sz w:val="22"/>
          <w:szCs w:val="22"/>
          <w:lang w:val="en-US"/>
        </w:rPr>
      </w:pPr>
      <w:r>
        <w:rPr>
          <w:b/>
          <w:sz w:val="22"/>
          <w:szCs w:val="22"/>
          <w:lang w:val="en-US"/>
        </w:rPr>
        <w:t xml:space="preserve">H2: </w:t>
      </w:r>
      <w:r>
        <w:rPr>
          <w:i/>
          <w:sz w:val="22"/>
          <w:szCs w:val="22"/>
          <w:lang w:val="en-US"/>
        </w:rPr>
        <w:t xml:space="preserve">There is a positive relation between risk disclosures in the annual reports of Dutch listed companies and company profitability. </w:t>
      </w:r>
    </w:p>
    <w:p w:rsidR="00AE4097" w:rsidRDefault="00AE4097" w:rsidP="00A82089">
      <w:pPr>
        <w:suppressAutoHyphens/>
        <w:spacing w:line="360" w:lineRule="auto"/>
        <w:jc w:val="both"/>
        <w:rPr>
          <w:i/>
          <w:sz w:val="22"/>
          <w:szCs w:val="22"/>
          <w:lang w:val="en-US"/>
        </w:rPr>
      </w:pPr>
    </w:p>
    <w:p w:rsidR="00AE4097" w:rsidRDefault="00AE4097" w:rsidP="00A82089">
      <w:pPr>
        <w:pStyle w:val="000"/>
        <w:suppressAutoHyphens/>
        <w:spacing w:line="360" w:lineRule="auto"/>
        <w:ind w:firstLine="567"/>
        <w:jc w:val="both"/>
        <w:rPr>
          <w:i/>
          <w:sz w:val="22"/>
          <w:szCs w:val="22"/>
          <w:lang w:val="en-US"/>
        </w:rPr>
      </w:pPr>
      <w:r>
        <w:rPr>
          <w:sz w:val="22"/>
          <w:szCs w:val="22"/>
          <w:lang w:val="en-US"/>
        </w:rPr>
        <w:t>It is expected that the relation between company profitability and risk disclosures is not affected by the financial crisis. So, the relation before and during the crisis will be identical.</w:t>
      </w:r>
    </w:p>
    <w:p w:rsidR="00AE4097" w:rsidRDefault="00AE4097" w:rsidP="00A82089">
      <w:pPr>
        <w:suppressAutoHyphens/>
        <w:spacing w:line="360" w:lineRule="auto"/>
        <w:jc w:val="both"/>
        <w:rPr>
          <w:i/>
          <w:sz w:val="22"/>
          <w:szCs w:val="22"/>
          <w:lang w:val="en-US"/>
        </w:rPr>
      </w:pPr>
    </w:p>
    <w:p w:rsidR="00AE4097" w:rsidRDefault="00AE4097" w:rsidP="00A82089">
      <w:pPr>
        <w:pStyle w:val="Heading3"/>
        <w:numPr>
          <w:ilvl w:val="2"/>
          <w:numId w:val="2"/>
        </w:numPr>
        <w:tabs>
          <w:tab w:val="num" w:pos="1004"/>
        </w:tabs>
        <w:suppressAutoHyphens/>
        <w:spacing w:before="0" w:after="0" w:line="360" w:lineRule="auto"/>
        <w:jc w:val="both"/>
        <w:rPr>
          <w:b w:val="0"/>
          <w:i/>
          <w:sz w:val="22"/>
          <w:szCs w:val="22"/>
          <w:lang w:val="en-US"/>
        </w:rPr>
      </w:pPr>
      <w:bookmarkStart w:id="156" w:name="_Toc288459373"/>
      <w:bookmarkStart w:id="157" w:name="_Toc288725914"/>
      <w:r>
        <w:rPr>
          <w:b w:val="0"/>
          <w:i/>
          <w:sz w:val="22"/>
          <w:szCs w:val="22"/>
          <w:lang w:val="en-US"/>
        </w:rPr>
        <w:t>Risk disclosure and level of risk</w:t>
      </w:r>
      <w:bookmarkEnd w:id="156"/>
      <w:bookmarkEnd w:id="157"/>
    </w:p>
    <w:p w:rsidR="00AE4097" w:rsidRDefault="00AE4097" w:rsidP="00A82089">
      <w:pPr>
        <w:pStyle w:val="000"/>
        <w:suppressAutoHyphens/>
        <w:spacing w:line="360" w:lineRule="auto"/>
        <w:ind w:firstLine="567"/>
        <w:jc w:val="both"/>
        <w:rPr>
          <w:sz w:val="22"/>
          <w:szCs w:val="22"/>
          <w:lang w:val="en-US"/>
        </w:rPr>
      </w:pPr>
      <w:r>
        <w:rPr>
          <w:sz w:val="22"/>
          <w:szCs w:val="22"/>
          <w:lang w:val="en-US"/>
        </w:rPr>
        <w:t>The third hypothesis tests the relation between risk disclosures and the level of risk within a company. Companies with a higher level of risk will disclose greater amounts of risk information as</w:t>
      </w:r>
      <w:r w:rsidRPr="008E6B89">
        <w:rPr>
          <w:sz w:val="22"/>
          <w:szCs w:val="22"/>
          <w:lang w:val="en-US"/>
        </w:rPr>
        <w:t xml:space="preserve"> management feels more pressure from stakeholders to explain the causes of this particular risk. In addition, the management of companies with a higher risk level </w:t>
      </w:r>
      <w:proofErr w:type="gramStart"/>
      <w:r w:rsidRPr="008E6B89">
        <w:rPr>
          <w:sz w:val="22"/>
          <w:szCs w:val="22"/>
          <w:lang w:val="en-US"/>
        </w:rPr>
        <w:t>have</w:t>
      </w:r>
      <w:proofErr w:type="gramEnd"/>
      <w:r w:rsidRPr="008E6B89">
        <w:rPr>
          <w:sz w:val="22"/>
          <w:szCs w:val="22"/>
          <w:lang w:val="en-US"/>
        </w:rPr>
        <w:t xml:space="preserve"> the incentive to explain that they are monitoring and managing those risks and to ensure that they are not </w:t>
      </w:r>
      <w:proofErr w:type="spellStart"/>
      <w:r w:rsidRPr="008E6B89">
        <w:rPr>
          <w:sz w:val="22"/>
          <w:szCs w:val="22"/>
          <w:lang w:val="en-US"/>
        </w:rPr>
        <w:t>penalised</w:t>
      </w:r>
      <w:proofErr w:type="spellEnd"/>
      <w:r w:rsidRPr="008E6B89">
        <w:rPr>
          <w:sz w:val="22"/>
          <w:szCs w:val="22"/>
          <w:lang w:val="en-US"/>
        </w:rPr>
        <w:t xml:space="preserve"> by the market. This</w:t>
      </w:r>
    </w:p>
    <w:p w:rsidR="00AE4097" w:rsidRDefault="00AE4097" w:rsidP="00A82089">
      <w:pPr>
        <w:pStyle w:val="000"/>
        <w:suppressAutoHyphens/>
        <w:spacing w:line="360" w:lineRule="auto"/>
        <w:jc w:val="both"/>
        <w:rPr>
          <w:sz w:val="22"/>
          <w:szCs w:val="22"/>
          <w:lang w:val="en-US"/>
        </w:rPr>
      </w:pPr>
      <w:proofErr w:type="gramStart"/>
      <w:r>
        <w:rPr>
          <w:sz w:val="22"/>
          <w:szCs w:val="22"/>
          <w:lang w:val="en-US"/>
        </w:rPr>
        <w:t>results</w:t>
      </w:r>
      <w:proofErr w:type="gramEnd"/>
      <w:r>
        <w:rPr>
          <w:sz w:val="22"/>
          <w:szCs w:val="22"/>
          <w:lang w:val="en-US"/>
        </w:rPr>
        <w:t xml:space="preserve"> into more risk disclosures as well (Linsley and Shrives, 2006a). Therefore a positive relation between risk disclosures and the level of risk can be assumed. The level of risk can be measured by company </w:t>
      </w:r>
      <w:r w:rsidRPr="001C12FB">
        <w:rPr>
          <w:sz w:val="22"/>
          <w:szCs w:val="22"/>
          <w:lang w:val="en-US"/>
        </w:rPr>
        <w:t>leverage. For this another explanation</w:t>
      </w:r>
      <w:r>
        <w:rPr>
          <w:sz w:val="22"/>
          <w:szCs w:val="22"/>
          <w:lang w:val="en-US"/>
        </w:rPr>
        <w:t xml:space="preserve"> can be given. Creditors of a company with a disproportionately higher level of debt in its capital structure will force the company to disclose more information to mitigate the higher risk (Ahn and Lee, 2004). However, higher risk companies may not want to draw attention to all risks they face and they are not satisfied with disclosing significant amounts of risk information. Companies with lower risk levels would just report about their risks, perhaps because of the nature of their business. </w:t>
      </w:r>
    </w:p>
    <w:p w:rsidR="00AE4097" w:rsidRDefault="00AE4097" w:rsidP="00A82089">
      <w:pPr>
        <w:pStyle w:val="000"/>
        <w:suppressAutoHyphens/>
        <w:spacing w:line="360" w:lineRule="auto"/>
        <w:jc w:val="both"/>
        <w:rPr>
          <w:sz w:val="22"/>
          <w:szCs w:val="22"/>
          <w:lang w:val="en-US"/>
        </w:rPr>
      </w:pPr>
      <w:r>
        <w:rPr>
          <w:sz w:val="22"/>
          <w:szCs w:val="22"/>
          <w:lang w:val="en-US"/>
        </w:rPr>
        <w:tab/>
        <w:t>It is also possible that th</w:t>
      </w:r>
      <w:r w:rsidRPr="001C12FB">
        <w:rPr>
          <w:sz w:val="22"/>
          <w:szCs w:val="22"/>
          <w:lang w:val="en-US"/>
        </w:rPr>
        <w:t>e relationship is circular. According to the ICAEW (1999), companies that disclose more risk information think that the marketplace has a better understanding of the company’s risk position and the company is then less risky than before. So the increased risk disclosure could affect the</w:t>
      </w:r>
      <w:r w:rsidRPr="008E6B89">
        <w:rPr>
          <w:sz w:val="22"/>
          <w:szCs w:val="22"/>
          <w:lang w:val="en-US"/>
        </w:rPr>
        <w:t xml:space="preserve"> perceived level of company risk, but it is unknown to what extent. Linsley and Shrives (2006a) tested the correlatio</w:t>
      </w:r>
      <w:r>
        <w:rPr>
          <w:sz w:val="22"/>
          <w:szCs w:val="22"/>
          <w:lang w:val="en-US"/>
        </w:rPr>
        <w:t xml:space="preserve">n for seven variables, but only the proxies for environmental risk and the </w:t>
      </w:r>
      <w:r w:rsidRPr="008E6B89">
        <w:rPr>
          <w:sz w:val="22"/>
          <w:szCs w:val="22"/>
          <w:lang w:val="en-US"/>
        </w:rPr>
        <w:t>level of risk were positively related. So, Linsley and Shrives, together with Abraham and Cox (2007) and Amran et al. (2009), found no significan</w:t>
      </w:r>
      <w:r>
        <w:rPr>
          <w:sz w:val="22"/>
          <w:szCs w:val="22"/>
          <w:lang w:val="en-US"/>
        </w:rPr>
        <w:t xml:space="preserve">t relation between these two variables. The results show that there is no clear view about the relation between risk disclosures and the level of risk. </w:t>
      </w:r>
    </w:p>
    <w:p w:rsidR="00AE4097" w:rsidRDefault="00AE4097" w:rsidP="00A82089">
      <w:pPr>
        <w:pStyle w:val="000"/>
        <w:suppressAutoHyphens/>
        <w:spacing w:line="360" w:lineRule="auto"/>
        <w:jc w:val="both"/>
        <w:rPr>
          <w:sz w:val="22"/>
          <w:szCs w:val="22"/>
          <w:lang w:val="en-US"/>
        </w:rPr>
      </w:pPr>
      <w:r>
        <w:rPr>
          <w:sz w:val="22"/>
          <w:szCs w:val="22"/>
          <w:lang w:val="en-US"/>
        </w:rPr>
        <w:lastRenderedPageBreak/>
        <w:t>Taking into account the results of previous studies, the following null hypothesis is prepared:</w:t>
      </w:r>
    </w:p>
    <w:p w:rsidR="00AE4097" w:rsidRDefault="00AE4097" w:rsidP="00A82089">
      <w:pPr>
        <w:pStyle w:val="000"/>
        <w:suppressAutoHyphens/>
        <w:spacing w:line="360" w:lineRule="auto"/>
        <w:jc w:val="both"/>
        <w:rPr>
          <w:sz w:val="22"/>
          <w:szCs w:val="22"/>
          <w:lang w:val="en-US"/>
        </w:rPr>
      </w:pPr>
    </w:p>
    <w:p w:rsidR="00AE4097" w:rsidRDefault="00AE4097" w:rsidP="00A82089">
      <w:pPr>
        <w:suppressAutoHyphens/>
        <w:spacing w:line="360" w:lineRule="auto"/>
        <w:jc w:val="both"/>
        <w:rPr>
          <w:i/>
          <w:sz w:val="22"/>
          <w:szCs w:val="22"/>
          <w:lang w:val="en-US"/>
        </w:rPr>
      </w:pPr>
      <w:r>
        <w:rPr>
          <w:b/>
          <w:sz w:val="22"/>
          <w:szCs w:val="22"/>
          <w:lang w:val="en-US"/>
        </w:rPr>
        <w:t xml:space="preserve">H3: </w:t>
      </w:r>
      <w:r>
        <w:rPr>
          <w:i/>
          <w:sz w:val="22"/>
          <w:szCs w:val="22"/>
          <w:lang w:val="en-US"/>
        </w:rPr>
        <w:t>There is no relation between risk disclosures in the annual reports of Dutch listed companies and the level of risk.</w:t>
      </w:r>
    </w:p>
    <w:p w:rsidR="00AE4097" w:rsidRDefault="00AE4097" w:rsidP="00A82089">
      <w:pPr>
        <w:suppressAutoHyphens/>
        <w:spacing w:line="360" w:lineRule="auto"/>
        <w:jc w:val="both"/>
        <w:rPr>
          <w:i/>
          <w:sz w:val="22"/>
          <w:szCs w:val="22"/>
          <w:lang w:val="en-US"/>
        </w:rPr>
      </w:pPr>
    </w:p>
    <w:p w:rsidR="00AE4097" w:rsidRDefault="00AE4097" w:rsidP="00A82089">
      <w:pPr>
        <w:pStyle w:val="000"/>
        <w:suppressAutoHyphens/>
        <w:spacing w:line="360" w:lineRule="auto"/>
        <w:ind w:firstLine="567"/>
        <w:jc w:val="both"/>
        <w:rPr>
          <w:i/>
          <w:sz w:val="22"/>
          <w:szCs w:val="22"/>
          <w:lang w:val="en-US"/>
        </w:rPr>
      </w:pPr>
      <w:r>
        <w:rPr>
          <w:sz w:val="22"/>
          <w:szCs w:val="22"/>
          <w:lang w:val="en-US"/>
        </w:rPr>
        <w:t>Because no relation is expected between risk disclosures and the level of risk, for this relation applies the same as for the relation in hypothesis 2. It is expected that this relation is not affected by the financial crisis. So, the relation will not change during the research period.</w:t>
      </w:r>
    </w:p>
    <w:p w:rsidR="00AE4097" w:rsidRDefault="00AE4097" w:rsidP="00A82089">
      <w:pPr>
        <w:pStyle w:val="Heading3"/>
        <w:numPr>
          <w:ilvl w:val="2"/>
          <w:numId w:val="2"/>
        </w:numPr>
        <w:tabs>
          <w:tab w:val="num" w:pos="1004"/>
        </w:tabs>
        <w:suppressAutoHyphens/>
        <w:spacing w:line="360" w:lineRule="auto"/>
        <w:jc w:val="both"/>
        <w:rPr>
          <w:b w:val="0"/>
          <w:i/>
          <w:sz w:val="22"/>
          <w:szCs w:val="22"/>
          <w:lang w:val="en-US"/>
        </w:rPr>
      </w:pPr>
      <w:bookmarkStart w:id="158" w:name="_Toc288459374"/>
      <w:bookmarkStart w:id="159" w:name="_Toc288725915"/>
      <w:r>
        <w:rPr>
          <w:b w:val="0"/>
          <w:i/>
          <w:sz w:val="22"/>
          <w:szCs w:val="22"/>
          <w:lang w:val="en-US"/>
        </w:rPr>
        <w:t>Risk disclosure and type of industry</w:t>
      </w:r>
      <w:bookmarkEnd w:id="158"/>
      <w:bookmarkEnd w:id="159"/>
    </w:p>
    <w:p w:rsidR="00AE4097" w:rsidRDefault="00AE4097" w:rsidP="00A82089">
      <w:pPr>
        <w:suppressAutoHyphens/>
        <w:spacing w:line="360" w:lineRule="auto"/>
        <w:ind w:firstLine="567"/>
        <w:jc w:val="both"/>
        <w:rPr>
          <w:sz w:val="22"/>
          <w:szCs w:val="22"/>
          <w:lang w:val="en-US"/>
        </w:rPr>
      </w:pPr>
      <w:r>
        <w:rPr>
          <w:sz w:val="22"/>
          <w:szCs w:val="22"/>
          <w:lang w:val="en-US"/>
        </w:rPr>
        <w:t>Different industries show different levels of disclosure (Botosan, 1997). An industry may be subjected to special regulations due to its nature (Amran et al., 2009). Differences in the amount and content of risk dis</w:t>
      </w:r>
      <w:r w:rsidRPr="005A4748">
        <w:rPr>
          <w:sz w:val="22"/>
          <w:szCs w:val="22"/>
          <w:lang w:val="en-US"/>
        </w:rPr>
        <w:t xml:space="preserve">closures between different industries can be expected because a risk that is relevant for one industry is not always relevant for another industry. Because companies do not give an endless list of all risks, the risk disclosures between industries can differ. The results of prior research are mixed. </w:t>
      </w:r>
      <w:r w:rsidRPr="00F66502">
        <w:rPr>
          <w:sz w:val="22"/>
          <w:szCs w:val="22"/>
          <w:lang w:val="fr-FR"/>
        </w:rPr>
        <w:t xml:space="preserve">Amran et al. </w:t>
      </w:r>
      <w:r w:rsidRPr="00F66502">
        <w:rPr>
          <w:sz w:val="22"/>
          <w:szCs w:val="22"/>
          <w:lang w:val="en-US"/>
        </w:rPr>
        <w:t>(2009) found that two out of eight industry variables, the infrastructure and technology sector, were</w:t>
      </w:r>
      <w:r w:rsidRPr="005A4748">
        <w:rPr>
          <w:sz w:val="22"/>
          <w:szCs w:val="22"/>
          <w:lang w:val="en-US"/>
        </w:rPr>
        <w:t xml:space="preserve"> significant at the 5 percent level. These industries </w:t>
      </w:r>
      <w:r w:rsidRPr="005064C9">
        <w:rPr>
          <w:sz w:val="22"/>
          <w:szCs w:val="22"/>
          <w:lang w:val="en-US"/>
        </w:rPr>
        <w:t>have influenced</w:t>
      </w:r>
      <w:r w:rsidRPr="005A4748">
        <w:rPr>
          <w:sz w:val="22"/>
          <w:szCs w:val="22"/>
          <w:lang w:val="en-US"/>
        </w:rPr>
        <w:t xml:space="preserve"> the company to disclose more risk information. This is in line with the expectation that the extent of risk disclosures will be greater for riskier industries, such as the technology sector, compared to companies that operate in a low-risk industry. However, Abraham and Cox (2007) found no statistically significant relation between risk disclosures and type of industry. In prior research not much information is given about the variable type of industry, because it is difficult to classify the different industries based on risk and nor is it clear what the direction of the differences will be. This results into the last hypothesis, which</w:t>
      </w:r>
      <w:r>
        <w:rPr>
          <w:sz w:val="22"/>
          <w:szCs w:val="22"/>
          <w:lang w:val="en-US"/>
        </w:rPr>
        <w:t xml:space="preserve"> is formulated in the null form as well:</w:t>
      </w:r>
    </w:p>
    <w:p w:rsidR="00AE4097" w:rsidRDefault="00AE4097" w:rsidP="00A82089">
      <w:pPr>
        <w:suppressAutoHyphens/>
        <w:spacing w:line="360" w:lineRule="auto"/>
        <w:jc w:val="both"/>
        <w:rPr>
          <w:b/>
          <w:i/>
          <w:sz w:val="22"/>
          <w:szCs w:val="22"/>
          <w:lang w:val="en-US"/>
        </w:rPr>
      </w:pPr>
    </w:p>
    <w:p w:rsidR="00AE4097" w:rsidRDefault="00AE4097" w:rsidP="00A82089">
      <w:pPr>
        <w:suppressAutoHyphens/>
        <w:spacing w:line="360" w:lineRule="auto"/>
        <w:jc w:val="both"/>
        <w:rPr>
          <w:i/>
          <w:sz w:val="22"/>
          <w:szCs w:val="22"/>
          <w:lang w:val="en-US"/>
        </w:rPr>
      </w:pPr>
      <w:r>
        <w:rPr>
          <w:b/>
          <w:i/>
          <w:sz w:val="22"/>
          <w:szCs w:val="22"/>
          <w:lang w:val="en-US"/>
        </w:rPr>
        <w:t>H4:</w:t>
      </w:r>
      <w:r>
        <w:rPr>
          <w:i/>
          <w:sz w:val="22"/>
          <w:szCs w:val="22"/>
          <w:lang w:val="en-US"/>
        </w:rPr>
        <w:t xml:space="preserve"> The extent of risk disclosures will not significantly differ for each industry in the sample for Dutch listed companies.</w:t>
      </w:r>
    </w:p>
    <w:p w:rsidR="00AE4097" w:rsidRDefault="00AE4097" w:rsidP="00A82089">
      <w:pPr>
        <w:suppressAutoHyphens/>
        <w:spacing w:line="360" w:lineRule="auto"/>
        <w:jc w:val="both"/>
        <w:rPr>
          <w:sz w:val="22"/>
          <w:szCs w:val="22"/>
          <w:lang w:val="en-US"/>
        </w:rPr>
      </w:pPr>
    </w:p>
    <w:p w:rsidR="00041467" w:rsidRPr="00041467" w:rsidRDefault="00041467" w:rsidP="00A82089">
      <w:pPr>
        <w:pStyle w:val="000"/>
        <w:spacing w:line="360" w:lineRule="auto"/>
        <w:ind w:firstLine="567"/>
        <w:jc w:val="both"/>
        <w:rPr>
          <w:sz w:val="22"/>
          <w:szCs w:val="22"/>
          <w:lang w:val="en-US"/>
        </w:rPr>
      </w:pPr>
      <w:r w:rsidRPr="00041467">
        <w:rPr>
          <w:sz w:val="22"/>
          <w:szCs w:val="22"/>
          <w:lang w:val="en-US"/>
        </w:rPr>
        <w:t>Before the financial crisis it was not expected that there would be any differences in the extent of risk disclosures between the industries. Almost all companies in every industry experienced the impact of the financial crisis, resulting in a tightened regulation in each industry. However, the relations between the industries remain the same as before the crisis. It is expected that the differences between industries will not be changed by the financial crisis.</w:t>
      </w:r>
    </w:p>
    <w:p w:rsidR="00AE4097" w:rsidRDefault="00AE4097" w:rsidP="00A82089">
      <w:pPr>
        <w:suppressAutoHyphens/>
        <w:spacing w:line="360" w:lineRule="auto"/>
        <w:jc w:val="both"/>
        <w:rPr>
          <w:sz w:val="22"/>
          <w:szCs w:val="22"/>
          <w:lang w:val="en-US"/>
        </w:rPr>
      </w:pPr>
    </w:p>
    <w:p w:rsidR="008131D1" w:rsidRDefault="008131D1" w:rsidP="00AE4097">
      <w:pPr>
        <w:suppressAutoHyphens/>
        <w:spacing w:line="360" w:lineRule="auto"/>
        <w:jc w:val="both"/>
        <w:rPr>
          <w:sz w:val="22"/>
          <w:szCs w:val="22"/>
          <w:lang w:val="en-US"/>
        </w:rPr>
      </w:pPr>
    </w:p>
    <w:p w:rsidR="00AE4097" w:rsidRPr="008131D1" w:rsidRDefault="00AE4097" w:rsidP="00A82089">
      <w:pPr>
        <w:pStyle w:val="Heading2"/>
        <w:numPr>
          <w:ilvl w:val="1"/>
          <w:numId w:val="2"/>
        </w:numPr>
        <w:suppressAutoHyphens/>
        <w:spacing w:before="0" w:after="0" w:line="360" w:lineRule="auto"/>
        <w:jc w:val="both"/>
        <w:rPr>
          <w:i w:val="0"/>
          <w:sz w:val="22"/>
          <w:szCs w:val="22"/>
          <w:lang w:val="en-US"/>
        </w:rPr>
      </w:pPr>
      <w:bookmarkStart w:id="160" w:name="_Toc288459375"/>
      <w:bookmarkStart w:id="161" w:name="_Toc288725916"/>
      <w:r w:rsidRPr="008131D1">
        <w:rPr>
          <w:i w:val="0"/>
          <w:sz w:val="22"/>
          <w:szCs w:val="22"/>
          <w:lang w:val="en-US"/>
        </w:rPr>
        <w:lastRenderedPageBreak/>
        <w:t>Summary</w:t>
      </w:r>
      <w:bookmarkEnd w:id="160"/>
      <w:bookmarkEnd w:id="161"/>
    </w:p>
    <w:p w:rsidR="00AE4097" w:rsidRDefault="00AE4097" w:rsidP="00A82089">
      <w:pPr>
        <w:pStyle w:val="000"/>
        <w:suppressAutoHyphens/>
        <w:spacing w:line="360" w:lineRule="auto"/>
        <w:ind w:firstLine="567"/>
        <w:jc w:val="both"/>
        <w:rPr>
          <w:sz w:val="22"/>
          <w:lang w:val="en-US"/>
        </w:rPr>
      </w:pPr>
      <w:r>
        <w:rPr>
          <w:sz w:val="22"/>
          <w:lang w:val="en-US"/>
        </w:rPr>
        <w:t xml:space="preserve">The sample of this research consists of 18 non-financial companies in the Netherlands that are listed on the AEX-index. Because the aim of this study is to examine the influence of the financial crisis, the sample period is from 2006 till 2009; two years before and two years during the crisis. When examining the annual reports, only the risk paragraph in the MD&amp;A section has been studied. Companies that do not have a separate risk paragraph are excluded from the sample. The research method is a content analysis. It is hard to meet the three conditions of readability of Krippendorff (1980) with the content analysis of Linsley and </w:t>
      </w:r>
      <w:proofErr w:type="gramStart"/>
      <w:r>
        <w:rPr>
          <w:sz w:val="22"/>
          <w:lang w:val="en-US"/>
        </w:rPr>
        <w:t>Shrives</w:t>
      </w:r>
      <w:proofErr w:type="gramEnd"/>
      <w:r>
        <w:rPr>
          <w:sz w:val="22"/>
          <w:lang w:val="en-US"/>
        </w:rPr>
        <w:t xml:space="preserve"> (2006a). Their method is too time-consuming, and highly subjective. Readability is improved by constructing decision rules and a verification test, subjectivity is reduced by using a binary coding scheme with predetermined criteria. The criteria are 10 different risk categories. After completing the binary coding scheme, a risk disclosure score arises. Further, three control variables are explained (company profitability (ROA), level of risk (debt/equity ratio), and type of industry). These variables are tested with statistical methods, which are described in the next chapter. In the last paragraph different hypotheses are formulated to examine the relation between risk disclosures and the financial crisis, but also to test the relations between risk disclosures and the control variables.</w:t>
      </w:r>
    </w:p>
    <w:p w:rsidR="00AE4097" w:rsidRDefault="00AE4097" w:rsidP="00A82089">
      <w:pPr>
        <w:pStyle w:val="000"/>
        <w:suppressAutoHyphens/>
        <w:spacing w:line="360" w:lineRule="auto"/>
        <w:ind w:firstLine="567"/>
        <w:jc w:val="both"/>
        <w:rPr>
          <w:sz w:val="22"/>
          <w:szCs w:val="22"/>
          <w:lang w:val="en-US"/>
        </w:rPr>
      </w:pPr>
    </w:p>
    <w:p w:rsidR="00AE4097" w:rsidRDefault="00AE4097" w:rsidP="00A82089">
      <w:pPr>
        <w:suppressAutoHyphens/>
        <w:spacing w:line="360" w:lineRule="auto"/>
        <w:jc w:val="both"/>
        <w:rPr>
          <w:b/>
          <w:sz w:val="26"/>
          <w:lang w:val="en-US"/>
        </w:rPr>
      </w:pPr>
    </w:p>
    <w:p w:rsidR="00AE4097" w:rsidRDefault="00AE4097" w:rsidP="00A82089">
      <w:pPr>
        <w:pStyle w:val="Heading1"/>
        <w:numPr>
          <w:ilvl w:val="0"/>
          <w:numId w:val="2"/>
        </w:numPr>
        <w:suppressAutoHyphens/>
        <w:spacing w:before="0" w:after="0" w:line="360" w:lineRule="auto"/>
        <w:jc w:val="both"/>
        <w:rPr>
          <w:sz w:val="24"/>
          <w:lang w:val="en-US"/>
        </w:rPr>
      </w:pPr>
      <w:r>
        <w:rPr>
          <w:sz w:val="24"/>
          <w:lang w:val="en-US"/>
        </w:rPr>
        <w:br w:type="page"/>
      </w:r>
      <w:bookmarkStart w:id="162" w:name="_Toc288459376"/>
      <w:bookmarkStart w:id="163" w:name="_Toc288725917"/>
      <w:r>
        <w:rPr>
          <w:sz w:val="24"/>
          <w:lang w:val="en-US"/>
        </w:rPr>
        <w:lastRenderedPageBreak/>
        <w:t>Results</w:t>
      </w:r>
      <w:bookmarkEnd w:id="162"/>
      <w:bookmarkEnd w:id="163"/>
    </w:p>
    <w:p w:rsidR="00AE4097" w:rsidRDefault="00AE4097" w:rsidP="00AE4097">
      <w:pPr>
        <w:pStyle w:val="000"/>
        <w:suppressAutoHyphens/>
        <w:jc w:val="both"/>
        <w:rPr>
          <w:lang w:val="en-US"/>
        </w:rPr>
      </w:pPr>
    </w:p>
    <w:p w:rsidR="00AE4097" w:rsidRDefault="00AE4097" w:rsidP="008C2ED0">
      <w:pPr>
        <w:pStyle w:val="Heading2"/>
        <w:numPr>
          <w:ilvl w:val="1"/>
          <w:numId w:val="2"/>
        </w:numPr>
        <w:suppressAutoHyphens/>
        <w:spacing w:before="0" w:after="0" w:line="360" w:lineRule="auto"/>
        <w:jc w:val="both"/>
        <w:rPr>
          <w:i w:val="0"/>
          <w:sz w:val="22"/>
          <w:szCs w:val="22"/>
          <w:lang w:val="en-US"/>
        </w:rPr>
      </w:pPr>
      <w:bookmarkStart w:id="164" w:name="_Toc288459377"/>
      <w:bookmarkStart w:id="165" w:name="_Toc288725918"/>
      <w:r>
        <w:rPr>
          <w:i w:val="0"/>
          <w:sz w:val="22"/>
          <w:szCs w:val="22"/>
          <w:lang w:val="en-US"/>
        </w:rPr>
        <w:t>Introduction</w:t>
      </w:r>
      <w:bookmarkEnd w:id="164"/>
      <w:bookmarkEnd w:id="165"/>
    </w:p>
    <w:p w:rsidR="00AE4097" w:rsidRDefault="00AE4097" w:rsidP="00AE4097">
      <w:pPr>
        <w:pStyle w:val="000"/>
        <w:suppressAutoHyphens/>
        <w:spacing w:line="360" w:lineRule="auto"/>
        <w:ind w:firstLine="567"/>
        <w:jc w:val="both"/>
        <w:rPr>
          <w:sz w:val="22"/>
          <w:lang w:val="en-US"/>
        </w:rPr>
      </w:pPr>
      <w:r w:rsidRPr="001C12FB">
        <w:rPr>
          <w:color w:val="000000"/>
          <w:sz w:val="22"/>
          <w:lang w:val="en-US"/>
        </w:rPr>
        <w:t>As</w:t>
      </w:r>
      <w:r w:rsidRPr="001C12FB">
        <w:rPr>
          <w:color w:val="993300"/>
          <w:sz w:val="22"/>
          <w:lang w:val="en-US"/>
        </w:rPr>
        <w:t xml:space="preserve"> </w:t>
      </w:r>
      <w:r w:rsidRPr="001C12FB">
        <w:rPr>
          <w:sz w:val="22"/>
          <w:lang w:val="en-US"/>
        </w:rPr>
        <w:t>this research</w:t>
      </w:r>
      <w:r>
        <w:rPr>
          <w:sz w:val="22"/>
          <w:lang w:val="en-US"/>
        </w:rPr>
        <w:t xml:space="preserve"> examines the influence of the financial crisis on the risk paragraph, it is necessary to compare two periods; the period preceding the financial crisis (2006-2007) and the period of the financial crisis (2008-2009). Since it was not clear that the financial crisis had come to an end at the end of 2009, it was not possible to examine the period after the crisis. </w:t>
      </w:r>
    </w:p>
    <w:p w:rsidR="00AE4097" w:rsidRDefault="00AE4097" w:rsidP="00AE4097">
      <w:pPr>
        <w:pStyle w:val="000"/>
        <w:suppressAutoHyphens/>
        <w:spacing w:line="360" w:lineRule="auto"/>
        <w:jc w:val="both"/>
        <w:rPr>
          <w:sz w:val="22"/>
          <w:lang w:val="en-US"/>
        </w:rPr>
      </w:pPr>
      <w:r>
        <w:rPr>
          <w:sz w:val="22"/>
          <w:lang w:val="en-US"/>
        </w:rPr>
        <w:tab/>
        <w:t xml:space="preserve">Having explained the risk disclosure index, the variables used and the formulated hypotheses in the previous chapter, this section will focus on the implementation of statistical methods in order to achieve a result for this research. This study consists of two parts. First, in paragraph 5.2, the risk disclosure scores will be calculated and analyzed. Part two, the statistical analysis is presented in paragraph 5.3. The statistical analysis starts with the descriptive statistics, then the normal distribution </w:t>
      </w:r>
      <w:r w:rsidRPr="006A6A0F">
        <w:rPr>
          <w:sz w:val="22"/>
          <w:lang w:val="en-US"/>
        </w:rPr>
        <w:t xml:space="preserve">will be discussed and in the other four subparagraphs the hypotheses will be tested using different statistical methods. </w:t>
      </w:r>
      <w:r w:rsidR="005064C9" w:rsidRPr="006A6A0F">
        <w:rPr>
          <w:sz w:val="22"/>
          <w:lang w:val="en-US"/>
        </w:rPr>
        <w:t>When the hypotheses have been</w:t>
      </w:r>
      <w:r w:rsidRPr="006A6A0F">
        <w:rPr>
          <w:sz w:val="22"/>
          <w:lang w:val="en-US"/>
        </w:rPr>
        <w:t xml:space="preserve"> tested, paragraph 5.4 will give an interpretation and analysis of the results. The chapter</w:t>
      </w:r>
      <w:r>
        <w:rPr>
          <w:sz w:val="22"/>
          <w:lang w:val="en-US"/>
        </w:rPr>
        <w:t xml:space="preserve"> ends with a summary of the results.</w:t>
      </w:r>
    </w:p>
    <w:p w:rsidR="00AE4097" w:rsidRDefault="00AE4097" w:rsidP="00AE4097">
      <w:pPr>
        <w:pStyle w:val="000"/>
        <w:suppressAutoHyphens/>
        <w:jc w:val="both"/>
        <w:rPr>
          <w:lang w:val="en-US"/>
        </w:rPr>
      </w:pPr>
    </w:p>
    <w:p w:rsidR="00AE4097" w:rsidRDefault="00AE4097" w:rsidP="008C2ED0">
      <w:pPr>
        <w:pStyle w:val="Heading2"/>
        <w:numPr>
          <w:ilvl w:val="1"/>
          <w:numId w:val="2"/>
        </w:numPr>
        <w:suppressAutoHyphens/>
        <w:spacing w:before="0" w:after="0" w:line="360" w:lineRule="auto"/>
        <w:jc w:val="both"/>
        <w:rPr>
          <w:i w:val="0"/>
          <w:sz w:val="22"/>
          <w:szCs w:val="22"/>
          <w:lang w:val="en-US"/>
        </w:rPr>
      </w:pPr>
      <w:bookmarkStart w:id="166" w:name="_Toc288459378"/>
      <w:bookmarkStart w:id="167" w:name="_Toc288725919"/>
      <w:r>
        <w:rPr>
          <w:i w:val="0"/>
          <w:sz w:val="22"/>
          <w:szCs w:val="22"/>
          <w:lang w:val="en-US"/>
        </w:rPr>
        <w:t>Risk disclosure scores</w:t>
      </w:r>
      <w:bookmarkEnd w:id="166"/>
      <w:bookmarkEnd w:id="167"/>
    </w:p>
    <w:p w:rsidR="00AE4097" w:rsidRDefault="00AE4097" w:rsidP="00AE4097">
      <w:pPr>
        <w:pStyle w:val="000"/>
        <w:suppressAutoHyphens/>
        <w:spacing w:line="360" w:lineRule="auto"/>
        <w:ind w:firstLine="567"/>
        <w:jc w:val="both"/>
        <w:rPr>
          <w:sz w:val="22"/>
          <w:szCs w:val="22"/>
          <w:lang w:val="en-US"/>
        </w:rPr>
      </w:pPr>
      <w:r>
        <w:rPr>
          <w:sz w:val="22"/>
          <w:szCs w:val="22"/>
          <w:lang w:val="en-US"/>
        </w:rPr>
        <w:t xml:space="preserve">In this section the first part of the research, the risk disclosure index, will be executed. In the annual reports most companies give their own interpretation of their disclosures. Some of them disclose all information in the risk paragraph in the MD&amp;A section or in the notes to the financial statements, while others disclose the risk information in both sections. One of the sample’s companies, DSM, disclosed the risk information on their company website. To calculate the risk disclosure score, only the MD&amp;A section </w:t>
      </w:r>
      <w:proofErr w:type="gramStart"/>
      <w:r>
        <w:rPr>
          <w:sz w:val="22"/>
          <w:szCs w:val="22"/>
          <w:lang w:val="en-US"/>
        </w:rPr>
        <w:t>is</w:t>
      </w:r>
      <w:proofErr w:type="gramEnd"/>
      <w:r>
        <w:rPr>
          <w:sz w:val="22"/>
          <w:szCs w:val="22"/>
          <w:lang w:val="en-US"/>
        </w:rPr>
        <w:t xml:space="preserve"> examined. The final risk disclosure scores are presented in appendix VI.</w:t>
      </w:r>
    </w:p>
    <w:p w:rsidR="008131D1" w:rsidRDefault="00AE4097" w:rsidP="00AE4097">
      <w:pPr>
        <w:pStyle w:val="000"/>
        <w:suppressAutoHyphens/>
        <w:spacing w:line="360" w:lineRule="auto"/>
        <w:jc w:val="both"/>
        <w:rPr>
          <w:sz w:val="22"/>
          <w:szCs w:val="22"/>
          <w:lang w:val="en-US"/>
        </w:rPr>
      </w:pPr>
      <w:r>
        <w:rPr>
          <w:sz w:val="22"/>
          <w:szCs w:val="22"/>
          <w:lang w:val="en-US"/>
        </w:rPr>
        <w:tab/>
        <w:t xml:space="preserve">Over all four years Philips has the highest risk disclosure score (0.85). The lowest score changes during the research period. In 2006 and 2007 Reed Elsevier has the lowest score, 0.25 in 2006 and 0.3 in 2007. In 2008 </w:t>
      </w:r>
      <w:proofErr w:type="gramStart"/>
      <w:r>
        <w:rPr>
          <w:sz w:val="22"/>
          <w:szCs w:val="22"/>
          <w:lang w:val="en-US"/>
        </w:rPr>
        <w:t>DSM  has</w:t>
      </w:r>
      <w:proofErr w:type="gramEnd"/>
      <w:r>
        <w:rPr>
          <w:sz w:val="22"/>
          <w:szCs w:val="22"/>
          <w:lang w:val="en-US"/>
        </w:rPr>
        <w:t xml:space="preserve"> the lowest score with 0.35 and in 2009 it is ASML with a score of 0.4. The results show that the financial crisis does not influence the highest score, whereas the lowest score became higher during the financial crisis. This means that some companies disclose more information during the financial crisis. However, this is not enough evidence for answering the research question. When comparing the different scores, it appears that there is no general conclusion. The annual reports of Akzo Nobel, DSM, Heineken, KPN, Reed Elsevier, SBM Offshore, Shell, TNT, Tomtom and Unilever disclose more about company risks and control mechanisms during the financial crisis. But still there are differences between these companies. The risk disclosure score for DSM remains the same for the first three years, but increases with 0.3 between 2008 and 2009. A reason for the increasing score is that DSM reported risk information from 2006 to 2008 on their website, whereas in 2009 the top five main risks including the control mechanisms are reported in the MD&amp;A section. Because this research only examines the MD&amp;A sections of the annual reports (not the website), </w:t>
      </w:r>
    </w:p>
    <w:p w:rsidR="00AE4097" w:rsidRDefault="00AE4097" w:rsidP="00AE4097">
      <w:pPr>
        <w:pStyle w:val="000"/>
        <w:suppressAutoHyphens/>
        <w:spacing w:line="360" w:lineRule="auto"/>
        <w:jc w:val="both"/>
        <w:rPr>
          <w:sz w:val="22"/>
          <w:szCs w:val="22"/>
          <w:lang w:val="en-US"/>
        </w:rPr>
      </w:pPr>
      <w:proofErr w:type="gramStart"/>
      <w:r>
        <w:rPr>
          <w:sz w:val="22"/>
          <w:szCs w:val="22"/>
          <w:lang w:val="en-US"/>
        </w:rPr>
        <w:lastRenderedPageBreak/>
        <w:t>the</w:t>
      </w:r>
      <w:proofErr w:type="gramEnd"/>
      <w:r>
        <w:rPr>
          <w:sz w:val="22"/>
          <w:szCs w:val="22"/>
          <w:lang w:val="en-US"/>
        </w:rPr>
        <w:t xml:space="preserve"> risk disclosure score was much lower in the first years than it was in 2009. So it cannot be concluded that the amount of risk information has increased, but the management of DSM chooses to report more risk information in the MD&amp;A section. Other less significant increases are with KPN and Reed Elsevier. The risk disclosure score of KPN increases with 0.2 between 2007 and 2008, 2007 being a measure from before the crisis, whereas 2008 is at the time of the financial crisis. Finally, Reed Elsevier has the only score that increases by the year. The differences </w:t>
      </w:r>
      <w:proofErr w:type="gramStart"/>
      <w:r>
        <w:rPr>
          <w:sz w:val="22"/>
          <w:szCs w:val="22"/>
          <w:lang w:val="en-US"/>
        </w:rPr>
        <w:t>between one year</w:t>
      </w:r>
      <w:proofErr w:type="gramEnd"/>
      <w:r>
        <w:rPr>
          <w:sz w:val="22"/>
          <w:szCs w:val="22"/>
          <w:lang w:val="en-US"/>
        </w:rPr>
        <w:t xml:space="preserve"> are negligible, while the score of 2006 has increased by 0.25 till 2009. Further, there are also companies with decreasing scores, like Ahold, Bam Group and Randstad. Their scores for 2006 and 2007 are identical, the scores decrease in 2008 and the scores for 2008 and 2009 are also identical. Finally, there are some companies where the risk disclosure scores do not change during the four year period. This applies for ASML, Boskalis, Fugro, Philips and Wolters Kluwer. Although most companies have an increasing risk disclosure score during the research period, it is not possible to draw a clear conclusion. For this research, examining only the risk disclosure index is not sufficient. For example, this model does not take into account the number of pages. A company scores a ‘1’ if something about the specific risk category is mentioned, regardless of the number of sentences used. To underpin that the amount of risk information is increasing during the financial crisis, five companies (Unilever, TNT, Fugro, Randstad and Akzo Nobel) are closer investigated. The numbers of pages by these compa</w:t>
      </w:r>
      <w:r w:rsidRPr="005A4748">
        <w:rPr>
          <w:sz w:val="22"/>
          <w:szCs w:val="22"/>
          <w:lang w:val="en-US"/>
        </w:rPr>
        <w:t>nies, excluding figures and pictures, are</w:t>
      </w:r>
      <w:r>
        <w:rPr>
          <w:sz w:val="22"/>
          <w:szCs w:val="22"/>
          <w:lang w:val="en-US"/>
        </w:rPr>
        <w:t xml:space="preserve"> counted and shown in the tables in appendix VII. The results show that the number of pages has increased regardless of the direction of the risk disclosure score. Sometimes the amount of text has decreased. This is the case for Akzo Nobel, where the number of pages in the annual report of 2009 has decreased with one page in comparison with the annual report of 2008. The small difference in the number of pages is the consequence of a different layout. During the research years, companies are choosing for another font or format. Therefore an increase or decrease by one page in the risk paragraph is negligible. It can be said that there is a positive significant difference between the number of pages in the MD&amp;A section before and during the financial crisis.</w:t>
      </w:r>
    </w:p>
    <w:p w:rsidR="00AE4097" w:rsidRDefault="00AE4097" w:rsidP="00A82089">
      <w:pPr>
        <w:suppressAutoHyphens/>
        <w:spacing w:line="360" w:lineRule="auto"/>
        <w:jc w:val="both"/>
        <w:rPr>
          <w:sz w:val="22"/>
          <w:szCs w:val="22"/>
          <w:lang w:val="en-US"/>
        </w:rPr>
      </w:pPr>
      <w:r>
        <w:rPr>
          <w:sz w:val="22"/>
          <w:szCs w:val="22"/>
          <w:lang w:val="en-US"/>
        </w:rPr>
        <w:tab/>
        <w:t>Having concluded that the number of pages in the risk paragraph is increasing during the financial crisis, it is useful to test this for one specific risk category. All companies have to deal with financial risk and in times of a financial crisis, the financial risk category is really important. For this risk category the numbers of sentences are counted. The results are presented in appendix VIII. For 11 companies (Akzo Nobel, ASML, BAM Group, Boskalis, DSM, Heineken, Philips, Randstad, Reed Elsevier, SBM Offshore and Unilever) the numbers of sentences are increasing during the research period. This means that companies are disclosing more financial risk information during the financial crisis than before. However, for 7 other companies (Ahold, Fugro, KPN, Shell, TNT, Tomtom and Wolters Kluwer), not any direction can be indicated. During the research period the numbers increase and decrease or vice versa. One reason could be that during the period some companies (Ahold, KPN, Shell and Wolters Kluwer) disclose more risk information in their financial statements.</w:t>
      </w:r>
      <w:r w:rsidR="00DE154D">
        <w:rPr>
          <w:sz w:val="22"/>
          <w:szCs w:val="22"/>
          <w:lang w:val="en-US"/>
        </w:rPr>
        <w:t xml:space="preserve"> </w:t>
      </w:r>
      <w:r>
        <w:rPr>
          <w:sz w:val="22"/>
          <w:szCs w:val="22"/>
          <w:lang w:val="en-US"/>
        </w:rPr>
        <w:t xml:space="preserve">This means </w:t>
      </w:r>
      <w:r>
        <w:rPr>
          <w:sz w:val="22"/>
          <w:szCs w:val="22"/>
          <w:lang w:val="en-US"/>
        </w:rPr>
        <w:lastRenderedPageBreak/>
        <w:t xml:space="preserve">that there is no reason to assume that these companies disclose less risk information during the financial crisis than before. For the financial risk category it can be concluded that there is a positive significant difference between the number of sentences in the financial risk paragraph before and during the financial crisis.  </w:t>
      </w:r>
    </w:p>
    <w:p w:rsidR="00AE4097" w:rsidRDefault="00AE4097" w:rsidP="00A82089">
      <w:pPr>
        <w:pStyle w:val="000"/>
        <w:suppressAutoHyphens/>
        <w:spacing w:line="360" w:lineRule="auto"/>
        <w:ind w:firstLine="567"/>
        <w:jc w:val="both"/>
        <w:rPr>
          <w:sz w:val="22"/>
          <w:szCs w:val="22"/>
          <w:lang w:val="en-US"/>
        </w:rPr>
      </w:pPr>
      <w:r>
        <w:rPr>
          <w:sz w:val="22"/>
          <w:szCs w:val="22"/>
          <w:lang w:val="en-US"/>
        </w:rPr>
        <w:t>Beside the mentioned results more conclusion</w:t>
      </w:r>
      <w:r w:rsidRPr="005A4748">
        <w:rPr>
          <w:sz w:val="22"/>
          <w:szCs w:val="22"/>
          <w:lang w:val="en-US"/>
        </w:rPr>
        <w:t xml:space="preserve">s can be drawn when taking the </w:t>
      </w:r>
      <w:r>
        <w:rPr>
          <w:sz w:val="22"/>
          <w:szCs w:val="22"/>
          <w:lang w:val="en-US"/>
        </w:rPr>
        <w:t>Dutch Corporate Governance Code</w:t>
      </w:r>
      <w:r w:rsidRPr="005A4748">
        <w:rPr>
          <w:sz w:val="22"/>
          <w:szCs w:val="22"/>
          <w:lang w:val="en-US"/>
        </w:rPr>
        <w:t xml:space="preserve"> into account (see paragraph 2.7.2).</w:t>
      </w:r>
      <w:r>
        <w:rPr>
          <w:sz w:val="22"/>
          <w:szCs w:val="22"/>
          <w:lang w:val="en-US"/>
        </w:rPr>
        <w:t xml:space="preserve"> </w:t>
      </w:r>
      <w:r>
        <w:rPr>
          <w:color w:val="008000"/>
          <w:sz w:val="22"/>
          <w:szCs w:val="22"/>
          <w:lang w:val="en-US"/>
        </w:rPr>
        <w:t>T</w:t>
      </w:r>
      <w:r>
        <w:rPr>
          <w:sz w:val="22"/>
          <w:szCs w:val="22"/>
          <w:lang w:val="en-US"/>
        </w:rPr>
        <w:t>he risk paragraph is a sum-up of different risk categories, but not all companies used the classification categories in their annual reports of 2006 and 2007. However, in the years during the financial crisis, all companies made use of risk categories. The most used categories are strategic risk, operational risk, financial risk and compliance risk.</w:t>
      </w:r>
    </w:p>
    <w:p w:rsidR="00041467" w:rsidRDefault="00AE4097" w:rsidP="00A82089">
      <w:pPr>
        <w:pStyle w:val="000"/>
        <w:spacing w:line="360" w:lineRule="auto"/>
        <w:jc w:val="both"/>
        <w:rPr>
          <w:szCs w:val="22"/>
          <w:lang w:val="en-US"/>
        </w:rPr>
      </w:pPr>
      <w:r>
        <w:rPr>
          <w:sz w:val="22"/>
          <w:szCs w:val="22"/>
          <w:lang w:val="en-US"/>
        </w:rPr>
        <w:t>Further, 15</w:t>
      </w:r>
      <w:r w:rsidRPr="005A4748">
        <w:rPr>
          <w:sz w:val="22"/>
          <w:szCs w:val="22"/>
          <w:lang w:val="en-US"/>
        </w:rPr>
        <w:t xml:space="preserve"> out of 18 companies gave a description of the risk management system in the annual reports from 2006 till 2009. An in-control statement is </w:t>
      </w:r>
      <w:r>
        <w:rPr>
          <w:sz w:val="22"/>
          <w:szCs w:val="22"/>
          <w:lang w:val="en-US"/>
        </w:rPr>
        <w:t xml:space="preserve">not always included. Akzo Nobel and Bam Group </w:t>
      </w:r>
      <w:r w:rsidRPr="005A4748">
        <w:rPr>
          <w:sz w:val="22"/>
          <w:szCs w:val="22"/>
          <w:lang w:val="en-US"/>
        </w:rPr>
        <w:t>didn’t have an in-control statement, while Tomtom didn’t disclose the in-control statement until 2006. However, Shell and ASML didn’t report anything about the risk managem</w:t>
      </w:r>
      <w:r>
        <w:rPr>
          <w:sz w:val="22"/>
          <w:szCs w:val="22"/>
          <w:lang w:val="en-US"/>
        </w:rPr>
        <w:t xml:space="preserve">ent system and the </w:t>
      </w:r>
      <w:r w:rsidRPr="005A4748">
        <w:rPr>
          <w:sz w:val="22"/>
          <w:szCs w:val="22"/>
          <w:lang w:val="en-US"/>
        </w:rPr>
        <w:t>control system. It could be that companies are disclosing the information about the risk management system and the in-control statement in other parts of the annual reports. Another reason is related to the introduction of IFRS 7 in 2007</w:t>
      </w:r>
      <w:r>
        <w:rPr>
          <w:sz w:val="22"/>
          <w:szCs w:val="22"/>
          <w:lang w:val="en-US"/>
        </w:rPr>
        <w:t>, because there is one company</w:t>
      </w:r>
      <w:r w:rsidRPr="005A4748">
        <w:rPr>
          <w:sz w:val="22"/>
          <w:szCs w:val="22"/>
          <w:lang w:val="en-US"/>
        </w:rPr>
        <w:t xml:space="preserve"> (Tomtom</w:t>
      </w:r>
      <w:proofErr w:type="gramStart"/>
      <w:r w:rsidRPr="005A4748">
        <w:rPr>
          <w:sz w:val="22"/>
          <w:szCs w:val="22"/>
          <w:lang w:val="en-US"/>
        </w:rPr>
        <w:t>), that</w:t>
      </w:r>
      <w:proofErr w:type="gramEnd"/>
      <w:r w:rsidRPr="005A4748">
        <w:rPr>
          <w:sz w:val="22"/>
          <w:szCs w:val="22"/>
          <w:lang w:val="en-US"/>
        </w:rPr>
        <w:t xml:space="preserve"> reported both systems, except for 2006. The </w:t>
      </w:r>
      <w:r>
        <w:rPr>
          <w:sz w:val="22"/>
          <w:szCs w:val="22"/>
          <w:lang w:val="en-US"/>
        </w:rPr>
        <w:t>Dutch Corporate Governance Code</w:t>
      </w:r>
      <w:r w:rsidRPr="005A4748">
        <w:rPr>
          <w:sz w:val="22"/>
          <w:szCs w:val="22"/>
          <w:lang w:val="en-US"/>
        </w:rPr>
        <w:t xml:space="preserve"> also became more important because of the growing demand for more risk information. That almost all companies divided the risk paragraph into these three sections is in accordance with the </w:t>
      </w:r>
      <w:r>
        <w:rPr>
          <w:sz w:val="22"/>
          <w:szCs w:val="22"/>
          <w:lang w:val="en-US"/>
        </w:rPr>
        <w:t xml:space="preserve">Dutch Corporate Governance Code. </w:t>
      </w:r>
      <w:r w:rsidRPr="005A4748">
        <w:rPr>
          <w:sz w:val="22"/>
          <w:szCs w:val="22"/>
          <w:lang w:val="en-US"/>
        </w:rPr>
        <w:t>The results are shown</w:t>
      </w:r>
      <w:r>
        <w:rPr>
          <w:sz w:val="22"/>
          <w:szCs w:val="22"/>
          <w:lang w:val="en-US"/>
        </w:rPr>
        <w:t xml:space="preserve"> in appendix IX</w:t>
      </w:r>
      <w:r w:rsidRPr="008A0883">
        <w:rPr>
          <w:sz w:val="22"/>
          <w:szCs w:val="22"/>
          <w:lang w:val="en-US"/>
        </w:rPr>
        <w:t xml:space="preserve">. </w:t>
      </w:r>
      <w:r w:rsidR="00041467" w:rsidRPr="00041467">
        <w:rPr>
          <w:sz w:val="22"/>
          <w:szCs w:val="22"/>
          <w:lang w:val="en-US"/>
        </w:rPr>
        <w:t>The risk disclosure index does not examine if the risk management system and in-control system are included in the risk paragraph. Because almost all companies report this information</w:t>
      </w:r>
      <w:r w:rsidR="00371835">
        <w:rPr>
          <w:sz w:val="22"/>
          <w:szCs w:val="22"/>
          <w:lang w:val="en-US"/>
        </w:rPr>
        <w:t>,</w:t>
      </w:r>
      <w:r w:rsidR="00041467" w:rsidRPr="00041467">
        <w:rPr>
          <w:sz w:val="22"/>
          <w:szCs w:val="22"/>
          <w:lang w:val="en-US"/>
        </w:rPr>
        <w:t xml:space="preserve"> it is difficult to make clear conclusions</w:t>
      </w:r>
      <w:r w:rsidR="00371835">
        <w:rPr>
          <w:sz w:val="22"/>
          <w:szCs w:val="22"/>
          <w:lang w:val="en-US"/>
        </w:rPr>
        <w:t xml:space="preserve"> </w:t>
      </w:r>
      <w:r w:rsidR="00371835" w:rsidRPr="00041467">
        <w:rPr>
          <w:sz w:val="22"/>
          <w:szCs w:val="22"/>
          <w:lang w:val="en-US"/>
        </w:rPr>
        <w:t>by just giving the scores ‘1’ or ‘0’</w:t>
      </w:r>
      <w:r w:rsidR="00371835">
        <w:rPr>
          <w:sz w:val="22"/>
          <w:szCs w:val="22"/>
          <w:lang w:val="en-US"/>
        </w:rPr>
        <w:t>.</w:t>
      </w:r>
    </w:p>
    <w:p w:rsidR="00AE4097" w:rsidRPr="005A4748" w:rsidRDefault="00AE4097" w:rsidP="00A82089">
      <w:pPr>
        <w:suppressAutoHyphens/>
        <w:spacing w:line="360" w:lineRule="auto"/>
        <w:ind w:firstLine="567"/>
        <w:jc w:val="both"/>
        <w:rPr>
          <w:sz w:val="22"/>
          <w:szCs w:val="22"/>
          <w:lang w:val="en-US"/>
        </w:rPr>
      </w:pPr>
      <w:r w:rsidRPr="005A4748">
        <w:rPr>
          <w:sz w:val="22"/>
          <w:szCs w:val="22"/>
          <w:lang w:val="en-US"/>
        </w:rPr>
        <w:t xml:space="preserve">Finally, a lot of companies disclose information about the financial crisis, because this is a risk for the company as well. This information is only disclosed in the annual reports of 2008 and 2009.  </w:t>
      </w:r>
    </w:p>
    <w:p w:rsidR="00AE4097" w:rsidRPr="005A4748" w:rsidRDefault="00AE4097" w:rsidP="00AE4097">
      <w:pPr>
        <w:pStyle w:val="Heading2"/>
        <w:numPr>
          <w:ilvl w:val="0"/>
          <w:numId w:val="0"/>
        </w:numPr>
        <w:suppressAutoHyphens/>
        <w:spacing w:before="0" w:after="0" w:line="360" w:lineRule="auto"/>
        <w:jc w:val="both"/>
        <w:rPr>
          <w:i w:val="0"/>
          <w:sz w:val="22"/>
          <w:szCs w:val="22"/>
          <w:lang w:val="en-US"/>
        </w:rPr>
      </w:pPr>
    </w:p>
    <w:p w:rsidR="00AE4097" w:rsidRDefault="00AE4097" w:rsidP="008C2ED0">
      <w:pPr>
        <w:pStyle w:val="Heading2"/>
        <w:numPr>
          <w:ilvl w:val="1"/>
          <w:numId w:val="2"/>
        </w:numPr>
        <w:suppressAutoHyphens/>
        <w:spacing w:before="0" w:after="0" w:line="360" w:lineRule="auto"/>
        <w:jc w:val="both"/>
        <w:rPr>
          <w:i w:val="0"/>
          <w:sz w:val="22"/>
          <w:szCs w:val="22"/>
          <w:lang w:val="en-US"/>
        </w:rPr>
      </w:pPr>
      <w:bookmarkStart w:id="168" w:name="_Toc288459379"/>
      <w:bookmarkStart w:id="169" w:name="_Toc288725920"/>
      <w:r>
        <w:rPr>
          <w:i w:val="0"/>
          <w:sz w:val="22"/>
          <w:szCs w:val="22"/>
          <w:lang w:val="en-US"/>
        </w:rPr>
        <w:t>Statistical analysis</w:t>
      </w:r>
      <w:bookmarkEnd w:id="168"/>
      <w:bookmarkEnd w:id="169"/>
    </w:p>
    <w:p w:rsidR="00AE4097" w:rsidRDefault="00AE4097" w:rsidP="00A82089">
      <w:pPr>
        <w:pStyle w:val="000"/>
        <w:suppressAutoHyphens/>
        <w:spacing w:line="360" w:lineRule="auto"/>
        <w:ind w:firstLine="567"/>
        <w:jc w:val="both"/>
        <w:rPr>
          <w:sz w:val="22"/>
          <w:szCs w:val="22"/>
          <w:lang w:val="en-US"/>
        </w:rPr>
      </w:pPr>
      <w:r>
        <w:rPr>
          <w:sz w:val="22"/>
          <w:szCs w:val="22"/>
          <w:lang w:val="en-US"/>
        </w:rPr>
        <w:t>The hypotheses as described in the previous chapter are tested by using statistics. In this section the statistical methods and their results are analyzed. Because this research studies the differences between risk disclosures before and during the crisis, it has to reckon with two periods. Both periods consist of two years, which means that for each period the averages of the risk disclosure scores, the ROAs and the D/E ratios have to be calculated. The data, which are used for carrying out the statistical methods, are collected from the ThomsonOneBanker database. The dataset is presented in appendix X.</w:t>
      </w:r>
    </w:p>
    <w:p w:rsidR="00AE4097" w:rsidRDefault="00AE4097" w:rsidP="00A82089">
      <w:pPr>
        <w:pStyle w:val="000"/>
        <w:suppressAutoHyphens/>
        <w:spacing w:line="360" w:lineRule="auto"/>
        <w:ind w:firstLine="567"/>
        <w:jc w:val="both"/>
        <w:rPr>
          <w:sz w:val="22"/>
          <w:szCs w:val="22"/>
          <w:lang w:val="en-US"/>
        </w:rPr>
      </w:pPr>
    </w:p>
    <w:p w:rsidR="00AE4097" w:rsidRDefault="00AE4097" w:rsidP="00A82089">
      <w:pPr>
        <w:pStyle w:val="Heading3"/>
        <w:numPr>
          <w:ilvl w:val="2"/>
          <w:numId w:val="2"/>
        </w:numPr>
        <w:tabs>
          <w:tab w:val="num" w:pos="1004"/>
        </w:tabs>
        <w:suppressAutoHyphens/>
        <w:spacing w:before="0" w:after="0" w:line="360" w:lineRule="auto"/>
        <w:jc w:val="both"/>
        <w:rPr>
          <w:b w:val="0"/>
          <w:i/>
          <w:sz w:val="22"/>
          <w:szCs w:val="22"/>
          <w:lang w:val="en-US"/>
        </w:rPr>
      </w:pPr>
      <w:bookmarkStart w:id="170" w:name="_Toc288459380"/>
      <w:bookmarkStart w:id="171" w:name="_Toc288725921"/>
      <w:r>
        <w:rPr>
          <w:b w:val="0"/>
          <w:i/>
          <w:sz w:val="22"/>
          <w:szCs w:val="22"/>
          <w:lang w:val="en-US"/>
        </w:rPr>
        <w:t>Descriptive statistics</w:t>
      </w:r>
      <w:bookmarkEnd w:id="170"/>
      <w:bookmarkEnd w:id="171"/>
    </w:p>
    <w:p w:rsidR="00AE4097" w:rsidRDefault="00AE4097" w:rsidP="00A82089">
      <w:pPr>
        <w:suppressAutoHyphens/>
        <w:spacing w:line="360" w:lineRule="auto"/>
        <w:ind w:firstLine="567"/>
        <w:jc w:val="both"/>
        <w:rPr>
          <w:sz w:val="20"/>
          <w:szCs w:val="20"/>
          <w:lang w:val="en-US"/>
        </w:rPr>
      </w:pPr>
      <w:r>
        <w:rPr>
          <w:sz w:val="22"/>
          <w:szCs w:val="22"/>
          <w:lang w:val="en-US"/>
        </w:rPr>
        <w:t>Descriptive statistics provide useful information about the different variables. Table 2 on the next page presents an overview of the minimum value, maximum value, sum, mean and standard deviation of the different variables.</w:t>
      </w:r>
    </w:p>
    <w:tbl>
      <w:tblPr>
        <w:tblW w:w="9120" w:type="dxa"/>
        <w:jc w:val="center"/>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003"/>
        <w:gridCol w:w="637"/>
        <w:gridCol w:w="1200"/>
        <w:gridCol w:w="1320"/>
        <w:gridCol w:w="1200"/>
        <w:gridCol w:w="1320"/>
        <w:gridCol w:w="1440"/>
      </w:tblGrid>
      <w:tr w:rsidR="00AE4097" w:rsidTr="00176384">
        <w:trPr>
          <w:cantSplit/>
          <w:tblHeader/>
          <w:jc w:val="center"/>
        </w:trPr>
        <w:tc>
          <w:tcPr>
            <w:tcW w:w="200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AE4097" w:rsidRDefault="00AE4097" w:rsidP="00176384">
            <w:pPr>
              <w:jc w:val="center"/>
              <w:rPr>
                <w:lang w:val="en-US"/>
              </w:rPr>
            </w:pPr>
          </w:p>
        </w:tc>
        <w:tc>
          <w:tcPr>
            <w:tcW w:w="637" w:type="dxa"/>
            <w:tcBorders>
              <w:top w:val="single" w:sz="16" w:space="0" w:color="000000"/>
              <w:left w:val="single" w:sz="16"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N</w:t>
            </w:r>
          </w:p>
        </w:tc>
        <w:tc>
          <w:tcPr>
            <w:tcW w:w="1200" w:type="dxa"/>
            <w:tcBorders>
              <w:top w:val="single" w:sz="16" w:space="0" w:color="000000"/>
              <w:left w:val="single" w:sz="8"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Minimum</w:t>
            </w:r>
          </w:p>
        </w:tc>
        <w:tc>
          <w:tcPr>
            <w:tcW w:w="1320" w:type="dxa"/>
            <w:tcBorders>
              <w:top w:val="single" w:sz="16" w:space="0" w:color="000000"/>
              <w:left w:val="single" w:sz="8"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Maximum</w:t>
            </w:r>
          </w:p>
        </w:tc>
        <w:tc>
          <w:tcPr>
            <w:tcW w:w="1200" w:type="dxa"/>
            <w:tcBorders>
              <w:top w:val="single" w:sz="16" w:space="0" w:color="000000"/>
              <w:left w:val="single" w:sz="8"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Sum</w:t>
            </w:r>
          </w:p>
        </w:tc>
        <w:tc>
          <w:tcPr>
            <w:tcW w:w="1320" w:type="dxa"/>
            <w:tcBorders>
              <w:top w:val="single" w:sz="16" w:space="0" w:color="000000"/>
              <w:left w:val="single" w:sz="8"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Mean</w:t>
            </w:r>
          </w:p>
        </w:tc>
        <w:tc>
          <w:tcPr>
            <w:tcW w:w="1440" w:type="dxa"/>
            <w:tcBorders>
              <w:top w:val="single" w:sz="16" w:space="0" w:color="000000"/>
              <w:left w:val="single" w:sz="8" w:space="0" w:color="000000"/>
              <w:bottom w:val="single" w:sz="16" w:space="0" w:color="000000"/>
              <w:right w:val="single" w:sz="16"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Std. Deviation</w:t>
            </w:r>
          </w:p>
        </w:tc>
      </w:tr>
      <w:tr w:rsidR="00AE4097" w:rsidTr="00176384">
        <w:trPr>
          <w:cantSplit/>
          <w:tblHeader/>
          <w:jc w:val="center"/>
        </w:trPr>
        <w:tc>
          <w:tcPr>
            <w:tcW w:w="2003" w:type="dxa"/>
            <w:tcBorders>
              <w:top w:val="single" w:sz="16" w:space="0" w:color="000000"/>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RiskDisclScore0607</w:t>
            </w:r>
          </w:p>
        </w:tc>
        <w:tc>
          <w:tcPr>
            <w:tcW w:w="637" w:type="dxa"/>
            <w:tcBorders>
              <w:top w:val="single" w:sz="16" w:space="0" w:color="000000"/>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200" w:type="dxa"/>
            <w:tcBorders>
              <w:top w:val="single" w:sz="16" w:space="0" w:color="000000"/>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,28</w:t>
            </w:r>
          </w:p>
        </w:tc>
        <w:tc>
          <w:tcPr>
            <w:tcW w:w="1320" w:type="dxa"/>
            <w:tcBorders>
              <w:top w:val="single" w:sz="16" w:space="0" w:color="000000"/>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,85</w:t>
            </w:r>
          </w:p>
        </w:tc>
        <w:tc>
          <w:tcPr>
            <w:tcW w:w="1200" w:type="dxa"/>
            <w:tcBorders>
              <w:top w:val="single" w:sz="16" w:space="0" w:color="000000"/>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10,45</w:t>
            </w:r>
          </w:p>
        </w:tc>
        <w:tc>
          <w:tcPr>
            <w:tcW w:w="1320" w:type="dxa"/>
            <w:tcBorders>
              <w:top w:val="single" w:sz="16" w:space="0" w:color="000000"/>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,5806</w:t>
            </w:r>
          </w:p>
        </w:tc>
        <w:tc>
          <w:tcPr>
            <w:tcW w:w="1440" w:type="dxa"/>
            <w:tcBorders>
              <w:top w:val="single" w:sz="16" w:space="0" w:color="000000"/>
              <w:left w:val="single" w:sz="8" w:space="0" w:color="000000"/>
              <w:bottom w:val="nil"/>
              <w:right w:val="single" w:sz="16"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,16798</w:t>
            </w:r>
          </w:p>
        </w:tc>
      </w:tr>
      <w:tr w:rsidR="00AE4097" w:rsidTr="00176384">
        <w:trPr>
          <w:cantSplit/>
          <w:tblHeader/>
          <w:jc w:val="center"/>
        </w:trPr>
        <w:tc>
          <w:tcPr>
            <w:tcW w:w="2003" w:type="dxa"/>
            <w:tcBorders>
              <w:top w:val="nil"/>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RiskDisclScore0809</w:t>
            </w:r>
          </w:p>
        </w:tc>
        <w:tc>
          <w:tcPr>
            <w:tcW w:w="637"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20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,40</w:t>
            </w:r>
          </w:p>
        </w:tc>
        <w:tc>
          <w:tcPr>
            <w:tcW w:w="132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,85</w:t>
            </w:r>
          </w:p>
        </w:tc>
        <w:tc>
          <w:tcPr>
            <w:tcW w:w="120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11,33</w:t>
            </w:r>
          </w:p>
        </w:tc>
        <w:tc>
          <w:tcPr>
            <w:tcW w:w="132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,6294</w:t>
            </w:r>
          </w:p>
        </w:tc>
        <w:tc>
          <w:tcPr>
            <w:tcW w:w="1440" w:type="dxa"/>
            <w:tcBorders>
              <w:top w:val="nil"/>
              <w:left w:val="single" w:sz="8" w:space="0" w:color="000000"/>
              <w:bottom w:val="nil"/>
              <w:right w:val="single" w:sz="16"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,14799</w:t>
            </w:r>
          </w:p>
        </w:tc>
      </w:tr>
      <w:tr w:rsidR="00AE4097" w:rsidTr="00176384">
        <w:trPr>
          <w:cantSplit/>
          <w:tblHeader/>
          <w:jc w:val="center"/>
        </w:trPr>
        <w:tc>
          <w:tcPr>
            <w:tcW w:w="2003" w:type="dxa"/>
            <w:tcBorders>
              <w:top w:val="nil"/>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ROA0607</w:t>
            </w:r>
          </w:p>
        </w:tc>
        <w:tc>
          <w:tcPr>
            <w:tcW w:w="637"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20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94826,00</w:t>
            </w:r>
          </w:p>
        </w:tc>
        <w:tc>
          <w:tcPr>
            <w:tcW w:w="132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27472945,00</w:t>
            </w:r>
          </w:p>
        </w:tc>
        <w:tc>
          <w:tcPr>
            <w:tcW w:w="120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69251700,00</w:t>
            </w:r>
          </w:p>
        </w:tc>
        <w:tc>
          <w:tcPr>
            <w:tcW w:w="132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3847316,6667</w:t>
            </w:r>
          </w:p>
        </w:tc>
        <w:tc>
          <w:tcPr>
            <w:tcW w:w="1440" w:type="dxa"/>
            <w:tcBorders>
              <w:top w:val="nil"/>
              <w:left w:val="single" w:sz="8" w:space="0" w:color="000000"/>
              <w:bottom w:val="nil"/>
              <w:right w:val="single" w:sz="16"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6692175,58511</w:t>
            </w:r>
          </w:p>
        </w:tc>
      </w:tr>
      <w:tr w:rsidR="00AE4097" w:rsidTr="00176384">
        <w:trPr>
          <w:cantSplit/>
          <w:tblHeader/>
          <w:jc w:val="center"/>
        </w:trPr>
        <w:tc>
          <w:tcPr>
            <w:tcW w:w="2003" w:type="dxa"/>
            <w:tcBorders>
              <w:top w:val="nil"/>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ROA0809</w:t>
            </w:r>
          </w:p>
        </w:tc>
        <w:tc>
          <w:tcPr>
            <w:tcW w:w="637"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20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-1453784,00</w:t>
            </w:r>
          </w:p>
        </w:tc>
        <w:tc>
          <w:tcPr>
            <w:tcW w:w="132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14305125,00</w:t>
            </w:r>
          </w:p>
        </w:tc>
        <w:tc>
          <w:tcPr>
            <w:tcW w:w="120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86937149,00</w:t>
            </w:r>
          </w:p>
        </w:tc>
        <w:tc>
          <w:tcPr>
            <w:tcW w:w="132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4829841,6111</w:t>
            </w:r>
          </w:p>
        </w:tc>
        <w:tc>
          <w:tcPr>
            <w:tcW w:w="1440" w:type="dxa"/>
            <w:tcBorders>
              <w:top w:val="nil"/>
              <w:left w:val="single" w:sz="8" w:space="0" w:color="000000"/>
              <w:bottom w:val="nil"/>
              <w:right w:val="single" w:sz="16"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4667873,60421</w:t>
            </w:r>
          </w:p>
        </w:tc>
      </w:tr>
      <w:tr w:rsidR="00AE4097" w:rsidTr="00176384">
        <w:trPr>
          <w:cantSplit/>
          <w:tblHeader/>
          <w:jc w:val="center"/>
        </w:trPr>
        <w:tc>
          <w:tcPr>
            <w:tcW w:w="2003" w:type="dxa"/>
            <w:tcBorders>
              <w:top w:val="nil"/>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DebtEquity0607</w:t>
            </w:r>
          </w:p>
        </w:tc>
        <w:tc>
          <w:tcPr>
            <w:tcW w:w="637"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20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,00</w:t>
            </w:r>
          </w:p>
        </w:tc>
        <w:tc>
          <w:tcPr>
            <w:tcW w:w="132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2,43</w:t>
            </w:r>
          </w:p>
        </w:tc>
        <w:tc>
          <w:tcPr>
            <w:tcW w:w="120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13,52</w:t>
            </w:r>
          </w:p>
        </w:tc>
        <w:tc>
          <w:tcPr>
            <w:tcW w:w="132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,7508</w:t>
            </w:r>
          </w:p>
        </w:tc>
        <w:tc>
          <w:tcPr>
            <w:tcW w:w="1440" w:type="dxa"/>
            <w:tcBorders>
              <w:top w:val="nil"/>
              <w:left w:val="single" w:sz="8" w:space="0" w:color="000000"/>
              <w:bottom w:val="nil"/>
              <w:right w:val="single" w:sz="16"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,75649</w:t>
            </w:r>
          </w:p>
        </w:tc>
      </w:tr>
      <w:tr w:rsidR="00AE4097" w:rsidTr="00176384">
        <w:trPr>
          <w:cantSplit/>
          <w:tblHeader/>
          <w:jc w:val="center"/>
        </w:trPr>
        <w:tc>
          <w:tcPr>
            <w:tcW w:w="2003" w:type="dxa"/>
            <w:tcBorders>
              <w:top w:val="nil"/>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DebtEquity0809</w:t>
            </w:r>
          </w:p>
        </w:tc>
        <w:tc>
          <w:tcPr>
            <w:tcW w:w="637"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200" w:type="dxa"/>
            <w:tcBorders>
              <w:top w:val="nil"/>
              <w:left w:val="single" w:sz="8" w:space="0" w:color="000000"/>
              <w:bottom w:val="nil"/>
              <w:right w:val="single" w:sz="8" w:space="0" w:color="000000"/>
            </w:tcBorders>
            <w:shd w:val="clear" w:color="auto" w:fill="FFFFFF"/>
          </w:tcPr>
          <w:p w:rsidR="00AE4097" w:rsidRDefault="00AE4097" w:rsidP="00176384">
            <w:pPr>
              <w:jc w:val="right"/>
              <w:rPr>
                <w:rFonts w:ascii="Arial" w:hAnsi="Arial" w:cs="Arial"/>
                <w:sz w:val="18"/>
                <w:szCs w:val="18"/>
                <w:lang w:val="en-US"/>
              </w:rPr>
            </w:pPr>
            <w:r>
              <w:rPr>
                <w:rFonts w:ascii="Arial" w:hAnsi="Arial" w:cs="Arial"/>
                <w:sz w:val="18"/>
                <w:szCs w:val="18"/>
                <w:lang w:val="en-US"/>
              </w:rPr>
              <w:t>,00</w:t>
            </w:r>
          </w:p>
        </w:tc>
        <w:tc>
          <w:tcPr>
            <w:tcW w:w="1320" w:type="dxa"/>
            <w:tcBorders>
              <w:top w:val="nil"/>
              <w:left w:val="single" w:sz="8" w:space="0" w:color="000000"/>
              <w:bottom w:val="nil"/>
              <w:right w:val="single" w:sz="8" w:space="0" w:color="000000"/>
            </w:tcBorders>
            <w:shd w:val="clear" w:color="auto" w:fill="FFFFFF"/>
          </w:tcPr>
          <w:p w:rsidR="00AE4097" w:rsidRDefault="00AE4097" w:rsidP="00176384">
            <w:pPr>
              <w:jc w:val="right"/>
              <w:rPr>
                <w:rFonts w:ascii="Arial" w:hAnsi="Arial" w:cs="Arial"/>
                <w:sz w:val="18"/>
                <w:szCs w:val="18"/>
                <w:lang w:val="en-US"/>
              </w:rPr>
            </w:pPr>
            <w:r>
              <w:rPr>
                <w:rFonts w:ascii="Arial" w:hAnsi="Arial" w:cs="Arial"/>
                <w:sz w:val="18"/>
                <w:szCs w:val="18"/>
                <w:lang w:val="en-US"/>
              </w:rPr>
              <w:t>3,36</w:t>
            </w:r>
          </w:p>
        </w:tc>
        <w:tc>
          <w:tcPr>
            <w:tcW w:w="1200" w:type="dxa"/>
            <w:tcBorders>
              <w:top w:val="nil"/>
              <w:left w:val="single" w:sz="8" w:space="0" w:color="000000"/>
              <w:bottom w:val="nil"/>
              <w:right w:val="single" w:sz="8" w:space="0" w:color="000000"/>
            </w:tcBorders>
            <w:shd w:val="clear" w:color="auto" w:fill="FFFFFF"/>
          </w:tcPr>
          <w:p w:rsidR="00AE4097" w:rsidRDefault="00AE4097" w:rsidP="00176384">
            <w:pPr>
              <w:jc w:val="right"/>
              <w:rPr>
                <w:rFonts w:ascii="Arial" w:hAnsi="Arial" w:cs="Arial"/>
                <w:sz w:val="18"/>
                <w:szCs w:val="18"/>
                <w:lang w:val="en-US"/>
              </w:rPr>
            </w:pPr>
            <w:r>
              <w:rPr>
                <w:rFonts w:ascii="Arial" w:hAnsi="Arial" w:cs="Arial"/>
                <w:sz w:val="18"/>
                <w:szCs w:val="18"/>
                <w:lang w:val="en-US"/>
              </w:rPr>
              <w:t>18,67</w:t>
            </w:r>
          </w:p>
        </w:tc>
        <w:tc>
          <w:tcPr>
            <w:tcW w:w="1320" w:type="dxa"/>
            <w:tcBorders>
              <w:top w:val="nil"/>
              <w:left w:val="single" w:sz="8" w:space="0" w:color="000000"/>
              <w:bottom w:val="nil"/>
              <w:right w:val="single" w:sz="8" w:space="0" w:color="000000"/>
            </w:tcBorders>
            <w:shd w:val="clear" w:color="auto" w:fill="FFFFFF"/>
          </w:tcPr>
          <w:p w:rsidR="00AE4097" w:rsidRDefault="00AE4097" w:rsidP="00176384">
            <w:pPr>
              <w:jc w:val="right"/>
              <w:rPr>
                <w:rFonts w:ascii="Arial" w:hAnsi="Arial" w:cs="Arial"/>
                <w:sz w:val="18"/>
                <w:szCs w:val="18"/>
                <w:lang w:val="en-US"/>
              </w:rPr>
            </w:pPr>
            <w:r>
              <w:rPr>
                <w:rFonts w:ascii="Arial" w:hAnsi="Arial" w:cs="Arial"/>
                <w:sz w:val="18"/>
                <w:szCs w:val="18"/>
                <w:lang w:val="en-US"/>
              </w:rPr>
              <w:t>1,0371</w:t>
            </w:r>
          </w:p>
        </w:tc>
        <w:tc>
          <w:tcPr>
            <w:tcW w:w="1440" w:type="dxa"/>
            <w:tcBorders>
              <w:top w:val="nil"/>
              <w:left w:val="single" w:sz="8" w:space="0" w:color="000000"/>
              <w:bottom w:val="nil"/>
              <w:right w:val="single" w:sz="16" w:space="0" w:color="000000"/>
            </w:tcBorders>
            <w:shd w:val="clear" w:color="auto" w:fill="FFFFFF"/>
          </w:tcPr>
          <w:p w:rsidR="00AE4097" w:rsidRDefault="00AE4097" w:rsidP="00176384">
            <w:pPr>
              <w:jc w:val="right"/>
              <w:rPr>
                <w:rFonts w:ascii="Arial" w:hAnsi="Arial" w:cs="Arial"/>
                <w:sz w:val="18"/>
                <w:szCs w:val="18"/>
                <w:lang w:val="en-US"/>
              </w:rPr>
            </w:pPr>
            <w:r>
              <w:rPr>
                <w:rFonts w:ascii="Arial" w:hAnsi="Arial" w:cs="Arial"/>
                <w:sz w:val="18"/>
                <w:szCs w:val="18"/>
                <w:lang w:val="en-US"/>
              </w:rPr>
              <w:t>,89859</w:t>
            </w:r>
          </w:p>
        </w:tc>
      </w:tr>
      <w:tr w:rsidR="00AE4097" w:rsidTr="00176384">
        <w:trPr>
          <w:cantSplit/>
          <w:jc w:val="center"/>
        </w:trPr>
        <w:tc>
          <w:tcPr>
            <w:tcW w:w="2003" w:type="dxa"/>
            <w:tcBorders>
              <w:top w:val="nil"/>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Industry</w:t>
            </w:r>
          </w:p>
        </w:tc>
        <w:tc>
          <w:tcPr>
            <w:tcW w:w="637"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p>
        </w:tc>
        <w:tc>
          <w:tcPr>
            <w:tcW w:w="1200" w:type="dxa"/>
            <w:tcBorders>
              <w:top w:val="nil"/>
              <w:left w:val="single" w:sz="8" w:space="0" w:color="000000"/>
              <w:bottom w:val="nil"/>
              <w:right w:val="single" w:sz="8" w:space="0" w:color="000000"/>
            </w:tcBorders>
            <w:shd w:val="clear" w:color="auto" w:fill="FFFFFF"/>
          </w:tcPr>
          <w:p w:rsidR="00AE4097" w:rsidRDefault="00AE4097" w:rsidP="00176384">
            <w:pPr>
              <w:jc w:val="right"/>
              <w:rPr>
                <w:rFonts w:ascii="Arial" w:hAnsi="Arial" w:cs="Arial"/>
                <w:sz w:val="18"/>
                <w:szCs w:val="18"/>
                <w:lang w:val="en-US"/>
              </w:rPr>
            </w:pPr>
            <w:r>
              <w:rPr>
                <w:rFonts w:ascii="Arial" w:hAnsi="Arial" w:cs="Arial"/>
                <w:sz w:val="18"/>
                <w:szCs w:val="18"/>
                <w:lang w:val="en-US"/>
              </w:rPr>
              <w:t>1,00</w:t>
            </w:r>
          </w:p>
        </w:tc>
        <w:tc>
          <w:tcPr>
            <w:tcW w:w="1320" w:type="dxa"/>
            <w:tcBorders>
              <w:top w:val="nil"/>
              <w:left w:val="single" w:sz="8" w:space="0" w:color="000000"/>
              <w:bottom w:val="nil"/>
              <w:right w:val="single" w:sz="8" w:space="0" w:color="000000"/>
            </w:tcBorders>
            <w:shd w:val="clear" w:color="auto" w:fill="FFFFFF"/>
          </w:tcPr>
          <w:p w:rsidR="00AE4097" w:rsidRDefault="00AE4097" w:rsidP="00176384">
            <w:pPr>
              <w:jc w:val="right"/>
              <w:rPr>
                <w:rFonts w:ascii="Arial" w:hAnsi="Arial" w:cs="Arial"/>
                <w:sz w:val="18"/>
                <w:szCs w:val="18"/>
                <w:lang w:val="en-US"/>
              </w:rPr>
            </w:pPr>
            <w:r>
              <w:rPr>
                <w:rFonts w:ascii="Arial" w:hAnsi="Arial" w:cs="Arial"/>
                <w:sz w:val="18"/>
                <w:szCs w:val="18"/>
                <w:lang w:val="en-US"/>
              </w:rPr>
              <w:t>7,00</w:t>
            </w:r>
          </w:p>
        </w:tc>
        <w:tc>
          <w:tcPr>
            <w:tcW w:w="1200" w:type="dxa"/>
            <w:tcBorders>
              <w:top w:val="nil"/>
              <w:left w:val="single" w:sz="8" w:space="0" w:color="000000"/>
              <w:bottom w:val="nil"/>
              <w:right w:val="single" w:sz="8" w:space="0" w:color="000000"/>
            </w:tcBorders>
            <w:shd w:val="clear" w:color="auto" w:fill="FFFFFF"/>
          </w:tcPr>
          <w:p w:rsidR="00AE4097" w:rsidRDefault="00AE4097" w:rsidP="00176384">
            <w:pPr>
              <w:jc w:val="right"/>
              <w:rPr>
                <w:rFonts w:ascii="Arial" w:hAnsi="Arial" w:cs="Arial"/>
                <w:sz w:val="18"/>
                <w:szCs w:val="18"/>
                <w:lang w:val="en-US"/>
              </w:rPr>
            </w:pPr>
            <w:r>
              <w:rPr>
                <w:rFonts w:ascii="Arial" w:hAnsi="Arial" w:cs="Arial"/>
                <w:sz w:val="18"/>
                <w:szCs w:val="18"/>
                <w:lang w:val="en-US"/>
              </w:rPr>
              <w:t>66,00</w:t>
            </w:r>
          </w:p>
        </w:tc>
        <w:tc>
          <w:tcPr>
            <w:tcW w:w="1320" w:type="dxa"/>
            <w:tcBorders>
              <w:top w:val="nil"/>
              <w:left w:val="single" w:sz="8" w:space="0" w:color="000000"/>
              <w:bottom w:val="nil"/>
              <w:right w:val="single" w:sz="8" w:space="0" w:color="000000"/>
            </w:tcBorders>
            <w:shd w:val="clear" w:color="auto" w:fill="FFFFFF"/>
          </w:tcPr>
          <w:p w:rsidR="00AE4097" w:rsidRDefault="00AE4097" w:rsidP="00176384">
            <w:pPr>
              <w:jc w:val="right"/>
              <w:rPr>
                <w:rFonts w:ascii="Arial" w:hAnsi="Arial" w:cs="Arial"/>
                <w:sz w:val="18"/>
                <w:szCs w:val="18"/>
                <w:lang w:val="en-US"/>
              </w:rPr>
            </w:pPr>
            <w:r>
              <w:rPr>
                <w:rFonts w:ascii="Arial" w:hAnsi="Arial" w:cs="Arial"/>
                <w:sz w:val="18"/>
                <w:szCs w:val="18"/>
                <w:lang w:val="en-US"/>
              </w:rPr>
              <w:t>3,6667</w:t>
            </w:r>
          </w:p>
        </w:tc>
        <w:tc>
          <w:tcPr>
            <w:tcW w:w="1440" w:type="dxa"/>
            <w:tcBorders>
              <w:top w:val="nil"/>
              <w:left w:val="single" w:sz="8" w:space="0" w:color="000000"/>
              <w:bottom w:val="nil"/>
              <w:right w:val="single" w:sz="16" w:space="0" w:color="000000"/>
            </w:tcBorders>
            <w:shd w:val="clear" w:color="auto" w:fill="FFFFFF"/>
          </w:tcPr>
          <w:p w:rsidR="00AE4097" w:rsidRDefault="00AE4097" w:rsidP="00176384">
            <w:pPr>
              <w:jc w:val="right"/>
              <w:rPr>
                <w:rFonts w:ascii="Arial" w:hAnsi="Arial" w:cs="Arial"/>
                <w:sz w:val="18"/>
                <w:szCs w:val="18"/>
                <w:lang w:val="en-US"/>
              </w:rPr>
            </w:pPr>
            <w:r>
              <w:rPr>
                <w:rFonts w:ascii="Arial" w:hAnsi="Arial" w:cs="Arial"/>
                <w:sz w:val="18"/>
                <w:szCs w:val="18"/>
                <w:lang w:val="en-US"/>
              </w:rPr>
              <w:t>1,90973</w:t>
            </w:r>
          </w:p>
        </w:tc>
      </w:tr>
      <w:tr w:rsidR="00AE4097" w:rsidTr="00176384">
        <w:trPr>
          <w:cantSplit/>
          <w:jc w:val="center"/>
        </w:trPr>
        <w:tc>
          <w:tcPr>
            <w:tcW w:w="2003" w:type="dxa"/>
            <w:tcBorders>
              <w:top w:val="nil"/>
              <w:left w:val="single" w:sz="16" w:space="0" w:color="000000"/>
              <w:bottom w:val="single" w:sz="16" w:space="0" w:color="000000"/>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Valid N (</w:t>
            </w:r>
            <w:proofErr w:type="spellStart"/>
            <w:r>
              <w:rPr>
                <w:rFonts w:ascii="Arial" w:hAnsi="Arial" w:cs="Arial"/>
                <w:sz w:val="18"/>
                <w:szCs w:val="18"/>
                <w:lang w:val="en-US"/>
              </w:rPr>
              <w:t>listwise</w:t>
            </w:r>
            <w:proofErr w:type="spellEnd"/>
            <w:r>
              <w:rPr>
                <w:rFonts w:ascii="Arial" w:hAnsi="Arial" w:cs="Arial"/>
                <w:sz w:val="18"/>
                <w:szCs w:val="18"/>
                <w:lang w:val="en-US"/>
              </w:rPr>
              <w:t>)</w:t>
            </w:r>
          </w:p>
        </w:tc>
        <w:tc>
          <w:tcPr>
            <w:tcW w:w="637" w:type="dxa"/>
            <w:tcBorders>
              <w:top w:val="nil"/>
              <w:left w:val="single" w:sz="16" w:space="0" w:color="000000"/>
              <w:bottom w:val="single" w:sz="16" w:space="0" w:color="000000"/>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200" w:type="dxa"/>
            <w:tcBorders>
              <w:top w:val="nil"/>
              <w:left w:val="single" w:sz="8" w:space="0" w:color="000000"/>
              <w:bottom w:val="single" w:sz="16" w:space="0" w:color="000000"/>
              <w:right w:val="single" w:sz="8" w:space="0" w:color="000000"/>
            </w:tcBorders>
            <w:shd w:val="clear" w:color="auto" w:fill="FFFFFF"/>
            <w:vAlign w:val="center"/>
          </w:tcPr>
          <w:p w:rsidR="00AE4097" w:rsidRDefault="00AE4097" w:rsidP="00176384">
            <w:pPr>
              <w:jc w:val="center"/>
              <w:rPr>
                <w:lang w:val="en-US"/>
              </w:rPr>
            </w:pPr>
          </w:p>
        </w:tc>
        <w:tc>
          <w:tcPr>
            <w:tcW w:w="1320" w:type="dxa"/>
            <w:tcBorders>
              <w:top w:val="nil"/>
              <w:left w:val="single" w:sz="8" w:space="0" w:color="000000"/>
              <w:bottom w:val="single" w:sz="16" w:space="0" w:color="000000"/>
              <w:right w:val="single" w:sz="8" w:space="0" w:color="000000"/>
            </w:tcBorders>
            <w:shd w:val="clear" w:color="auto" w:fill="FFFFFF"/>
            <w:vAlign w:val="center"/>
          </w:tcPr>
          <w:p w:rsidR="00AE4097" w:rsidRDefault="00AE4097" w:rsidP="00176384">
            <w:pPr>
              <w:jc w:val="center"/>
              <w:rPr>
                <w:lang w:val="en-US"/>
              </w:rPr>
            </w:pPr>
          </w:p>
        </w:tc>
        <w:tc>
          <w:tcPr>
            <w:tcW w:w="1200" w:type="dxa"/>
            <w:tcBorders>
              <w:top w:val="nil"/>
              <w:left w:val="single" w:sz="8" w:space="0" w:color="000000"/>
              <w:bottom w:val="single" w:sz="16" w:space="0" w:color="000000"/>
              <w:right w:val="single" w:sz="8" w:space="0" w:color="000000"/>
            </w:tcBorders>
            <w:shd w:val="clear" w:color="auto" w:fill="FFFFFF"/>
            <w:vAlign w:val="center"/>
          </w:tcPr>
          <w:p w:rsidR="00AE4097" w:rsidRDefault="00AE4097" w:rsidP="00176384">
            <w:pPr>
              <w:jc w:val="center"/>
              <w:rPr>
                <w:lang w:val="en-US"/>
              </w:rPr>
            </w:pPr>
          </w:p>
        </w:tc>
        <w:tc>
          <w:tcPr>
            <w:tcW w:w="1320" w:type="dxa"/>
            <w:tcBorders>
              <w:top w:val="nil"/>
              <w:left w:val="single" w:sz="8" w:space="0" w:color="000000"/>
              <w:bottom w:val="single" w:sz="16" w:space="0" w:color="000000"/>
              <w:right w:val="single" w:sz="8" w:space="0" w:color="000000"/>
            </w:tcBorders>
            <w:shd w:val="clear" w:color="auto" w:fill="FFFFFF"/>
            <w:vAlign w:val="center"/>
          </w:tcPr>
          <w:p w:rsidR="00AE4097" w:rsidRDefault="00AE4097" w:rsidP="00176384">
            <w:pPr>
              <w:jc w:val="center"/>
              <w:rPr>
                <w:lang w:val="en-US"/>
              </w:rPr>
            </w:pPr>
          </w:p>
        </w:tc>
        <w:tc>
          <w:tcPr>
            <w:tcW w:w="1440" w:type="dxa"/>
            <w:tcBorders>
              <w:top w:val="nil"/>
              <w:left w:val="single" w:sz="8" w:space="0" w:color="000000"/>
              <w:bottom w:val="single" w:sz="16" w:space="0" w:color="000000"/>
              <w:right w:val="single" w:sz="16" w:space="0" w:color="000000"/>
            </w:tcBorders>
            <w:shd w:val="clear" w:color="auto" w:fill="FFFFFF"/>
            <w:vAlign w:val="center"/>
          </w:tcPr>
          <w:p w:rsidR="00AE4097" w:rsidRDefault="00AE4097" w:rsidP="00176384">
            <w:pPr>
              <w:jc w:val="center"/>
              <w:rPr>
                <w:lang w:val="en-US"/>
              </w:rPr>
            </w:pPr>
          </w:p>
        </w:tc>
      </w:tr>
    </w:tbl>
    <w:p w:rsidR="00AE4097" w:rsidRDefault="00AE4097" w:rsidP="00AE4097">
      <w:pPr>
        <w:pStyle w:val="Caption"/>
        <w:spacing w:line="240" w:lineRule="auto"/>
      </w:pPr>
      <w:r>
        <w:t xml:space="preserve">        Table 2: Descriptive statistics of the different variables</w:t>
      </w:r>
    </w:p>
    <w:p w:rsidR="00AE4097" w:rsidRDefault="00AE4097" w:rsidP="00AE4097">
      <w:pPr>
        <w:pStyle w:val="000"/>
        <w:jc w:val="both"/>
        <w:rPr>
          <w:lang w:val="en-US"/>
        </w:rPr>
      </w:pPr>
    </w:p>
    <w:p w:rsidR="00AE4097" w:rsidRDefault="00AE4097" w:rsidP="008C2ED0">
      <w:pPr>
        <w:pStyle w:val="Heading3"/>
        <w:numPr>
          <w:ilvl w:val="2"/>
          <w:numId w:val="2"/>
        </w:numPr>
        <w:tabs>
          <w:tab w:val="num" w:pos="1004"/>
        </w:tabs>
        <w:suppressAutoHyphens/>
        <w:spacing w:before="0" w:after="0" w:line="360" w:lineRule="auto"/>
        <w:jc w:val="both"/>
        <w:rPr>
          <w:lang w:val="en-US"/>
        </w:rPr>
      </w:pPr>
      <w:bookmarkStart w:id="172" w:name="_Toc288459381"/>
      <w:bookmarkStart w:id="173" w:name="_Toc288725922"/>
      <w:r>
        <w:rPr>
          <w:b w:val="0"/>
          <w:i/>
          <w:sz w:val="22"/>
          <w:szCs w:val="22"/>
          <w:lang w:val="en-US"/>
        </w:rPr>
        <w:t>Normal distribution</w:t>
      </w:r>
      <w:bookmarkEnd w:id="172"/>
      <w:bookmarkEnd w:id="173"/>
    </w:p>
    <w:p w:rsidR="00AE4097" w:rsidRDefault="00AE4097" w:rsidP="00AE4097">
      <w:pPr>
        <w:suppressAutoHyphens/>
        <w:spacing w:line="360" w:lineRule="auto"/>
        <w:ind w:firstLine="567"/>
        <w:jc w:val="both"/>
        <w:rPr>
          <w:sz w:val="22"/>
          <w:szCs w:val="22"/>
          <w:lang w:val="en-US"/>
        </w:rPr>
      </w:pPr>
      <w:r>
        <w:rPr>
          <w:sz w:val="22"/>
          <w:szCs w:val="22"/>
          <w:lang w:val="en-US"/>
        </w:rPr>
        <w:t xml:space="preserve">Before deciding which statistical test is appropriate, it is very important to check whether </w:t>
      </w:r>
      <w:proofErr w:type="gramStart"/>
      <w:r>
        <w:rPr>
          <w:sz w:val="22"/>
          <w:szCs w:val="22"/>
          <w:lang w:val="en-US"/>
        </w:rPr>
        <w:t>the  distribution</w:t>
      </w:r>
      <w:proofErr w:type="gramEnd"/>
      <w:r>
        <w:rPr>
          <w:sz w:val="22"/>
          <w:szCs w:val="22"/>
          <w:lang w:val="en-US"/>
        </w:rPr>
        <w:t xml:space="preserve"> is </w:t>
      </w:r>
      <w:r w:rsidRPr="00D4768E">
        <w:rPr>
          <w:sz w:val="22"/>
          <w:szCs w:val="22"/>
          <w:lang w:val="en-US"/>
        </w:rPr>
        <w:t xml:space="preserve">normal. </w:t>
      </w:r>
      <w:r w:rsidRPr="00D4768E">
        <w:rPr>
          <w:color w:val="000000"/>
          <w:sz w:val="22"/>
          <w:szCs w:val="22"/>
          <w:lang w:val="en-US"/>
        </w:rPr>
        <w:t>This assumption must be verified before most parametric tests are accurate.</w:t>
      </w:r>
      <w:r w:rsidRPr="00D4768E">
        <w:rPr>
          <w:sz w:val="22"/>
          <w:szCs w:val="22"/>
          <w:lang w:val="en-US"/>
        </w:rPr>
        <w:t xml:space="preserve"> If</w:t>
      </w:r>
      <w:r>
        <w:rPr>
          <w:sz w:val="22"/>
          <w:szCs w:val="22"/>
          <w:lang w:val="en-US"/>
        </w:rPr>
        <w:t xml:space="preserve"> not, parametric tests will give incorrect results. The normality of each variable is tested with the Kolmogorov-Smirnov test. This method determines and analyzes whether the distribution of the data is significantly different from a normal distribution by using a normal QQ-plot. If the plot is approximately linear, the distribution is normal (Field, 2009). For this study a normal QQ-plot is drawn for the average risk disclosure scores of 2006-2007 and 2008-2009, and for the average ROA and D/E ratio in both periods (see appendix XI). The </w:t>
      </w:r>
      <w:r>
        <w:rPr>
          <w:sz w:val="22"/>
          <w:lang w:val="en-US"/>
        </w:rPr>
        <w:t xml:space="preserve">variables risk disclosure score and D/E </w:t>
      </w:r>
      <w:proofErr w:type="gramStart"/>
      <w:r>
        <w:rPr>
          <w:sz w:val="22"/>
          <w:lang w:val="en-US"/>
        </w:rPr>
        <w:t>ratio are</w:t>
      </w:r>
      <w:proofErr w:type="gramEnd"/>
      <w:r>
        <w:rPr>
          <w:sz w:val="22"/>
          <w:szCs w:val="22"/>
          <w:lang w:val="en-US"/>
        </w:rPr>
        <w:t xml:space="preserve"> normally distributed for the years 2006-2007 and 2008-2009 as well. The variable ROA for 2008-2009 is normally distributed, since the data are situated around the normal distribution line. However, according to the QQ-plots, the ROA 2006-2007 is not normally distributed. A reason for non-normality may be the presence of outliers. To solve these problems, transforming data is a possibility. If so every score needs to be corrected. Because all scores are corrected, the relationship between the variables won’t be changed (Field, 2009). The data are transformed by means of the log transformation on SPSS. The normal QQ-plot of LNROA for 2006-2007 is shown in appendix XI.</w:t>
      </w:r>
    </w:p>
    <w:p w:rsidR="00AE4097" w:rsidRDefault="00AE4097" w:rsidP="00AE4097">
      <w:pPr>
        <w:spacing w:line="360" w:lineRule="auto"/>
        <w:jc w:val="both"/>
        <w:rPr>
          <w:lang w:val="en-US"/>
        </w:rPr>
      </w:pPr>
    </w:p>
    <w:tbl>
      <w:tblPr>
        <w:tblW w:w="5030" w:type="dxa"/>
        <w:jc w:val="center"/>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99"/>
        <w:gridCol w:w="1010"/>
        <w:gridCol w:w="1010"/>
        <w:gridCol w:w="1011"/>
      </w:tblGrid>
      <w:tr w:rsidR="00AE4097" w:rsidTr="00176384">
        <w:trPr>
          <w:cantSplit/>
          <w:tblHeader/>
          <w:jc w:val="center"/>
        </w:trPr>
        <w:tc>
          <w:tcPr>
            <w:tcW w:w="1999" w:type="dxa"/>
            <w:vMerge w:val="restart"/>
            <w:tcBorders>
              <w:top w:val="single" w:sz="16" w:space="0" w:color="000000"/>
              <w:left w:val="single" w:sz="16" w:space="0" w:color="000000"/>
              <w:bottom w:val="single" w:sz="16" w:space="0" w:color="000000"/>
              <w:right w:val="single" w:sz="18" w:space="0" w:color="000000"/>
            </w:tcBorders>
            <w:shd w:val="clear" w:color="auto" w:fill="FFFFFF"/>
            <w:vAlign w:val="center"/>
          </w:tcPr>
          <w:p w:rsidR="00AE4097" w:rsidRDefault="00AE4097" w:rsidP="00176384">
            <w:pPr>
              <w:jc w:val="center"/>
              <w:rPr>
                <w:lang w:val="en-US"/>
              </w:rPr>
            </w:pPr>
          </w:p>
        </w:tc>
        <w:tc>
          <w:tcPr>
            <w:tcW w:w="3031" w:type="dxa"/>
            <w:gridSpan w:val="3"/>
            <w:tcBorders>
              <w:top w:val="single" w:sz="18" w:space="0" w:color="000000"/>
              <w:left w:val="single" w:sz="18" w:space="0" w:color="000000"/>
              <w:bottom w:val="single" w:sz="8" w:space="0" w:color="000000"/>
              <w:right w:val="single" w:sz="4" w:space="0" w:color="auto"/>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Kolmogorov-Smirnov</w:t>
            </w:r>
          </w:p>
        </w:tc>
      </w:tr>
      <w:tr w:rsidR="00AE4097" w:rsidTr="00176384">
        <w:trPr>
          <w:cantSplit/>
          <w:tblHeader/>
          <w:jc w:val="center"/>
        </w:trPr>
        <w:tc>
          <w:tcPr>
            <w:tcW w:w="1999" w:type="dxa"/>
            <w:vMerge/>
            <w:tcBorders>
              <w:top w:val="single" w:sz="16" w:space="0" w:color="000000"/>
              <w:left w:val="single" w:sz="16" w:space="0" w:color="000000"/>
              <w:bottom w:val="single" w:sz="16" w:space="0" w:color="000000"/>
              <w:right w:val="single" w:sz="18" w:space="0" w:color="000000"/>
            </w:tcBorders>
            <w:shd w:val="clear" w:color="auto" w:fill="FFFFFF"/>
            <w:vAlign w:val="center"/>
          </w:tcPr>
          <w:p w:rsidR="00AE4097" w:rsidRDefault="00AE4097" w:rsidP="00176384">
            <w:pPr>
              <w:rPr>
                <w:rFonts w:ascii="Arial" w:hAnsi="Arial" w:cs="Arial"/>
                <w:sz w:val="18"/>
                <w:szCs w:val="18"/>
                <w:lang w:val="en-US"/>
              </w:rPr>
            </w:pPr>
          </w:p>
        </w:tc>
        <w:tc>
          <w:tcPr>
            <w:tcW w:w="1010" w:type="dxa"/>
            <w:tcBorders>
              <w:top w:val="single" w:sz="8" w:space="0" w:color="000000"/>
              <w:left w:val="single" w:sz="18"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Statistic</w:t>
            </w:r>
          </w:p>
        </w:tc>
        <w:tc>
          <w:tcPr>
            <w:tcW w:w="1010" w:type="dxa"/>
            <w:tcBorders>
              <w:top w:val="single" w:sz="8" w:space="0" w:color="000000"/>
              <w:left w:val="single" w:sz="8"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proofErr w:type="spellStart"/>
            <w:r>
              <w:rPr>
                <w:rFonts w:ascii="Arial" w:hAnsi="Arial" w:cs="Arial"/>
                <w:sz w:val="18"/>
                <w:szCs w:val="18"/>
                <w:lang w:val="en-US"/>
              </w:rPr>
              <w:t>df</w:t>
            </w:r>
            <w:proofErr w:type="spellEnd"/>
          </w:p>
        </w:tc>
        <w:tc>
          <w:tcPr>
            <w:tcW w:w="1011" w:type="dxa"/>
            <w:tcBorders>
              <w:top w:val="single" w:sz="8" w:space="0" w:color="000000"/>
              <w:left w:val="single" w:sz="8" w:space="0" w:color="000000"/>
              <w:bottom w:val="single" w:sz="16" w:space="0" w:color="000000"/>
              <w:right w:val="single" w:sz="4" w:space="0" w:color="auto"/>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Sig.</w:t>
            </w:r>
          </w:p>
        </w:tc>
      </w:tr>
      <w:tr w:rsidR="00AE4097" w:rsidTr="00176384">
        <w:trPr>
          <w:cantSplit/>
          <w:tblHeader/>
          <w:jc w:val="center"/>
        </w:trPr>
        <w:tc>
          <w:tcPr>
            <w:tcW w:w="1999" w:type="dxa"/>
            <w:tcBorders>
              <w:top w:val="single" w:sz="16" w:space="0" w:color="000000"/>
              <w:left w:val="single" w:sz="16" w:space="0" w:color="000000"/>
              <w:bottom w:val="nil"/>
              <w:right w:val="single" w:sz="18"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RiskDisclScore0607</w:t>
            </w:r>
          </w:p>
        </w:tc>
        <w:tc>
          <w:tcPr>
            <w:tcW w:w="1010" w:type="dxa"/>
            <w:tcBorders>
              <w:top w:val="single" w:sz="16" w:space="0" w:color="000000"/>
              <w:left w:val="single" w:sz="1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,128</w:t>
            </w:r>
          </w:p>
        </w:tc>
        <w:tc>
          <w:tcPr>
            <w:tcW w:w="1010" w:type="dxa"/>
            <w:tcBorders>
              <w:top w:val="single" w:sz="16" w:space="0" w:color="000000"/>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011" w:type="dxa"/>
            <w:tcBorders>
              <w:top w:val="single" w:sz="16" w:space="0" w:color="000000"/>
              <w:left w:val="single" w:sz="8" w:space="0" w:color="000000"/>
              <w:bottom w:val="nil"/>
              <w:right w:val="single" w:sz="4" w:space="0" w:color="auto"/>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,200</w:t>
            </w:r>
            <w:r>
              <w:rPr>
                <w:rFonts w:ascii="Arial" w:hAnsi="Arial" w:cs="Arial"/>
                <w:sz w:val="18"/>
                <w:szCs w:val="18"/>
                <w:vertAlign w:val="superscript"/>
                <w:lang w:val="en-US"/>
              </w:rPr>
              <w:t>*</w:t>
            </w:r>
          </w:p>
        </w:tc>
      </w:tr>
      <w:tr w:rsidR="00AE4097" w:rsidTr="00176384">
        <w:trPr>
          <w:cantSplit/>
          <w:tblHeader/>
          <w:jc w:val="center"/>
        </w:trPr>
        <w:tc>
          <w:tcPr>
            <w:tcW w:w="1999" w:type="dxa"/>
            <w:tcBorders>
              <w:top w:val="nil"/>
              <w:left w:val="single" w:sz="16" w:space="0" w:color="000000"/>
              <w:bottom w:val="nil"/>
              <w:right w:val="single" w:sz="18"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RiskDisclScore0809</w:t>
            </w:r>
          </w:p>
        </w:tc>
        <w:tc>
          <w:tcPr>
            <w:tcW w:w="1010" w:type="dxa"/>
            <w:tcBorders>
              <w:top w:val="nil"/>
              <w:left w:val="single" w:sz="1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,198</w:t>
            </w:r>
          </w:p>
        </w:tc>
        <w:tc>
          <w:tcPr>
            <w:tcW w:w="101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011" w:type="dxa"/>
            <w:tcBorders>
              <w:top w:val="nil"/>
              <w:left w:val="single" w:sz="8" w:space="0" w:color="000000"/>
              <w:bottom w:val="nil"/>
              <w:right w:val="single" w:sz="4" w:space="0" w:color="auto"/>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,060</w:t>
            </w:r>
          </w:p>
        </w:tc>
      </w:tr>
      <w:tr w:rsidR="00AE4097" w:rsidTr="00176384">
        <w:trPr>
          <w:cantSplit/>
          <w:tblHeader/>
          <w:jc w:val="center"/>
        </w:trPr>
        <w:tc>
          <w:tcPr>
            <w:tcW w:w="1999" w:type="dxa"/>
            <w:tcBorders>
              <w:top w:val="nil"/>
              <w:left w:val="single" w:sz="16" w:space="0" w:color="000000"/>
              <w:bottom w:val="nil"/>
              <w:right w:val="single" w:sz="18"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ROA0607</w:t>
            </w:r>
          </w:p>
          <w:p w:rsidR="00AE4097" w:rsidRDefault="00AE4097" w:rsidP="00176384">
            <w:pPr>
              <w:ind w:right="60"/>
              <w:rPr>
                <w:rFonts w:ascii="Arial" w:hAnsi="Arial" w:cs="Arial"/>
                <w:i/>
                <w:sz w:val="18"/>
                <w:szCs w:val="18"/>
                <w:lang w:val="en-US"/>
              </w:rPr>
            </w:pPr>
            <w:r>
              <w:rPr>
                <w:rFonts w:ascii="Arial" w:hAnsi="Arial" w:cs="Arial"/>
                <w:i/>
                <w:sz w:val="18"/>
                <w:szCs w:val="18"/>
                <w:lang w:val="en-US"/>
              </w:rPr>
              <w:t xml:space="preserve"> LNROA0607</w:t>
            </w:r>
          </w:p>
        </w:tc>
        <w:tc>
          <w:tcPr>
            <w:tcW w:w="1010" w:type="dxa"/>
            <w:tcBorders>
              <w:top w:val="nil"/>
              <w:left w:val="single" w:sz="1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,340</w:t>
            </w:r>
          </w:p>
          <w:p w:rsidR="00AE4097" w:rsidRDefault="00AE4097" w:rsidP="00176384">
            <w:pPr>
              <w:tabs>
                <w:tab w:val="center" w:pos="490"/>
                <w:tab w:val="right" w:pos="920"/>
              </w:tabs>
              <w:ind w:left="60" w:right="60"/>
              <w:rPr>
                <w:rFonts w:ascii="Arial" w:hAnsi="Arial" w:cs="Arial"/>
                <w:i/>
                <w:sz w:val="18"/>
                <w:szCs w:val="18"/>
                <w:lang w:val="en-US"/>
              </w:rPr>
            </w:pPr>
            <w:r>
              <w:rPr>
                <w:rFonts w:ascii="Arial" w:hAnsi="Arial" w:cs="Arial"/>
                <w:i/>
                <w:sz w:val="18"/>
                <w:szCs w:val="18"/>
                <w:lang w:val="en-US"/>
              </w:rPr>
              <w:tab/>
            </w:r>
            <w:r>
              <w:rPr>
                <w:rFonts w:ascii="Arial" w:hAnsi="Arial" w:cs="Arial"/>
                <w:i/>
                <w:sz w:val="18"/>
                <w:szCs w:val="18"/>
                <w:lang w:val="en-US"/>
              </w:rPr>
              <w:tab/>
              <w:t>,242</w:t>
            </w:r>
          </w:p>
        </w:tc>
        <w:tc>
          <w:tcPr>
            <w:tcW w:w="101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p w:rsidR="00AE4097" w:rsidRDefault="00AE4097" w:rsidP="00176384">
            <w:pPr>
              <w:ind w:left="60" w:right="60"/>
              <w:jc w:val="right"/>
              <w:rPr>
                <w:rFonts w:ascii="Arial" w:hAnsi="Arial" w:cs="Arial"/>
                <w:i/>
                <w:sz w:val="18"/>
                <w:szCs w:val="18"/>
                <w:lang w:val="en-US"/>
              </w:rPr>
            </w:pPr>
            <w:r>
              <w:rPr>
                <w:rFonts w:ascii="Arial" w:hAnsi="Arial" w:cs="Arial"/>
                <w:i/>
                <w:sz w:val="18"/>
                <w:szCs w:val="18"/>
                <w:lang w:val="en-US"/>
              </w:rPr>
              <w:t>18</w:t>
            </w:r>
          </w:p>
        </w:tc>
        <w:tc>
          <w:tcPr>
            <w:tcW w:w="1011" w:type="dxa"/>
            <w:tcBorders>
              <w:top w:val="nil"/>
              <w:left w:val="single" w:sz="8" w:space="0" w:color="000000"/>
              <w:bottom w:val="nil"/>
              <w:right w:val="single" w:sz="4" w:space="0" w:color="auto"/>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,000</w:t>
            </w:r>
          </w:p>
          <w:p w:rsidR="00AE4097" w:rsidRDefault="00AE4097" w:rsidP="00176384">
            <w:pPr>
              <w:ind w:left="60" w:right="60"/>
              <w:jc w:val="right"/>
              <w:rPr>
                <w:rFonts w:ascii="Arial" w:hAnsi="Arial" w:cs="Arial"/>
                <w:i/>
                <w:sz w:val="18"/>
                <w:szCs w:val="18"/>
                <w:lang w:val="en-US"/>
              </w:rPr>
            </w:pPr>
            <w:r>
              <w:rPr>
                <w:rFonts w:ascii="Arial" w:hAnsi="Arial" w:cs="Arial"/>
                <w:i/>
                <w:sz w:val="18"/>
                <w:szCs w:val="18"/>
                <w:lang w:val="en-US"/>
              </w:rPr>
              <w:t>,018</w:t>
            </w:r>
          </w:p>
        </w:tc>
      </w:tr>
      <w:tr w:rsidR="00AE4097" w:rsidTr="00176384">
        <w:trPr>
          <w:cantSplit/>
          <w:tblHeader/>
          <w:jc w:val="center"/>
        </w:trPr>
        <w:tc>
          <w:tcPr>
            <w:tcW w:w="1999" w:type="dxa"/>
            <w:tcBorders>
              <w:top w:val="nil"/>
              <w:left w:val="single" w:sz="16" w:space="0" w:color="000000"/>
              <w:bottom w:val="nil"/>
              <w:right w:val="single" w:sz="18"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ROA0809</w:t>
            </w:r>
          </w:p>
        </w:tc>
        <w:tc>
          <w:tcPr>
            <w:tcW w:w="1010" w:type="dxa"/>
            <w:tcBorders>
              <w:top w:val="nil"/>
              <w:left w:val="single" w:sz="1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,138</w:t>
            </w:r>
          </w:p>
        </w:tc>
        <w:tc>
          <w:tcPr>
            <w:tcW w:w="101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011" w:type="dxa"/>
            <w:tcBorders>
              <w:top w:val="nil"/>
              <w:left w:val="single" w:sz="8" w:space="0" w:color="000000"/>
              <w:bottom w:val="nil"/>
              <w:right w:val="single" w:sz="4" w:space="0" w:color="auto"/>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,200</w:t>
            </w:r>
          </w:p>
        </w:tc>
      </w:tr>
      <w:tr w:rsidR="00AE4097" w:rsidTr="00176384">
        <w:trPr>
          <w:cantSplit/>
          <w:tblHeader/>
          <w:jc w:val="center"/>
        </w:trPr>
        <w:tc>
          <w:tcPr>
            <w:tcW w:w="1999" w:type="dxa"/>
            <w:tcBorders>
              <w:top w:val="nil"/>
              <w:left w:val="single" w:sz="16" w:space="0" w:color="000000"/>
              <w:bottom w:val="nil"/>
              <w:right w:val="single" w:sz="18"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DebtEquity0607</w:t>
            </w:r>
          </w:p>
        </w:tc>
        <w:tc>
          <w:tcPr>
            <w:tcW w:w="1010" w:type="dxa"/>
            <w:tcBorders>
              <w:top w:val="nil"/>
              <w:left w:val="single" w:sz="1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,182</w:t>
            </w:r>
          </w:p>
        </w:tc>
        <w:tc>
          <w:tcPr>
            <w:tcW w:w="101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011" w:type="dxa"/>
            <w:tcBorders>
              <w:top w:val="nil"/>
              <w:left w:val="single" w:sz="8" w:space="0" w:color="000000"/>
              <w:bottom w:val="nil"/>
              <w:right w:val="single" w:sz="4" w:space="0" w:color="auto"/>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,119</w:t>
            </w:r>
          </w:p>
        </w:tc>
      </w:tr>
      <w:tr w:rsidR="00AE4097" w:rsidTr="00176384">
        <w:trPr>
          <w:cantSplit/>
          <w:tblHeader/>
          <w:jc w:val="center"/>
        </w:trPr>
        <w:tc>
          <w:tcPr>
            <w:tcW w:w="1999" w:type="dxa"/>
            <w:tcBorders>
              <w:top w:val="nil"/>
              <w:left w:val="single" w:sz="16" w:space="0" w:color="000000"/>
              <w:bottom w:val="single" w:sz="16" w:space="0" w:color="000000"/>
              <w:right w:val="single" w:sz="18"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DebtEquity0809</w:t>
            </w:r>
          </w:p>
        </w:tc>
        <w:tc>
          <w:tcPr>
            <w:tcW w:w="1010" w:type="dxa"/>
            <w:tcBorders>
              <w:top w:val="nil"/>
              <w:left w:val="single" w:sz="18" w:space="0" w:color="000000"/>
              <w:bottom w:val="single" w:sz="18" w:space="0" w:color="000000"/>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,178</w:t>
            </w:r>
          </w:p>
        </w:tc>
        <w:tc>
          <w:tcPr>
            <w:tcW w:w="1010" w:type="dxa"/>
            <w:tcBorders>
              <w:top w:val="nil"/>
              <w:left w:val="single" w:sz="8" w:space="0" w:color="000000"/>
              <w:bottom w:val="single" w:sz="18" w:space="0" w:color="000000"/>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011" w:type="dxa"/>
            <w:tcBorders>
              <w:top w:val="nil"/>
              <w:left w:val="single" w:sz="8" w:space="0" w:color="000000"/>
              <w:bottom w:val="single" w:sz="18" w:space="0" w:color="000000"/>
              <w:right w:val="single" w:sz="4" w:space="0" w:color="auto"/>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,134</w:t>
            </w:r>
          </w:p>
        </w:tc>
      </w:tr>
    </w:tbl>
    <w:p w:rsidR="00AE4097" w:rsidRDefault="00AE4097" w:rsidP="00AE4097">
      <w:pPr>
        <w:ind w:left="3402" w:firstLine="567"/>
        <w:rPr>
          <w:b/>
          <w:sz w:val="20"/>
          <w:lang w:val="en-US"/>
        </w:rPr>
      </w:pPr>
      <w:r>
        <w:rPr>
          <w:b/>
          <w:sz w:val="20"/>
          <w:lang w:val="en-US"/>
        </w:rPr>
        <w:t xml:space="preserve">  Table 3: Kolmogorov-Smirnov test</w:t>
      </w:r>
    </w:p>
    <w:p w:rsidR="00AE4097" w:rsidRDefault="00AE4097" w:rsidP="00AE4097">
      <w:pPr>
        <w:spacing w:line="360" w:lineRule="auto"/>
        <w:rPr>
          <w:sz w:val="22"/>
          <w:lang w:val="en-US"/>
        </w:rPr>
      </w:pPr>
      <w:r>
        <w:rPr>
          <w:sz w:val="22"/>
          <w:lang w:val="en-US"/>
        </w:rPr>
        <w:tab/>
      </w:r>
    </w:p>
    <w:p w:rsidR="00AE4097" w:rsidRDefault="00AE4097" w:rsidP="00AE4097">
      <w:pPr>
        <w:pStyle w:val="BodyText"/>
        <w:suppressAutoHyphens/>
        <w:spacing w:line="360" w:lineRule="auto"/>
        <w:ind w:firstLine="567"/>
        <w:rPr>
          <w:sz w:val="22"/>
          <w:szCs w:val="22"/>
        </w:rPr>
      </w:pPr>
      <w:r>
        <w:rPr>
          <w:sz w:val="22"/>
          <w:szCs w:val="22"/>
          <w:lang w:val="en-US"/>
        </w:rPr>
        <w:t xml:space="preserve">Table 3 shows that the risk disclosure score of 2006-2007 has a significance value of 0.2 and for the risk disclosure score of 2008-2009 this is 0.06. For 2008-2009 the significance value of the ROA is 0.200, </w:t>
      </w:r>
      <w:r>
        <w:rPr>
          <w:sz w:val="22"/>
          <w:szCs w:val="22"/>
        </w:rPr>
        <w:t xml:space="preserve">for 2006-2007 </w:t>
      </w:r>
      <w:r>
        <w:rPr>
          <w:sz w:val="22"/>
          <w:szCs w:val="22"/>
          <w:lang w:val="en-US"/>
        </w:rPr>
        <w:t xml:space="preserve">the </w:t>
      </w:r>
      <w:r>
        <w:rPr>
          <w:sz w:val="22"/>
          <w:szCs w:val="22"/>
        </w:rPr>
        <w:t xml:space="preserve">D/E ratio is one of 0.119 and 0.134 for 2008-2009. </w:t>
      </w:r>
      <w:r>
        <w:rPr>
          <w:sz w:val="22"/>
          <w:szCs w:val="22"/>
          <w:lang w:val="en-US"/>
        </w:rPr>
        <w:t xml:space="preserve">With a significance level of 5%, not any variable is significant, because P&gt;0.05. The distribution for all variables is not significantly different from a normal distribution, except for ROA 2006-2007. The variables are approximately normally distributed. </w:t>
      </w:r>
    </w:p>
    <w:p w:rsidR="00AE4097" w:rsidRDefault="00AE4097" w:rsidP="00AE4097">
      <w:pPr>
        <w:pStyle w:val="BodyText"/>
        <w:suppressAutoHyphens/>
        <w:spacing w:line="360" w:lineRule="auto"/>
        <w:ind w:firstLine="567"/>
        <w:rPr>
          <w:color w:val="FF0000"/>
          <w:sz w:val="22"/>
          <w:szCs w:val="22"/>
          <w:lang w:val="en-US"/>
        </w:rPr>
      </w:pPr>
      <w:r>
        <w:rPr>
          <w:sz w:val="22"/>
          <w:szCs w:val="22"/>
          <w:lang w:val="en-US"/>
        </w:rPr>
        <w:lastRenderedPageBreak/>
        <w:t>For 2006-2007 t</w:t>
      </w:r>
      <w:r w:rsidRPr="005A4748">
        <w:rPr>
          <w:sz w:val="22"/>
          <w:szCs w:val="22"/>
        </w:rPr>
        <w:t xml:space="preserve">he variable </w:t>
      </w:r>
      <w:r w:rsidRPr="005A4748">
        <w:rPr>
          <w:sz w:val="22"/>
          <w:szCs w:val="22"/>
          <w:lang w:val="en-US"/>
        </w:rPr>
        <w:t xml:space="preserve">ROA has a significance value of 0.000, which means that P&lt;0.05. The distribution is significantly different from a normal </w:t>
      </w:r>
      <w:proofErr w:type="gramStart"/>
      <w:r w:rsidRPr="005A4748">
        <w:rPr>
          <w:sz w:val="22"/>
          <w:szCs w:val="22"/>
          <w:lang w:val="en-US"/>
        </w:rPr>
        <w:t>distribution,</w:t>
      </w:r>
      <w:proofErr w:type="gramEnd"/>
      <w:r w:rsidRPr="005A4748">
        <w:rPr>
          <w:sz w:val="22"/>
          <w:szCs w:val="22"/>
          <w:lang w:val="en-US"/>
        </w:rPr>
        <w:t xml:space="preserve"> the ROA for 2006-2007 is non-normally distributed. Therefore the variable is converted to a natural logarithm to minimize the impact of extreme values and to improve approximation of the variables to a normal distribution (Linsley and Shrives, 2006a; Abraham and Cox, 2007). The variable LNROA 2006-2007 is significantly different from the normal distribution with a signif</w:t>
      </w:r>
      <w:r>
        <w:rPr>
          <w:sz w:val="22"/>
          <w:szCs w:val="22"/>
          <w:lang w:val="en-US"/>
        </w:rPr>
        <w:t xml:space="preserve">icance level of 5% (0.018&lt;0.05). Both outcomes are identical. </w:t>
      </w:r>
      <w:r w:rsidRPr="005A4748">
        <w:rPr>
          <w:sz w:val="22"/>
          <w:szCs w:val="22"/>
          <w:lang w:val="en-US"/>
        </w:rPr>
        <w:t>However, when a significance level of 1% is used, then the LNROA 2006-2007 is normal distributed (P&gt;0.01). For the consistency of this research, a 95%-confidence interval is used for all variables. Since both the ROA 2006-2007 and the LNROA 2006-2007 lead to the same conclusion with regard to the normal distribution, for this research the ROA 2006-2007 is used. T</w:t>
      </w:r>
      <w:r>
        <w:rPr>
          <w:sz w:val="22"/>
          <w:szCs w:val="22"/>
          <w:lang w:val="en-US"/>
        </w:rPr>
        <w:t>he results of the Kolmogorov-Smirnov test are in line with the normal QQ-</w:t>
      </w:r>
      <w:proofErr w:type="gramStart"/>
      <w:r>
        <w:rPr>
          <w:sz w:val="22"/>
          <w:szCs w:val="22"/>
          <w:lang w:val="en-US"/>
        </w:rPr>
        <w:t>plots(</w:t>
      </w:r>
      <w:proofErr w:type="gramEnd"/>
      <w:r>
        <w:rPr>
          <w:sz w:val="22"/>
          <w:szCs w:val="22"/>
          <w:lang w:val="en-US"/>
        </w:rPr>
        <w:t>appendix XI).</w:t>
      </w:r>
    </w:p>
    <w:p w:rsidR="00AE4097" w:rsidRDefault="00AE4097" w:rsidP="00AE4097">
      <w:pPr>
        <w:pStyle w:val="BodyText"/>
        <w:suppressAutoHyphens/>
        <w:spacing w:line="360" w:lineRule="auto"/>
        <w:ind w:firstLine="567"/>
        <w:rPr>
          <w:sz w:val="22"/>
          <w:szCs w:val="22"/>
          <w:lang w:val="en-US"/>
        </w:rPr>
      </w:pPr>
      <w:r>
        <w:rPr>
          <w:sz w:val="22"/>
          <w:szCs w:val="22"/>
          <w:lang w:val="en-US"/>
        </w:rPr>
        <w:t>Another method of testing the normality is the Skewness (S) and Kurtosis (K) of a variable.</w:t>
      </w:r>
      <w:r>
        <w:rPr>
          <w:rStyle w:val="FootnoteReference"/>
          <w:rFonts w:ascii="Times New Roman" w:hAnsi="Times New Roman"/>
          <w:szCs w:val="22"/>
          <w:lang w:val="en-US"/>
        </w:rPr>
        <w:footnoteReference w:id="2"/>
      </w:r>
      <w:r>
        <w:rPr>
          <w:sz w:val="22"/>
          <w:szCs w:val="22"/>
          <w:lang w:val="en-US"/>
        </w:rPr>
        <w:t xml:space="preserve"> </w:t>
      </w:r>
      <w:r>
        <w:rPr>
          <w:sz w:val="22"/>
          <w:lang w:val="en-US"/>
        </w:rPr>
        <w:t xml:space="preserve">The further the value is from zero, the more likely it is that the data are not normally distributed </w:t>
      </w:r>
      <w:r>
        <w:rPr>
          <w:sz w:val="22"/>
          <w:szCs w:val="22"/>
          <w:lang w:val="en-US"/>
        </w:rPr>
        <w:t>(Field, 2009)</w:t>
      </w:r>
      <w:r>
        <w:rPr>
          <w:sz w:val="22"/>
          <w:lang w:val="en-US"/>
        </w:rPr>
        <w:t xml:space="preserve">. </w:t>
      </w:r>
      <w:r>
        <w:rPr>
          <w:sz w:val="22"/>
          <w:szCs w:val="22"/>
          <w:lang w:val="en-US"/>
        </w:rPr>
        <w:t>In the table below, the results of this test are showed.</w:t>
      </w:r>
    </w:p>
    <w:p w:rsidR="00AE4097" w:rsidRDefault="00AE4097" w:rsidP="00AE4097">
      <w:pPr>
        <w:pStyle w:val="BodyText"/>
        <w:spacing w:line="360" w:lineRule="auto"/>
        <w:ind w:firstLine="567"/>
        <w:rPr>
          <w:color w:val="FF0000"/>
          <w:sz w:val="22"/>
          <w:szCs w:val="22"/>
          <w:lang w:val="en-US"/>
        </w:rPr>
      </w:pPr>
    </w:p>
    <w:tbl>
      <w:tblPr>
        <w:tblW w:w="7158" w:type="dxa"/>
        <w:jc w:val="center"/>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99"/>
        <w:gridCol w:w="1010"/>
        <w:gridCol w:w="1010"/>
        <w:gridCol w:w="1064"/>
        <w:gridCol w:w="1011"/>
        <w:gridCol w:w="1064"/>
      </w:tblGrid>
      <w:tr w:rsidR="00AE4097" w:rsidTr="00176384">
        <w:trPr>
          <w:cantSplit/>
          <w:tblHeader/>
          <w:jc w:val="center"/>
        </w:trPr>
        <w:tc>
          <w:tcPr>
            <w:tcW w:w="1999"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AE4097" w:rsidRDefault="00AE4097" w:rsidP="00176384">
            <w:pPr>
              <w:jc w:val="center"/>
              <w:rPr>
                <w:lang w:val="en-US"/>
              </w:rPr>
            </w:pPr>
          </w:p>
        </w:tc>
        <w:tc>
          <w:tcPr>
            <w:tcW w:w="1010" w:type="dxa"/>
            <w:tcBorders>
              <w:top w:val="single" w:sz="16" w:space="0" w:color="000000"/>
              <w:left w:val="single" w:sz="16" w:space="0" w:color="000000"/>
              <w:bottom w:val="single" w:sz="8"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N</w:t>
            </w:r>
          </w:p>
        </w:tc>
        <w:tc>
          <w:tcPr>
            <w:tcW w:w="2074" w:type="dxa"/>
            <w:gridSpan w:val="2"/>
            <w:tcBorders>
              <w:top w:val="single" w:sz="16" w:space="0" w:color="000000"/>
              <w:left w:val="single" w:sz="8" w:space="0" w:color="000000"/>
              <w:bottom w:val="single" w:sz="8"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Skewness</w:t>
            </w:r>
          </w:p>
        </w:tc>
        <w:tc>
          <w:tcPr>
            <w:tcW w:w="2075" w:type="dxa"/>
            <w:gridSpan w:val="2"/>
            <w:tcBorders>
              <w:top w:val="single" w:sz="16" w:space="0" w:color="000000"/>
              <w:left w:val="single" w:sz="8" w:space="0" w:color="000000"/>
              <w:bottom w:val="single" w:sz="8" w:space="0" w:color="000000"/>
              <w:right w:val="single" w:sz="16"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Kurtosis</w:t>
            </w:r>
          </w:p>
        </w:tc>
      </w:tr>
      <w:tr w:rsidR="00AE4097" w:rsidTr="00176384">
        <w:trPr>
          <w:cantSplit/>
          <w:tblHeader/>
          <w:jc w:val="center"/>
        </w:trPr>
        <w:tc>
          <w:tcPr>
            <w:tcW w:w="1999"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AE4097" w:rsidRDefault="00AE4097" w:rsidP="00176384">
            <w:pPr>
              <w:rPr>
                <w:rFonts w:ascii="Arial" w:hAnsi="Arial" w:cs="Arial"/>
                <w:sz w:val="18"/>
                <w:szCs w:val="18"/>
                <w:lang w:val="en-US"/>
              </w:rPr>
            </w:pPr>
          </w:p>
        </w:tc>
        <w:tc>
          <w:tcPr>
            <w:tcW w:w="1010" w:type="dxa"/>
            <w:tcBorders>
              <w:top w:val="single" w:sz="8" w:space="0" w:color="000000"/>
              <w:left w:val="single" w:sz="16"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Statistic</w:t>
            </w:r>
          </w:p>
        </w:tc>
        <w:tc>
          <w:tcPr>
            <w:tcW w:w="1010" w:type="dxa"/>
            <w:tcBorders>
              <w:top w:val="single" w:sz="8" w:space="0" w:color="000000"/>
              <w:left w:val="single" w:sz="8"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Statistic</w:t>
            </w:r>
          </w:p>
        </w:tc>
        <w:tc>
          <w:tcPr>
            <w:tcW w:w="1064" w:type="dxa"/>
            <w:tcBorders>
              <w:top w:val="single" w:sz="8" w:space="0" w:color="000000"/>
              <w:left w:val="single" w:sz="8"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Std. Error</w:t>
            </w:r>
          </w:p>
        </w:tc>
        <w:tc>
          <w:tcPr>
            <w:tcW w:w="1011" w:type="dxa"/>
            <w:tcBorders>
              <w:top w:val="single" w:sz="8" w:space="0" w:color="000000"/>
              <w:left w:val="single" w:sz="8"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Statistic</w:t>
            </w:r>
          </w:p>
        </w:tc>
        <w:tc>
          <w:tcPr>
            <w:tcW w:w="1064" w:type="dxa"/>
            <w:tcBorders>
              <w:top w:val="single" w:sz="8" w:space="0" w:color="000000"/>
              <w:left w:val="single" w:sz="8" w:space="0" w:color="000000"/>
              <w:bottom w:val="single" w:sz="16" w:space="0" w:color="000000"/>
              <w:right w:val="single" w:sz="16"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Std. Error</w:t>
            </w:r>
          </w:p>
        </w:tc>
      </w:tr>
      <w:tr w:rsidR="00AE4097" w:rsidTr="00176384">
        <w:trPr>
          <w:cantSplit/>
          <w:tblHeader/>
          <w:jc w:val="center"/>
        </w:trPr>
        <w:tc>
          <w:tcPr>
            <w:tcW w:w="1999" w:type="dxa"/>
            <w:tcBorders>
              <w:top w:val="single" w:sz="16" w:space="0" w:color="000000"/>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RiskDisclScore0607</w:t>
            </w:r>
          </w:p>
        </w:tc>
        <w:tc>
          <w:tcPr>
            <w:tcW w:w="1010" w:type="dxa"/>
            <w:tcBorders>
              <w:top w:val="single" w:sz="16" w:space="0" w:color="000000"/>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010" w:type="dxa"/>
            <w:tcBorders>
              <w:top w:val="single" w:sz="16" w:space="0" w:color="000000"/>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,075</w:t>
            </w:r>
          </w:p>
        </w:tc>
        <w:tc>
          <w:tcPr>
            <w:tcW w:w="1064" w:type="dxa"/>
            <w:tcBorders>
              <w:top w:val="single" w:sz="16" w:space="0" w:color="000000"/>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,536</w:t>
            </w:r>
          </w:p>
        </w:tc>
        <w:tc>
          <w:tcPr>
            <w:tcW w:w="1011" w:type="dxa"/>
            <w:tcBorders>
              <w:top w:val="single" w:sz="16" w:space="0" w:color="000000"/>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-,743</w:t>
            </w:r>
          </w:p>
        </w:tc>
        <w:tc>
          <w:tcPr>
            <w:tcW w:w="1064" w:type="dxa"/>
            <w:tcBorders>
              <w:top w:val="single" w:sz="16" w:space="0" w:color="000000"/>
              <w:left w:val="single" w:sz="8" w:space="0" w:color="000000"/>
              <w:bottom w:val="nil"/>
              <w:right w:val="single" w:sz="16"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1,038</w:t>
            </w:r>
          </w:p>
        </w:tc>
      </w:tr>
      <w:tr w:rsidR="00AE4097" w:rsidTr="00176384">
        <w:trPr>
          <w:cantSplit/>
          <w:tblHeader/>
          <w:jc w:val="center"/>
        </w:trPr>
        <w:tc>
          <w:tcPr>
            <w:tcW w:w="1999" w:type="dxa"/>
            <w:tcBorders>
              <w:top w:val="nil"/>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RiskDisclScore0809</w:t>
            </w:r>
          </w:p>
        </w:tc>
        <w:tc>
          <w:tcPr>
            <w:tcW w:w="1010"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01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,128</w:t>
            </w:r>
          </w:p>
        </w:tc>
        <w:tc>
          <w:tcPr>
            <w:tcW w:w="1064"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,536</w:t>
            </w:r>
          </w:p>
        </w:tc>
        <w:tc>
          <w:tcPr>
            <w:tcW w:w="1011"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-1,488</w:t>
            </w:r>
          </w:p>
        </w:tc>
        <w:tc>
          <w:tcPr>
            <w:tcW w:w="1064" w:type="dxa"/>
            <w:tcBorders>
              <w:top w:val="nil"/>
              <w:left w:val="single" w:sz="8" w:space="0" w:color="000000"/>
              <w:bottom w:val="nil"/>
              <w:right w:val="single" w:sz="16"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1,038</w:t>
            </w:r>
          </w:p>
        </w:tc>
      </w:tr>
      <w:tr w:rsidR="00AE4097" w:rsidTr="00176384">
        <w:trPr>
          <w:cantSplit/>
          <w:tblHeader/>
          <w:jc w:val="center"/>
        </w:trPr>
        <w:tc>
          <w:tcPr>
            <w:tcW w:w="1999" w:type="dxa"/>
            <w:tcBorders>
              <w:top w:val="nil"/>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ROA0607</w:t>
            </w:r>
          </w:p>
        </w:tc>
        <w:tc>
          <w:tcPr>
            <w:tcW w:w="1010"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01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3,098</w:t>
            </w:r>
          </w:p>
        </w:tc>
        <w:tc>
          <w:tcPr>
            <w:tcW w:w="1064"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,536</w:t>
            </w:r>
          </w:p>
        </w:tc>
        <w:tc>
          <w:tcPr>
            <w:tcW w:w="1011"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9,922</w:t>
            </w:r>
          </w:p>
        </w:tc>
        <w:tc>
          <w:tcPr>
            <w:tcW w:w="1064" w:type="dxa"/>
            <w:tcBorders>
              <w:top w:val="nil"/>
              <w:left w:val="single" w:sz="8" w:space="0" w:color="000000"/>
              <w:bottom w:val="nil"/>
              <w:right w:val="single" w:sz="16"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1,038</w:t>
            </w:r>
          </w:p>
        </w:tc>
      </w:tr>
      <w:tr w:rsidR="00AE4097" w:rsidTr="00176384">
        <w:trPr>
          <w:cantSplit/>
          <w:tblHeader/>
          <w:jc w:val="center"/>
        </w:trPr>
        <w:tc>
          <w:tcPr>
            <w:tcW w:w="1999" w:type="dxa"/>
            <w:tcBorders>
              <w:top w:val="nil"/>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ROA0809</w:t>
            </w:r>
          </w:p>
        </w:tc>
        <w:tc>
          <w:tcPr>
            <w:tcW w:w="1010"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01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,536</w:t>
            </w:r>
          </w:p>
        </w:tc>
        <w:tc>
          <w:tcPr>
            <w:tcW w:w="1064"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,536</w:t>
            </w:r>
          </w:p>
        </w:tc>
        <w:tc>
          <w:tcPr>
            <w:tcW w:w="1011"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-,630</w:t>
            </w:r>
          </w:p>
        </w:tc>
        <w:tc>
          <w:tcPr>
            <w:tcW w:w="1064" w:type="dxa"/>
            <w:tcBorders>
              <w:top w:val="nil"/>
              <w:left w:val="single" w:sz="8" w:space="0" w:color="000000"/>
              <w:bottom w:val="nil"/>
              <w:right w:val="single" w:sz="16"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1,038</w:t>
            </w:r>
          </w:p>
        </w:tc>
      </w:tr>
      <w:tr w:rsidR="00AE4097" w:rsidTr="00176384">
        <w:trPr>
          <w:cantSplit/>
          <w:tblHeader/>
          <w:jc w:val="center"/>
        </w:trPr>
        <w:tc>
          <w:tcPr>
            <w:tcW w:w="1999" w:type="dxa"/>
            <w:tcBorders>
              <w:top w:val="nil"/>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DebtEquity0607</w:t>
            </w:r>
          </w:p>
        </w:tc>
        <w:tc>
          <w:tcPr>
            <w:tcW w:w="1010"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01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1,282</w:t>
            </w:r>
          </w:p>
        </w:tc>
        <w:tc>
          <w:tcPr>
            <w:tcW w:w="1064"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,536</w:t>
            </w:r>
          </w:p>
        </w:tc>
        <w:tc>
          <w:tcPr>
            <w:tcW w:w="1011"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,834</w:t>
            </w:r>
          </w:p>
        </w:tc>
        <w:tc>
          <w:tcPr>
            <w:tcW w:w="1064" w:type="dxa"/>
            <w:tcBorders>
              <w:top w:val="nil"/>
              <w:left w:val="single" w:sz="8" w:space="0" w:color="000000"/>
              <w:bottom w:val="nil"/>
              <w:right w:val="single" w:sz="16"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1,038</w:t>
            </w:r>
          </w:p>
        </w:tc>
      </w:tr>
      <w:tr w:rsidR="00AE4097" w:rsidTr="00176384">
        <w:trPr>
          <w:cantSplit/>
          <w:tblHeader/>
          <w:jc w:val="center"/>
        </w:trPr>
        <w:tc>
          <w:tcPr>
            <w:tcW w:w="1999" w:type="dxa"/>
            <w:tcBorders>
              <w:top w:val="nil"/>
              <w:left w:val="single" w:sz="16" w:space="0" w:color="000000"/>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DebtEquity0809</w:t>
            </w:r>
          </w:p>
        </w:tc>
        <w:tc>
          <w:tcPr>
            <w:tcW w:w="1010"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010"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1,221</w:t>
            </w:r>
          </w:p>
        </w:tc>
        <w:tc>
          <w:tcPr>
            <w:tcW w:w="1064"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,536</w:t>
            </w:r>
          </w:p>
        </w:tc>
        <w:tc>
          <w:tcPr>
            <w:tcW w:w="1011" w:type="dxa"/>
            <w:tcBorders>
              <w:top w:val="nil"/>
              <w:left w:val="single" w:sz="8"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1,151</w:t>
            </w:r>
          </w:p>
        </w:tc>
        <w:tc>
          <w:tcPr>
            <w:tcW w:w="1064" w:type="dxa"/>
            <w:tcBorders>
              <w:top w:val="nil"/>
              <w:left w:val="single" w:sz="8" w:space="0" w:color="000000"/>
              <w:bottom w:val="nil"/>
              <w:right w:val="single" w:sz="16"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1,038</w:t>
            </w:r>
          </w:p>
        </w:tc>
      </w:tr>
      <w:tr w:rsidR="00AE4097" w:rsidTr="00176384">
        <w:trPr>
          <w:cantSplit/>
          <w:jc w:val="center"/>
        </w:trPr>
        <w:tc>
          <w:tcPr>
            <w:tcW w:w="1999" w:type="dxa"/>
            <w:tcBorders>
              <w:top w:val="nil"/>
              <w:left w:val="single" w:sz="16" w:space="0" w:color="000000"/>
              <w:bottom w:val="single" w:sz="16" w:space="0" w:color="000000"/>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Valid N (</w:t>
            </w:r>
            <w:proofErr w:type="spellStart"/>
            <w:r>
              <w:rPr>
                <w:rFonts w:ascii="Arial" w:hAnsi="Arial" w:cs="Arial"/>
                <w:sz w:val="18"/>
                <w:szCs w:val="18"/>
                <w:lang w:val="en-US"/>
              </w:rPr>
              <w:t>listwise</w:t>
            </w:r>
            <w:proofErr w:type="spellEnd"/>
            <w:r>
              <w:rPr>
                <w:rFonts w:ascii="Arial" w:hAnsi="Arial" w:cs="Arial"/>
                <w:sz w:val="18"/>
                <w:szCs w:val="18"/>
                <w:lang w:val="en-US"/>
              </w:rPr>
              <w:t>)</w:t>
            </w:r>
          </w:p>
        </w:tc>
        <w:tc>
          <w:tcPr>
            <w:tcW w:w="1010" w:type="dxa"/>
            <w:tcBorders>
              <w:top w:val="nil"/>
              <w:left w:val="single" w:sz="16" w:space="0" w:color="000000"/>
              <w:bottom w:val="single" w:sz="16" w:space="0" w:color="000000"/>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c>
          <w:tcPr>
            <w:tcW w:w="1010" w:type="dxa"/>
            <w:tcBorders>
              <w:top w:val="nil"/>
              <w:left w:val="single" w:sz="8" w:space="0" w:color="000000"/>
              <w:bottom w:val="single" w:sz="16" w:space="0" w:color="000000"/>
              <w:right w:val="single" w:sz="8" w:space="0" w:color="000000"/>
            </w:tcBorders>
            <w:shd w:val="clear" w:color="auto" w:fill="FFFFFF"/>
            <w:vAlign w:val="center"/>
          </w:tcPr>
          <w:p w:rsidR="00AE4097" w:rsidRDefault="00AE4097" w:rsidP="00176384">
            <w:pPr>
              <w:jc w:val="center"/>
              <w:rPr>
                <w:lang w:val="en-US"/>
              </w:rPr>
            </w:pPr>
          </w:p>
        </w:tc>
        <w:tc>
          <w:tcPr>
            <w:tcW w:w="1064" w:type="dxa"/>
            <w:tcBorders>
              <w:top w:val="nil"/>
              <w:left w:val="single" w:sz="8" w:space="0" w:color="000000"/>
              <w:bottom w:val="single" w:sz="16" w:space="0" w:color="000000"/>
              <w:right w:val="single" w:sz="8" w:space="0" w:color="000000"/>
            </w:tcBorders>
            <w:shd w:val="clear" w:color="auto" w:fill="FFFFFF"/>
            <w:vAlign w:val="center"/>
          </w:tcPr>
          <w:p w:rsidR="00AE4097" w:rsidRDefault="00AE4097" w:rsidP="00176384">
            <w:pPr>
              <w:jc w:val="center"/>
              <w:rPr>
                <w:lang w:val="en-US"/>
              </w:rPr>
            </w:pPr>
          </w:p>
        </w:tc>
        <w:tc>
          <w:tcPr>
            <w:tcW w:w="1011" w:type="dxa"/>
            <w:tcBorders>
              <w:top w:val="nil"/>
              <w:left w:val="single" w:sz="8" w:space="0" w:color="000000"/>
              <w:bottom w:val="single" w:sz="16" w:space="0" w:color="000000"/>
              <w:right w:val="single" w:sz="8" w:space="0" w:color="000000"/>
            </w:tcBorders>
            <w:shd w:val="clear" w:color="auto" w:fill="FFFFFF"/>
            <w:vAlign w:val="center"/>
          </w:tcPr>
          <w:p w:rsidR="00AE4097" w:rsidRDefault="00AE4097" w:rsidP="00176384">
            <w:pPr>
              <w:jc w:val="center"/>
              <w:rPr>
                <w:lang w:val="en-US"/>
              </w:rPr>
            </w:pPr>
          </w:p>
        </w:tc>
        <w:tc>
          <w:tcPr>
            <w:tcW w:w="1064" w:type="dxa"/>
            <w:tcBorders>
              <w:top w:val="nil"/>
              <w:left w:val="single" w:sz="8" w:space="0" w:color="000000"/>
              <w:bottom w:val="single" w:sz="16" w:space="0" w:color="000000"/>
              <w:right w:val="single" w:sz="16" w:space="0" w:color="000000"/>
            </w:tcBorders>
            <w:shd w:val="clear" w:color="auto" w:fill="FFFFFF"/>
            <w:vAlign w:val="center"/>
          </w:tcPr>
          <w:p w:rsidR="00AE4097" w:rsidRDefault="00AE4097" w:rsidP="00176384">
            <w:pPr>
              <w:jc w:val="center"/>
              <w:rPr>
                <w:lang w:val="en-US"/>
              </w:rPr>
            </w:pPr>
          </w:p>
        </w:tc>
      </w:tr>
    </w:tbl>
    <w:p w:rsidR="00AE4097" w:rsidRDefault="00AE4097" w:rsidP="00AE4097">
      <w:pPr>
        <w:ind w:left="3969" w:firstLine="567"/>
        <w:rPr>
          <w:b/>
          <w:sz w:val="20"/>
          <w:szCs w:val="20"/>
          <w:lang w:val="en-US"/>
        </w:rPr>
      </w:pPr>
      <w:r>
        <w:rPr>
          <w:b/>
          <w:sz w:val="20"/>
          <w:szCs w:val="20"/>
          <w:lang w:val="en-US"/>
        </w:rPr>
        <w:t xml:space="preserve">         Table 4: Skewness and Kurtosis test</w:t>
      </w:r>
    </w:p>
    <w:p w:rsidR="00AE4097" w:rsidRDefault="00AE4097" w:rsidP="00AE4097">
      <w:pPr>
        <w:spacing w:line="360" w:lineRule="auto"/>
        <w:rPr>
          <w:bCs/>
          <w:sz w:val="22"/>
          <w:szCs w:val="22"/>
          <w:lang w:val="en-US"/>
        </w:rPr>
      </w:pPr>
    </w:p>
    <w:p w:rsidR="00AE4097" w:rsidRDefault="00AE4097" w:rsidP="00AE4097">
      <w:pPr>
        <w:suppressAutoHyphens/>
        <w:spacing w:line="360" w:lineRule="auto"/>
        <w:ind w:firstLine="567"/>
        <w:jc w:val="both"/>
        <w:rPr>
          <w:sz w:val="22"/>
          <w:szCs w:val="22"/>
          <w:lang w:val="en-US"/>
        </w:rPr>
      </w:pPr>
      <w:r>
        <w:rPr>
          <w:sz w:val="22"/>
          <w:szCs w:val="22"/>
          <w:lang w:val="en-US"/>
        </w:rPr>
        <w:t xml:space="preserve">The results show that the distribution of the ROA0607 is different from the normal distribution (&gt;0), which is similar to the Kolmogorov-Smirnov test.  </w:t>
      </w:r>
    </w:p>
    <w:p w:rsidR="00AE4097" w:rsidRDefault="00AE4097" w:rsidP="00AE4097">
      <w:pPr>
        <w:suppressAutoHyphens/>
        <w:spacing w:line="360" w:lineRule="auto"/>
        <w:ind w:firstLine="567"/>
        <w:jc w:val="both"/>
        <w:rPr>
          <w:sz w:val="22"/>
          <w:szCs w:val="22"/>
          <w:lang w:val="en-US"/>
        </w:rPr>
      </w:pPr>
    </w:p>
    <w:p w:rsidR="00AE4097" w:rsidRDefault="00AE4097" w:rsidP="008C2ED0">
      <w:pPr>
        <w:pStyle w:val="Heading3"/>
        <w:numPr>
          <w:ilvl w:val="2"/>
          <w:numId w:val="2"/>
        </w:numPr>
        <w:tabs>
          <w:tab w:val="num" w:pos="1004"/>
        </w:tabs>
        <w:suppressAutoHyphens/>
        <w:spacing w:before="0" w:after="0" w:line="360" w:lineRule="auto"/>
        <w:jc w:val="both"/>
        <w:rPr>
          <w:b w:val="0"/>
          <w:i/>
          <w:sz w:val="22"/>
          <w:szCs w:val="22"/>
          <w:lang w:val="en-US"/>
        </w:rPr>
      </w:pPr>
      <w:bookmarkStart w:id="174" w:name="_Toc288459382"/>
      <w:bookmarkStart w:id="175" w:name="_Toc288725923"/>
      <w:r>
        <w:rPr>
          <w:b w:val="0"/>
          <w:i/>
          <w:sz w:val="22"/>
          <w:szCs w:val="22"/>
          <w:lang w:val="en-US"/>
        </w:rPr>
        <w:t>Hypothesis 1</w:t>
      </w:r>
      <w:bookmarkEnd w:id="174"/>
      <w:bookmarkEnd w:id="175"/>
      <w:r>
        <w:rPr>
          <w:b w:val="0"/>
          <w:i/>
          <w:sz w:val="22"/>
          <w:szCs w:val="22"/>
          <w:lang w:val="en-US"/>
        </w:rPr>
        <w:t xml:space="preserve"> </w:t>
      </w:r>
    </w:p>
    <w:p w:rsidR="008131D1" w:rsidRDefault="00AE4097" w:rsidP="00AE4097">
      <w:pPr>
        <w:pStyle w:val="000"/>
        <w:suppressAutoHyphens/>
        <w:spacing w:line="360" w:lineRule="auto"/>
        <w:ind w:firstLine="567"/>
        <w:jc w:val="both"/>
        <w:rPr>
          <w:sz w:val="22"/>
          <w:szCs w:val="22"/>
          <w:lang w:val="en-US"/>
        </w:rPr>
      </w:pPr>
      <w:r>
        <w:rPr>
          <w:sz w:val="22"/>
          <w:lang w:val="en-US"/>
        </w:rPr>
        <w:t xml:space="preserve">This study examines the influence of the financial crisis on the risk paragraph of Dutch listed companies. According to hypothesis 1, it is expected that the risk disclosure scores during the crisis will be higher than the ones before the financial crisis. As just analyzed, the risk disclosure scores are normally distributed, so it is possible to do a parametric test. For this research is chosen for a </w:t>
      </w:r>
      <w:r>
        <w:rPr>
          <w:sz w:val="22"/>
          <w:szCs w:val="22"/>
          <w:lang w:val="en-US"/>
        </w:rPr>
        <w:t xml:space="preserve">paired-samples t-test, because there are two experimental conditions (before and during the financial crisis) and the same participants (18 Dutch listed companies) took part in both conditions of the experiment (Field, 2009). To perform the paired-sample t-test the average risk disclosure score of a company in the first period (2006-2007) is paired with the average risk disclosure score of the same company in 2008-2009. </w:t>
      </w:r>
    </w:p>
    <w:p w:rsidR="00AE4097" w:rsidRDefault="00AE4097" w:rsidP="00AE4097">
      <w:pPr>
        <w:pStyle w:val="000"/>
        <w:suppressAutoHyphens/>
        <w:spacing w:line="360" w:lineRule="auto"/>
        <w:jc w:val="both"/>
        <w:rPr>
          <w:sz w:val="22"/>
          <w:lang w:val="en-US"/>
        </w:rPr>
      </w:pPr>
      <w:r>
        <w:rPr>
          <w:sz w:val="22"/>
          <w:szCs w:val="22"/>
          <w:lang w:val="en-US"/>
        </w:rPr>
        <w:lastRenderedPageBreak/>
        <w:t xml:space="preserve">The results will show whether </w:t>
      </w:r>
      <w:r>
        <w:rPr>
          <w:sz w:val="22"/>
          <w:lang w:val="en-US"/>
        </w:rPr>
        <w:t>the difference between the means of the two conditions was large enough to not be a chance result (Field, 2009). The hypotheses which are tested are as follows:</w:t>
      </w:r>
    </w:p>
    <w:p w:rsidR="00AE4097" w:rsidRPr="00B71D4A" w:rsidRDefault="00AE4097" w:rsidP="00AE4097">
      <w:pPr>
        <w:pStyle w:val="000"/>
        <w:suppressAutoHyphens/>
        <w:spacing w:line="360" w:lineRule="auto"/>
        <w:jc w:val="both"/>
        <w:rPr>
          <w:sz w:val="22"/>
          <w:szCs w:val="22"/>
          <w:lang w:val="en-US"/>
        </w:rPr>
      </w:pPr>
    </w:p>
    <w:p w:rsidR="00AE4097" w:rsidRDefault="00AE4097" w:rsidP="00AE4097">
      <w:pPr>
        <w:pStyle w:val="000"/>
        <w:suppressAutoHyphens/>
        <w:spacing w:line="360" w:lineRule="auto"/>
        <w:jc w:val="both"/>
        <w:rPr>
          <w:i/>
          <w:iCs/>
          <w:sz w:val="22"/>
          <w:szCs w:val="22"/>
          <w:lang w:val="en-US"/>
        </w:rPr>
      </w:pPr>
      <w:r>
        <w:rPr>
          <w:i/>
          <w:iCs/>
          <w:sz w:val="22"/>
          <w:szCs w:val="22"/>
          <w:lang w:val="en-US"/>
        </w:rPr>
        <w:t>Ho: The means of the two groups are not significantly different</w:t>
      </w:r>
    </w:p>
    <w:p w:rsidR="00AE4097" w:rsidRDefault="00AE4097" w:rsidP="00AE4097">
      <w:pPr>
        <w:pStyle w:val="000"/>
        <w:suppressAutoHyphens/>
        <w:spacing w:line="360" w:lineRule="auto"/>
        <w:jc w:val="both"/>
        <w:rPr>
          <w:i/>
          <w:iCs/>
          <w:sz w:val="22"/>
          <w:lang w:val="en-US"/>
        </w:rPr>
      </w:pPr>
      <w:r>
        <w:rPr>
          <w:i/>
          <w:iCs/>
          <w:sz w:val="22"/>
          <w:lang w:val="en-US"/>
        </w:rPr>
        <w:t>H1: The means of the two groups are significantly different</w:t>
      </w:r>
    </w:p>
    <w:tbl>
      <w:tblPr>
        <w:tblpPr w:leftFromText="180" w:rightFromText="180" w:vertAnchor="page" w:horzAnchor="margin" w:tblpY="3571"/>
        <w:tblW w:w="95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90"/>
        <w:gridCol w:w="1810"/>
        <w:gridCol w:w="850"/>
        <w:gridCol w:w="980"/>
        <w:gridCol w:w="1090"/>
        <w:gridCol w:w="1010"/>
        <w:gridCol w:w="1060"/>
        <w:gridCol w:w="750"/>
        <w:gridCol w:w="620"/>
        <w:gridCol w:w="858"/>
      </w:tblGrid>
      <w:tr w:rsidR="00AE4097" w:rsidTr="00A82089">
        <w:trPr>
          <w:cantSplit/>
          <w:trHeight w:val="315"/>
          <w:tblHeader/>
        </w:trPr>
        <w:tc>
          <w:tcPr>
            <w:tcW w:w="230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AE4097" w:rsidRDefault="00AE4097" w:rsidP="00A82089">
            <w:pPr>
              <w:autoSpaceDE w:val="0"/>
              <w:autoSpaceDN w:val="0"/>
              <w:adjustRightInd w:val="0"/>
              <w:jc w:val="right"/>
              <w:rPr>
                <w:lang w:val="en-US" w:eastAsia="en-US"/>
              </w:rPr>
            </w:pPr>
          </w:p>
        </w:tc>
        <w:tc>
          <w:tcPr>
            <w:tcW w:w="4990" w:type="dxa"/>
            <w:gridSpan w:val="5"/>
            <w:tcBorders>
              <w:top w:val="single" w:sz="16" w:space="0" w:color="000000"/>
              <w:left w:val="single" w:sz="16" w:space="0" w:color="000000"/>
            </w:tcBorders>
            <w:shd w:val="clear" w:color="auto" w:fill="FFFFFF"/>
            <w:vAlign w:val="bottom"/>
          </w:tcPr>
          <w:p w:rsidR="00AE4097" w:rsidRDefault="00AE4097" w:rsidP="00A82089">
            <w:pPr>
              <w:autoSpaceDE w:val="0"/>
              <w:autoSpaceDN w:val="0"/>
              <w:adjustRightInd w:val="0"/>
              <w:ind w:left="60" w:right="60"/>
              <w:jc w:val="center"/>
              <w:rPr>
                <w:rFonts w:ascii="Arial" w:hAnsi="Arial" w:cs="Arial"/>
                <w:color w:val="000000"/>
                <w:sz w:val="18"/>
                <w:szCs w:val="18"/>
                <w:lang w:val="en-US" w:eastAsia="en-US"/>
              </w:rPr>
            </w:pPr>
            <w:r>
              <w:rPr>
                <w:rFonts w:ascii="Arial" w:hAnsi="Arial" w:cs="Arial"/>
                <w:color w:val="000000"/>
                <w:sz w:val="18"/>
                <w:szCs w:val="18"/>
                <w:lang w:val="en-US" w:eastAsia="en-US"/>
              </w:rPr>
              <w:t>Paired Differences</w:t>
            </w:r>
          </w:p>
        </w:tc>
        <w:tc>
          <w:tcPr>
            <w:tcW w:w="750" w:type="dxa"/>
            <w:vMerge w:val="restart"/>
            <w:tcBorders>
              <w:top w:val="single" w:sz="16" w:space="0" w:color="000000"/>
              <w:bottom w:val="single" w:sz="16" w:space="0" w:color="000000"/>
            </w:tcBorders>
            <w:shd w:val="clear" w:color="auto" w:fill="FFFFFF"/>
            <w:vAlign w:val="bottom"/>
          </w:tcPr>
          <w:p w:rsidR="00AE4097" w:rsidRDefault="00AE4097" w:rsidP="00A82089">
            <w:pPr>
              <w:autoSpaceDE w:val="0"/>
              <w:autoSpaceDN w:val="0"/>
              <w:adjustRightInd w:val="0"/>
              <w:ind w:left="60" w:right="60"/>
              <w:jc w:val="center"/>
              <w:rPr>
                <w:rFonts w:ascii="Arial" w:hAnsi="Arial" w:cs="Arial"/>
                <w:color w:val="000000"/>
                <w:sz w:val="18"/>
                <w:szCs w:val="18"/>
                <w:lang w:val="en-US" w:eastAsia="en-US"/>
              </w:rPr>
            </w:pPr>
            <w:r>
              <w:rPr>
                <w:rFonts w:ascii="Arial" w:hAnsi="Arial" w:cs="Arial"/>
                <w:color w:val="000000"/>
                <w:sz w:val="18"/>
                <w:szCs w:val="18"/>
                <w:lang w:val="en-US" w:eastAsia="en-US"/>
              </w:rPr>
              <w:t>t</w:t>
            </w:r>
          </w:p>
        </w:tc>
        <w:tc>
          <w:tcPr>
            <w:tcW w:w="620" w:type="dxa"/>
            <w:vMerge w:val="restart"/>
            <w:tcBorders>
              <w:top w:val="single" w:sz="16" w:space="0" w:color="000000"/>
              <w:bottom w:val="single" w:sz="16" w:space="0" w:color="000000"/>
            </w:tcBorders>
            <w:shd w:val="clear" w:color="auto" w:fill="FFFFFF"/>
            <w:vAlign w:val="bottom"/>
          </w:tcPr>
          <w:p w:rsidR="00AE4097" w:rsidRDefault="00041467" w:rsidP="00A82089">
            <w:pPr>
              <w:autoSpaceDE w:val="0"/>
              <w:autoSpaceDN w:val="0"/>
              <w:adjustRightInd w:val="0"/>
              <w:ind w:left="60" w:right="60"/>
              <w:jc w:val="center"/>
              <w:rPr>
                <w:rFonts w:ascii="Arial" w:hAnsi="Arial" w:cs="Arial"/>
                <w:color w:val="000000"/>
                <w:sz w:val="18"/>
                <w:szCs w:val="18"/>
                <w:lang w:val="en-US" w:eastAsia="en-US"/>
              </w:rPr>
            </w:pPr>
            <w:proofErr w:type="spellStart"/>
            <w:r>
              <w:rPr>
                <w:rFonts w:ascii="Arial" w:hAnsi="Arial" w:cs="Arial"/>
                <w:color w:val="000000"/>
                <w:sz w:val="18"/>
                <w:szCs w:val="18"/>
                <w:lang w:val="en-US" w:eastAsia="en-US"/>
              </w:rPr>
              <w:t>D</w:t>
            </w:r>
            <w:r w:rsidR="00AE4097">
              <w:rPr>
                <w:rFonts w:ascii="Arial" w:hAnsi="Arial" w:cs="Arial"/>
                <w:color w:val="000000"/>
                <w:sz w:val="18"/>
                <w:szCs w:val="18"/>
                <w:lang w:val="en-US" w:eastAsia="en-US"/>
              </w:rPr>
              <w:t>f</w:t>
            </w:r>
            <w:proofErr w:type="spellEnd"/>
          </w:p>
        </w:tc>
        <w:tc>
          <w:tcPr>
            <w:tcW w:w="858" w:type="dxa"/>
            <w:vMerge w:val="restart"/>
            <w:tcBorders>
              <w:top w:val="single" w:sz="16" w:space="0" w:color="000000"/>
              <w:bottom w:val="single" w:sz="16" w:space="0" w:color="000000"/>
              <w:right w:val="single" w:sz="16" w:space="0" w:color="000000"/>
            </w:tcBorders>
            <w:shd w:val="clear" w:color="auto" w:fill="FFFFFF"/>
            <w:vAlign w:val="bottom"/>
          </w:tcPr>
          <w:p w:rsidR="00AE4097" w:rsidRDefault="00AE4097" w:rsidP="00A82089">
            <w:pPr>
              <w:autoSpaceDE w:val="0"/>
              <w:autoSpaceDN w:val="0"/>
              <w:adjustRightInd w:val="0"/>
              <w:ind w:left="60" w:right="60"/>
              <w:jc w:val="center"/>
              <w:rPr>
                <w:rFonts w:ascii="Arial" w:hAnsi="Arial" w:cs="Arial"/>
                <w:color w:val="000000"/>
                <w:sz w:val="18"/>
                <w:szCs w:val="18"/>
                <w:lang w:val="en-US" w:eastAsia="en-US"/>
              </w:rPr>
            </w:pPr>
            <w:r>
              <w:rPr>
                <w:rFonts w:ascii="Arial" w:hAnsi="Arial" w:cs="Arial"/>
                <w:color w:val="000000"/>
                <w:sz w:val="18"/>
                <w:szCs w:val="18"/>
                <w:lang w:val="en-US" w:eastAsia="en-US"/>
              </w:rPr>
              <w:t>Sig. (2-tailed)</w:t>
            </w:r>
          </w:p>
        </w:tc>
      </w:tr>
      <w:tr w:rsidR="00AE4097" w:rsidTr="00A82089">
        <w:trPr>
          <w:cantSplit/>
          <w:trHeight w:val="139"/>
          <w:tblHeader/>
        </w:trPr>
        <w:tc>
          <w:tcPr>
            <w:tcW w:w="2300"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AE4097" w:rsidRDefault="00AE4097" w:rsidP="00A82089">
            <w:pPr>
              <w:autoSpaceDE w:val="0"/>
              <w:autoSpaceDN w:val="0"/>
              <w:adjustRightInd w:val="0"/>
              <w:jc w:val="right"/>
              <w:rPr>
                <w:rFonts w:ascii="Arial" w:hAnsi="Arial" w:cs="Arial"/>
                <w:color w:val="000000"/>
                <w:sz w:val="18"/>
                <w:szCs w:val="18"/>
                <w:lang w:val="en-US" w:eastAsia="en-US"/>
              </w:rPr>
            </w:pPr>
          </w:p>
        </w:tc>
        <w:tc>
          <w:tcPr>
            <w:tcW w:w="850" w:type="dxa"/>
            <w:vMerge w:val="restart"/>
            <w:tcBorders>
              <w:left w:val="single" w:sz="16" w:space="0" w:color="000000"/>
              <w:bottom w:val="single" w:sz="16" w:space="0" w:color="000000"/>
            </w:tcBorders>
            <w:shd w:val="clear" w:color="auto" w:fill="FFFFFF"/>
            <w:vAlign w:val="bottom"/>
          </w:tcPr>
          <w:p w:rsidR="00AE4097" w:rsidRDefault="00AE4097" w:rsidP="00A82089">
            <w:pPr>
              <w:autoSpaceDE w:val="0"/>
              <w:autoSpaceDN w:val="0"/>
              <w:adjustRightInd w:val="0"/>
              <w:ind w:left="60" w:right="60"/>
              <w:jc w:val="center"/>
              <w:rPr>
                <w:rFonts w:ascii="Arial" w:hAnsi="Arial" w:cs="Arial"/>
                <w:color w:val="000000"/>
                <w:sz w:val="18"/>
                <w:szCs w:val="18"/>
                <w:lang w:val="en-US" w:eastAsia="en-US"/>
              </w:rPr>
            </w:pPr>
            <w:r>
              <w:rPr>
                <w:rFonts w:ascii="Arial" w:hAnsi="Arial" w:cs="Arial"/>
                <w:color w:val="000000"/>
                <w:sz w:val="18"/>
                <w:szCs w:val="18"/>
                <w:lang w:val="en-US" w:eastAsia="en-US"/>
              </w:rPr>
              <w:t>Mean</w:t>
            </w:r>
          </w:p>
        </w:tc>
        <w:tc>
          <w:tcPr>
            <w:tcW w:w="980" w:type="dxa"/>
            <w:vMerge w:val="restart"/>
            <w:tcBorders>
              <w:bottom w:val="single" w:sz="16" w:space="0" w:color="000000"/>
            </w:tcBorders>
            <w:shd w:val="clear" w:color="auto" w:fill="FFFFFF"/>
            <w:vAlign w:val="bottom"/>
          </w:tcPr>
          <w:p w:rsidR="00AE4097" w:rsidRDefault="00AE4097" w:rsidP="00A82089">
            <w:pPr>
              <w:autoSpaceDE w:val="0"/>
              <w:autoSpaceDN w:val="0"/>
              <w:adjustRightInd w:val="0"/>
              <w:ind w:left="60" w:right="60"/>
              <w:jc w:val="center"/>
              <w:rPr>
                <w:rFonts w:ascii="Arial" w:hAnsi="Arial" w:cs="Arial"/>
                <w:color w:val="000000"/>
                <w:sz w:val="18"/>
                <w:szCs w:val="18"/>
                <w:lang w:val="en-US" w:eastAsia="en-US"/>
              </w:rPr>
            </w:pPr>
            <w:r>
              <w:rPr>
                <w:rFonts w:ascii="Arial" w:hAnsi="Arial" w:cs="Arial"/>
                <w:color w:val="000000"/>
                <w:sz w:val="18"/>
                <w:szCs w:val="18"/>
                <w:lang w:val="en-US" w:eastAsia="en-US"/>
              </w:rPr>
              <w:t>Std. Deviation</w:t>
            </w:r>
          </w:p>
        </w:tc>
        <w:tc>
          <w:tcPr>
            <w:tcW w:w="1090" w:type="dxa"/>
            <w:vMerge w:val="restart"/>
            <w:tcBorders>
              <w:bottom w:val="single" w:sz="16" w:space="0" w:color="000000"/>
            </w:tcBorders>
            <w:shd w:val="clear" w:color="auto" w:fill="FFFFFF"/>
            <w:vAlign w:val="bottom"/>
          </w:tcPr>
          <w:p w:rsidR="00AE4097" w:rsidRDefault="00AE4097" w:rsidP="00A82089">
            <w:pPr>
              <w:autoSpaceDE w:val="0"/>
              <w:autoSpaceDN w:val="0"/>
              <w:adjustRightInd w:val="0"/>
              <w:ind w:left="60" w:right="60"/>
              <w:jc w:val="center"/>
              <w:rPr>
                <w:rFonts w:ascii="Arial" w:hAnsi="Arial" w:cs="Arial"/>
                <w:color w:val="000000"/>
                <w:sz w:val="18"/>
                <w:szCs w:val="18"/>
                <w:lang w:val="en-US" w:eastAsia="en-US"/>
              </w:rPr>
            </w:pPr>
            <w:r>
              <w:rPr>
                <w:rFonts w:ascii="Arial" w:hAnsi="Arial" w:cs="Arial"/>
                <w:color w:val="000000"/>
                <w:sz w:val="18"/>
                <w:szCs w:val="18"/>
                <w:lang w:val="en-US" w:eastAsia="en-US"/>
              </w:rPr>
              <w:t>Std. Error Mean</w:t>
            </w:r>
          </w:p>
        </w:tc>
        <w:tc>
          <w:tcPr>
            <w:tcW w:w="2070" w:type="dxa"/>
            <w:gridSpan w:val="2"/>
            <w:shd w:val="clear" w:color="auto" w:fill="FFFFFF"/>
            <w:vAlign w:val="bottom"/>
          </w:tcPr>
          <w:p w:rsidR="00AE4097" w:rsidRDefault="00AE4097" w:rsidP="00A82089">
            <w:pPr>
              <w:autoSpaceDE w:val="0"/>
              <w:autoSpaceDN w:val="0"/>
              <w:adjustRightInd w:val="0"/>
              <w:ind w:left="60" w:right="60"/>
              <w:jc w:val="center"/>
              <w:rPr>
                <w:rFonts w:ascii="Arial" w:hAnsi="Arial" w:cs="Arial"/>
                <w:color w:val="000000"/>
                <w:sz w:val="18"/>
                <w:szCs w:val="18"/>
                <w:lang w:val="en-US" w:eastAsia="en-US"/>
              </w:rPr>
            </w:pPr>
            <w:r>
              <w:rPr>
                <w:rFonts w:ascii="Arial" w:hAnsi="Arial" w:cs="Arial"/>
                <w:color w:val="000000"/>
                <w:sz w:val="18"/>
                <w:szCs w:val="18"/>
                <w:lang w:val="en-US" w:eastAsia="en-US"/>
              </w:rPr>
              <w:t>95% Confidence Interval of the Difference</w:t>
            </w:r>
          </w:p>
        </w:tc>
        <w:tc>
          <w:tcPr>
            <w:tcW w:w="750" w:type="dxa"/>
            <w:vMerge/>
            <w:tcBorders>
              <w:top w:val="single" w:sz="16" w:space="0" w:color="000000"/>
              <w:bottom w:val="single" w:sz="16" w:space="0" w:color="000000"/>
            </w:tcBorders>
            <w:shd w:val="clear" w:color="auto" w:fill="FFFFFF"/>
            <w:vAlign w:val="bottom"/>
          </w:tcPr>
          <w:p w:rsidR="00AE4097" w:rsidRDefault="00AE4097" w:rsidP="00A82089">
            <w:pPr>
              <w:autoSpaceDE w:val="0"/>
              <w:autoSpaceDN w:val="0"/>
              <w:adjustRightInd w:val="0"/>
              <w:jc w:val="center"/>
              <w:rPr>
                <w:rFonts w:ascii="Arial" w:hAnsi="Arial" w:cs="Arial"/>
                <w:color w:val="000000"/>
                <w:sz w:val="18"/>
                <w:szCs w:val="18"/>
                <w:lang w:val="en-US" w:eastAsia="en-US"/>
              </w:rPr>
            </w:pPr>
          </w:p>
        </w:tc>
        <w:tc>
          <w:tcPr>
            <w:tcW w:w="620" w:type="dxa"/>
            <w:vMerge/>
            <w:tcBorders>
              <w:top w:val="single" w:sz="16" w:space="0" w:color="000000"/>
              <w:bottom w:val="single" w:sz="16" w:space="0" w:color="000000"/>
            </w:tcBorders>
            <w:shd w:val="clear" w:color="auto" w:fill="FFFFFF"/>
            <w:vAlign w:val="bottom"/>
          </w:tcPr>
          <w:p w:rsidR="00AE4097" w:rsidRDefault="00AE4097" w:rsidP="00A82089">
            <w:pPr>
              <w:autoSpaceDE w:val="0"/>
              <w:autoSpaceDN w:val="0"/>
              <w:adjustRightInd w:val="0"/>
              <w:jc w:val="center"/>
              <w:rPr>
                <w:rFonts w:ascii="Arial" w:hAnsi="Arial" w:cs="Arial"/>
                <w:color w:val="000000"/>
                <w:sz w:val="18"/>
                <w:szCs w:val="18"/>
                <w:lang w:val="en-US" w:eastAsia="en-US"/>
              </w:rPr>
            </w:pPr>
          </w:p>
        </w:tc>
        <w:tc>
          <w:tcPr>
            <w:tcW w:w="858" w:type="dxa"/>
            <w:vMerge/>
            <w:tcBorders>
              <w:top w:val="single" w:sz="16" w:space="0" w:color="000000"/>
              <w:bottom w:val="single" w:sz="16" w:space="0" w:color="000000"/>
              <w:right w:val="single" w:sz="16" w:space="0" w:color="000000"/>
            </w:tcBorders>
            <w:shd w:val="clear" w:color="auto" w:fill="FFFFFF"/>
            <w:vAlign w:val="bottom"/>
          </w:tcPr>
          <w:p w:rsidR="00AE4097" w:rsidRDefault="00AE4097" w:rsidP="00A82089">
            <w:pPr>
              <w:autoSpaceDE w:val="0"/>
              <w:autoSpaceDN w:val="0"/>
              <w:adjustRightInd w:val="0"/>
              <w:jc w:val="center"/>
              <w:rPr>
                <w:rFonts w:ascii="Arial" w:hAnsi="Arial" w:cs="Arial"/>
                <w:color w:val="000000"/>
                <w:sz w:val="18"/>
                <w:szCs w:val="18"/>
                <w:lang w:val="en-US" w:eastAsia="en-US"/>
              </w:rPr>
            </w:pPr>
          </w:p>
        </w:tc>
      </w:tr>
      <w:tr w:rsidR="00AE4097" w:rsidTr="00A82089">
        <w:trPr>
          <w:cantSplit/>
          <w:trHeight w:val="139"/>
          <w:tblHeader/>
        </w:trPr>
        <w:tc>
          <w:tcPr>
            <w:tcW w:w="2300"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AE4097" w:rsidRDefault="00AE4097" w:rsidP="00A82089">
            <w:pPr>
              <w:autoSpaceDE w:val="0"/>
              <w:autoSpaceDN w:val="0"/>
              <w:adjustRightInd w:val="0"/>
              <w:jc w:val="right"/>
              <w:rPr>
                <w:rFonts w:ascii="Arial" w:hAnsi="Arial" w:cs="Arial"/>
                <w:color w:val="000000"/>
                <w:sz w:val="18"/>
                <w:szCs w:val="18"/>
                <w:lang w:val="en-US" w:eastAsia="en-US"/>
              </w:rPr>
            </w:pPr>
          </w:p>
        </w:tc>
        <w:tc>
          <w:tcPr>
            <w:tcW w:w="850" w:type="dxa"/>
            <w:vMerge/>
            <w:tcBorders>
              <w:left w:val="single" w:sz="16" w:space="0" w:color="000000"/>
              <w:bottom w:val="single" w:sz="16" w:space="0" w:color="000000"/>
            </w:tcBorders>
            <w:shd w:val="clear" w:color="auto" w:fill="FFFFFF"/>
            <w:vAlign w:val="bottom"/>
          </w:tcPr>
          <w:p w:rsidR="00AE4097" w:rsidRDefault="00AE4097" w:rsidP="00A82089">
            <w:pPr>
              <w:autoSpaceDE w:val="0"/>
              <w:autoSpaceDN w:val="0"/>
              <w:adjustRightInd w:val="0"/>
              <w:jc w:val="right"/>
              <w:rPr>
                <w:rFonts w:ascii="Arial" w:hAnsi="Arial" w:cs="Arial"/>
                <w:color w:val="000000"/>
                <w:sz w:val="18"/>
                <w:szCs w:val="18"/>
                <w:lang w:val="en-US" w:eastAsia="en-US"/>
              </w:rPr>
            </w:pPr>
          </w:p>
        </w:tc>
        <w:tc>
          <w:tcPr>
            <w:tcW w:w="980" w:type="dxa"/>
            <w:vMerge/>
            <w:tcBorders>
              <w:bottom w:val="single" w:sz="16" w:space="0" w:color="000000"/>
            </w:tcBorders>
            <w:shd w:val="clear" w:color="auto" w:fill="FFFFFF"/>
            <w:vAlign w:val="bottom"/>
          </w:tcPr>
          <w:p w:rsidR="00AE4097" w:rsidRDefault="00AE4097" w:rsidP="00A82089">
            <w:pPr>
              <w:autoSpaceDE w:val="0"/>
              <w:autoSpaceDN w:val="0"/>
              <w:adjustRightInd w:val="0"/>
              <w:jc w:val="right"/>
              <w:rPr>
                <w:rFonts w:ascii="Arial" w:hAnsi="Arial" w:cs="Arial"/>
                <w:color w:val="000000"/>
                <w:sz w:val="18"/>
                <w:szCs w:val="18"/>
                <w:lang w:val="en-US" w:eastAsia="en-US"/>
              </w:rPr>
            </w:pPr>
          </w:p>
        </w:tc>
        <w:tc>
          <w:tcPr>
            <w:tcW w:w="1090" w:type="dxa"/>
            <w:vMerge/>
            <w:tcBorders>
              <w:bottom w:val="single" w:sz="16" w:space="0" w:color="000000"/>
            </w:tcBorders>
            <w:shd w:val="clear" w:color="auto" w:fill="FFFFFF"/>
            <w:vAlign w:val="bottom"/>
          </w:tcPr>
          <w:p w:rsidR="00AE4097" w:rsidRDefault="00AE4097" w:rsidP="00A82089">
            <w:pPr>
              <w:autoSpaceDE w:val="0"/>
              <w:autoSpaceDN w:val="0"/>
              <w:adjustRightInd w:val="0"/>
              <w:jc w:val="right"/>
              <w:rPr>
                <w:rFonts w:ascii="Arial" w:hAnsi="Arial" w:cs="Arial"/>
                <w:color w:val="000000"/>
                <w:sz w:val="18"/>
                <w:szCs w:val="18"/>
                <w:lang w:val="en-US" w:eastAsia="en-US"/>
              </w:rPr>
            </w:pPr>
          </w:p>
        </w:tc>
        <w:tc>
          <w:tcPr>
            <w:tcW w:w="1010" w:type="dxa"/>
            <w:tcBorders>
              <w:bottom w:val="single" w:sz="16" w:space="0" w:color="000000"/>
            </w:tcBorders>
            <w:shd w:val="clear" w:color="auto" w:fill="FFFFFF"/>
            <w:vAlign w:val="bottom"/>
          </w:tcPr>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Lower</w:t>
            </w:r>
          </w:p>
        </w:tc>
        <w:tc>
          <w:tcPr>
            <w:tcW w:w="1060" w:type="dxa"/>
            <w:tcBorders>
              <w:bottom w:val="single" w:sz="16" w:space="0" w:color="000000"/>
            </w:tcBorders>
            <w:shd w:val="clear" w:color="auto" w:fill="FFFFFF"/>
            <w:vAlign w:val="bottom"/>
          </w:tcPr>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Upper</w:t>
            </w:r>
          </w:p>
        </w:tc>
        <w:tc>
          <w:tcPr>
            <w:tcW w:w="750" w:type="dxa"/>
            <w:vMerge/>
            <w:tcBorders>
              <w:top w:val="single" w:sz="16" w:space="0" w:color="000000"/>
              <w:bottom w:val="single" w:sz="16" w:space="0" w:color="000000"/>
            </w:tcBorders>
            <w:shd w:val="clear" w:color="auto" w:fill="FFFFFF"/>
            <w:vAlign w:val="bottom"/>
          </w:tcPr>
          <w:p w:rsidR="00AE4097" w:rsidRDefault="00AE4097" w:rsidP="00A82089">
            <w:pPr>
              <w:autoSpaceDE w:val="0"/>
              <w:autoSpaceDN w:val="0"/>
              <w:adjustRightInd w:val="0"/>
              <w:jc w:val="right"/>
              <w:rPr>
                <w:rFonts w:ascii="Arial" w:hAnsi="Arial" w:cs="Arial"/>
                <w:color w:val="000000"/>
                <w:sz w:val="18"/>
                <w:szCs w:val="18"/>
                <w:lang w:val="en-US" w:eastAsia="en-US"/>
              </w:rPr>
            </w:pPr>
          </w:p>
        </w:tc>
        <w:tc>
          <w:tcPr>
            <w:tcW w:w="620" w:type="dxa"/>
            <w:vMerge/>
            <w:tcBorders>
              <w:top w:val="single" w:sz="16" w:space="0" w:color="000000"/>
              <w:bottom w:val="single" w:sz="16" w:space="0" w:color="000000"/>
            </w:tcBorders>
            <w:shd w:val="clear" w:color="auto" w:fill="FFFFFF"/>
            <w:vAlign w:val="bottom"/>
          </w:tcPr>
          <w:p w:rsidR="00AE4097" w:rsidRDefault="00AE4097" w:rsidP="00A82089">
            <w:pPr>
              <w:autoSpaceDE w:val="0"/>
              <w:autoSpaceDN w:val="0"/>
              <w:adjustRightInd w:val="0"/>
              <w:jc w:val="right"/>
              <w:rPr>
                <w:rFonts w:ascii="Arial" w:hAnsi="Arial" w:cs="Arial"/>
                <w:color w:val="000000"/>
                <w:sz w:val="18"/>
                <w:szCs w:val="18"/>
                <w:lang w:val="en-US" w:eastAsia="en-US"/>
              </w:rPr>
            </w:pPr>
          </w:p>
        </w:tc>
        <w:tc>
          <w:tcPr>
            <w:tcW w:w="858" w:type="dxa"/>
            <w:vMerge/>
            <w:tcBorders>
              <w:top w:val="single" w:sz="16" w:space="0" w:color="000000"/>
              <w:bottom w:val="single" w:sz="16" w:space="0" w:color="000000"/>
              <w:right w:val="single" w:sz="16" w:space="0" w:color="000000"/>
            </w:tcBorders>
            <w:shd w:val="clear" w:color="auto" w:fill="FFFFFF"/>
            <w:vAlign w:val="bottom"/>
          </w:tcPr>
          <w:p w:rsidR="00AE4097" w:rsidRDefault="00AE4097" w:rsidP="00A82089">
            <w:pPr>
              <w:autoSpaceDE w:val="0"/>
              <w:autoSpaceDN w:val="0"/>
              <w:adjustRightInd w:val="0"/>
              <w:jc w:val="right"/>
              <w:rPr>
                <w:rFonts w:ascii="Arial" w:hAnsi="Arial" w:cs="Arial"/>
                <w:color w:val="000000"/>
                <w:sz w:val="18"/>
                <w:szCs w:val="18"/>
                <w:lang w:val="en-US" w:eastAsia="en-US"/>
              </w:rPr>
            </w:pPr>
          </w:p>
        </w:tc>
      </w:tr>
      <w:tr w:rsidR="00AE4097" w:rsidTr="00A82089">
        <w:trPr>
          <w:cantSplit/>
          <w:trHeight w:val="632"/>
        </w:trPr>
        <w:tc>
          <w:tcPr>
            <w:tcW w:w="490" w:type="dxa"/>
            <w:tcBorders>
              <w:top w:val="single" w:sz="16" w:space="0" w:color="000000"/>
              <w:left w:val="single" w:sz="16" w:space="0" w:color="000000"/>
              <w:bottom w:val="single" w:sz="16" w:space="0" w:color="000000"/>
              <w:right w:val="nil"/>
            </w:tcBorders>
            <w:shd w:val="clear" w:color="auto" w:fill="FFFFFF"/>
          </w:tcPr>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Pair 1</w:t>
            </w:r>
          </w:p>
        </w:tc>
        <w:tc>
          <w:tcPr>
            <w:tcW w:w="1810" w:type="dxa"/>
            <w:tcBorders>
              <w:top w:val="single" w:sz="16" w:space="0" w:color="000000"/>
              <w:left w:val="nil"/>
              <w:bottom w:val="single" w:sz="16" w:space="0" w:color="000000"/>
              <w:right w:val="single" w:sz="16" w:space="0" w:color="000000"/>
            </w:tcBorders>
            <w:shd w:val="clear" w:color="auto" w:fill="FFFFFF"/>
          </w:tcPr>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RiskDisclScore0607 –</w:t>
            </w:r>
          </w:p>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RiskDisclScore0809</w:t>
            </w:r>
          </w:p>
        </w:tc>
        <w:tc>
          <w:tcPr>
            <w:tcW w:w="850" w:type="dxa"/>
            <w:tcBorders>
              <w:top w:val="single" w:sz="16" w:space="0" w:color="000000"/>
              <w:left w:val="single" w:sz="16" w:space="0" w:color="000000"/>
              <w:bottom w:val="single" w:sz="16" w:space="0" w:color="000000"/>
            </w:tcBorders>
            <w:shd w:val="clear" w:color="auto" w:fill="FFFFFF"/>
          </w:tcPr>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-.04889</w:t>
            </w:r>
          </w:p>
        </w:tc>
        <w:tc>
          <w:tcPr>
            <w:tcW w:w="980" w:type="dxa"/>
            <w:tcBorders>
              <w:top w:val="single" w:sz="16" w:space="0" w:color="000000"/>
              <w:bottom w:val="single" w:sz="16" w:space="0" w:color="000000"/>
            </w:tcBorders>
            <w:shd w:val="clear" w:color="auto" w:fill="FFFFFF"/>
          </w:tcPr>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.09560</w:t>
            </w:r>
          </w:p>
        </w:tc>
        <w:tc>
          <w:tcPr>
            <w:tcW w:w="1090" w:type="dxa"/>
            <w:tcBorders>
              <w:top w:val="single" w:sz="16" w:space="0" w:color="000000"/>
              <w:bottom w:val="single" w:sz="16" w:space="0" w:color="000000"/>
            </w:tcBorders>
            <w:shd w:val="clear" w:color="auto" w:fill="FFFFFF"/>
          </w:tcPr>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.02253</w:t>
            </w:r>
          </w:p>
        </w:tc>
        <w:tc>
          <w:tcPr>
            <w:tcW w:w="1010" w:type="dxa"/>
            <w:tcBorders>
              <w:top w:val="single" w:sz="16" w:space="0" w:color="000000"/>
              <w:bottom w:val="single" w:sz="16" w:space="0" w:color="000000"/>
            </w:tcBorders>
            <w:shd w:val="clear" w:color="auto" w:fill="FFFFFF"/>
          </w:tcPr>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-.09643</w:t>
            </w:r>
          </w:p>
        </w:tc>
        <w:tc>
          <w:tcPr>
            <w:tcW w:w="1060" w:type="dxa"/>
            <w:tcBorders>
              <w:top w:val="single" w:sz="16" w:space="0" w:color="000000"/>
              <w:bottom w:val="single" w:sz="16" w:space="0" w:color="000000"/>
            </w:tcBorders>
            <w:shd w:val="clear" w:color="auto" w:fill="FFFFFF"/>
          </w:tcPr>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-.00135</w:t>
            </w:r>
          </w:p>
        </w:tc>
        <w:tc>
          <w:tcPr>
            <w:tcW w:w="750" w:type="dxa"/>
            <w:tcBorders>
              <w:top w:val="single" w:sz="16" w:space="0" w:color="000000"/>
              <w:bottom w:val="single" w:sz="16" w:space="0" w:color="000000"/>
            </w:tcBorders>
            <w:shd w:val="clear" w:color="auto" w:fill="FFFFFF"/>
          </w:tcPr>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-2.170</w:t>
            </w:r>
          </w:p>
        </w:tc>
        <w:tc>
          <w:tcPr>
            <w:tcW w:w="620" w:type="dxa"/>
            <w:tcBorders>
              <w:top w:val="single" w:sz="16" w:space="0" w:color="000000"/>
              <w:bottom w:val="single" w:sz="16" w:space="0" w:color="000000"/>
            </w:tcBorders>
            <w:shd w:val="clear" w:color="auto" w:fill="FFFFFF"/>
          </w:tcPr>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17</w:t>
            </w:r>
          </w:p>
        </w:tc>
        <w:tc>
          <w:tcPr>
            <w:tcW w:w="858" w:type="dxa"/>
            <w:tcBorders>
              <w:top w:val="single" w:sz="16" w:space="0" w:color="000000"/>
              <w:bottom w:val="single" w:sz="16" w:space="0" w:color="000000"/>
              <w:right w:val="single" w:sz="16" w:space="0" w:color="000000"/>
            </w:tcBorders>
            <w:shd w:val="clear" w:color="auto" w:fill="FFFFFF"/>
          </w:tcPr>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r>
              <w:rPr>
                <w:rFonts w:ascii="Arial" w:hAnsi="Arial" w:cs="Arial"/>
                <w:color w:val="000000"/>
                <w:sz w:val="18"/>
                <w:szCs w:val="18"/>
                <w:lang w:val="en-US" w:eastAsia="en-US"/>
              </w:rPr>
              <w:t>.045</w:t>
            </w:r>
          </w:p>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p>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p>
          <w:p w:rsidR="00AE4097" w:rsidRDefault="00AE4097" w:rsidP="00A82089">
            <w:pPr>
              <w:autoSpaceDE w:val="0"/>
              <w:autoSpaceDN w:val="0"/>
              <w:adjustRightInd w:val="0"/>
              <w:ind w:left="60" w:right="60"/>
              <w:jc w:val="right"/>
              <w:rPr>
                <w:rFonts w:ascii="Arial" w:hAnsi="Arial" w:cs="Arial"/>
                <w:color w:val="000000"/>
                <w:sz w:val="18"/>
                <w:szCs w:val="18"/>
                <w:lang w:val="en-US" w:eastAsia="en-US"/>
              </w:rPr>
            </w:pPr>
          </w:p>
        </w:tc>
      </w:tr>
    </w:tbl>
    <w:p w:rsidR="00AE4097" w:rsidRDefault="00AE4097" w:rsidP="00A82089">
      <w:pPr>
        <w:spacing w:line="360" w:lineRule="auto"/>
        <w:ind w:left="6237"/>
        <w:rPr>
          <w:sz w:val="22"/>
          <w:szCs w:val="22"/>
          <w:lang w:val="en-US"/>
        </w:rPr>
      </w:pPr>
      <w:r>
        <w:rPr>
          <w:b/>
          <w:sz w:val="20"/>
          <w:szCs w:val="20"/>
          <w:lang w:val="en-US"/>
        </w:rPr>
        <w:t>Table 5: Paired-sample t-test</w:t>
      </w:r>
    </w:p>
    <w:p w:rsidR="00AE4097" w:rsidRDefault="00AE4097" w:rsidP="00AE4097">
      <w:pPr>
        <w:spacing w:line="360" w:lineRule="auto"/>
        <w:ind w:firstLine="567"/>
        <w:jc w:val="both"/>
        <w:rPr>
          <w:sz w:val="22"/>
          <w:lang w:val="en-US"/>
        </w:rPr>
      </w:pPr>
      <w:r>
        <w:rPr>
          <w:sz w:val="22"/>
          <w:lang w:val="en-US"/>
        </w:rPr>
        <w:tab/>
      </w:r>
    </w:p>
    <w:p w:rsidR="00AE4097" w:rsidRPr="007875F4" w:rsidRDefault="00AE4097" w:rsidP="00AE4097">
      <w:pPr>
        <w:spacing w:line="360" w:lineRule="auto"/>
        <w:ind w:firstLine="567"/>
        <w:jc w:val="both"/>
        <w:rPr>
          <w:color w:val="FF0000"/>
          <w:lang w:val="en-US"/>
        </w:rPr>
      </w:pPr>
      <w:r>
        <w:rPr>
          <w:sz w:val="22"/>
          <w:lang w:val="en-US"/>
        </w:rPr>
        <w:t xml:space="preserve">The mean difference between the risk disclosure scores in 2006-2007 and 2008-2009 is -.04889. The significance value is 0.045, which means that t is significant (p&lt;0.05) and Ho will be rejected. The means of the two groups are significantly different, but although it is significant, the difference between the two groups is very small. The significant value of 0.045 does not differ much from 0.05.  That the t-value is negative means that the first </w:t>
      </w:r>
      <w:r>
        <w:rPr>
          <w:sz w:val="22"/>
          <w:szCs w:val="22"/>
          <w:lang w:val="en-US"/>
        </w:rPr>
        <w:t xml:space="preserve">risk disclosure score of 2006-2007 (0.5806) had a smaller mean than the second risk disclosure score of 2008-2009 (0.6294), </w:t>
      </w:r>
      <w:r w:rsidRPr="00F15514">
        <w:rPr>
          <w:sz w:val="22"/>
          <w:szCs w:val="22"/>
          <w:lang w:val="en-US"/>
        </w:rPr>
        <w:t>so the risk disclosures scores in 2008-20</w:t>
      </w:r>
      <w:r>
        <w:rPr>
          <w:sz w:val="22"/>
          <w:szCs w:val="22"/>
          <w:lang w:val="en-US"/>
        </w:rPr>
        <w:t xml:space="preserve">09 are higher than in 2006-2007. </w:t>
      </w:r>
      <w:r w:rsidRPr="00F15514">
        <w:rPr>
          <w:sz w:val="22"/>
          <w:szCs w:val="22"/>
          <w:lang w:val="en-US"/>
        </w:rPr>
        <w:t xml:space="preserve">The result of this test is that the annual reports contain significantly more disclosed risk information during the financial crisis than before. </w:t>
      </w:r>
      <w:r>
        <w:rPr>
          <w:sz w:val="22"/>
          <w:szCs w:val="22"/>
          <w:lang w:val="en-US"/>
        </w:rPr>
        <w:t>H</w:t>
      </w:r>
      <w:r w:rsidRPr="00F15514">
        <w:rPr>
          <w:sz w:val="22"/>
          <w:szCs w:val="22"/>
          <w:lang w:val="en-US"/>
        </w:rPr>
        <w:t>ypothesis 1 is accepted.</w:t>
      </w:r>
    </w:p>
    <w:p w:rsidR="00AE4097" w:rsidRDefault="00AE4097" w:rsidP="00AE4097">
      <w:pPr>
        <w:suppressAutoHyphens/>
        <w:spacing w:line="360" w:lineRule="auto"/>
        <w:ind w:firstLine="567"/>
        <w:jc w:val="both"/>
        <w:rPr>
          <w:sz w:val="22"/>
          <w:szCs w:val="22"/>
          <w:lang w:val="en-US"/>
        </w:rPr>
      </w:pPr>
      <w:r w:rsidRPr="00FD1F43">
        <w:rPr>
          <w:sz w:val="22"/>
          <w:szCs w:val="22"/>
          <w:lang w:val="en-US"/>
        </w:rPr>
        <w:t>So far no research was done to the influence of the financial crisis. Almost all researchers examined only one research year. However, Helbok and Wagner (2006) found an increase in the operational risk disclosures in the annual reports of banks in Asia, Europe and North-America between 1998 and 2001. Further, Kajüter and Winkler (2003) found a positive relation for risk disclosures in German annual reports of non-financial listed c</w:t>
      </w:r>
      <w:r>
        <w:rPr>
          <w:sz w:val="22"/>
          <w:szCs w:val="22"/>
          <w:lang w:val="en-US"/>
        </w:rPr>
        <w:t xml:space="preserve">ompanies between 1999 and 2001. </w:t>
      </w:r>
      <w:r w:rsidRPr="00FD1F43">
        <w:rPr>
          <w:sz w:val="22"/>
          <w:szCs w:val="22"/>
          <w:lang w:val="en-US"/>
        </w:rPr>
        <w:t xml:space="preserve">Because these articles are far from recent and because they did not study the influence of the financial crisis, it is difficult to compare this research with the findings of </w:t>
      </w:r>
      <w:r>
        <w:rPr>
          <w:sz w:val="22"/>
          <w:szCs w:val="22"/>
          <w:lang w:val="en-US"/>
        </w:rPr>
        <w:t>these</w:t>
      </w:r>
      <w:r w:rsidRPr="00FD1F43">
        <w:rPr>
          <w:sz w:val="22"/>
          <w:szCs w:val="22"/>
          <w:lang w:val="en-US"/>
        </w:rPr>
        <w:t xml:space="preserve"> researchers.</w:t>
      </w:r>
      <w:r>
        <w:rPr>
          <w:sz w:val="22"/>
          <w:szCs w:val="22"/>
          <w:lang w:val="en-US"/>
        </w:rPr>
        <w:t xml:space="preserve"> It can be said that the results of this hypothesis are in line with the statement </w:t>
      </w:r>
      <w:r w:rsidRPr="00FD1F43">
        <w:rPr>
          <w:sz w:val="22"/>
          <w:szCs w:val="22"/>
          <w:lang w:val="en-US"/>
        </w:rPr>
        <w:t>of Suijs (2005). The amount of bad news will increase when the financial position is threatened. This research did not examine the content (good or bad news) of risk information, but it can be concluded that the amount of news has increased.</w:t>
      </w:r>
    </w:p>
    <w:p w:rsidR="00466506" w:rsidRDefault="00AE4097" w:rsidP="00A82089">
      <w:pPr>
        <w:suppressAutoHyphens/>
        <w:spacing w:line="360" w:lineRule="auto"/>
        <w:ind w:firstLine="567"/>
        <w:jc w:val="both"/>
        <w:rPr>
          <w:sz w:val="22"/>
          <w:szCs w:val="22"/>
          <w:lang w:val="en-US"/>
        </w:rPr>
      </w:pPr>
      <w:r w:rsidRPr="00E13AC1">
        <w:rPr>
          <w:sz w:val="22"/>
          <w:szCs w:val="22"/>
          <w:lang w:val="en-US"/>
        </w:rPr>
        <w:t>The increase in the risk disclosure scores can be explained by the financial crisis. Deficiencies</w:t>
      </w:r>
      <w:r w:rsidRPr="0004319D">
        <w:rPr>
          <w:sz w:val="22"/>
          <w:szCs w:val="22"/>
          <w:lang w:val="en-US"/>
        </w:rPr>
        <w:t xml:space="preserve"> in the annual reports were</w:t>
      </w:r>
      <w:r w:rsidRPr="00FD1F43">
        <w:rPr>
          <w:sz w:val="22"/>
          <w:szCs w:val="22"/>
          <w:lang w:val="en-US"/>
        </w:rPr>
        <w:t xml:space="preserve"> a cause of the financial crisis. As a result of this, the awareness among managers to understand their risks and how to manage these risks increased. When companies are</w:t>
      </w:r>
      <w:r w:rsidR="00A82089">
        <w:rPr>
          <w:sz w:val="22"/>
          <w:szCs w:val="22"/>
          <w:lang w:val="en-US"/>
        </w:rPr>
        <w:t xml:space="preserve"> d</w:t>
      </w:r>
      <w:r w:rsidRPr="00FD1F43">
        <w:rPr>
          <w:sz w:val="22"/>
          <w:szCs w:val="22"/>
          <w:lang w:val="en-US"/>
        </w:rPr>
        <w:t xml:space="preserve">isclosing more risk information, the cost of capital will reduce, which makes it easier to attract </w:t>
      </w:r>
    </w:p>
    <w:p w:rsidR="008131D1" w:rsidRDefault="00AE4097" w:rsidP="00466506">
      <w:pPr>
        <w:suppressAutoHyphens/>
        <w:spacing w:line="360" w:lineRule="auto"/>
        <w:jc w:val="both"/>
        <w:rPr>
          <w:sz w:val="22"/>
          <w:szCs w:val="22"/>
          <w:lang w:val="en-US"/>
        </w:rPr>
      </w:pPr>
      <w:proofErr w:type="gramStart"/>
      <w:r w:rsidRPr="00FD1F43">
        <w:rPr>
          <w:sz w:val="22"/>
          <w:szCs w:val="22"/>
          <w:lang w:val="en-US"/>
        </w:rPr>
        <w:lastRenderedPageBreak/>
        <w:t>capital</w:t>
      </w:r>
      <w:proofErr w:type="gramEnd"/>
      <w:r w:rsidRPr="00FD1F43">
        <w:rPr>
          <w:sz w:val="22"/>
          <w:szCs w:val="22"/>
          <w:lang w:val="en-US"/>
        </w:rPr>
        <w:t xml:space="preserve">. Because of the small sample size, it is not possible to generalize this result for all companies. </w:t>
      </w:r>
    </w:p>
    <w:p w:rsidR="00AE4097" w:rsidRPr="00FD1F43" w:rsidRDefault="00AE4097" w:rsidP="008131D1">
      <w:pPr>
        <w:suppressAutoHyphens/>
        <w:spacing w:line="360" w:lineRule="auto"/>
        <w:jc w:val="both"/>
        <w:rPr>
          <w:sz w:val="22"/>
          <w:szCs w:val="22"/>
          <w:lang w:val="en-US"/>
        </w:rPr>
      </w:pPr>
      <w:r w:rsidRPr="00FD1F43">
        <w:rPr>
          <w:sz w:val="22"/>
          <w:szCs w:val="22"/>
          <w:lang w:val="en-US"/>
        </w:rPr>
        <w:t>One should think of the possibility that other factors could influence the quanti</w:t>
      </w:r>
      <w:r>
        <w:rPr>
          <w:sz w:val="22"/>
          <w:szCs w:val="22"/>
          <w:lang w:val="en-US"/>
        </w:rPr>
        <w:t xml:space="preserve">ty of risk disclosures as well. </w:t>
      </w:r>
      <w:r w:rsidRPr="00FD1F43">
        <w:rPr>
          <w:sz w:val="22"/>
          <w:szCs w:val="22"/>
          <w:lang w:val="en-US"/>
        </w:rPr>
        <w:t>The increasing risk disclosures could be the result of an increase in the demand of risk disclosures by regulatory bo</w:t>
      </w:r>
      <w:r>
        <w:rPr>
          <w:sz w:val="22"/>
          <w:szCs w:val="22"/>
          <w:lang w:val="en-US"/>
        </w:rPr>
        <w:t>dies (see paragraph 2.7.2</w:t>
      </w:r>
      <w:r w:rsidRPr="00FD1F43">
        <w:rPr>
          <w:sz w:val="22"/>
          <w:szCs w:val="22"/>
          <w:lang w:val="en-US"/>
        </w:rPr>
        <w:t>) and stakeholders. Nowadays, stakeholders are asking for more transparency to make better informed decisions.</w:t>
      </w:r>
    </w:p>
    <w:p w:rsidR="00AE4097" w:rsidRDefault="00AE4097" w:rsidP="008C2ED0">
      <w:pPr>
        <w:pStyle w:val="Heading3"/>
        <w:numPr>
          <w:ilvl w:val="2"/>
          <w:numId w:val="2"/>
        </w:numPr>
        <w:tabs>
          <w:tab w:val="num" w:pos="1004"/>
        </w:tabs>
        <w:suppressAutoHyphens/>
        <w:jc w:val="both"/>
        <w:rPr>
          <w:b w:val="0"/>
          <w:i/>
          <w:sz w:val="22"/>
          <w:szCs w:val="22"/>
          <w:lang w:val="en-US"/>
        </w:rPr>
      </w:pPr>
      <w:bookmarkStart w:id="176" w:name="_Toc288459383"/>
      <w:bookmarkStart w:id="177" w:name="_Toc288725924"/>
      <w:r>
        <w:rPr>
          <w:b w:val="0"/>
          <w:i/>
          <w:sz w:val="22"/>
          <w:szCs w:val="22"/>
          <w:lang w:val="en-US"/>
        </w:rPr>
        <w:t>Hypothesis 2</w:t>
      </w:r>
      <w:bookmarkEnd w:id="176"/>
      <w:bookmarkEnd w:id="177"/>
      <w:r>
        <w:rPr>
          <w:b w:val="0"/>
          <w:i/>
          <w:sz w:val="22"/>
          <w:szCs w:val="22"/>
          <w:lang w:val="en-US"/>
        </w:rPr>
        <w:t xml:space="preserve"> </w:t>
      </w:r>
    </w:p>
    <w:p w:rsidR="00AE4097" w:rsidRDefault="00AE4097" w:rsidP="00AE4097">
      <w:pPr>
        <w:suppressAutoHyphens/>
        <w:spacing w:line="360" w:lineRule="auto"/>
        <w:ind w:firstLine="567"/>
        <w:jc w:val="both"/>
        <w:rPr>
          <w:sz w:val="22"/>
          <w:szCs w:val="22"/>
          <w:lang w:val="en-US"/>
        </w:rPr>
      </w:pPr>
      <w:r>
        <w:rPr>
          <w:sz w:val="22"/>
          <w:szCs w:val="22"/>
          <w:lang w:val="en-US"/>
        </w:rPr>
        <w:t>To test hypotheses two, the bivariate correlation between risk disclosures and company profitability will be calculated. Correlations measure the linear relation between two scale variables and can be measured with the Pearson correlation test, which is a parametric test or the Spearman’s rho test, a non-parametric test. The first method is used when there is a normal distribution, otherwise the Spearman’s rho test will be used. The correlation coefficients have been calculated by using SPSS. The coefficients can take any value between -1 and +1. A value below 0 means a negative relationship, whereas a value above 0 means a positive relationship between the variables tested. A value close to 0 means a weak or no linear relation or it may indicate some form of non-linear relation between two variables. The significance of the possibility relations is measured with t</w:t>
      </w:r>
      <w:r w:rsidRPr="00FD1F43">
        <w:rPr>
          <w:sz w:val="22"/>
          <w:szCs w:val="22"/>
          <w:lang w:val="en-US"/>
        </w:rPr>
        <w:t>he p-value. The relation is statistically significant when this p-value is smaller or equal to 5%. A 95%-confidence interval for measuring correlations is in line with prior research (Linsley and Sh</w:t>
      </w:r>
      <w:r>
        <w:rPr>
          <w:sz w:val="22"/>
          <w:szCs w:val="22"/>
          <w:lang w:val="en-US"/>
        </w:rPr>
        <w:t>rives, 2006a+b; Abraham and Cox, 2007; Amran et al., 2009).</w:t>
      </w:r>
    </w:p>
    <w:p w:rsidR="00AE4097" w:rsidRDefault="00AE4097" w:rsidP="00AE4097">
      <w:pPr>
        <w:suppressAutoHyphens/>
        <w:spacing w:line="360" w:lineRule="auto"/>
        <w:jc w:val="both"/>
        <w:rPr>
          <w:sz w:val="22"/>
          <w:szCs w:val="22"/>
          <w:lang w:val="en-US"/>
        </w:rPr>
      </w:pPr>
      <w:r>
        <w:rPr>
          <w:sz w:val="22"/>
          <w:szCs w:val="22"/>
          <w:lang w:val="en-US"/>
        </w:rPr>
        <w:tab/>
        <w:t>The company profitability is measured with the return on assets (ROA). Data are obtained from the ThomsonOneBanker (appendix X). As analyzed in paragraph 5.3.2, the ROA for 2006-2007 is not normally distributed, while the ROA for 2008-20009 is normally distributed. This means that for the first period the Spearman’s correlation coefficient is used, whereas for the second period the Pearson correlation coefficient must be calculated. For this hypothesis a one-tailed test must be selected, because there is a directional hypothesis (the relation between risk disclosures and company profitability is expected to be positive) (Field, 2009).</w:t>
      </w:r>
    </w:p>
    <w:p w:rsidR="00AE4097" w:rsidRDefault="00AE4097" w:rsidP="00AE4097">
      <w:pPr>
        <w:suppressAutoHyphens/>
        <w:spacing w:line="360" w:lineRule="auto"/>
        <w:jc w:val="both"/>
        <w:rPr>
          <w:sz w:val="22"/>
          <w:szCs w:val="22"/>
          <w:lang w:val="en-US"/>
        </w:rPr>
      </w:pPr>
    </w:p>
    <w:tbl>
      <w:tblPr>
        <w:tblW w:w="5450" w:type="dxa"/>
        <w:jc w:val="center"/>
        <w:tblInd w:w="-1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8"/>
        <w:gridCol w:w="1412"/>
        <w:gridCol w:w="2050"/>
        <w:gridCol w:w="1940"/>
      </w:tblGrid>
      <w:tr w:rsidR="00AE4097" w:rsidTr="00176384">
        <w:trPr>
          <w:cantSplit/>
          <w:tblHeader/>
          <w:jc w:val="center"/>
        </w:trPr>
        <w:tc>
          <w:tcPr>
            <w:tcW w:w="3510" w:type="dxa"/>
            <w:gridSpan w:val="3"/>
            <w:tcBorders>
              <w:top w:val="single" w:sz="16" w:space="0" w:color="000000"/>
              <w:left w:val="single" w:sz="16" w:space="0" w:color="000000"/>
              <w:bottom w:val="single" w:sz="16" w:space="0" w:color="000000"/>
              <w:right w:val="single" w:sz="16" w:space="0" w:color="000000"/>
            </w:tcBorders>
            <w:shd w:val="clear" w:color="auto" w:fill="FFFFFF"/>
            <w:vAlign w:val="center"/>
          </w:tcPr>
          <w:p w:rsidR="00AE4097" w:rsidRDefault="00AE4097" w:rsidP="00176384">
            <w:pPr>
              <w:jc w:val="center"/>
              <w:rPr>
                <w:lang w:val="en-US"/>
              </w:rPr>
            </w:pPr>
            <w:r>
              <w:rPr>
                <w:rFonts w:ascii="Arial" w:hAnsi="Arial" w:cs="Arial"/>
                <w:sz w:val="18"/>
                <w:szCs w:val="18"/>
                <w:lang w:val="en-US"/>
              </w:rPr>
              <w:t>Spearman's rho</w:t>
            </w:r>
          </w:p>
        </w:tc>
        <w:tc>
          <w:tcPr>
            <w:tcW w:w="1940" w:type="dxa"/>
            <w:tcBorders>
              <w:top w:val="single" w:sz="16" w:space="0" w:color="000000"/>
              <w:left w:val="single" w:sz="16"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RiskDisclScore0607</w:t>
            </w:r>
          </w:p>
        </w:tc>
      </w:tr>
      <w:tr w:rsidR="00AE4097" w:rsidTr="00176384">
        <w:trPr>
          <w:cantSplit/>
          <w:tblHeader/>
          <w:jc w:val="center"/>
        </w:trPr>
        <w:tc>
          <w:tcPr>
            <w:tcW w:w="48" w:type="dxa"/>
            <w:vMerge w:val="restart"/>
            <w:tcBorders>
              <w:top w:val="single" w:sz="16" w:space="0" w:color="000000"/>
              <w:left w:val="single" w:sz="16" w:space="0" w:color="000000"/>
              <w:bottom w:val="single" w:sz="16" w:space="0" w:color="000000"/>
              <w:right w:val="nil"/>
            </w:tcBorders>
            <w:shd w:val="clear" w:color="auto" w:fill="FFFFFF"/>
          </w:tcPr>
          <w:p w:rsidR="00AE4097" w:rsidRDefault="00AE4097" w:rsidP="00176384">
            <w:pPr>
              <w:rPr>
                <w:rFonts w:ascii="Arial" w:hAnsi="Arial" w:cs="Arial"/>
                <w:sz w:val="18"/>
                <w:szCs w:val="18"/>
                <w:lang w:val="en-US"/>
              </w:rPr>
            </w:pPr>
          </w:p>
        </w:tc>
        <w:tc>
          <w:tcPr>
            <w:tcW w:w="1412" w:type="dxa"/>
            <w:vMerge w:val="restart"/>
            <w:tcBorders>
              <w:top w:val="single" w:sz="8" w:space="0" w:color="000000"/>
              <w:left w:val="nil"/>
              <w:bottom w:val="single" w:sz="16" w:space="0" w:color="000000"/>
              <w:right w:val="nil"/>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ROA0607</w:t>
            </w:r>
          </w:p>
        </w:tc>
        <w:tc>
          <w:tcPr>
            <w:tcW w:w="2050" w:type="dxa"/>
            <w:tcBorders>
              <w:top w:val="single" w:sz="8" w:space="0" w:color="000000"/>
              <w:left w:val="nil"/>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Correlation Coefficient</w:t>
            </w:r>
          </w:p>
        </w:tc>
        <w:tc>
          <w:tcPr>
            <w:tcW w:w="1940" w:type="dxa"/>
            <w:tcBorders>
              <w:top w:val="single" w:sz="8" w:space="0" w:color="000000"/>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,052</w:t>
            </w:r>
          </w:p>
        </w:tc>
      </w:tr>
      <w:tr w:rsidR="00AE4097" w:rsidTr="00176384">
        <w:trPr>
          <w:cantSplit/>
          <w:tblHeader/>
          <w:jc w:val="center"/>
        </w:trPr>
        <w:tc>
          <w:tcPr>
            <w:tcW w:w="48" w:type="dxa"/>
            <w:vMerge/>
            <w:tcBorders>
              <w:top w:val="single" w:sz="16" w:space="0" w:color="000000"/>
              <w:left w:val="single" w:sz="16" w:space="0" w:color="000000"/>
              <w:bottom w:val="single" w:sz="16" w:space="0" w:color="000000"/>
              <w:right w:val="nil"/>
            </w:tcBorders>
            <w:shd w:val="clear" w:color="auto" w:fill="FFFFFF"/>
          </w:tcPr>
          <w:p w:rsidR="00AE4097" w:rsidRDefault="00AE4097" w:rsidP="00176384">
            <w:pPr>
              <w:rPr>
                <w:lang w:val="en-US"/>
              </w:rPr>
            </w:pPr>
          </w:p>
        </w:tc>
        <w:tc>
          <w:tcPr>
            <w:tcW w:w="1412" w:type="dxa"/>
            <w:vMerge/>
            <w:tcBorders>
              <w:top w:val="single" w:sz="8" w:space="0" w:color="000000"/>
              <w:left w:val="nil"/>
              <w:bottom w:val="single" w:sz="16" w:space="0" w:color="000000"/>
              <w:right w:val="nil"/>
            </w:tcBorders>
            <w:shd w:val="clear" w:color="auto" w:fill="FFFFFF"/>
          </w:tcPr>
          <w:p w:rsidR="00AE4097" w:rsidRDefault="00AE4097" w:rsidP="00176384">
            <w:pPr>
              <w:rPr>
                <w:lang w:val="en-US"/>
              </w:rPr>
            </w:pPr>
          </w:p>
        </w:tc>
        <w:tc>
          <w:tcPr>
            <w:tcW w:w="2050" w:type="dxa"/>
            <w:tcBorders>
              <w:top w:val="nil"/>
              <w:left w:val="nil"/>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Sig. (1-tailed)</w:t>
            </w:r>
          </w:p>
        </w:tc>
        <w:tc>
          <w:tcPr>
            <w:tcW w:w="1940"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,419</w:t>
            </w:r>
          </w:p>
        </w:tc>
      </w:tr>
      <w:tr w:rsidR="00AE4097" w:rsidTr="00176384">
        <w:trPr>
          <w:cantSplit/>
          <w:jc w:val="center"/>
        </w:trPr>
        <w:tc>
          <w:tcPr>
            <w:tcW w:w="48" w:type="dxa"/>
            <w:vMerge/>
            <w:tcBorders>
              <w:top w:val="single" w:sz="16" w:space="0" w:color="000000"/>
              <w:left w:val="single" w:sz="16" w:space="0" w:color="000000"/>
              <w:bottom w:val="single" w:sz="16" w:space="0" w:color="000000"/>
              <w:right w:val="nil"/>
            </w:tcBorders>
            <w:shd w:val="clear" w:color="auto" w:fill="FFFFFF"/>
          </w:tcPr>
          <w:p w:rsidR="00AE4097" w:rsidRDefault="00AE4097" w:rsidP="00176384">
            <w:pPr>
              <w:rPr>
                <w:lang w:val="en-US"/>
              </w:rPr>
            </w:pPr>
          </w:p>
        </w:tc>
        <w:tc>
          <w:tcPr>
            <w:tcW w:w="1412" w:type="dxa"/>
            <w:vMerge/>
            <w:tcBorders>
              <w:top w:val="single" w:sz="8" w:space="0" w:color="000000"/>
              <w:left w:val="nil"/>
              <w:bottom w:val="single" w:sz="16" w:space="0" w:color="000000"/>
              <w:right w:val="nil"/>
            </w:tcBorders>
            <w:shd w:val="clear" w:color="auto" w:fill="FFFFFF"/>
          </w:tcPr>
          <w:p w:rsidR="00AE4097" w:rsidRDefault="00AE4097" w:rsidP="00176384">
            <w:pPr>
              <w:rPr>
                <w:lang w:val="en-US"/>
              </w:rPr>
            </w:pPr>
          </w:p>
        </w:tc>
        <w:tc>
          <w:tcPr>
            <w:tcW w:w="2050" w:type="dxa"/>
            <w:tcBorders>
              <w:top w:val="nil"/>
              <w:left w:val="nil"/>
              <w:bottom w:val="single" w:sz="16" w:space="0" w:color="000000"/>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N</w:t>
            </w:r>
          </w:p>
        </w:tc>
        <w:tc>
          <w:tcPr>
            <w:tcW w:w="1940" w:type="dxa"/>
            <w:tcBorders>
              <w:top w:val="nil"/>
              <w:left w:val="single" w:sz="16" w:space="0" w:color="000000"/>
              <w:bottom w:val="single" w:sz="16" w:space="0" w:color="000000"/>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r>
    </w:tbl>
    <w:p w:rsidR="00AE4097" w:rsidRDefault="00AE4097" w:rsidP="00AE4097">
      <w:pPr>
        <w:jc w:val="center"/>
        <w:rPr>
          <w:b/>
          <w:bCs/>
          <w:sz w:val="20"/>
          <w:lang w:val="en-US"/>
        </w:rPr>
      </w:pPr>
      <w:r>
        <w:rPr>
          <w:b/>
          <w:bCs/>
          <w:sz w:val="20"/>
          <w:lang w:val="en-US"/>
        </w:rPr>
        <w:t>Table 6: Spearman’s rho correlation coefficient for 2006-2007</w:t>
      </w:r>
    </w:p>
    <w:p w:rsidR="00AE4097" w:rsidRDefault="00AE4097" w:rsidP="00AE4097">
      <w:pPr>
        <w:suppressAutoHyphens/>
        <w:spacing w:line="360" w:lineRule="auto"/>
        <w:ind w:firstLine="567"/>
        <w:jc w:val="both"/>
        <w:rPr>
          <w:sz w:val="22"/>
          <w:szCs w:val="22"/>
          <w:lang w:val="en-US"/>
        </w:rPr>
      </w:pPr>
    </w:p>
    <w:p w:rsidR="00AE4097" w:rsidRDefault="00AE4097" w:rsidP="00AE4097">
      <w:pPr>
        <w:suppressAutoHyphens/>
        <w:spacing w:line="360" w:lineRule="auto"/>
        <w:ind w:firstLine="567"/>
        <w:jc w:val="both"/>
        <w:rPr>
          <w:sz w:val="22"/>
          <w:szCs w:val="22"/>
          <w:lang w:val="en-US"/>
        </w:rPr>
      </w:pPr>
      <w:r>
        <w:rPr>
          <w:sz w:val="22"/>
          <w:szCs w:val="22"/>
          <w:lang w:val="en-US"/>
        </w:rPr>
        <w:t xml:space="preserve">The Spearman’s correlation coefficient is 0.052. There is a positive relation between the risk disclosure scores in 2006-2007 and the ROA in this period. The significance value is 0.419, which is more than 0.05. Therefore it can be concluded that that there is no statistically significant relation </w:t>
      </w:r>
    </w:p>
    <w:p w:rsidR="00AE4097" w:rsidRDefault="00AE4097" w:rsidP="00AE4097">
      <w:pPr>
        <w:suppressAutoHyphens/>
        <w:spacing w:line="360" w:lineRule="auto"/>
        <w:jc w:val="both"/>
        <w:rPr>
          <w:sz w:val="22"/>
          <w:szCs w:val="22"/>
          <w:lang w:val="en-US"/>
        </w:rPr>
      </w:pPr>
      <w:proofErr w:type="gramStart"/>
      <w:r>
        <w:rPr>
          <w:sz w:val="22"/>
          <w:szCs w:val="22"/>
          <w:lang w:val="en-US"/>
        </w:rPr>
        <w:t>between</w:t>
      </w:r>
      <w:proofErr w:type="gramEnd"/>
      <w:r>
        <w:rPr>
          <w:sz w:val="22"/>
          <w:szCs w:val="22"/>
          <w:lang w:val="en-US"/>
        </w:rPr>
        <w:t xml:space="preserve"> risk disclosures in 2006-2007 and company profitability.</w:t>
      </w:r>
    </w:p>
    <w:p w:rsidR="00466506" w:rsidRDefault="00466506" w:rsidP="00AE4097">
      <w:pPr>
        <w:suppressAutoHyphens/>
        <w:spacing w:line="360" w:lineRule="auto"/>
        <w:jc w:val="both"/>
        <w:rPr>
          <w:sz w:val="22"/>
          <w:szCs w:val="22"/>
          <w:lang w:val="en-US"/>
        </w:rPr>
      </w:pPr>
    </w:p>
    <w:p w:rsidR="008131D1" w:rsidRDefault="008131D1" w:rsidP="00AE4097">
      <w:pPr>
        <w:suppressAutoHyphens/>
        <w:spacing w:line="360" w:lineRule="auto"/>
        <w:jc w:val="both"/>
        <w:rPr>
          <w:sz w:val="22"/>
          <w:szCs w:val="22"/>
          <w:lang w:val="en-US"/>
        </w:rPr>
      </w:pPr>
    </w:p>
    <w:tbl>
      <w:tblPr>
        <w:tblW w:w="5000" w:type="dxa"/>
        <w:jc w:val="center"/>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31"/>
        <w:gridCol w:w="1800"/>
        <w:gridCol w:w="1769"/>
      </w:tblGrid>
      <w:tr w:rsidR="00AE4097" w:rsidTr="00176384">
        <w:trPr>
          <w:cantSplit/>
          <w:trHeight w:val="288"/>
          <w:tblHeader/>
          <w:jc w:val="center"/>
        </w:trPr>
        <w:tc>
          <w:tcPr>
            <w:tcW w:w="3231"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E4097" w:rsidRDefault="00AE4097" w:rsidP="00176384">
            <w:pPr>
              <w:jc w:val="center"/>
              <w:rPr>
                <w:lang w:val="en-US"/>
              </w:rPr>
            </w:pPr>
          </w:p>
        </w:tc>
        <w:tc>
          <w:tcPr>
            <w:tcW w:w="1769" w:type="dxa"/>
            <w:tcBorders>
              <w:top w:val="single" w:sz="16" w:space="0" w:color="000000"/>
              <w:left w:val="single" w:sz="16"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RiskDisclScore0809</w:t>
            </w:r>
          </w:p>
        </w:tc>
      </w:tr>
      <w:tr w:rsidR="00AE4097" w:rsidTr="00176384">
        <w:trPr>
          <w:cantSplit/>
          <w:trHeight w:val="140"/>
          <w:tblHeader/>
          <w:jc w:val="center"/>
        </w:trPr>
        <w:tc>
          <w:tcPr>
            <w:tcW w:w="1431" w:type="dxa"/>
            <w:vMerge w:val="restart"/>
            <w:tcBorders>
              <w:top w:val="single" w:sz="8" w:space="0" w:color="000000"/>
              <w:left w:val="single" w:sz="16" w:space="0" w:color="000000"/>
              <w:bottom w:val="single" w:sz="16" w:space="0" w:color="000000"/>
              <w:right w:val="nil"/>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ROA0809</w:t>
            </w:r>
          </w:p>
        </w:tc>
        <w:tc>
          <w:tcPr>
            <w:tcW w:w="1800" w:type="dxa"/>
            <w:tcBorders>
              <w:top w:val="single" w:sz="8" w:space="0" w:color="000000"/>
              <w:left w:val="nil"/>
              <w:bottom w:val="nil"/>
              <w:right w:val="single" w:sz="16" w:space="0" w:color="000000"/>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Pearson Correlation</w:t>
            </w:r>
          </w:p>
        </w:tc>
        <w:tc>
          <w:tcPr>
            <w:tcW w:w="1769" w:type="dxa"/>
            <w:tcBorders>
              <w:top w:val="single" w:sz="8" w:space="0" w:color="000000"/>
              <w:left w:val="single" w:sz="16" w:space="0" w:color="000000"/>
              <w:bottom w:val="nil"/>
              <w:right w:val="single" w:sz="8" w:space="0" w:color="000000"/>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-,386</w:t>
            </w:r>
          </w:p>
        </w:tc>
      </w:tr>
      <w:tr w:rsidR="00AE4097" w:rsidTr="00176384">
        <w:trPr>
          <w:cantSplit/>
          <w:trHeight w:val="198"/>
          <w:tblHeader/>
          <w:jc w:val="center"/>
        </w:trPr>
        <w:tc>
          <w:tcPr>
            <w:tcW w:w="1431" w:type="dxa"/>
            <w:vMerge/>
            <w:tcBorders>
              <w:top w:val="single" w:sz="8" w:space="0" w:color="000000"/>
              <w:left w:val="single" w:sz="16" w:space="0" w:color="000000"/>
              <w:bottom w:val="single" w:sz="16" w:space="0" w:color="000000"/>
              <w:right w:val="nil"/>
            </w:tcBorders>
            <w:shd w:val="clear" w:color="auto" w:fill="FFFFFF"/>
          </w:tcPr>
          <w:p w:rsidR="00AE4097" w:rsidRDefault="00AE4097" w:rsidP="00176384">
            <w:pPr>
              <w:jc w:val="center"/>
              <w:rPr>
                <w:rFonts w:ascii="Arial" w:hAnsi="Arial" w:cs="Arial"/>
                <w:sz w:val="18"/>
                <w:szCs w:val="18"/>
                <w:lang w:val="en-US"/>
              </w:rPr>
            </w:pPr>
          </w:p>
        </w:tc>
        <w:tc>
          <w:tcPr>
            <w:tcW w:w="1800" w:type="dxa"/>
            <w:tcBorders>
              <w:top w:val="nil"/>
              <w:left w:val="nil"/>
              <w:bottom w:val="nil"/>
              <w:right w:val="single" w:sz="16" w:space="0" w:color="000000"/>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Sig. (1-tailed)</w:t>
            </w:r>
          </w:p>
        </w:tc>
        <w:tc>
          <w:tcPr>
            <w:tcW w:w="1769"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,057</w:t>
            </w:r>
          </w:p>
          <w:p w:rsidR="00AE4097" w:rsidRDefault="00AE4097" w:rsidP="00176384">
            <w:pPr>
              <w:ind w:left="60" w:right="60"/>
              <w:jc w:val="center"/>
              <w:rPr>
                <w:rFonts w:ascii="Arial" w:hAnsi="Arial" w:cs="Arial"/>
                <w:sz w:val="18"/>
                <w:szCs w:val="18"/>
                <w:lang w:val="en-US"/>
              </w:rPr>
            </w:pPr>
          </w:p>
        </w:tc>
      </w:tr>
      <w:tr w:rsidR="00AE4097" w:rsidTr="00176384">
        <w:trPr>
          <w:cantSplit/>
          <w:trHeight w:val="64"/>
          <w:jc w:val="center"/>
        </w:trPr>
        <w:tc>
          <w:tcPr>
            <w:tcW w:w="1431" w:type="dxa"/>
            <w:vMerge/>
            <w:tcBorders>
              <w:top w:val="single" w:sz="8" w:space="0" w:color="000000"/>
              <w:left w:val="single" w:sz="16" w:space="0" w:color="000000"/>
              <w:bottom w:val="single" w:sz="16" w:space="0" w:color="000000"/>
              <w:right w:val="nil"/>
            </w:tcBorders>
            <w:shd w:val="clear" w:color="auto" w:fill="FFFFFF"/>
          </w:tcPr>
          <w:p w:rsidR="00AE4097" w:rsidRDefault="00AE4097" w:rsidP="00176384">
            <w:pPr>
              <w:jc w:val="center"/>
              <w:rPr>
                <w:lang w:val="en-US"/>
              </w:rPr>
            </w:pPr>
          </w:p>
        </w:tc>
        <w:tc>
          <w:tcPr>
            <w:tcW w:w="1800" w:type="dxa"/>
            <w:tcBorders>
              <w:top w:val="nil"/>
              <w:left w:val="nil"/>
              <w:bottom w:val="single" w:sz="16" w:space="0" w:color="000000"/>
              <w:right w:val="single" w:sz="16" w:space="0" w:color="000000"/>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N</w:t>
            </w:r>
          </w:p>
        </w:tc>
        <w:tc>
          <w:tcPr>
            <w:tcW w:w="1769" w:type="dxa"/>
            <w:tcBorders>
              <w:top w:val="nil"/>
              <w:left w:val="single" w:sz="16" w:space="0" w:color="000000"/>
              <w:bottom w:val="single" w:sz="16" w:space="0" w:color="000000"/>
              <w:right w:val="single" w:sz="8" w:space="0" w:color="000000"/>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18</w:t>
            </w:r>
          </w:p>
        </w:tc>
      </w:tr>
    </w:tbl>
    <w:p w:rsidR="00AE4097" w:rsidRDefault="00AE4097" w:rsidP="00AE4097">
      <w:pPr>
        <w:tabs>
          <w:tab w:val="left" w:pos="2655"/>
          <w:tab w:val="center" w:pos="4536"/>
        </w:tabs>
        <w:jc w:val="center"/>
        <w:rPr>
          <w:b/>
          <w:sz w:val="20"/>
          <w:szCs w:val="20"/>
          <w:lang w:val="en-US"/>
        </w:rPr>
      </w:pPr>
      <w:r>
        <w:rPr>
          <w:b/>
          <w:sz w:val="20"/>
          <w:szCs w:val="20"/>
          <w:lang w:val="en-US"/>
        </w:rPr>
        <w:t>Table 7: Pearson correlation coefficient for 2008-2009</w:t>
      </w:r>
    </w:p>
    <w:p w:rsidR="00AE4097" w:rsidRDefault="00AE4097" w:rsidP="00AE4097">
      <w:pPr>
        <w:spacing w:line="360" w:lineRule="auto"/>
        <w:jc w:val="both"/>
        <w:rPr>
          <w:b/>
          <w:sz w:val="22"/>
          <w:szCs w:val="20"/>
          <w:lang w:val="en-US"/>
        </w:rPr>
      </w:pPr>
    </w:p>
    <w:p w:rsidR="00AE4097" w:rsidRDefault="00AE4097" w:rsidP="00AE4097">
      <w:pPr>
        <w:suppressAutoHyphens/>
        <w:spacing w:line="360" w:lineRule="auto"/>
        <w:ind w:firstLine="567"/>
        <w:jc w:val="both"/>
        <w:rPr>
          <w:sz w:val="22"/>
          <w:szCs w:val="22"/>
          <w:lang w:val="en-US"/>
        </w:rPr>
      </w:pPr>
      <w:r>
        <w:rPr>
          <w:sz w:val="22"/>
          <w:szCs w:val="22"/>
          <w:lang w:val="en-US"/>
        </w:rPr>
        <w:t xml:space="preserve">The Pearson correlation coefficient in 2008-2009 is –0.386. The company‘s profitability measure is negatively correlated with the risk disclosure score of 2008-2009. Companies with higher profitability disclosed less risk information than companies with lower profitability. More profitable companies disclose </w:t>
      </w:r>
      <w:proofErr w:type="gramStart"/>
      <w:r>
        <w:rPr>
          <w:sz w:val="22"/>
          <w:szCs w:val="22"/>
          <w:lang w:val="en-US"/>
        </w:rPr>
        <w:t>less risks</w:t>
      </w:r>
      <w:proofErr w:type="gramEnd"/>
      <w:r>
        <w:rPr>
          <w:sz w:val="22"/>
          <w:szCs w:val="22"/>
          <w:lang w:val="en-US"/>
        </w:rPr>
        <w:t xml:space="preserve"> to hold their superior risk management secret for others. However, the significance value is 0.057, which means the relation is not statistically significant (p&gt;0.05). For this research no statistically relation is found between risk disclosures in 2008-2009 and company profitability.</w:t>
      </w:r>
    </w:p>
    <w:p w:rsidR="00AE4097" w:rsidRDefault="00AE4097" w:rsidP="00AE4097">
      <w:pPr>
        <w:suppressAutoHyphens/>
        <w:spacing w:line="360" w:lineRule="auto"/>
        <w:ind w:firstLine="567"/>
        <w:jc w:val="both"/>
        <w:rPr>
          <w:sz w:val="22"/>
          <w:szCs w:val="22"/>
          <w:lang w:val="en-US"/>
        </w:rPr>
      </w:pPr>
      <w:r>
        <w:rPr>
          <w:sz w:val="22"/>
          <w:szCs w:val="22"/>
          <w:lang w:val="en-US"/>
        </w:rPr>
        <w:t xml:space="preserve">Hypothesis 2 is rejected for both periods as no significant support for a positive relation is found. This is in line with Linsley and Shrives (2006b), who found no statistically significant association between profitability and risk disclosures for </w:t>
      </w:r>
      <w:r w:rsidRPr="00D4768E">
        <w:rPr>
          <w:sz w:val="22"/>
          <w:szCs w:val="22"/>
          <w:lang w:val="en-US"/>
        </w:rPr>
        <w:t xml:space="preserve">Canadian and </w:t>
      </w:r>
      <w:r w:rsidR="00F073FE">
        <w:rPr>
          <w:sz w:val="22"/>
          <w:szCs w:val="22"/>
          <w:lang w:val="en-US"/>
        </w:rPr>
        <w:t>UK</w:t>
      </w:r>
      <w:r w:rsidRPr="00D4768E">
        <w:rPr>
          <w:sz w:val="22"/>
          <w:szCs w:val="22"/>
          <w:lang w:val="en-US"/>
        </w:rPr>
        <w:t xml:space="preserve"> banks, and with Deumes</w:t>
      </w:r>
      <w:r w:rsidRPr="00BF2A05">
        <w:rPr>
          <w:sz w:val="22"/>
          <w:szCs w:val="22"/>
          <w:lang w:val="en-US"/>
        </w:rPr>
        <w:t xml:space="preserve"> and Knechel (2008), </w:t>
      </w:r>
      <w:r>
        <w:rPr>
          <w:sz w:val="22"/>
          <w:szCs w:val="22"/>
          <w:lang w:val="en-US"/>
        </w:rPr>
        <w:t xml:space="preserve">who </w:t>
      </w:r>
      <w:r w:rsidRPr="00BF2A05">
        <w:rPr>
          <w:sz w:val="22"/>
          <w:szCs w:val="22"/>
          <w:lang w:val="en-US"/>
        </w:rPr>
        <w:t xml:space="preserve">didn’t find a significant, negative relationship either. </w:t>
      </w:r>
      <w:r w:rsidRPr="00BF2A05">
        <w:rPr>
          <w:bCs/>
          <w:sz w:val="22"/>
          <w:szCs w:val="22"/>
          <w:lang w:val="en-US"/>
        </w:rPr>
        <w:t xml:space="preserve">According </w:t>
      </w:r>
      <w:r>
        <w:rPr>
          <w:bCs/>
          <w:sz w:val="22"/>
          <w:szCs w:val="22"/>
          <w:lang w:val="en-US"/>
        </w:rPr>
        <w:t>to prior literature a positive relation was expected between risk disclosures and company profitability. This assumption was based on the fact that companies with a better risk management will have higher</w:t>
      </w:r>
      <w:r w:rsidRPr="00BF2A05">
        <w:rPr>
          <w:bCs/>
          <w:sz w:val="22"/>
          <w:szCs w:val="22"/>
          <w:lang w:val="en-US"/>
        </w:rPr>
        <w:t xml:space="preserve"> levels of profitability, so they want to publish their superior risk management abilities to the market via disclosures in their annual reports (Linsley and Shrives, 2006b). However, in this research no significant relation is found. It is possible that the argument of Linsley and Shrives (2006b) is still plausible, but that other factors cause awareness among the management when deciding which risk information they want to disclose, e.g. proprietary cost, that places a company at a competitive disadvantage. The conclusion is that some companies believe they have a good risk management system that positively influences the financial results, but </w:t>
      </w:r>
      <w:r w:rsidRPr="00BF2A05">
        <w:rPr>
          <w:sz w:val="22"/>
          <w:szCs w:val="22"/>
          <w:lang w:val="en-US"/>
        </w:rPr>
        <w:t xml:space="preserve">more profitable companies do not want to express their risk management system, because of the advantage of lower cost of capital, which does not compensate the negative costs as a consequence of the possibility that other companies use the information to improve their risk management system as well (Healy and Palepu, 2001; </w:t>
      </w:r>
      <w:r w:rsidRPr="00BF2A05">
        <w:rPr>
          <w:bCs/>
          <w:sz w:val="22"/>
          <w:szCs w:val="22"/>
          <w:lang w:val="en-US"/>
        </w:rPr>
        <w:t>Linsley and Shrives, 2006b)</w:t>
      </w:r>
      <w:r w:rsidRPr="00BF2A05">
        <w:rPr>
          <w:sz w:val="22"/>
          <w:szCs w:val="22"/>
          <w:lang w:val="en-US"/>
        </w:rPr>
        <w:t>. The assumption of Holland (2005) that companies are disclosing more voluntary information during ‘good times’ than during ‘ bad times’ does not hold in this research.</w:t>
      </w:r>
    </w:p>
    <w:p w:rsidR="00AE4097" w:rsidRDefault="00AE4097" w:rsidP="00AE4097">
      <w:pPr>
        <w:pStyle w:val="BodyText3"/>
        <w:suppressAutoHyphens/>
        <w:spacing w:after="0" w:line="360" w:lineRule="auto"/>
        <w:jc w:val="both"/>
        <w:rPr>
          <w:bCs w:val="0"/>
          <w:szCs w:val="22"/>
          <w:highlight w:val="yellow"/>
        </w:rPr>
      </w:pPr>
    </w:p>
    <w:p w:rsidR="00AE4097" w:rsidRDefault="00AE4097" w:rsidP="008C2ED0">
      <w:pPr>
        <w:pStyle w:val="Heading3"/>
        <w:numPr>
          <w:ilvl w:val="2"/>
          <w:numId w:val="2"/>
        </w:numPr>
        <w:tabs>
          <w:tab w:val="num" w:pos="1004"/>
        </w:tabs>
        <w:suppressAutoHyphens/>
        <w:spacing w:before="0" w:after="0" w:line="360" w:lineRule="auto"/>
        <w:jc w:val="both"/>
        <w:rPr>
          <w:b w:val="0"/>
          <w:i/>
          <w:sz w:val="22"/>
          <w:szCs w:val="22"/>
          <w:lang w:val="en-US"/>
        </w:rPr>
      </w:pPr>
      <w:bookmarkStart w:id="178" w:name="_Toc288459384"/>
      <w:bookmarkStart w:id="179" w:name="_Toc288725925"/>
      <w:r>
        <w:rPr>
          <w:b w:val="0"/>
          <w:i/>
          <w:sz w:val="22"/>
          <w:szCs w:val="22"/>
          <w:lang w:val="en-US"/>
        </w:rPr>
        <w:t>Hypothesis 3</w:t>
      </w:r>
      <w:bookmarkEnd w:id="178"/>
      <w:bookmarkEnd w:id="179"/>
    </w:p>
    <w:p w:rsidR="008131D1" w:rsidRDefault="00AE4097" w:rsidP="00AE4097">
      <w:pPr>
        <w:suppressAutoHyphens/>
        <w:spacing w:line="360" w:lineRule="auto"/>
        <w:ind w:firstLine="567"/>
        <w:jc w:val="both"/>
        <w:rPr>
          <w:sz w:val="22"/>
          <w:szCs w:val="22"/>
          <w:lang w:val="en-US"/>
        </w:rPr>
      </w:pPr>
      <w:r>
        <w:rPr>
          <w:sz w:val="22"/>
          <w:szCs w:val="22"/>
          <w:lang w:val="en-US"/>
        </w:rPr>
        <w:t xml:space="preserve">For the third hypothesis, the level of risk is measured with the debt/equity ratio. The data are obtained from the ThomsonOneBanker (appendix X). To test the relation between risk disclosures and the level of risk the correlation must be calculated. The working of a correlation coefficient is explained in the previous paragraph. As analyzed in paragraph 5.3.2 the debt/equity ratio for both 2006-2007 and 2008-2009 is normally distributed. </w:t>
      </w:r>
    </w:p>
    <w:p w:rsidR="00AE4097" w:rsidRDefault="00AE4097" w:rsidP="008131D1">
      <w:pPr>
        <w:suppressAutoHyphens/>
        <w:spacing w:line="360" w:lineRule="auto"/>
        <w:jc w:val="both"/>
        <w:rPr>
          <w:sz w:val="22"/>
          <w:szCs w:val="22"/>
          <w:lang w:val="en-US"/>
        </w:rPr>
      </w:pPr>
      <w:r>
        <w:rPr>
          <w:sz w:val="22"/>
          <w:szCs w:val="22"/>
          <w:lang w:val="en-US"/>
        </w:rPr>
        <w:lastRenderedPageBreak/>
        <w:t>This means that the Pearson correlation coefficient has to be calculated. This coefficient is one of the most used methods in statistical analysis. For this hypothesis the two-tailed test is used, because the nature of the relationship cannot be predicted (no relation is expected between risk disclosures and level of risk) (Field, 2009).</w:t>
      </w:r>
    </w:p>
    <w:p w:rsidR="00AE4097" w:rsidRDefault="00AE4097" w:rsidP="00AE4097">
      <w:pPr>
        <w:spacing w:line="360" w:lineRule="auto"/>
        <w:jc w:val="both"/>
        <w:rPr>
          <w:sz w:val="22"/>
          <w:szCs w:val="22"/>
          <w:lang w:val="en-US"/>
        </w:rPr>
      </w:pPr>
    </w:p>
    <w:tbl>
      <w:tblPr>
        <w:tblW w:w="5129" w:type="dxa"/>
        <w:jc w:val="center"/>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40"/>
        <w:gridCol w:w="1840"/>
        <w:gridCol w:w="1849"/>
      </w:tblGrid>
      <w:tr w:rsidR="00AE4097" w:rsidTr="00176384">
        <w:trPr>
          <w:cantSplit/>
          <w:tblHeader/>
          <w:jc w:val="center"/>
        </w:trPr>
        <w:tc>
          <w:tcPr>
            <w:tcW w:w="3280"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E4097" w:rsidRDefault="00AE4097" w:rsidP="00176384">
            <w:pPr>
              <w:jc w:val="center"/>
              <w:rPr>
                <w:lang w:val="en-US"/>
              </w:rPr>
            </w:pPr>
          </w:p>
        </w:tc>
        <w:tc>
          <w:tcPr>
            <w:tcW w:w="1849" w:type="dxa"/>
            <w:tcBorders>
              <w:top w:val="single" w:sz="16" w:space="0" w:color="000000"/>
              <w:left w:val="single" w:sz="16"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RiskDisclScore0607</w:t>
            </w:r>
          </w:p>
        </w:tc>
      </w:tr>
      <w:tr w:rsidR="00AE4097" w:rsidTr="00176384">
        <w:trPr>
          <w:cantSplit/>
          <w:tblHeader/>
          <w:jc w:val="center"/>
        </w:trPr>
        <w:tc>
          <w:tcPr>
            <w:tcW w:w="1440" w:type="dxa"/>
            <w:vMerge w:val="restart"/>
            <w:tcBorders>
              <w:top w:val="single" w:sz="8" w:space="0" w:color="000000"/>
              <w:left w:val="single" w:sz="16" w:space="0" w:color="000000"/>
              <w:bottom w:val="single" w:sz="16" w:space="0" w:color="000000"/>
              <w:right w:val="nil"/>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DebtEquity0607</w:t>
            </w:r>
          </w:p>
        </w:tc>
        <w:tc>
          <w:tcPr>
            <w:tcW w:w="1840" w:type="dxa"/>
            <w:tcBorders>
              <w:top w:val="single" w:sz="8" w:space="0" w:color="000000"/>
              <w:left w:val="nil"/>
              <w:bottom w:val="nil"/>
              <w:right w:val="single" w:sz="16" w:space="0" w:color="000000"/>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Pearson Correlation</w:t>
            </w:r>
          </w:p>
        </w:tc>
        <w:tc>
          <w:tcPr>
            <w:tcW w:w="1849" w:type="dxa"/>
            <w:tcBorders>
              <w:top w:val="single" w:sz="8" w:space="0" w:color="000000"/>
              <w:left w:val="single" w:sz="16" w:space="0" w:color="000000"/>
              <w:bottom w:val="nil"/>
              <w:right w:val="single" w:sz="8" w:space="0" w:color="000000"/>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,105</w:t>
            </w:r>
          </w:p>
        </w:tc>
      </w:tr>
      <w:tr w:rsidR="00AE4097" w:rsidTr="00176384">
        <w:trPr>
          <w:cantSplit/>
          <w:tblHeader/>
          <w:jc w:val="center"/>
        </w:trPr>
        <w:tc>
          <w:tcPr>
            <w:tcW w:w="1440" w:type="dxa"/>
            <w:vMerge/>
            <w:tcBorders>
              <w:top w:val="single" w:sz="8" w:space="0" w:color="000000"/>
              <w:left w:val="single" w:sz="16" w:space="0" w:color="000000"/>
              <w:bottom w:val="single" w:sz="16" w:space="0" w:color="000000"/>
              <w:right w:val="nil"/>
            </w:tcBorders>
            <w:shd w:val="clear" w:color="auto" w:fill="FFFFFF"/>
          </w:tcPr>
          <w:p w:rsidR="00AE4097" w:rsidRDefault="00AE4097" w:rsidP="00176384">
            <w:pPr>
              <w:jc w:val="center"/>
              <w:rPr>
                <w:rFonts w:ascii="Arial" w:hAnsi="Arial" w:cs="Arial"/>
                <w:sz w:val="18"/>
                <w:szCs w:val="18"/>
                <w:lang w:val="en-US"/>
              </w:rPr>
            </w:pPr>
          </w:p>
        </w:tc>
        <w:tc>
          <w:tcPr>
            <w:tcW w:w="1840" w:type="dxa"/>
            <w:tcBorders>
              <w:top w:val="nil"/>
              <w:left w:val="nil"/>
              <w:bottom w:val="nil"/>
              <w:right w:val="single" w:sz="16" w:space="0" w:color="000000"/>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Sig. (2-tailed)</w:t>
            </w:r>
          </w:p>
        </w:tc>
        <w:tc>
          <w:tcPr>
            <w:tcW w:w="1849"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,678</w:t>
            </w:r>
          </w:p>
        </w:tc>
      </w:tr>
      <w:tr w:rsidR="00AE4097" w:rsidTr="00176384">
        <w:trPr>
          <w:cantSplit/>
          <w:jc w:val="center"/>
        </w:trPr>
        <w:tc>
          <w:tcPr>
            <w:tcW w:w="1440" w:type="dxa"/>
            <w:vMerge/>
            <w:tcBorders>
              <w:top w:val="single" w:sz="8" w:space="0" w:color="000000"/>
              <w:left w:val="single" w:sz="16" w:space="0" w:color="000000"/>
              <w:bottom w:val="single" w:sz="16" w:space="0" w:color="000000"/>
              <w:right w:val="nil"/>
            </w:tcBorders>
            <w:shd w:val="clear" w:color="auto" w:fill="FFFFFF"/>
          </w:tcPr>
          <w:p w:rsidR="00AE4097" w:rsidRDefault="00AE4097" w:rsidP="00176384">
            <w:pPr>
              <w:jc w:val="center"/>
              <w:rPr>
                <w:lang w:val="en-US"/>
              </w:rPr>
            </w:pPr>
          </w:p>
        </w:tc>
        <w:tc>
          <w:tcPr>
            <w:tcW w:w="1840" w:type="dxa"/>
            <w:tcBorders>
              <w:top w:val="nil"/>
              <w:left w:val="nil"/>
              <w:bottom w:val="single" w:sz="16" w:space="0" w:color="000000"/>
              <w:right w:val="single" w:sz="16" w:space="0" w:color="000000"/>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N</w:t>
            </w:r>
          </w:p>
        </w:tc>
        <w:tc>
          <w:tcPr>
            <w:tcW w:w="1849" w:type="dxa"/>
            <w:tcBorders>
              <w:top w:val="nil"/>
              <w:left w:val="single" w:sz="16" w:space="0" w:color="000000"/>
              <w:bottom w:val="single" w:sz="16" w:space="0" w:color="000000"/>
              <w:right w:val="single" w:sz="8" w:space="0" w:color="000000"/>
            </w:tcBorders>
            <w:shd w:val="clear" w:color="auto" w:fill="FFFFFF"/>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18</w:t>
            </w:r>
          </w:p>
        </w:tc>
      </w:tr>
    </w:tbl>
    <w:p w:rsidR="00AE4097" w:rsidRDefault="00AE4097" w:rsidP="00AE4097">
      <w:pPr>
        <w:ind w:left="1701" w:firstLine="567"/>
        <w:rPr>
          <w:b/>
          <w:bCs/>
          <w:sz w:val="20"/>
          <w:lang w:val="en-US"/>
        </w:rPr>
      </w:pPr>
      <w:r>
        <w:rPr>
          <w:b/>
          <w:bCs/>
          <w:sz w:val="20"/>
          <w:lang w:val="en-US"/>
        </w:rPr>
        <w:t>Table 8: Pearson correlation coefficient for 2006-2007</w:t>
      </w:r>
    </w:p>
    <w:p w:rsidR="00AE4097" w:rsidRDefault="00AE4097" w:rsidP="00AE4097">
      <w:pPr>
        <w:ind w:left="2268" w:firstLine="567"/>
        <w:jc w:val="center"/>
        <w:rPr>
          <w:lang w:val="en-US"/>
        </w:rPr>
      </w:pPr>
    </w:p>
    <w:tbl>
      <w:tblPr>
        <w:tblW w:w="5147" w:type="dxa"/>
        <w:jc w:val="center"/>
        <w:tblInd w:w="-1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547"/>
        <w:gridCol w:w="1800"/>
        <w:gridCol w:w="1800"/>
      </w:tblGrid>
      <w:tr w:rsidR="00AE4097" w:rsidTr="00176384">
        <w:trPr>
          <w:cantSplit/>
          <w:tblHeader/>
          <w:jc w:val="center"/>
        </w:trPr>
        <w:tc>
          <w:tcPr>
            <w:tcW w:w="3347"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AE4097" w:rsidRDefault="00AE4097" w:rsidP="00176384">
            <w:pPr>
              <w:jc w:val="center"/>
              <w:rPr>
                <w:lang w:val="en-US"/>
              </w:rPr>
            </w:pPr>
          </w:p>
        </w:tc>
        <w:tc>
          <w:tcPr>
            <w:tcW w:w="1800" w:type="dxa"/>
            <w:tcBorders>
              <w:top w:val="single" w:sz="16" w:space="0" w:color="000000"/>
              <w:left w:val="single" w:sz="16" w:space="0" w:color="000000"/>
              <w:bottom w:val="single" w:sz="16" w:space="0" w:color="000000"/>
              <w:right w:val="single" w:sz="8" w:space="0" w:color="000000"/>
            </w:tcBorders>
            <w:shd w:val="clear" w:color="auto" w:fill="FFFFFF"/>
            <w:vAlign w:val="bottom"/>
          </w:tcPr>
          <w:p w:rsidR="00AE4097" w:rsidRDefault="00AE4097" w:rsidP="00176384">
            <w:pPr>
              <w:ind w:left="60" w:right="60"/>
              <w:jc w:val="center"/>
              <w:rPr>
                <w:rFonts w:ascii="Arial" w:hAnsi="Arial" w:cs="Arial"/>
                <w:sz w:val="18"/>
                <w:szCs w:val="18"/>
                <w:lang w:val="en-US"/>
              </w:rPr>
            </w:pPr>
            <w:r>
              <w:rPr>
                <w:rFonts w:ascii="Arial" w:hAnsi="Arial" w:cs="Arial"/>
                <w:sz w:val="18"/>
                <w:szCs w:val="18"/>
                <w:lang w:val="en-US"/>
              </w:rPr>
              <w:t>RiskDisclScore0809</w:t>
            </w:r>
          </w:p>
        </w:tc>
      </w:tr>
      <w:tr w:rsidR="00AE4097" w:rsidTr="00176384">
        <w:trPr>
          <w:cantSplit/>
          <w:tblHeader/>
          <w:jc w:val="center"/>
        </w:trPr>
        <w:tc>
          <w:tcPr>
            <w:tcW w:w="1547" w:type="dxa"/>
            <w:vMerge w:val="restart"/>
            <w:tcBorders>
              <w:top w:val="single" w:sz="8" w:space="0" w:color="000000"/>
              <w:left w:val="single" w:sz="16" w:space="0" w:color="000000"/>
              <w:bottom w:val="single" w:sz="16" w:space="0" w:color="000000"/>
              <w:right w:val="nil"/>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DebtEquity0809</w:t>
            </w:r>
          </w:p>
        </w:tc>
        <w:tc>
          <w:tcPr>
            <w:tcW w:w="1800" w:type="dxa"/>
            <w:tcBorders>
              <w:top w:val="single" w:sz="8" w:space="0" w:color="000000"/>
              <w:left w:val="nil"/>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Pearson Correlation</w:t>
            </w:r>
          </w:p>
        </w:tc>
        <w:tc>
          <w:tcPr>
            <w:tcW w:w="1800" w:type="dxa"/>
            <w:tcBorders>
              <w:top w:val="single" w:sz="8" w:space="0" w:color="000000"/>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,311</w:t>
            </w:r>
          </w:p>
        </w:tc>
      </w:tr>
      <w:tr w:rsidR="00AE4097" w:rsidTr="00176384">
        <w:trPr>
          <w:cantSplit/>
          <w:tblHeader/>
          <w:jc w:val="center"/>
        </w:trPr>
        <w:tc>
          <w:tcPr>
            <w:tcW w:w="1547" w:type="dxa"/>
            <w:vMerge/>
            <w:tcBorders>
              <w:top w:val="single" w:sz="8" w:space="0" w:color="000000"/>
              <w:left w:val="single" w:sz="16" w:space="0" w:color="000000"/>
              <w:bottom w:val="single" w:sz="16" w:space="0" w:color="000000"/>
              <w:right w:val="nil"/>
            </w:tcBorders>
            <w:shd w:val="clear" w:color="auto" w:fill="FFFFFF"/>
          </w:tcPr>
          <w:p w:rsidR="00AE4097" w:rsidRDefault="00AE4097" w:rsidP="00176384">
            <w:pPr>
              <w:rPr>
                <w:rFonts w:ascii="Arial" w:hAnsi="Arial" w:cs="Arial"/>
                <w:sz w:val="18"/>
                <w:szCs w:val="18"/>
                <w:lang w:val="en-US"/>
              </w:rPr>
            </w:pPr>
          </w:p>
        </w:tc>
        <w:tc>
          <w:tcPr>
            <w:tcW w:w="1800" w:type="dxa"/>
            <w:tcBorders>
              <w:top w:val="nil"/>
              <w:left w:val="nil"/>
              <w:bottom w:val="nil"/>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Sig. (2-tailed)</w:t>
            </w:r>
          </w:p>
        </w:tc>
        <w:tc>
          <w:tcPr>
            <w:tcW w:w="1800" w:type="dxa"/>
            <w:tcBorders>
              <w:top w:val="nil"/>
              <w:left w:val="single" w:sz="16" w:space="0" w:color="000000"/>
              <w:bottom w:val="nil"/>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,209</w:t>
            </w:r>
          </w:p>
        </w:tc>
      </w:tr>
      <w:tr w:rsidR="00AE4097" w:rsidTr="00176384">
        <w:trPr>
          <w:cantSplit/>
          <w:jc w:val="center"/>
        </w:trPr>
        <w:tc>
          <w:tcPr>
            <w:tcW w:w="1547" w:type="dxa"/>
            <w:vMerge/>
            <w:tcBorders>
              <w:top w:val="single" w:sz="8" w:space="0" w:color="000000"/>
              <w:left w:val="single" w:sz="16" w:space="0" w:color="000000"/>
              <w:bottom w:val="single" w:sz="16" w:space="0" w:color="000000"/>
              <w:right w:val="nil"/>
            </w:tcBorders>
            <w:shd w:val="clear" w:color="auto" w:fill="FFFFFF"/>
          </w:tcPr>
          <w:p w:rsidR="00AE4097" w:rsidRDefault="00AE4097" w:rsidP="00176384">
            <w:pPr>
              <w:rPr>
                <w:lang w:val="en-US"/>
              </w:rPr>
            </w:pPr>
          </w:p>
        </w:tc>
        <w:tc>
          <w:tcPr>
            <w:tcW w:w="1800" w:type="dxa"/>
            <w:tcBorders>
              <w:top w:val="nil"/>
              <w:left w:val="nil"/>
              <w:bottom w:val="single" w:sz="16" w:space="0" w:color="000000"/>
              <w:right w:val="single" w:sz="16" w:space="0" w:color="000000"/>
            </w:tcBorders>
            <w:shd w:val="clear" w:color="auto" w:fill="FFFFFF"/>
          </w:tcPr>
          <w:p w:rsidR="00AE4097" w:rsidRDefault="00AE4097" w:rsidP="00176384">
            <w:pPr>
              <w:ind w:left="60" w:right="60"/>
              <w:rPr>
                <w:rFonts w:ascii="Arial" w:hAnsi="Arial" w:cs="Arial"/>
                <w:sz w:val="18"/>
                <w:szCs w:val="18"/>
                <w:lang w:val="en-US"/>
              </w:rPr>
            </w:pPr>
            <w:r>
              <w:rPr>
                <w:rFonts w:ascii="Arial" w:hAnsi="Arial" w:cs="Arial"/>
                <w:sz w:val="18"/>
                <w:szCs w:val="18"/>
                <w:lang w:val="en-US"/>
              </w:rPr>
              <w:t>N</w:t>
            </w:r>
          </w:p>
        </w:tc>
        <w:tc>
          <w:tcPr>
            <w:tcW w:w="1800" w:type="dxa"/>
            <w:tcBorders>
              <w:top w:val="nil"/>
              <w:left w:val="single" w:sz="16" w:space="0" w:color="000000"/>
              <w:bottom w:val="single" w:sz="16" w:space="0" w:color="000000"/>
              <w:right w:val="single" w:sz="8" w:space="0" w:color="000000"/>
            </w:tcBorders>
            <w:shd w:val="clear" w:color="auto" w:fill="FFFFFF"/>
          </w:tcPr>
          <w:p w:rsidR="00AE4097" w:rsidRDefault="00AE4097" w:rsidP="00176384">
            <w:pPr>
              <w:ind w:left="60" w:right="60"/>
              <w:jc w:val="right"/>
              <w:rPr>
                <w:rFonts w:ascii="Arial" w:hAnsi="Arial" w:cs="Arial"/>
                <w:sz w:val="18"/>
                <w:szCs w:val="18"/>
                <w:lang w:val="en-US"/>
              </w:rPr>
            </w:pPr>
            <w:r>
              <w:rPr>
                <w:rFonts w:ascii="Arial" w:hAnsi="Arial" w:cs="Arial"/>
                <w:sz w:val="18"/>
                <w:szCs w:val="18"/>
                <w:lang w:val="en-US"/>
              </w:rPr>
              <w:t>18</w:t>
            </w:r>
          </w:p>
        </w:tc>
      </w:tr>
    </w:tbl>
    <w:p w:rsidR="00AE4097" w:rsidRDefault="00AE4097" w:rsidP="00AE4097">
      <w:pPr>
        <w:jc w:val="center"/>
        <w:rPr>
          <w:b/>
          <w:bCs/>
          <w:sz w:val="20"/>
          <w:lang w:val="en-US"/>
        </w:rPr>
      </w:pPr>
      <w:r>
        <w:rPr>
          <w:b/>
          <w:bCs/>
          <w:sz w:val="20"/>
          <w:lang w:val="en-US"/>
        </w:rPr>
        <w:t>Table 9: Pearson correlation coefficient for 2008-2009</w:t>
      </w:r>
    </w:p>
    <w:p w:rsidR="00AE4097" w:rsidRDefault="00AE4097" w:rsidP="00AE4097">
      <w:pPr>
        <w:spacing w:line="360" w:lineRule="auto"/>
        <w:jc w:val="both"/>
        <w:rPr>
          <w:sz w:val="22"/>
          <w:szCs w:val="22"/>
          <w:highlight w:val="yellow"/>
          <w:lang w:val="en-US"/>
        </w:rPr>
      </w:pPr>
    </w:p>
    <w:p w:rsidR="00AE4097" w:rsidRPr="0017285C" w:rsidRDefault="00AE4097" w:rsidP="00AE4097">
      <w:pPr>
        <w:suppressAutoHyphens/>
        <w:spacing w:line="360" w:lineRule="auto"/>
        <w:ind w:firstLine="567"/>
        <w:jc w:val="both"/>
        <w:rPr>
          <w:sz w:val="22"/>
          <w:szCs w:val="22"/>
          <w:lang w:val="en-US"/>
        </w:rPr>
      </w:pPr>
      <w:r>
        <w:rPr>
          <w:sz w:val="22"/>
          <w:szCs w:val="22"/>
          <w:lang w:val="en-US"/>
        </w:rPr>
        <w:t xml:space="preserve">The Pearson correlation coefficient is 0.105 in 2006-2007 and 0.311 in 2008-2009, so the level of risk is positively correlated with the risk disclosure scores in both periods. However, the significance values </w:t>
      </w:r>
      <w:proofErr w:type="gramStart"/>
      <w:r>
        <w:rPr>
          <w:sz w:val="22"/>
          <w:szCs w:val="22"/>
          <w:lang w:val="en-US"/>
        </w:rPr>
        <w:t>are  0.678</w:t>
      </w:r>
      <w:proofErr w:type="gramEnd"/>
      <w:r>
        <w:rPr>
          <w:sz w:val="22"/>
          <w:szCs w:val="22"/>
          <w:lang w:val="en-US"/>
        </w:rPr>
        <w:t xml:space="preserve"> and</w:t>
      </w:r>
      <w:r w:rsidRPr="0017285C">
        <w:rPr>
          <w:sz w:val="22"/>
          <w:szCs w:val="22"/>
          <w:lang w:val="en-US"/>
        </w:rPr>
        <w:t xml:space="preserve"> 0.209. For both values is P&gt;0</w:t>
      </w:r>
      <w:proofErr w:type="gramStart"/>
      <w:r w:rsidRPr="0017285C">
        <w:rPr>
          <w:sz w:val="22"/>
          <w:szCs w:val="22"/>
          <w:lang w:val="en-US"/>
        </w:rPr>
        <w:t>,05</w:t>
      </w:r>
      <w:proofErr w:type="gramEnd"/>
      <w:r w:rsidRPr="0017285C">
        <w:rPr>
          <w:sz w:val="22"/>
          <w:szCs w:val="22"/>
          <w:lang w:val="en-US"/>
        </w:rPr>
        <w:t xml:space="preserve">. The variable level of risk, as measured with the </w:t>
      </w:r>
      <w:r>
        <w:rPr>
          <w:sz w:val="22"/>
          <w:szCs w:val="22"/>
          <w:lang w:val="en-US"/>
        </w:rPr>
        <w:t>D/E ratio</w:t>
      </w:r>
      <w:r w:rsidRPr="0017285C">
        <w:rPr>
          <w:sz w:val="22"/>
          <w:szCs w:val="22"/>
          <w:lang w:val="en-US"/>
        </w:rPr>
        <w:t>, does not have significant influence on the risk disclosure scores</w:t>
      </w:r>
      <w:r w:rsidR="001F34AD">
        <w:rPr>
          <w:sz w:val="22"/>
          <w:szCs w:val="22"/>
          <w:lang w:val="en-US"/>
        </w:rPr>
        <w:t>.</w:t>
      </w:r>
      <w:r w:rsidRPr="00352DC9">
        <w:rPr>
          <w:rStyle w:val="FootnoteReference"/>
          <w:rFonts w:ascii="Times New Roman" w:hAnsi="Times New Roman"/>
          <w:szCs w:val="14"/>
          <w:lang w:val="en-US"/>
        </w:rPr>
        <w:footnoteReference w:id="3"/>
      </w:r>
      <w:r w:rsidRPr="0017285C">
        <w:rPr>
          <w:sz w:val="22"/>
          <w:szCs w:val="22"/>
          <w:lang w:val="en-US"/>
        </w:rPr>
        <w:t xml:space="preserve"> Therefore, hypothesis 3, that there is no relation between risk disclosures in the annual reports of Dutch listed companies and the level of risk, is accepted. This applies to both periods. So, it </w:t>
      </w:r>
      <w:proofErr w:type="spellStart"/>
      <w:r w:rsidRPr="0017285C">
        <w:rPr>
          <w:sz w:val="22"/>
          <w:szCs w:val="22"/>
          <w:lang w:val="en-US"/>
        </w:rPr>
        <w:t>can not</w:t>
      </w:r>
      <w:proofErr w:type="spellEnd"/>
      <w:r w:rsidRPr="0017285C">
        <w:rPr>
          <w:sz w:val="22"/>
          <w:szCs w:val="22"/>
          <w:lang w:val="en-US"/>
        </w:rPr>
        <w:t xml:space="preserve"> be said that riskier companies give confidence to the marketplace by disclosing greater amounts of risk information.</w:t>
      </w:r>
    </w:p>
    <w:p w:rsidR="00AE4097" w:rsidRPr="0017285C" w:rsidRDefault="00AE4097" w:rsidP="00AE4097">
      <w:pPr>
        <w:suppressAutoHyphens/>
        <w:spacing w:line="360" w:lineRule="auto"/>
        <w:ind w:firstLine="567"/>
        <w:jc w:val="both"/>
        <w:rPr>
          <w:sz w:val="22"/>
          <w:szCs w:val="22"/>
          <w:lang w:val="en-US"/>
        </w:rPr>
      </w:pPr>
      <w:r w:rsidRPr="0017285C">
        <w:rPr>
          <w:sz w:val="22"/>
          <w:szCs w:val="22"/>
          <w:lang w:val="en-US"/>
        </w:rPr>
        <w:t>This confirms the results of prior literature (Linsley and Shrives, 2006a+b; Abraham and Cox, 2007; Amran et al, 2009). However, Linsley and Shrives (2006a) found a correlation between risk disclosures and the level of environmen</w:t>
      </w:r>
      <w:r>
        <w:rPr>
          <w:sz w:val="22"/>
          <w:szCs w:val="22"/>
          <w:lang w:val="en-US"/>
        </w:rPr>
        <w:t>tal risk, but th</w:t>
      </w:r>
      <w:r w:rsidRPr="0017285C">
        <w:rPr>
          <w:sz w:val="22"/>
          <w:szCs w:val="22"/>
          <w:lang w:val="en-US"/>
        </w:rPr>
        <w:t xml:space="preserve">is part of risk is not examined </w:t>
      </w:r>
      <w:r>
        <w:rPr>
          <w:sz w:val="22"/>
          <w:szCs w:val="22"/>
          <w:lang w:val="en-US"/>
        </w:rPr>
        <w:t xml:space="preserve">here. </w:t>
      </w:r>
      <w:proofErr w:type="gramStart"/>
      <w:r>
        <w:rPr>
          <w:sz w:val="22"/>
          <w:szCs w:val="22"/>
          <w:lang w:val="en-US"/>
        </w:rPr>
        <w:t xml:space="preserve">For </w:t>
      </w:r>
      <w:r w:rsidRPr="0017285C">
        <w:rPr>
          <w:sz w:val="22"/>
          <w:szCs w:val="22"/>
          <w:lang w:val="en-US"/>
        </w:rPr>
        <w:t>the other measurements of ris</w:t>
      </w:r>
      <w:r>
        <w:rPr>
          <w:sz w:val="22"/>
          <w:szCs w:val="22"/>
          <w:lang w:val="en-US"/>
        </w:rPr>
        <w:t>k was found no correlation,</w:t>
      </w:r>
      <w:r w:rsidRPr="0017285C">
        <w:rPr>
          <w:sz w:val="22"/>
          <w:szCs w:val="22"/>
          <w:lang w:val="en-US"/>
        </w:rPr>
        <w:t xml:space="preserve"> </w:t>
      </w:r>
      <w:r>
        <w:rPr>
          <w:sz w:val="22"/>
          <w:szCs w:val="22"/>
          <w:lang w:val="en-US"/>
        </w:rPr>
        <w:t xml:space="preserve">so </w:t>
      </w:r>
      <w:r w:rsidRPr="0017285C">
        <w:rPr>
          <w:sz w:val="22"/>
          <w:szCs w:val="22"/>
          <w:lang w:val="en-US"/>
        </w:rPr>
        <w:t>it can be concluded that the result</w:t>
      </w:r>
      <w:r>
        <w:rPr>
          <w:sz w:val="22"/>
          <w:szCs w:val="22"/>
          <w:lang w:val="en-US"/>
        </w:rPr>
        <w:t>s</w:t>
      </w:r>
      <w:r w:rsidRPr="0017285C">
        <w:rPr>
          <w:sz w:val="22"/>
          <w:szCs w:val="22"/>
          <w:lang w:val="en-US"/>
        </w:rPr>
        <w:t xml:space="preserve"> by Linsley and Shrives (2006a) are</w:t>
      </w:r>
      <w:r>
        <w:rPr>
          <w:sz w:val="22"/>
          <w:szCs w:val="22"/>
          <w:lang w:val="en-US"/>
        </w:rPr>
        <w:t xml:space="preserve"> in line with the results of hypothesis 3.</w:t>
      </w:r>
      <w:proofErr w:type="gramEnd"/>
      <w:r>
        <w:rPr>
          <w:sz w:val="22"/>
          <w:szCs w:val="22"/>
          <w:lang w:val="en-US"/>
        </w:rPr>
        <w:t xml:space="preserve"> </w:t>
      </w:r>
    </w:p>
    <w:p w:rsidR="00AE4097" w:rsidRDefault="00AE4097" w:rsidP="00AE4097">
      <w:pPr>
        <w:suppressAutoHyphens/>
        <w:spacing w:line="360" w:lineRule="auto"/>
        <w:ind w:firstLine="567"/>
        <w:jc w:val="both"/>
        <w:rPr>
          <w:sz w:val="22"/>
          <w:szCs w:val="22"/>
          <w:lang w:val="en-US"/>
        </w:rPr>
      </w:pPr>
      <w:r w:rsidRPr="0017285C">
        <w:rPr>
          <w:sz w:val="22"/>
          <w:szCs w:val="22"/>
          <w:lang w:val="en-US"/>
        </w:rPr>
        <w:t xml:space="preserve">A reason for the absence of a relation between these variables could be that companies wish to keep their risk information private. The desire for privacy can be related to the issue of proprietary cost (Linsley and Shrives, 2006b). Other reasons could be that the </w:t>
      </w:r>
      <w:r>
        <w:rPr>
          <w:sz w:val="22"/>
          <w:szCs w:val="22"/>
          <w:lang w:val="en-US"/>
        </w:rPr>
        <w:t>debt/equity ratio</w:t>
      </w:r>
      <w:r w:rsidRPr="0017285C">
        <w:rPr>
          <w:sz w:val="22"/>
          <w:szCs w:val="22"/>
          <w:lang w:val="en-US"/>
        </w:rPr>
        <w:t xml:space="preserve"> was not an appropriate proxy for measuring the level of risk or that there is not a linear relation between these variables. A third possibility could be that other factors influence this relationship. This relation </w:t>
      </w:r>
      <w:r>
        <w:rPr>
          <w:sz w:val="22"/>
          <w:szCs w:val="22"/>
          <w:lang w:val="en-US"/>
        </w:rPr>
        <w:t>must be certainly be researched</w:t>
      </w:r>
      <w:r w:rsidRPr="0017285C">
        <w:rPr>
          <w:sz w:val="22"/>
          <w:szCs w:val="22"/>
          <w:lang w:val="en-US"/>
        </w:rPr>
        <w:t xml:space="preserve"> further.</w:t>
      </w:r>
    </w:p>
    <w:p w:rsidR="00AE4097" w:rsidRPr="0017285C" w:rsidRDefault="00AE4097" w:rsidP="008C2ED0">
      <w:pPr>
        <w:pStyle w:val="Heading3"/>
        <w:numPr>
          <w:ilvl w:val="2"/>
          <w:numId w:val="2"/>
        </w:numPr>
        <w:tabs>
          <w:tab w:val="num" w:pos="1004"/>
        </w:tabs>
        <w:suppressAutoHyphens/>
        <w:spacing w:line="360" w:lineRule="auto"/>
        <w:jc w:val="both"/>
        <w:rPr>
          <w:b w:val="0"/>
          <w:i/>
          <w:sz w:val="22"/>
          <w:szCs w:val="22"/>
          <w:lang w:val="en-US"/>
        </w:rPr>
      </w:pPr>
      <w:bookmarkStart w:id="180" w:name="_Toc288459385"/>
      <w:bookmarkStart w:id="181" w:name="_Toc288725926"/>
      <w:r w:rsidRPr="0017285C">
        <w:rPr>
          <w:b w:val="0"/>
          <w:i/>
          <w:sz w:val="22"/>
          <w:szCs w:val="22"/>
          <w:lang w:val="en-US"/>
        </w:rPr>
        <w:lastRenderedPageBreak/>
        <w:t>Hypothesis 4</w:t>
      </w:r>
      <w:bookmarkEnd w:id="180"/>
      <w:bookmarkEnd w:id="181"/>
    </w:p>
    <w:p w:rsidR="00AE4097" w:rsidRPr="0017285C" w:rsidRDefault="00AE4097" w:rsidP="00AE4097">
      <w:pPr>
        <w:pStyle w:val="000"/>
        <w:suppressAutoHyphens/>
        <w:spacing w:line="360" w:lineRule="auto"/>
        <w:ind w:firstLine="567"/>
        <w:jc w:val="both"/>
        <w:rPr>
          <w:sz w:val="22"/>
          <w:szCs w:val="22"/>
          <w:lang w:val="en-US"/>
        </w:rPr>
      </w:pPr>
      <w:r w:rsidRPr="0017285C">
        <w:rPr>
          <w:sz w:val="22"/>
          <w:lang w:val="en-US"/>
        </w:rPr>
        <w:t>This hypothesis test if there is a relation b</w:t>
      </w:r>
      <w:r>
        <w:rPr>
          <w:sz w:val="22"/>
          <w:lang w:val="en-US"/>
        </w:rPr>
        <w:t>etween type of industry and risk disclosures</w:t>
      </w:r>
      <w:r w:rsidRPr="0017285C">
        <w:rPr>
          <w:sz w:val="22"/>
          <w:lang w:val="en-US"/>
        </w:rPr>
        <w:t xml:space="preserve">. Type of industry is the only nominal control variable in this research. As described in paragraph 4.3.2, the industries are classified into 7 different categories, which </w:t>
      </w:r>
      <w:proofErr w:type="gramStart"/>
      <w:r w:rsidRPr="0017285C">
        <w:rPr>
          <w:sz w:val="22"/>
          <w:lang w:val="en-US"/>
        </w:rPr>
        <w:t>means</w:t>
      </w:r>
      <w:proofErr w:type="gramEnd"/>
      <w:r w:rsidRPr="0017285C">
        <w:rPr>
          <w:sz w:val="22"/>
          <w:lang w:val="en-US"/>
        </w:rPr>
        <w:t xml:space="preserve"> that there are more than t</w:t>
      </w:r>
      <w:r w:rsidRPr="0017285C">
        <w:rPr>
          <w:sz w:val="22"/>
          <w:szCs w:val="22"/>
          <w:lang w:val="en-US"/>
        </w:rPr>
        <w:t>wo possible outcomes. Therefore, a one-way ANOVA test is carried out for both the risk disclosure scores of 2006-2007 and for 2008-2009.</w:t>
      </w:r>
    </w:p>
    <w:p w:rsidR="00AE4097" w:rsidRPr="0017285C" w:rsidRDefault="00AE4097" w:rsidP="00AE4097">
      <w:pPr>
        <w:pStyle w:val="000"/>
        <w:suppressAutoHyphens/>
        <w:spacing w:line="360" w:lineRule="auto"/>
        <w:ind w:firstLine="567"/>
        <w:jc w:val="both"/>
        <w:rPr>
          <w:sz w:val="22"/>
          <w:szCs w:val="22"/>
          <w:lang w:val="en-US"/>
        </w:rPr>
      </w:pPr>
    </w:p>
    <w:tbl>
      <w:tblPr>
        <w:tblW w:w="5760" w:type="dxa"/>
        <w:jc w:val="center"/>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40"/>
        <w:gridCol w:w="1440"/>
        <w:gridCol w:w="360"/>
        <w:gridCol w:w="1200"/>
        <w:gridCol w:w="600"/>
        <w:gridCol w:w="720"/>
      </w:tblGrid>
      <w:tr w:rsidR="00AE4097" w:rsidRPr="0017285C" w:rsidTr="00176384">
        <w:trPr>
          <w:cantSplit/>
          <w:tblHeader/>
          <w:jc w:val="center"/>
        </w:trPr>
        <w:tc>
          <w:tcPr>
            <w:tcW w:w="144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E4097" w:rsidRPr="0017285C" w:rsidRDefault="00AE4097" w:rsidP="00176384">
            <w:pPr>
              <w:jc w:val="center"/>
              <w:rPr>
                <w:lang w:val="en-US"/>
              </w:rPr>
            </w:pPr>
          </w:p>
        </w:tc>
        <w:tc>
          <w:tcPr>
            <w:tcW w:w="1440" w:type="dxa"/>
            <w:tcBorders>
              <w:top w:val="single" w:sz="16" w:space="0" w:color="000000"/>
              <w:left w:val="single" w:sz="16" w:space="0" w:color="000000"/>
              <w:bottom w:val="single" w:sz="16" w:space="0" w:color="000000"/>
              <w:right w:val="single" w:sz="8" w:space="0" w:color="000000"/>
            </w:tcBorders>
            <w:shd w:val="clear" w:color="auto" w:fill="FFFFFF"/>
            <w:tcMar>
              <w:top w:w="30" w:type="dxa"/>
              <w:left w:w="30" w:type="dxa"/>
              <w:bottom w:w="30" w:type="dxa"/>
              <w:right w:w="30" w:type="dxa"/>
            </w:tcMar>
            <w:vAlign w:val="bottom"/>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Sum of Squares</w:t>
            </w:r>
          </w:p>
        </w:tc>
        <w:tc>
          <w:tcPr>
            <w:tcW w:w="360" w:type="dxa"/>
            <w:tcBorders>
              <w:top w:val="single" w:sz="16" w:space="0" w:color="000000"/>
              <w:left w:val="single" w:sz="8" w:space="0" w:color="000000"/>
              <w:bottom w:val="single" w:sz="16" w:space="0" w:color="000000"/>
              <w:right w:val="single" w:sz="8" w:space="0" w:color="000000"/>
            </w:tcBorders>
            <w:shd w:val="clear" w:color="auto" w:fill="FFFFFF"/>
            <w:tcMar>
              <w:top w:w="30" w:type="dxa"/>
              <w:left w:w="30" w:type="dxa"/>
              <w:bottom w:w="30" w:type="dxa"/>
              <w:right w:w="30" w:type="dxa"/>
            </w:tcMar>
            <w:vAlign w:val="bottom"/>
          </w:tcPr>
          <w:p w:rsidR="00AE4097" w:rsidRPr="0017285C" w:rsidRDefault="00AE4097" w:rsidP="00176384">
            <w:pPr>
              <w:jc w:val="center"/>
              <w:rPr>
                <w:rFonts w:ascii="Arial" w:hAnsi="Arial" w:cs="Arial"/>
                <w:sz w:val="18"/>
                <w:szCs w:val="18"/>
                <w:lang w:val="en-US"/>
              </w:rPr>
            </w:pPr>
            <w:proofErr w:type="spellStart"/>
            <w:r w:rsidRPr="0017285C">
              <w:rPr>
                <w:rFonts w:ascii="Arial" w:hAnsi="Arial" w:cs="Arial"/>
                <w:sz w:val="18"/>
                <w:szCs w:val="18"/>
                <w:lang w:val="en-US"/>
              </w:rPr>
              <w:t>df</w:t>
            </w:r>
            <w:proofErr w:type="spellEnd"/>
          </w:p>
        </w:tc>
        <w:tc>
          <w:tcPr>
            <w:tcW w:w="1200" w:type="dxa"/>
            <w:tcBorders>
              <w:top w:val="single" w:sz="16" w:space="0" w:color="000000"/>
              <w:left w:val="single" w:sz="8" w:space="0" w:color="000000"/>
              <w:bottom w:val="single" w:sz="16" w:space="0" w:color="000000"/>
              <w:right w:val="single" w:sz="8" w:space="0" w:color="000000"/>
            </w:tcBorders>
            <w:shd w:val="clear" w:color="auto" w:fill="FFFFFF"/>
            <w:tcMar>
              <w:top w:w="30" w:type="dxa"/>
              <w:left w:w="30" w:type="dxa"/>
              <w:bottom w:w="30" w:type="dxa"/>
              <w:right w:w="30" w:type="dxa"/>
            </w:tcMar>
            <w:vAlign w:val="bottom"/>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Mean Square</w:t>
            </w:r>
          </w:p>
        </w:tc>
        <w:tc>
          <w:tcPr>
            <w:tcW w:w="600" w:type="dxa"/>
            <w:tcBorders>
              <w:top w:val="single" w:sz="16" w:space="0" w:color="000000"/>
              <w:left w:val="single" w:sz="8" w:space="0" w:color="000000"/>
              <w:bottom w:val="single" w:sz="16" w:space="0" w:color="000000"/>
              <w:right w:val="single" w:sz="8" w:space="0" w:color="000000"/>
            </w:tcBorders>
            <w:shd w:val="clear" w:color="auto" w:fill="FFFFFF"/>
            <w:tcMar>
              <w:top w:w="30" w:type="dxa"/>
              <w:left w:w="30" w:type="dxa"/>
              <w:bottom w:w="30" w:type="dxa"/>
              <w:right w:w="30" w:type="dxa"/>
            </w:tcMar>
            <w:vAlign w:val="bottom"/>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F</w:t>
            </w:r>
          </w:p>
        </w:tc>
        <w:tc>
          <w:tcPr>
            <w:tcW w:w="720" w:type="dxa"/>
            <w:tcBorders>
              <w:top w:val="single" w:sz="16" w:space="0" w:color="000000"/>
              <w:left w:val="single" w:sz="8"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Sig.</w:t>
            </w:r>
          </w:p>
        </w:tc>
      </w:tr>
      <w:tr w:rsidR="00AE4097" w:rsidRPr="0017285C" w:rsidTr="00176384">
        <w:trPr>
          <w:cantSplit/>
          <w:tblHeader/>
          <w:jc w:val="center"/>
        </w:trPr>
        <w:tc>
          <w:tcPr>
            <w:tcW w:w="144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Between Groups</w:t>
            </w:r>
          </w:p>
        </w:tc>
        <w:tc>
          <w:tcPr>
            <w:tcW w:w="1440" w:type="dxa"/>
            <w:tcBorders>
              <w:top w:val="single" w:sz="16" w:space="0" w:color="000000"/>
              <w:left w:val="single" w:sz="16"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,165</w:t>
            </w:r>
          </w:p>
        </w:tc>
        <w:tc>
          <w:tcPr>
            <w:tcW w:w="360" w:type="dxa"/>
            <w:tcBorders>
              <w:top w:val="single" w:sz="16" w:space="0" w:color="000000"/>
              <w:left w:val="single" w:sz="8"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6</w:t>
            </w:r>
          </w:p>
        </w:tc>
        <w:tc>
          <w:tcPr>
            <w:tcW w:w="1200" w:type="dxa"/>
            <w:tcBorders>
              <w:top w:val="single" w:sz="16" w:space="0" w:color="000000"/>
              <w:left w:val="single" w:sz="8"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,027</w:t>
            </w:r>
          </w:p>
        </w:tc>
        <w:tc>
          <w:tcPr>
            <w:tcW w:w="600" w:type="dxa"/>
            <w:tcBorders>
              <w:top w:val="single" w:sz="16" w:space="0" w:color="000000"/>
              <w:left w:val="single" w:sz="8"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,957</w:t>
            </w:r>
          </w:p>
        </w:tc>
        <w:tc>
          <w:tcPr>
            <w:tcW w:w="720" w:type="dxa"/>
            <w:tcBorders>
              <w:top w:val="single" w:sz="16" w:space="0" w:color="000000"/>
              <w:left w:val="single" w:sz="8" w:space="0" w:color="000000"/>
              <w:bottom w:val="nil"/>
              <w:right w:val="single" w:sz="16"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,495</w:t>
            </w:r>
          </w:p>
        </w:tc>
      </w:tr>
      <w:tr w:rsidR="00AE4097" w:rsidRPr="0017285C" w:rsidTr="00176384">
        <w:trPr>
          <w:cantSplit/>
          <w:tblHeader/>
          <w:jc w:val="center"/>
        </w:trPr>
        <w:tc>
          <w:tcPr>
            <w:tcW w:w="144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Within Groups</w:t>
            </w:r>
          </w:p>
        </w:tc>
        <w:tc>
          <w:tcPr>
            <w:tcW w:w="1440" w:type="dxa"/>
            <w:tcBorders>
              <w:top w:val="nil"/>
              <w:left w:val="single" w:sz="16"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,315</w:t>
            </w:r>
          </w:p>
        </w:tc>
        <w:tc>
          <w:tcPr>
            <w:tcW w:w="360"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11</w:t>
            </w:r>
          </w:p>
        </w:tc>
        <w:tc>
          <w:tcPr>
            <w:tcW w:w="1200"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,029</w:t>
            </w:r>
          </w:p>
        </w:tc>
        <w:tc>
          <w:tcPr>
            <w:tcW w:w="600"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AE4097" w:rsidRPr="0017285C" w:rsidRDefault="00AE4097" w:rsidP="00176384">
            <w:pPr>
              <w:jc w:val="center"/>
              <w:rPr>
                <w:lang w:val="en-US"/>
              </w:rPr>
            </w:pPr>
          </w:p>
        </w:tc>
        <w:tc>
          <w:tcPr>
            <w:tcW w:w="720" w:type="dxa"/>
            <w:tcBorders>
              <w:top w:val="nil"/>
              <w:left w:val="single" w:sz="8" w:space="0" w:color="000000"/>
              <w:bottom w:val="nil"/>
              <w:right w:val="single" w:sz="16" w:space="0" w:color="000000"/>
            </w:tcBorders>
            <w:shd w:val="clear" w:color="auto" w:fill="FFFFFF"/>
            <w:tcMar>
              <w:top w:w="30" w:type="dxa"/>
              <w:left w:w="30" w:type="dxa"/>
              <w:bottom w:w="30" w:type="dxa"/>
              <w:right w:w="30" w:type="dxa"/>
            </w:tcMar>
            <w:vAlign w:val="center"/>
          </w:tcPr>
          <w:p w:rsidR="00AE4097" w:rsidRPr="0017285C" w:rsidRDefault="00AE4097" w:rsidP="00176384">
            <w:pPr>
              <w:jc w:val="center"/>
              <w:rPr>
                <w:lang w:val="en-US"/>
              </w:rPr>
            </w:pPr>
          </w:p>
        </w:tc>
      </w:tr>
      <w:tr w:rsidR="00AE4097" w:rsidRPr="0017285C" w:rsidTr="00176384">
        <w:trPr>
          <w:cantSplit/>
          <w:jc w:val="center"/>
        </w:trPr>
        <w:tc>
          <w:tcPr>
            <w:tcW w:w="144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Total</w:t>
            </w:r>
          </w:p>
        </w:tc>
        <w:tc>
          <w:tcPr>
            <w:tcW w:w="1440" w:type="dxa"/>
            <w:tcBorders>
              <w:top w:val="nil"/>
              <w:left w:val="single" w:sz="16" w:space="0" w:color="000000"/>
              <w:bottom w:val="single" w:sz="16" w:space="0" w:color="000000"/>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,480</w:t>
            </w:r>
          </w:p>
        </w:tc>
        <w:tc>
          <w:tcPr>
            <w:tcW w:w="360" w:type="dxa"/>
            <w:tcBorders>
              <w:top w:val="nil"/>
              <w:left w:val="single" w:sz="8" w:space="0" w:color="000000"/>
              <w:bottom w:val="single" w:sz="16" w:space="0" w:color="000000"/>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17</w:t>
            </w:r>
          </w:p>
        </w:tc>
        <w:tc>
          <w:tcPr>
            <w:tcW w:w="1200" w:type="dxa"/>
            <w:tcBorders>
              <w:top w:val="nil"/>
              <w:left w:val="single" w:sz="8" w:space="0" w:color="000000"/>
              <w:bottom w:val="single" w:sz="16" w:space="0" w:color="000000"/>
              <w:right w:val="single" w:sz="8" w:space="0" w:color="000000"/>
            </w:tcBorders>
            <w:shd w:val="clear" w:color="auto" w:fill="FFFFFF"/>
            <w:tcMar>
              <w:top w:w="30" w:type="dxa"/>
              <w:left w:w="30" w:type="dxa"/>
              <w:bottom w:w="30" w:type="dxa"/>
              <w:right w:w="30" w:type="dxa"/>
            </w:tcMar>
            <w:vAlign w:val="center"/>
          </w:tcPr>
          <w:p w:rsidR="00AE4097" w:rsidRPr="0017285C" w:rsidRDefault="00AE4097" w:rsidP="00176384">
            <w:pPr>
              <w:jc w:val="center"/>
              <w:rPr>
                <w:lang w:val="en-US"/>
              </w:rPr>
            </w:pPr>
          </w:p>
        </w:tc>
        <w:tc>
          <w:tcPr>
            <w:tcW w:w="600" w:type="dxa"/>
            <w:tcBorders>
              <w:top w:val="nil"/>
              <w:left w:val="single" w:sz="8" w:space="0" w:color="000000"/>
              <w:bottom w:val="single" w:sz="16" w:space="0" w:color="000000"/>
              <w:right w:val="single" w:sz="8" w:space="0" w:color="000000"/>
            </w:tcBorders>
            <w:shd w:val="clear" w:color="auto" w:fill="FFFFFF"/>
            <w:tcMar>
              <w:top w:w="30" w:type="dxa"/>
              <w:left w:w="30" w:type="dxa"/>
              <w:bottom w:w="30" w:type="dxa"/>
              <w:right w:w="30" w:type="dxa"/>
            </w:tcMar>
            <w:vAlign w:val="center"/>
          </w:tcPr>
          <w:p w:rsidR="00AE4097" w:rsidRPr="0017285C" w:rsidRDefault="00AE4097" w:rsidP="00176384">
            <w:pPr>
              <w:jc w:val="center"/>
              <w:rPr>
                <w:lang w:val="en-US"/>
              </w:rPr>
            </w:pPr>
          </w:p>
        </w:tc>
        <w:tc>
          <w:tcPr>
            <w:tcW w:w="720" w:type="dxa"/>
            <w:tcBorders>
              <w:top w:val="nil"/>
              <w:left w:val="single" w:sz="8"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AE4097" w:rsidRPr="0017285C" w:rsidRDefault="00AE4097" w:rsidP="00176384">
            <w:pPr>
              <w:jc w:val="center"/>
              <w:rPr>
                <w:lang w:val="en-US"/>
              </w:rPr>
            </w:pPr>
          </w:p>
        </w:tc>
      </w:tr>
    </w:tbl>
    <w:p w:rsidR="00AE4097" w:rsidRPr="0017285C" w:rsidRDefault="00AE4097" w:rsidP="00AE4097">
      <w:pPr>
        <w:ind w:left="3402"/>
        <w:rPr>
          <w:lang w:val="en-US"/>
        </w:rPr>
      </w:pPr>
      <w:r w:rsidRPr="0017285C">
        <w:rPr>
          <w:b/>
          <w:bCs/>
          <w:sz w:val="20"/>
          <w:lang w:val="en-US"/>
        </w:rPr>
        <w:t xml:space="preserve">        Table 10: one-way ANOVA for 2006-2007</w:t>
      </w:r>
    </w:p>
    <w:p w:rsidR="00AE4097" w:rsidRPr="0017285C" w:rsidRDefault="00AE4097" w:rsidP="00AE4097">
      <w:pPr>
        <w:jc w:val="center"/>
        <w:rPr>
          <w:lang w:val="en-US"/>
        </w:rPr>
      </w:pPr>
    </w:p>
    <w:tbl>
      <w:tblPr>
        <w:tblW w:w="5760" w:type="dxa"/>
        <w:jc w:val="center"/>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440"/>
        <w:gridCol w:w="1440"/>
        <w:gridCol w:w="360"/>
        <w:gridCol w:w="1200"/>
        <w:gridCol w:w="600"/>
        <w:gridCol w:w="720"/>
      </w:tblGrid>
      <w:tr w:rsidR="00AE4097" w:rsidRPr="0017285C" w:rsidTr="00176384">
        <w:trPr>
          <w:cantSplit/>
          <w:tblHeader/>
          <w:jc w:val="center"/>
        </w:trPr>
        <w:tc>
          <w:tcPr>
            <w:tcW w:w="1440"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E4097" w:rsidRPr="0017285C" w:rsidRDefault="00AE4097" w:rsidP="00176384">
            <w:pPr>
              <w:jc w:val="center"/>
              <w:rPr>
                <w:lang w:val="en-US"/>
              </w:rPr>
            </w:pPr>
          </w:p>
        </w:tc>
        <w:tc>
          <w:tcPr>
            <w:tcW w:w="1440" w:type="dxa"/>
            <w:tcBorders>
              <w:top w:val="single" w:sz="16" w:space="0" w:color="000000"/>
              <w:left w:val="single" w:sz="16" w:space="0" w:color="000000"/>
              <w:bottom w:val="single" w:sz="16" w:space="0" w:color="000000"/>
              <w:right w:val="single" w:sz="8" w:space="0" w:color="000000"/>
            </w:tcBorders>
            <w:shd w:val="clear" w:color="auto" w:fill="FFFFFF"/>
            <w:tcMar>
              <w:top w:w="30" w:type="dxa"/>
              <w:left w:w="30" w:type="dxa"/>
              <w:bottom w:w="30" w:type="dxa"/>
              <w:right w:w="30" w:type="dxa"/>
            </w:tcMar>
            <w:vAlign w:val="bottom"/>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Sum of Squares</w:t>
            </w:r>
          </w:p>
        </w:tc>
        <w:tc>
          <w:tcPr>
            <w:tcW w:w="360" w:type="dxa"/>
            <w:tcBorders>
              <w:top w:val="single" w:sz="16" w:space="0" w:color="000000"/>
              <w:left w:val="single" w:sz="8" w:space="0" w:color="000000"/>
              <w:bottom w:val="single" w:sz="16" w:space="0" w:color="000000"/>
              <w:right w:val="single" w:sz="8" w:space="0" w:color="000000"/>
            </w:tcBorders>
            <w:shd w:val="clear" w:color="auto" w:fill="FFFFFF"/>
            <w:tcMar>
              <w:top w:w="30" w:type="dxa"/>
              <w:left w:w="30" w:type="dxa"/>
              <w:bottom w:w="30" w:type="dxa"/>
              <w:right w:w="30" w:type="dxa"/>
            </w:tcMar>
            <w:vAlign w:val="bottom"/>
          </w:tcPr>
          <w:p w:rsidR="00AE4097" w:rsidRPr="0017285C" w:rsidRDefault="00AE4097" w:rsidP="00176384">
            <w:pPr>
              <w:jc w:val="center"/>
              <w:rPr>
                <w:rFonts w:ascii="Arial" w:hAnsi="Arial" w:cs="Arial"/>
                <w:sz w:val="18"/>
                <w:szCs w:val="18"/>
                <w:lang w:val="en-US"/>
              </w:rPr>
            </w:pPr>
            <w:proofErr w:type="spellStart"/>
            <w:r w:rsidRPr="0017285C">
              <w:rPr>
                <w:rFonts w:ascii="Arial" w:hAnsi="Arial" w:cs="Arial"/>
                <w:sz w:val="18"/>
                <w:szCs w:val="18"/>
                <w:lang w:val="en-US"/>
              </w:rPr>
              <w:t>df</w:t>
            </w:r>
            <w:proofErr w:type="spellEnd"/>
          </w:p>
        </w:tc>
        <w:tc>
          <w:tcPr>
            <w:tcW w:w="1200" w:type="dxa"/>
            <w:tcBorders>
              <w:top w:val="single" w:sz="16" w:space="0" w:color="000000"/>
              <w:left w:val="single" w:sz="8" w:space="0" w:color="000000"/>
              <w:bottom w:val="single" w:sz="16" w:space="0" w:color="000000"/>
              <w:right w:val="single" w:sz="8" w:space="0" w:color="000000"/>
            </w:tcBorders>
            <w:shd w:val="clear" w:color="auto" w:fill="FFFFFF"/>
            <w:tcMar>
              <w:top w:w="30" w:type="dxa"/>
              <w:left w:w="30" w:type="dxa"/>
              <w:bottom w:w="30" w:type="dxa"/>
              <w:right w:w="30" w:type="dxa"/>
            </w:tcMar>
            <w:vAlign w:val="bottom"/>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Mean Square</w:t>
            </w:r>
          </w:p>
        </w:tc>
        <w:tc>
          <w:tcPr>
            <w:tcW w:w="600" w:type="dxa"/>
            <w:tcBorders>
              <w:top w:val="single" w:sz="16" w:space="0" w:color="000000"/>
              <w:left w:val="single" w:sz="8" w:space="0" w:color="000000"/>
              <w:bottom w:val="single" w:sz="16" w:space="0" w:color="000000"/>
              <w:right w:val="single" w:sz="8" w:space="0" w:color="000000"/>
            </w:tcBorders>
            <w:shd w:val="clear" w:color="auto" w:fill="FFFFFF"/>
            <w:tcMar>
              <w:top w:w="30" w:type="dxa"/>
              <w:left w:w="30" w:type="dxa"/>
              <w:bottom w:w="30" w:type="dxa"/>
              <w:right w:w="30" w:type="dxa"/>
            </w:tcMar>
            <w:vAlign w:val="bottom"/>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F</w:t>
            </w:r>
          </w:p>
        </w:tc>
        <w:tc>
          <w:tcPr>
            <w:tcW w:w="720" w:type="dxa"/>
            <w:tcBorders>
              <w:top w:val="single" w:sz="16" w:space="0" w:color="000000"/>
              <w:left w:val="single" w:sz="8"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Sig.</w:t>
            </w:r>
          </w:p>
        </w:tc>
      </w:tr>
      <w:tr w:rsidR="00AE4097" w:rsidRPr="0017285C" w:rsidTr="00176384">
        <w:trPr>
          <w:cantSplit/>
          <w:tblHeader/>
          <w:jc w:val="center"/>
        </w:trPr>
        <w:tc>
          <w:tcPr>
            <w:tcW w:w="1440"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Between Groups</w:t>
            </w:r>
          </w:p>
        </w:tc>
        <w:tc>
          <w:tcPr>
            <w:tcW w:w="1440" w:type="dxa"/>
            <w:tcBorders>
              <w:top w:val="single" w:sz="16" w:space="0" w:color="000000"/>
              <w:left w:val="single" w:sz="16"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,149</w:t>
            </w:r>
          </w:p>
        </w:tc>
        <w:tc>
          <w:tcPr>
            <w:tcW w:w="360" w:type="dxa"/>
            <w:tcBorders>
              <w:top w:val="single" w:sz="16" w:space="0" w:color="000000"/>
              <w:left w:val="single" w:sz="8"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6</w:t>
            </w:r>
          </w:p>
        </w:tc>
        <w:tc>
          <w:tcPr>
            <w:tcW w:w="1200" w:type="dxa"/>
            <w:tcBorders>
              <w:top w:val="single" w:sz="16" w:space="0" w:color="000000"/>
              <w:left w:val="single" w:sz="8"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,025</w:t>
            </w:r>
          </w:p>
        </w:tc>
        <w:tc>
          <w:tcPr>
            <w:tcW w:w="600" w:type="dxa"/>
            <w:tcBorders>
              <w:top w:val="single" w:sz="16" w:space="0" w:color="000000"/>
              <w:left w:val="single" w:sz="8"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1,222</w:t>
            </w:r>
          </w:p>
        </w:tc>
        <w:tc>
          <w:tcPr>
            <w:tcW w:w="720" w:type="dxa"/>
            <w:tcBorders>
              <w:top w:val="single" w:sz="16" w:space="0" w:color="000000"/>
              <w:left w:val="single" w:sz="8" w:space="0" w:color="000000"/>
              <w:bottom w:val="nil"/>
              <w:right w:val="single" w:sz="16"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,365</w:t>
            </w:r>
          </w:p>
        </w:tc>
      </w:tr>
      <w:tr w:rsidR="00AE4097" w:rsidRPr="0017285C" w:rsidTr="00176384">
        <w:trPr>
          <w:cantSplit/>
          <w:tblHeader/>
          <w:jc w:val="center"/>
        </w:trPr>
        <w:tc>
          <w:tcPr>
            <w:tcW w:w="1440"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Within Groups</w:t>
            </w:r>
          </w:p>
        </w:tc>
        <w:tc>
          <w:tcPr>
            <w:tcW w:w="1440" w:type="dxa"/>
            <w:tcBorders>
              <w:top w:val="nil"/>
              <w:left w:val="single" w:sz="16"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,223</w:t>
            </w:r>
          </w:p>
        </w:tc>
        <w:tc>
          <w:tcPr>
            <w:tcW w:w="360"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11</w:t>
            </w:r>
          </w:p>
        </w:tc>
        <w:tc>
          <w:tcPr>
            <w:tcW w:w="1200"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,020</w:t>
            </w:r>
          </w:p>
        </w:tc>
        <w:tc>
          <w:tcPr>
            <w:tcW w:w="600"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AE4097" w:rsidRPr="0017285C" w:rsidRDefault="00AE4097" w:rsidP="00176384">
            <w:pPr>
              <w:jc w:val="center"/>
              <w:rPr>
                <w:lang w:val="en-US"/>
              </w:rPr>
            </w:pPr>
          </w:p>
        </w:tc>
        <w:tc>
          <w:tcPr>
            <w:tcW w:w="720" w:type="dxa"/>
            <w:tcBorders>
              <w:top w:val="nil"/>
              <w:left w:val="single" w:sz="8" w:space="0" w:color="000000"/>
              <w:bottom w:val="nil"/>
              <w:right w:val="single" w:sz="16" w:space="0" w:color="000000"/>
            </w:tcBorders>
            <w:shd w:val="clear" w:color="auto" w:fill="FFFFFF"/>
            <w:tcMar>
              <w:top w:w="30" w:type="dxa"/>
              <w:left w:w="30" w:type="dxa"/>
              <w:bottom w:w="30" w:type="dxa"/>
              <w:right w:w="30" w:type="dxa"/>
            </w:tcMar>
            <w:vAlign w:val="center"/>
          </w:tcPr>
          <w:p w:rsidR="00AE4097" w:rsidRPr="0017285C" w:rsidRDefault="00AE4097" w:rsidP="00176384">
            <w:pPr>
              <w:jc w:val="center"/>
              <w:rPr>
                <w:lang w:val="en-US"/>
              </w:rPr>
            </w:pPr>
          </w:p>
        </w:tc>
      </w:tr>
      <w:tr w:rsidR="00AE4097" w:rsidRPr="0017285C" w:rsidTr="00176384">
        <w:trPr>
          <w:cantSplit/>
          <w:jc w:val="center"/>
        </w:trPr>
        <w:tc>
          <w:tcPr>
            <w:tcW w:w="1440"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Total</w:t>
            </w:r>
          </w:p>
        </w:tc>
        <w:tc>
          <w:tcPr>
            <w:tcW w:w="1440" w:type="dxa"/>
            <w:tcBorders>
              <w:top w:val="nil"/>
              <w:left w:val="single" w:sz="16" w:space="0" w:color="000000"/>
              <w:bottom w:val="single" w:sz="16" w:space="0" w:color="000000"/>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,372</w:t>
            </w:r>
          </w:p>
        </w:tc>
        <w:tc>
          <w:tcPr>
            <w:tcW w:w="360" w:type="dxa"/>
            <w:tcBorders>
              <w:top w:val="nil"/>
              <w:left w:val="single" w:sz="8" w:space="0" w:color="000000"/>
              <w:bottom w:val="single" w:sz="16" w:space="0" w:color="000000"/>
              <w:right w:val="single" w:sz="8" w:space="0" w:color="000000"/>
            </w:tcBorders>
            <w:shd w:val="clear" w:color="auto" w:fill="FFFFFF"/>
            <w:tcMar>
              <w:top w:w="30" w:type="dxa"/>
              <w:left w:w="30" w:type="dxa"/>
              <w:bottom w:w="30" w:type="dxa"/>
              <w:right w:w="30" w:type="dxa"/>
            </w:tcMar>
          </w:tcPr>
          <w:p w:rsidR="00AE4097" w:rsidRPr="0017285C" w:rsidRDefault="00AE4097" w:rsidP="00176384">
            <w:pPr>
              <w:jc w:val="center"/>
              <w:rPr>
                <w:rFonts w:ascii="Arial" w:hAnsi="Arial" w:cs="Arial"/>
                <w:sz w:val="18"/>
                <w:szCs w:val="18"/>
                <w:lang w:val="en-US"/>
              </w:rPr>
            </w:pPr>
            <w:r w:rsidRPr="0017285C">
              <w:rPr>
                <w:rFonts w:ascii="Arial" w:hAnsi="Arial" w:cs="Arial"/>
                <w:sz w:val="18"/>
                <w:szCs w:val="18"/>
                <w:lang w:val="en-US"/>
              </w:rPr>
              <w:t>17</w:t>
            </w:r>
          </w:p>
        </w:tc>
        <w:tc>
          <w:tcPr>
            <w:tcW w:w="1200" w:type="dxa"/>
            <w:tcBorders>
              <w:top w:val="nil"/>
              <w:left w:val="single" w:sz="8" w:space="0" w:color="000000"/>
              <w:bottom w:val="single" w:sz="16" w:space="0" w:color="000000"/>
              <w:right w:val="single" w:sz="8" w:space="0" w:color="000000"/>
            </w:tcBorders>
            <w:shd w:val="clear" w:color="auto" w:fill="FFFFFF"/>
            <w:tcMar>
              <w:top w:w="30" w:type="dxa"/>
              <w:left w:w="30" w:type="dxa"/>
              <w:bottom w:w="30" w:type="dxa"/>
              <w:right w:w="30" w:type="dxa"/>
            </w:tcMar>
            <w:vAlign w:val="center"/>
          </w:tcPr>
          <w:p w:rsidR="00AE4097" w:rsidRPr="0017285C" w:rsidRDefault="00AE4097" w:rsidP="00176384">
            <w:pPr>
              <w:jc w:val="center"/>
              <w:rPr>
                <w:lang w:val="en-US"/>
              </w:rPr>
            </w:pPr>
          </w:p>
        </w:tc>
        <w:tc>
          <w:tcPr>
            <w:tcW w:w="600" w:type="dxa"/>
            <w:tcBorders>
              <w:top w:val="nil"/>
              <w:left w:val="single" w:sz="8" w:space="0" w:color="000000"/>
              <w:bottom w:val="single" w:sz="16" w:space="0" w:color="000000"/>
              <w:right w:val="single" w:sz="8" w:space="0" w:color="000000"/>
            </w:tcBorders>
            <w:shd w:val="clear" w:color="auto" w:fill="FFFFFF"/>
            <w:tcMar>
              <w:top w:w="30" w:type="dxa"/>
              <w:left w:w="30" w:type="dxa"/>
              <w:bottom w:w="30" w:type="dxa"/>
              <w:right w:w="30" w:type="dxa"/>
            </w:tcMar>
            <w:vAlign w:val="center"/>
          </w:tcPr>
          <w:p w:rsidR="00AE4097" w:rsidRPr="0017285C" w:rsidRDefault="00AE4097" w:rsidP="00176384">
            <w:pPr>
              <w:jc w:val="center"/>
              <w:rPr>
                <w:lang w:val="en-US"/>
              </w:rPr>
            </w:pPr>
          </w:p>
        </w:tc>
        <w:tc>
          <w:tcPr>
            <w:tcW w:w="720" w:type="dxa"/>
            <w:tcBorders>
              <w:top w:val="nil"/>
              <w:left w:val="single" w:sz="8"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AE4097" w:rsidRPr="0017285C" w:rsidRDefault="00AE4097" w:rsidP="00176384">
            <w:pPr>
              <w:jc w:val="center"/>
              <w:rPr>
                <w:lang w:val="en-US"/>
              </w:rPr>
            </w:pPr>
          </w:p>
        </w:tc>
      </w:tr>
    </w:tbl>
    <w:p w:rsidR="00AE4097" w:rsidRPr="0017285C" w:rsidRDefault="00AE4097" w:rsidP="00AE4097">
      <w:pPr>
        <w:pStyle w:val="000"/>
        <w:rPr>
          <w:sz w:val="22"/>
          <w:lang w:val="en-US"/>
        </w:rPr>
      </w:pPr>
      <w:r w:rsidRPr="0017285C">
        <w:rPr>
          <w:sz w:val="22"/>
          <w:lang w:val="en-US"/>
        </w:rPr>
        <w:tab/>
      </w:r>
      <w:r w:rsidRPr="0017285C">
        <w:rPr>
          <w:sz w:val="22"/>
          <w:lang w:val="en-US"/>
        </w:rPr>
        <w:tab/>
      </w:r>
      <w:r w:rsidRPr="0017285C">
        <w:rPr>
          <w:sz w:val="22"/>
          <w:lang w:val="en-US"/>
        </w:rPr>
        <w:tab/>
      </w:r>
      <w:r w:rsidRPr="0017285C">
        <w:rPr>
          <w:sz w:val="22"/>
          <w:lang w:val="en-US"/>
        </w:rPr>
        <w:tab/>
      </w:r>
      <w:r w:rsidRPr="0017285C">
        <w:rPr>
          <w:sz w:val="22"/>
          <w:lang w:val="en-US"/>
        </w:rPr>
        <w:tab/>
      </w:r>
      <w:r w:rsidRPr="0017285C">
        <w:rPr>
          <w:sz w:val="22"/>
          <w:lang w:val="en-US"/>
        </w:rPr>
        <w:tab/>
        <w:t xml:space="preserve">       </w:t>
      </w:r>
      <w:r w:rsidRPr="0017285C">
        <w:rPr>
          <w:b/>
          <w:bCs/>
          <w:sz w:val="20"/>
          <w:lang w:val="en-US"/>
        </w:rPr>
        <w:t>Table 11: one-way ANOVA for 2008-2009</w:t>
      </w:r>
    </w:p>
    <w:p w:rsidR="00AE4097" w:rsidRPr="0017285C" w:rsidRDefault="00AE4097" w:rsidP="00AE4097">
      <w:pPr>
        <w:spacing w:line="360" w:lineRule="auto"/>
        <w:jc w:val="both"/>
        <w:rPr>
          <w:sz w:val="22"/>
          <w:szCs w:val="22"/>
          <w:lang w:val="en-US"/>
        </w:rPr>
      </w:pPr>
      <w:r w:rsidRPr="0017285C">
        <w:rPr>
          <w:sz w:val="22"/>
          <w:szCs w:val="22"/>
          <w:lang w:val="en-US"/>
        </w:rPr>
        <w:tab/>
      </w:r>
      <w:r w:rsidRPr="0017285C">
        <w:rPr>
          <w:sz w:val="22"/>
          <w:szCs w:val="22"/>
          <w:lang w:val="en-US"/>
        </w:rPr>
        <w:tab/>
      </w:r>
    </w:p>
    <w:p w:rsidR="00AE4097" w:rsidRDefault="00AE4097" w:rsidP="00A82089">
      <w:pPr>
        <w:suppressAutoHyphens/>
        <w:spacing w:line="360" w:lineRule="auto"/>
        <w:ind w:firstLine="567"/>
        <w:jc w:val="both"/>
        <w:rPr>
          <w:sz w:val="22"/>
          <w:szCs w:val="22"/>
          <w:lang w:val="en-US"/>
        </w:rPr>
      </w:pPr>
      <w:proofErr w:type="gramStart"/>
      <w:r w:rsidRPr="0017285C">
        <w:rPr>
          <w:sz w:val="22"/>
          <w:szCs w:val="22"/>
          <w:lang w:val="en-US"/>
        </w:rPr>
        <w:t>Table 10 shows that the F-value for the risk disclosure scores of 2006-2007 is</w:t>
      </w:r>
      <w:proofErr w:type="gramEnd"/>
      <w:r w:rsidRPr="0017285C">
        <w:rPr>
          <w:sz w:val="22"/>
          <w:szCs w:val="22"/>
          <w:lang w:val="en-US"/>
        </w:rPr>
        <w:t xml:space="preserve"> 0.957, which is close to 1. This implies that there are no differences in means between the different industry categories. The significance value is 0.495, which is bigger than the p-value of 5%. The result of the one-way ANOVA test is not significant. The type of industry does not have a significant influence on the risk disclosure scores of 2006-2007. The F-value for the risk disclosure scores</w:t>
      </w:r>
      <w:r>
        <w:rPr>
          <w:sz w:val="22"/>
          <w:szCs w:val="22"/>
          <w:lang w:val="en-US"/>
        </w:rPr>
        <w:t xml:space="preserve"> of 2008-2009 is 1.222 (table 11</w:t>
      </w:r>
      <w:r w:rsidRPr="0017285C">
        <w:rPr>
          <w:sz w:val="22"/>
          <w:szCs w:val="22"/>
          <w:lang w:val="en-US"/>
        </w:rPr>
        <w:t xml:space="preserve">), which is not that close to 1. However, the significance value is 0.365. Again there is no significant relation between the risk disclosure scores of 2008-2009 and type of industry (P&gt;0.05), so hypothesis four is accepted. The assumption that the extent of risk disclosures will be higher for riskier industries, such as the technology sector, compared to companies that operate in a low-risk industry does not hold. </w:t>
      </w:r>
      <w:r w:rsidRPr="0017285C">
        <w:rPr>
          <w:iCs/>
          <w:sz w:val="22"/>
          <w:szCs w:val="22"/>
          <w:lang w:val="en-US"/>
        </w:rPr>
        <w:t>It was expected that almost all</w:t>
      </w:r>
      <w:r w:rsidRPr="0017285C">
        <w:rPr>
          <w:sz w:val="22"/>
          <w:szCs w:val="22"/>
          <w:lang w:val="en-US"/>
        </w:rPr>
        <w:t xml:space="preserve"> companies in every industry would experienced the impact of the financial crisis. Because the impact is noticeable in all industries, the differences between the industries should not change by the financial crisis. </w:t>
      </w:r>
      <w:r w:rsidRPr="0017285C">
        <w:rPr>
          <w:iCs/>
          <w:sz w:val="22"/>
          <w:szCs w:val="22"/>
          <w:lang w:val="en-US"/>
        </w:rPr>
        <w:t xml:space="preserve">This means that splitting the </w:t>
      </w:r>
      <w:r w:rsidRPr="0017285C">
        <w:rPr>
          <w:sz w:val="22"/>
          <w:szCs w:val="22"/>
          <w:lang w:val="en-US"/>
        </w:rPr>
        <w:t xml:space="preserve">control variable type of industry into seven categories does not add any information. However, it is important bear in mind that each category does not have many companies and that the industries are not equally represented in the sample. </w:t>
      </w:r>
    </w:p>
    <w:p w:rsidR="00AE4097" w:rsidRDefault="00AE4097" w:rsidP="00A82089">
      <w:pPr>
        <w:spacing w:line="360" w:lineRule="auto"/>
        <w:jc w:val="both"/>
        <w:rPr>
          <w:b/>
          <w:sz w:val="22"/>
          <w:szCs w:val="22"/>
          <w:lang w:val="en-US"/>
        </w:rPr>
      </w:pPr>
      <w:bookmarkStart w:id="182" w:name="_Toc288459386"/>
      <w:r>
        <w:rPr>
          <w:i/>
          <w:sz w:val="22"/>
          <w:szCs w:val="22"/>
          <w:lang w:val="en-US"/>
        </w:rPr>
        <w:br w:type="page"/>
      </w:r>
    </w:p>
    <w:p w:rsidR="00AE4097" w:rsidRPr="0017285C" w:rsidRDefault="00AE4097" w:rsidP="00A82089">
      <w:pPr>
        <w:pStyle w:val="Heading2"/>
        <w:numPr>
          <w:ilvl w:val="1"/>
          <w:numId w:val="2"/>
        </w:numPr>
        <w:suppressAutoHyphens/>
        <w:spacing w:line="360" w:lineRule="auto"/>
        <w:jc w:val="both"/>
        <w:rPr>
          <w:i w:val="0"/>
          <w:sz w:val="22"/>
          <w:szCs w:val="22"/>
          <w:lang w:val="en-US"/>
        </w:rPr>
      </w:pPr>
      <w:bookmarkStart w:id="183" w:name="_Toc288725927"/>
      <w:r w:rsidRPr="0017285C">
        <w:rPr>
          <w:i w:val="0"/>
          <w:sz w:val="22"/>
          <w:szCs w:val="22"/>
          <w:lang w:val="en-US"/>
        </w:rPr>
        <w:lastRenderedPageBreak/>
        <w:t>Interpretation of the results</w:t>
      </w:r>
      <w:bookmarkEnd w:id="182"/>
      <w:bookmarkEnd w:id="183"/>
    </w:p>
    <w:p w:rsidR="00AE4097" w:rsidRPr="0017285C" w:rsidRDefault="00AE4097" w:rsidP="00A82089">
      <w:pPr>
        <w:pStyle w:val="000"/>
        <w:pBdr>
          <w:top w:val="single" w:sz="4" w:space="1" w:color="auto"/>
          <w:bottom w:val="single" w:sz="4" w:space="1" w:color="auto"/>
        </w:pBdr>
        <w:suppressAutoHyphens/>
        <w:jc w:val="both"/>
        <w:rPr>
          <w:sz w:val="20"/>
          <w:szCs w:val="20"/>
          <w:lang w:val="en-US"/>
        </w:rPr>
      </w:pPr>
      <w:r w:rsidRPr="0017285C">
        <w:rPr>
          <w:sz w:val="20"/>
          <w:szCs w:val="20"/>
          <w:lang w:val="en-US"/>
        </w:rPr>
        <w:t>Hypothesis</w:t>
      </w:r>
      <w:r w:rsidRPr="0017285C">
        <w:rPr>
          <w:sz w:val="20"/>
          <w:szCs w:val="20"/>
          <w:lang w:val="en-US"/>
        </w:rPr>
        <w:tab/>
      </w:r>
      <w:r w:rsidRPr="0017285C">
        <w:rPr>
          <w:sz w:val="20"/>
          <w:szCs w:val="20"/>
          <w:lang w:val="en-US"/>
        </w:rPr>
        <w:tab/>
      </w:r>
      <w:r w:rsidRPr="0017285C">
        <w:rPr>
          <w:sz w:val="20"/>
          <w:szCs w:val="20"/>
          <w:lang w:val="en-US"/>
        </w:rPr>
        <w:tab/>
        <w:t>Prediction</w:t>
      </w:r>
      <w:r w:rsidRPr="0017285C">
        <w:rPr>
          <w:sz w:val="20"/>
          <w:szCs w:val="20"/>
          <w:lang w:val="en-US"/>
        </w:rPr>
        <w:tab/>
        <w:t>Result</w:t>
      </w:r>
      <w:r w:rsidRPr="0017285C">
        <w:rPr>
          <w:sz w:val="20"/>
          <w:szCs w:val="20"/>
          <w:lang w:val="en-US"/>
        </w:rPr>
        <w:tab/>
      </w:r>
      <w:r w:rsidRPr="0017285C">
        <w:rPr>
          <w:sz w:val="20"/>
          <w:szCs w:val="20"/>
          <w:lang w:val="en-US"/>
        </w:rPr>
        <w:tab/>
        <w:t>Accepted/</w:t>
      </w:r>
      <w:r w:rsidRPr="0017285C">
        <w:rPr>
          <w:sz w:val="20"/>
          <w:szCs w:val="20"/>
          <w:lang w:val="en-US"/>
        </w:rPr>
        <w:tab/>
        <w:t>Outcome</w:t>
      </w:r>
    </w:p>
    <w:p w:rsidR="00AE4097" w:rsidRPr="0017285C" w:rsidRDefault="00AE4097" w:rsidP="00A82089">
      <w:pPr>
        <w:pStyle w:val="000"/>
        <w:pBdr>
          <w:top w:val="single" w:sz="4" w:space="1" w:color="auto"/>
          <w:bottom w:val="single" w:sz="4" w:space="1" w:color="auto"/>
        </w:pBdr>
        <w:suppressAutoHyphens/>
        <w:jc w:val="both"/>
        <w:rPr>
          <w:sz w:val="20"/>
          <w:szCs w:val="20"/>
          <w:lang w:val="en-US"/>
        </w:rPr>
      </w:pP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t>Rejected</w:t>
      </w:r>
      <w:r w:rsidRPr="0017285C">
        <w:rPr>
          <w:sz w:val="20"/>
          <w:szCs w:val="20"/>
          <w:lang w:val="en-US"/>
        </w:rPr>
        <w:tab/>
      </w:r>
    </w:p>
    <w:p w:rsidR="00AE4097" w:rsidRPr="0017285C" w:rsidRDefault="00AE4097" w:rsidP="00A82089">
      <w:pPr>
        <w:pStyle w:val="000"/>
        <w:suppressAutoHyphens/>
        <w:jc w:val="both"/>
        <w:rPr>
          <w:sz w:val="20"/>
          <w:szCs w:val="20"/>
          <w:lang w:val="en-US"/>
        </w:rPr>
      </w:pPr>
      <w:r w:rsidRPr="0017285C">
        <w:rPr>
          <w:sz w:val="20"/>
          <w:szCs w:val="20"/>
          <w:lang w:val="en-US"/>
        </w:rPr>
        <w:t>H1:</w:t>
      </w:r>
      <w:r w:rsidRPr="0017285C">
        <w:rPr>
          <w:sz w:val="20"/>
          <w:szCs w:val="20"/>
          <w:lang w:val="en-US"/>
        </w:rPr>
        <w:tab/>
        <w:t>Risk disclosure</w:t>
      </w:r>
      <w:r w:rsidRPr="0017285C">
        <w:rPr>
          <w:sz w:val="20"/>
          <w:szCs w:val="20"/>
          <w:lang w:val="en-US"/>
        </w:rPr>
        <w:tab/>
        <w:t>+ sign</w:t>
      </w:r>
      <w:r w:rsidRPr="0017285C">
        <w:rPr>
          <w:sz w:val="20"/>
          <w:szCs w:val="20"/>
          <w:lang w:val="en-US"/>
        </w:rPr>
        <w:tab/>
      </w:r>
      <w:r w:rsidRPr="0017285C">
        <w:rPr>
          <w:sz w:val="20"/>
          <w:szCs w:val="20"/>
          <w:lang w:val="en-US"/>
        </w:rPr>
        <w:tab/>
        <w:t>+ sign</w:t>
      </w:r>
      <w:r w:rsidRPr="0017285C">
        <w:rPr>
          <w:sz w:val="20"/>
          <w:szCs w:val="20"/>
          <w:lang w:val="en-US"/>
        </w:rPr>
        <w:tab/>
      </w:r>
      <w:r w:rsidRPr="0017285C">
        <w:rPr>
          <w:sz w:val="20"/>
          <w:szCs w:val="20"/>
          <w:lang w:val="en-US"/>
        </w:rPr>
        <w:tab/>
        <w:t>Acce</w:t>
      </w:r>
      <w:r>
        <w:rPr>
          <w:sz w:val="20"/>
          <w:szCs w:val="20"/>
          <w:lang w:val="en-US"/>
        </w:rPr>
        <w:t>pted</w:t>
      </w:r>
      <w:r>
        <w:rPr>
          <w:sz w:val="20"/>
          <w:szCs w:val="20"/>
          <w:lang w:val="en-US"/>
        </w:rPr>
        <w:tab/>
      </w:r>
      <w:proofErr w:type="gramStart"/>
      <w:r>
        <w:rPr>
          <w:sz w:val="20"/>
          <w:szCs w:val="20"/>
          <w:lang w:val="en-US"/>
        </w:rPr>
        <w:t>The</w:t>
      </w:r>
      <w:proofErr w:type="gramEnd"/>
      <w:r>
        <w:rPr>
          <w:sz w:val="20"/>
          <w:szCs w:val="20"/>
          <w:lang w:val="en-US"/>
        </w:rPr>
        <w:t xml:space="preserve"> annual reports contain </w:t>
      </w:r>
      <w:r w:rsidRPr="0017285C">
        <w:rPr>
          <w:sz w:val="20"/>
          <w:szCs w:val="20"/>
          <w:lang w:val="en-US"/>
        </w:rPr>
        <w:tab/>
        <w:t xml:space="preserve">significantly </w:t>
      </w:r>
    </w:p>
    <w:p w:rsidR="00AE4097" w:rsidRPr="0017285C" w:rsidRDefault="00AE4097" w:rsidP="00A82089">
      <w:pPr>
        <w:pStyle w:val="000"/>
        <w:suppressAutoHyphens/>
        <w:ind w:firstLine="567"/>
        <w:jc w:val="both"/>
        <w:rPr>
          <w:sz w:val="20"/>
          <w:szCs w:val="20"/>
          <w:lang w:val="en-US"/>
        </w:rPr>
      </w:pPr>
      <w:proofErr w:type="gramStart"/>
      <w:r w:rsidRPr="0017285C">
        <w:rPr>
          <w:sz w:val="20"/>
          <w:szCs w:val="20"/>
          <w:lang w:val="en-US"/>
        </w:rPr>
        <w:t>score</w:t>
      </w:r>
      <w:proofErr w:type="gramEnd"/>
      <w:r w:rsidRPr="0017285C">
        <w:rPr>
          <w:sz w:val="20"/>
          <w:szCs w:val="20"/>
          <w:lang w:val="en-US"/>
        </w:rPr>
        <w:t xml:space="preserve"> </w:t>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t xml:space="preserve">more disclosed risk information during </w:t>
      </w:r>
    </w:p>
    <w:p w:rsidR="00AE4097" w:rsidRPr="0017285C" w:rsidRDefault="00AE4097" w:rsidP="00A82089">
      <w:pPr>
        <w:pStyle w:val="000"/>
        <w:suppressAutoHyphens/>
        <w:ind w:left="5103" w:firstLine="567"/>
        <w:jc w:val="both"/>
        <w:rPr>
          <w:sz w:val="20"/>
          <w:szCs w:val="20"/>
          <w:lang w:val="en-US"/>
        </w:rPr>
      </w:pPr>
      <w:proofErr w:type="gramStart"/>
      <w:r w:rsidRPr="0017285C">
        <w:rPr>
          <w:sz w:val="20"/>
          <w:szCs w:val="20"/>
          <w:lang w:val="en-US"/>
        </w:rPr>
        <w:t>the</w:t>
      </w:r>
      <w:proofErr w:type="gramEnd"/>
      <w:r w:rsidRPr="0017285C">
        <w:rPr>
          <w:sz w:val="20"/>
          <w:szCs w:val="20"/>
          <w:lang w:val="en-US"/>
        </w:rPr>
        <w:t xml:space="preserve"> financial crisis than before.</w:t>
      </w:r>
    </w:p>
    <w:p w:rsidR="00AE4097" w:rsidRPr="0017285C" w:rsidRDefault="00AE4097" w:rsidP="00A82089">
      <w:pPr>
        <w:pStyle w:val="000"/>
        <w:suppressAutoHyphens/>
        <w:ind w:left="5103" w:firstLine="567"/>
        <w:jc w:val="both"/>
        <w:rPr>
          <w:sz w:val="20"/>
          <w:szCs w:val="20"/>
          <w:lang w:val="en-US"/>
        </w:rPr>
      </w:pPr>
    </w:p>
    <w:p w:rsidR="00AE4097" w:rsidRPr="0017285C" w:rsidRDefault="00AE4097" w:rsidP="00A82089">
      <w:pPr>
        <w:pStyle w:val="000"/>
        <w:suppressAutoHyphens/>
        <w:jc w:val="both"/>
        <w:rPr>
          <w:sz w:val="20"/>
          <w:szCs w:val="20"/>
          <w:lang w:val="en-US"/>
        </w:rPr>
      </w:pPr>
      <w:r w:rsidRPr="0017285C">
        <w:rPr>
          <w:sz w:val="20"/>
          <w:szCs w:val="20"/>
          <w:lang w:val="en-US"/>
        </w:rPr>
        <w:t xml:space="preserve">H2: </w:t>
      </w:r>
      <w:r w:rsidRPr="0017285C">
        <w:rPr>
          <w:sz w:val="20"/>
          <w:szCs w:val="20"/>
          <w:lang w:val="en-US"/>
        </w:rPr>
        <w:tab/>
        <w:t>Company</w:t>
      </w:r>
      <w:r w:rsidRPr="0017285C">
        <w:rPr>
          <w:sz w:val="20"/>
          <w:szCs w:val="20"/>
          <w:lang w:val="en-US"/>
        </w:rPr>
        <w:tab/>
      </w:r>
      <w:r w:rsidRPr="0017285C">
        <w:rPr>
          <w:sz w:val="20"/>
          <w:szCs w:val="20"/>
          <w:lang w:val="en-US"/>
        </w:rPr>
        <w:tab/>
        <w:t>+ sign</w:t>
      </w:r>
      <w:r w:rsidRPr="0017285C">
        <w:rPr>
          <w:sz w:val="20"/>
          <w:szCs w:val="20"/>
          <w:lang w:val="en-US"/>
        </w:rPr>
        <w:tab/>
      </w:r>
      <w:r w:rsidRPr="0017285C">
        <w:rPr>
          <w:sz w:val="20"/>
          <w:szCs w:val="20"/>
          <w:lang w:val="en-US"/>
        </w:rPr>
        <w:tab/>
        <w:t>not sign</w:t>
      </w:r>
      <w:r w:rsidRPr="0017285C">
        <w:rPr>
          <w:sz w:val="20"/>
          <w:szCs w:val="20"/>
          <w:lang w:val="en-US"/>
        </w:rPr>
        <w:tab/>
        <w:t>Rejected</w:t>
      </w:r>
      <w:r w:rsidRPr="0017285C">
        <w:rPr>
          <w:sz w:val="20"/>
          <w:szCs w:val="20"/>
          <w:lang w:val="en-US"/>
        </w:rPr>
        <w:tab/>
      </w:r>
      <w:proofErr w:type="gramStart"/>
      <w:r w:rsidRPr="0017285C">
        <w:rPr>
          <w:sz w:val="20"/>
          <w:szCs w:val="20"/>
          <w:lang w:val="en-US"/>
        </w:rPr>
        <w:t>There</w:t>
      </w:r>
      <w:proofErr w:type="gramEnd"/>
      <w:r w:rsidRPr="0017285C">
        <w:rPr>
          <w:sz w:val="20"/>
          <w:szCs w:val="20"/>
          <w:lang w:val="en-US"/>
        </w:rPr>
        <w:t xml:space="preserve"> is no significant relation between </w:t>
      </w:r>
    </w:p>
    <w:p w:rsidR="00AE4097" w:rsidRPr="0017285C" w:rsidRDefault="00AE4097" w:rsidP="00A82089">
      <w:pPr>
        <w:pStyle w:val="000"/>
        <w:suppressAutoHyphens/>
        <w:ind w:firstLine="567"/>
        <w:jc w:val="both"/>
        <w:rPr>
          <w:sz w:val="20"/>
          <w:szCs w:val="20"/>
          <w:lang w:val="en-US"/>
        </w:rPr>
      </w:pPr>
      <w:proofErr w:type="gramStart"/>
      <w:r w:rsidRPr="0017285C">
        <w:rPr>
          <w:sz w:val="20"/>
          <w:szCs w:val="20"/>
          <w:lang w:val="en-US"/>
        </w:rPr>
        <w:t>profitability</w:t>
      </w:r>
      <w:proofErr w:type="gramEnd"/>
      <w:r w:rsidRPr="0017285C">
        <w:rPr>
          <w:sz w:val="20"/>
          <w:szCs w:val="20"/>
          <w:lang w:val="en-US"/>
        </w:rPr>
        <w:t xml:space="preserve"> </w:t>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t>risk disclosures and company profitability</w:t>
      </w:r>
    </w:p>
    <w:p w:rsidR="00AE4097" w:rsidRPr="0017285C" w:rsidRDefault="00AE4097" w:rsidP="00A82089">
      <w:pPr>
        <w:pStyle w:val="000"/>
        <w:suppressAutoHyphens/>
        <w:ind w:firstLine="567"/>
        <w:jc w:val="both"/>
        <w:rPr>
          <w:sz w:val="20"/>
          <w:szCs w:val="20"/>
          <w:lang w:val="en-US"/>
        </w:rPr>
      </w:pPr>
    </w:p>
    <w:p w:rsidR="00AE4097" w:rsidRPr="0017285C" w:rsidRDefault="00AE4097" w:rsidP="00A82089">
      <w:pPr>
        <w:pStyle w:val="000"/>
        <w:suppressAutoHyphens/>
        <w:jc w:val="both"/>
        <w:rPr>
          <w:sz w:val="20"/>
          <w:szCs w:val="20"/>
          <w:lang w:val="en-US"/>
        </w:rPr>
      </w:pPr>
      <w:r w:rsidRPr="0017285C">
        <w:rPr>
          <w:sz w:val="20"/>
          <w:szCs w:val="20"/>
          <w:lang w:val="en-US"/>
        </w:rPr>
        <w:t>H3:</w:t>
      </w:r>
      <w:r w:rsidRPr="0017285C">
        <w:rPr>
          <w:sz w:val="20"/>
          <w:szCs w:val="20"/>
          <w:lang w:val="en-US"/>
        </w:rPr>
        <w:tab/>
        <w:t>Level of risk</w:t>
      </w:r>
      <w:r w:rsidRPr="0017285C">
        <w:rPr>
          <w:sz w:val="20"/>
          <w:szCs w:val="20"/>
          <w:lang w:val="en-US"/>
        </w:rPr>
        <w:tab/>
      </w:r>
      <w:r w:rsidRPr="0017285C">
        <w:rPr>
          <w:sz w:val="20"/>
          <w:szCs w:val="20"/>
          <w:lang w:val="en-US"/>
        </w:rPr>
        <w:tab/>
        <w:t>not sign</w:t>
      </w:r>
      <w:r w:rsidRPr="0017285C">
        <w:rPr>
          <w:sz w:val="20"/>
          <w:szCs w:val="20"/>
          <w:lang w:val="en-US"/>
        </w:rPr>
        <w:tab/>
        <w:t>not sign</w:t>
      </w:r>
      <w:r w:rsidRPr="0017285C">
        <w:rPr>
          <w:sz w:val="20"/>
          <w:szCs w:val="20"/>
          <w:lang w:val="en-US"/>
        </w:rPr>
        <w:tab/>
        <w:t>Accepted</w:t>
      </w:r>
      <w:r w:rsidRPr="0017285C">
        <w:rPr>
          <w:sz w:val="20"/>
          <w:szCs w:val="20"/>
          <w:lang w:val="en-US"/>
        </w:rPr>
        <w:tab/>
        <w:t xml:space="preserve">There is no significant relation between </w:t>
      </w:r>
    </w:p>
    <w:p w:rsidR="00AE4097" w:rsidRPr="0017285C" w:rsidRDefault="00AE4097" w:rsidP="00A82089">
      <w:pPr>
        <w:pStyle w:val="000"/>
        <w:suppressAutoHyphens/>
        <w:ind w:left="5103" w:firstLine="567"/>
        <w:jc w:val="both"/>
        <w:rPr>
          <w:sz w:val="20"/>
          <w:szCs w:val="20"/>
          <w:lang w:val="en-US"/>
        </w:rPr>
      </w:pPr>
      <w:proofErr w:type="gramStart"/>
      <w:r w:rsidRPr="0017285C">
        <w:rPr>
          <w:sz w:val="20"/>
          <w:szCs w:val="20"/>
          <w:lang w:val="en-US"/>
        </w:rPr>
        <w:t>risk</w:t>
      </w:r>
      <w:proofErr w:type="gramEnd"/>
      <w:r w:rsidRPr="0017285C">
        <w:rPr>
          <w:sz w:val="20"/>
          <w:szCs w:val="20"/>
          <w:lang w:val="en-US"/>
        </w:rPr>
        <w:t xml:space="preserve"> disclosures and the level of risk.</w:t>
      </w:r>
    </w:p>
    <w:p w:rsidR="00AE4097" w:rsidRPr="0017285C" w:rsidRDefault="00AE4097" w:rsidP="00A82089">
      <w:pPr>
        <w:pStyle w:val="000"/>
        <w:suppressAutoHyphens/>
        <w:ind w:left="5103" w:firstLine="567"/>
        <w:jc w:val="both"/>
        <w:rPr>
          <w:sz w:val="20"/>
          <w:szCs w:val="20"/>
          <w:lang w:val="en-US"/>
        </w:rPr>
      </w:pPr>
    </w:p>
    <w:p w:rsidR="00AE4097" w:rsidRPr="0017285C" w:rsidRDefault="00AE4097" w:rsidP="00A82089">
      <w:pPr>
        <w:pStyle w:val="000"/>
        <w:pBdr>
          <w:bottom w:val="single" w:sz="4" w:space="1" w:color="auto"/>
        </w:pBdr>
        <w:suppressAutoHyphens/>
        <w:ind w:left="570" w:hanging="570"/>
        <w:jc w:val="both"/>
        <w:rPr>
          <w:sz w:val="20"/>
          <w:szCs w:val="20"/>
          <w:lang w:val="en-US"/>
        </w:rPr>
      </w:pPr>
      <w:r w:rsidRPr="0017285C">
        <w:rPr>
          <w:sz w:val="20"/>
          <w:szCs w:val="20"/>
          <w:lang w:val="en-US"/>
        </w:rPr>
        <w:t>H4:</w:t>
      </w:r>
      <w:r w:rsidRPr="0017285C">
        <w:rPr>
          <w:sz w:val="20"/>
          <w:szCs w:val="20"/>
          <w:lang w:val="en-US"/>
        </w:rPr>
        <w:tab/>
        <w:t>Type of industry</w:t>
      </w:r>
      <w:r w:rsidRPr="0017285C">
        <w:rPr>
          <w:sz w:val="20"/>
          <w:szCs w:val="20"/>
          <w:lang w:val="en-US"/>
        </w:rPr>
        <w:tab/>
        <w:t>not sign</w:t>
      </w:r>
      <w:r w:rsidRPr="0017285C">
        <w:rPr>
          <w:sz w:val="20"/>
          <w:szCs w:val="20"/>
          <w:lang w:val="en-US"/>
        </w:rPr>
        <w:tab/>
        <w:t>not sign</w:t>
      </w:r>
      <w:r w:rsidRPr="0017285C">
        <w:rPr>
          <w:sz w:val="20"/>
          <w:szCs w:val="20"/>
          <w:lang w:val="en-US"/>
        </w:rPr>
        <w:tab/>
        <w:t>Accepted</w:t>
      </w:r>
      <w:r w:rsidRPr="0017285C">
        <w:rPr>
          <w:sz w:val="20"/>
          <w:szCs w:val="20"/>
          <w:lang w:val="en-US"/>
        </w:rPr>
        <w:tab/>
        <w:t xml:space="preserve">There is no significant relation between </w:t>
      </w:r>
    </w:p>
    <w:p w:rsidR="00AE4097" w:rsidRPr="0017285C" w:rsidRDefault="00AE4097" w:rsidP="00A82089">
      <w:pPr>
        <w:pStyle w:val="000"/>
        <w:pBdr>
          <w:bottom w:val="single" w:sz="4" w:space="1" w:color="auto"/>
        </w:pBdr>
        <w:suppressAutoHyphens/>
        <w:jc w:val="both"/>
        <w:rPr>
          <w:sz w:val="20"/>
          <w:szCs w:val="20"/>
          <w:lang w:val="en-US"/>
        </w:rPr>
      </w:pP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proofErr w:type="gramStart"/>
      <w:r>
        <w:rPr>
          <w:sz w:val="20"/>
          <w:szCs w:val="20"/>
          <w:lang w:val="en-US"/>
        </w:rPr>
        <w:t>risk</w:t>
      </w:r>
      <w:proofErr w:type="gramEnd"/>
      <w:r>
        <w:rPr>
          <w:sz w:val="20"/>
          <w:szCs w:val="20"/>
          <w:lang w:val="en-US"/>
        </w:rPr>
        <w:t xml:space="preserve"> </w:t>
      </w:r>
      <w:r w:rsidRPr="0017285C">
        <w:rPr>
          <w:sz w:val="20"/>
          <w:szCs w:val="20"/>
          <w:lang w:val="en-US"/>
        </w:rPr>
        <w:t>disclosures and type of</w:t>
      </w:r>
      <w:r w:rsidRPr="0017285C">
        <w:rPr>
          <w:sz w:val="20"/>
          <w:szCs w:val="20"/>
          <w:lang w:val="en-US"/>
        </w:rPr>
        <w:tab/>
        <w:t xml:space="preserve"> industry.</w:t>
      </w:r>
    </w:p>
    <w:p w:rsidR="00AE4097" w:rsidRPr="0017285C" w:rsidRDefault="00AE4097" w:rsidP="00A82089">
      <w:pPr>
        <w:pStyle w:val="000"/>
        <w:suppressAutoHyphens/>
        <w:spacing w:line="360" w:lineRule="auto"/>
        <w:jc w:val="both"/>
        <w:rPr>
          <w:b/>
          <w:sz w:val="20"/>
          <w:szCs w:val="20"/>
          <w:lang w:val="en-US"/>
        </w:rPr>
      </w:pP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r>
      <w:r w:rsidRPr="0017285C">
        <w:rPr>
          <w:sz w:val="20"/>
          <w:szCs w:val="20"/>
          <w:lang w:val="en-US"/>
        </w:rPr>
        <w:tab/>
        <w:t xml:space="preserve">         </w:t>
      </w:r>
      <w:r w:rsidRPr="0017285C">
        <w:rPr>
          <w:b/>
          <w:sz w:val="20"/>
          <w:szCs w:val="20"/>
          <w:lang w:val="en-US"/>
        </w:rPr>
        <w:t>Table 12: Summary of hypotheses testing</w:t>
      </w:r>
    </w:p>
    <w:p w:rsidR="00AE4097" w:rsidRPr="001D2339" w:rsidRDefault="00AE4097" w:rsidP="00A82089">
      <w:pPr>
        <w:pStyle w:val="000"/>
        <w:suppressAutoHyphens/>
        <w:spacing w:line="360" w:lineRule="auto"/>
        <w:ind w:firstLine="567"/>
        <w:jc w:val="both"/>
        <w:rPr>
          <w:color w:val="0070C0"/>
          <w:sz w:val="22"/>
          <w:szCs w:val="22"/>
          <w:lang w:val="en-US"/>
        </w:rPr>
      </w:pPr>
    </w:p>
    <w:p w:rsidR="00AE4097" w:rsidRPr="001D2339" w:rsidRDefault="00AE4097" w:rsidP="00A82089">
      <w:pPr>
        <w:pStyle w:val="000"/>
        <w:suppressAutoHyphens/>
        <w:spacing w:line="360" w:lineRule="auto"/>
        <w:ind w:firstLine="567"/>
        <w:jc w:val="both"/>
        <w:rPr>
          <w:sz w:val="22"/>
          <w:szCs w:val="22"/>
          <w:lang w:val="en-US"/>
        </w:rPr>
      </w:pPr>
      <w:r w:rsidRPr="001D2339">
        <w:rPr>
          <w:sz w:val="22"/>
          <w:szCs w:val="22"/>
          <w:lang w:val="en-US"/>
        </w:rPr>
        <w:t xml:space="preserve">Table 12 shows the results of the statistical analysis. The second hypothesis is the only hypothesis that was rejected. For the variable company profitability a positive significant relation was expected, while the results showed that there was no significant association. It is possible that the financial crisis is not the only factor which has influence on risk </w:t>
      </w:r>
      <w:proofErr w:type="gramStart"/>
      <w:r w:rsidRPr="001D2339">
        <w:rPr>
          <w:sz w:val="22"/>
          <w:szCs w:val="22"/>
          <w:lang w:val="en-US"/>
        </w:rPr>
        <w:t>disclosures,</w:t>
      </w:r>
      <w:proofErr w:type="gramEnd"/>
      <w:r w:rsidRPr="001D2339">
        <w:rPr>
          <w:sz w:val="22"/>
          <w:szCs w:val="22"/>
          <w:lang w:val="en-US"/>
        </w:rPr>
        <w:t xml:space="preserve"> other variables have an impact on risk disclosures as well. For this research it was expected that next to the financial crisis, company profitability has influence on risk disclosures as well. This is not the case. </w:t>
      </w:r>
    </w:p>
    <w:p w:rsidR="00AE4097" w:rsidRPr="001D2339" w:rsidRDefault="00AE4097" w:rsidP="00A82089">
      <w:pPr>
        <w:pStyle w:val="000"/>
        <w:suppressAutoHyphens/>
        <w:spacing w:line="360" w:lineRule="auto"/>
        <w:ind w:firstLine="567"/>
        <w:jc w:val="both"/>
        <w:rPr>
          <w:sz w:val="22"/>
          <w:szCs w:val="22"/>
          <w:lang w:val="en-US"/>
        </w:rPr>
      </w:pPr>
      <w:r w:rsidRPr="001D2339">
        <w:rPr>
          <w:sz w:val="22"/>
          <w:szCs w:val="22"/>
          <w:lang w:val="en-US"/>
        </w:rPr>
        <w:t>That the three control variables are not statistically significant means that these variables don’t have influence on the risk disclosures. So, the research question can be answered with the fact that the increasing quantity of risk reporting is fully contributed to the influence of the financial crisis. However, there could also be other influencing factors, which are not tested in this research. Future research should further investigate the other variables. This is discussed in the next chapter.</w:t>
      </w:r>
    </w:p>
    <w:p w:rsidR="00AE4097" w:rsidRPr="0088395B" w:rsidRDefault="00AE4097" w:rsidP="00A82089">
      <w:pPr>
        <w:pStyle w:val="Heading2"/>
        <w:numPr>
          <w:ilvl w:val="1"/>
          <w:numId w:val="2"/>
        </w:numPr>
        <w:suppressAutoHyphens/>
        <w:spacing w:line="360" w:lineRule="auto"/>
        <w:jc w:val="both"/>
        <w:rPr>
          <w:i w:val="0"/>
          <w:sz w:val="22"/>
          <w:szCs w:val="22"/>
          <w:lang w:val="en-US"/>
        </w:rPr>
      </w:pPr>
      <w:bookmarkStart w:id="184" w:name="_Toc288459387"/>
      <w:bookmarkStart w:id="185" w:name="_Toc288725928"/>
      <w:r w:rsidRPr="0088395B">
        <w:rPr>
          <w:i w:val="0"/>
          <w:sz w:val="22"/>
          <w:szCs w:val="22"/>
          <w:lang w:val="en-US"/>
        </w:rPr>
        <w:t>Summary</w:t>
      </w:r>
      <w:bookmarkEnd w:id="184"/>
      <w:bookmarkEnd w:id="185"/>
    </w:p>
    <w:p w:rsidR="00041467" w:rsidRPr="00430E73" w:rsidRDefault="00AE4097" w:rsidP="00A82089">
      <w:pPr>
        <w:pStyle w:val="000"/>
        <w:spacing w:line="360" w:lineRule="auto"/>
        <w:jc w:val="both"/>
        <w:rPr>
          <w:sz w:val="22"/>
          <w:szCs w:val="22"/>
          <w:lang w:val="en-US"/>
        </w:rPr>
      </w:pPr>
      <w:r w:rsidRPr="0088395B">
        <w:rPr>
          <w:sz w:val="22"/>
          <w:lang w:val="en-US"/>
        </w:rPr>
        <w:t xml:space="preserve">This chapter, which consists of two parts, presented the results of the research. First, the risk disclosure scores were calculated with a risk disclosure index. Although most companies had an increasing risk disclosure score between 2006 and 2009, it was not possible to drawn a clear conclusion. Examining the risk paragraph with only the risk disclosure score was not sufficient. To solve this problem, the </w:t>
      </w:r>
      <w:proofErr w:type="gramStart"/>
      <w:r w:rsidRPr="0088395B">
        <w:rPr>
          <w:sz w:val="22"/>
          <w:lang w:val="en-US"/>
        </w:rPr>
        <w:t>amount of pages on the risk paragraph were</w:t>
      </w:r>
      <w:proofErr w:type="gramEnd"/>
      <w:r w:rsidRPr="0088395B">
        <w:rPr>
          <w:sz w:val="22"/>
          <w:lang w:val="en-US"/>
        </w:rPr>
        <w:t xml:space="preserve"> calculated for five companies and for the financial risk categor</w:t>
      </w:r>
      <w:r>
        <w:rPr>
          <w:sz w:val="22"/>
          <w:lang w:val="en-US"/>
        </w:rPr>
        <w:t xml:space="preserve">y the </w:t>
      </w:r>
      <w:r w:rsidRPr="0088395B">
        <w:rPr>
          <w:sz w:val="22"/>
          <w:lang w:val="en-US"/>
        </w:rPr>
        <w:t xml:space="preserve">number of sentences were counted. The results showed that there is a positive significant difference between the number of pages in the MD&amp;A section before and during the financial crisis and between the </w:t>
      </w:r>
      <w:proofErr w:type="gramStart"/>
      <w:r w:rsidRPr="0088395B">
        <w:rPr>
          <w:sz w:val="22"/>
          <w:lang w:val="en-US"/>
        </w:rPr>
        <w:t>number</w:t>
      </w:r>
      <w:proofErr w:type="gramEnd"/>
      <w:r w:rsidRPr="0088395B">
        <w:rPr>
          <w:sz w:val="22"/>
          <w:lang w:val="en-US"/>
        </w:rPr>
        <w:t xml:space="preserve"> of sentences of the financial risk categ</w:t>
      </w:r>
      <w:r>
        <w:rPr>
          <w:sz w:val="22"/>
          <w:lang w:val="en-US"/>
        </w:rPr>
        <w:t xml:space="preserve">ory during the research period. </w:t>
      </w:r>
      <w:r w:rsidR="00041467" w:rsidRPr="00430E73">
        <w:rPr>
          <w:sz w:val="22"/>
          <w:szCs w:val="22"/>
          <w:lang w:val="en-US"/>
        </w:rPr>
        <w:t>Because the risk disclosure index does not examine the risk management system and the internal control system, it is examined separately. Only a few companies did not give a description of the risk management system and the in-control statement in the annual reports from 2006 until 2009.</w:t>
      </w:r>
    </w:p>
    <w:p w:rsidR="00AE4097" w:rsidRDefault="00AE4097" w:rsidP="00A82089">
      <w:pPr>
        <w:pStyle w:val="000"/>
        <w:suppressAutoHyphens/>
        <w:spacing w:line="360" w:lineRule="auto"/>
        <w:ind w:firstLine="567"/>
        <w:jc w:val="both"/>
        <w:rPr>
          <w:sz w:val="22"/>
          <w:lang w:val="en-US"/>
        </w:rPr>
      </w:pPr>
      <w:r w:rsidRPr="0088395B">
        <w:rPr>
          <w:sz w:val="22"/>
          <w:lang w:val="en-US"/>
        </w:rPr>
        <w:lastRenderedPageBreak/>
        <w:t xml:space="preserve">After calculating the risk disclosure scores, the statistical analysis was carried out. Before this was done, the averages of data in both periods were calculated. First, the descriptive statistics were given, </w:t>
      </w:r>
      <w:proofErr w:type="gramStart"/>
      <w:r w:rsidRPr="0088395B">
        <w:rPr>
          <w:sz w:val="22"/>
          <w:lang w:val="en-US"/>
        </w:rPr>
        <w:t>then</w:t>
      </w:r>
      <w:proofErr w:type="gramEnd"/>
      <w:r w:rsidRPr="0088395B">
        <w:rPr>
          <w:sz w:val="22"/>
          <w:lang w:val="en-US"/>
        </w:rPr>
        <w:t xml:space="preserve"> the normal distribution was tested using the Kolmogorov-Smirnov test and the Skewness and Kurtosis test. The results of both tests showed that all variables were normal distributed, except for the ROA in 2006-2007. This variable was transformed in a natural logarithm. When testing the normal distribution </w:t>
      </w:r>
      <w:proofErr w:type="gramStart"/>
      <w:r w:rsidRPr="0088395B">
        <w:rPr>
          <w:sz w:val="22"/>
          <w:lang w:val="en-US"/>
        </w:rPr>
        <w:t>for  the</w:t>
      </w:r>
      <w:proofErr w:type="gramEnd"/>
      <w:r w:rsidRPr="0088395B">
        <w:rPr>
          <w:sz w:val="22"/>
          <w:lang w:val="en-US"/>
        </w:rPr>
        <w:t xml:space="preserve"> transformed variable, the distribution was significantly different from the normal distribution with a significance level of 5%, but not for a significance level of 1%. </w:t>
      </w:r>
    </w:p>
    <w:p w:rsidR="00AE4097" w:rsidRPr="0088395B" w:rsidRDefault="00AE4097" w:rsidP="00A82089">
      <w:pPr>
        <w:pStyle w:val="000"/>
        <w:suppressAutoHyphens/>
        <w:spacing w:line="360" w:lineRule="auto"/>
        <w:ind w:firstLine="567"/>
        <w:jc w:val="both"/>
        <w:rPr>
          <w:sz w:val="22"/>
          <w:lang w:val="en-US"/>
        </w:rPr>
      </w:pPr>
      <w:r>
        <w:rPr>
          <w:color w:val="000000"/>
          <w:sz w:val="22"/>
          <w:szCs w:val="22"/>
          <w:lang w:val="en-US"/>
        </w:rPr>
        <w:t>After the</w:t>
      </w:r>
      <w:r w:rsidRPr="00D4768E">
        <w:rPr>
          <w:color w:val="000000"/>
          <w:sz w:val="22"/>
          <w:szCs w:val="22"/>
          <w:lang w:val="en-US"/>
        </w:rPr>
        <w:t xml:space="preserve"> assumption </w:t>
      </w:r>
      <w:r>
        <w:rPr>
          <w:color w:val="000000"/>
          <w:sz w:val="22"/>
          <w:szCs w:val="22"/>
          <w:lang w:val="en-US"/>
        </w:rPr>
        <w:t>of the normal distribution had been</w:t>
      </w:r>
      <w:r w:rsidRPr="00D4768E">
        <w:rPr>
          <w:color w:val="000000"/>
          <w:sz w:val="22"/>
          <w:szCs w:val="22"/>
          <w:lang w:val="en-US"/>
        </w:rPr>
        <w:t xml:space="preserve"> verified</w:t>
      </w:r>
      <w:r>
        <w:rPr>
          <w:color w:val="000000"/>
          <w:sz w:val="22"/>
          <w:szCs w:val="22"/>
          <w:lang w:val="en-US"/>
        </w:rPr>
        <w:t>,</w:t>
      </w:r>
      <w:r w:rsidRPr="0088395B">
        <w:rPr>
          <w:sz w:val="22"/>
          <w:lang w:val="en-US"/>
        </w:rPr>
        <w:t xml:space="preserve"> the hypotheses were tested. The first hypothesis was tested with a paired-sample t-test. The mean of the risk disclosure scores of 2006-2007 was significantly</w:t>
      </w:r>
      <w:r>
        <w:rPr>
          <w:sz w:val="22"/>
          <w:lang w:val="en-US"/>
        </w:rPr>
        <w:t xml:space="preserve"> different from</w:t>
      </w:r>
      <w:r w:rsidRPr="0088395B">
        <w:rPr>
          <w:sz w:val="22"/>
          <w:lang w:val="en-US"/>
        </w:rPr>
        <w:t xml:space="preserve"> the mean of the scores of 2008-2009, which meant that the annual reports contained significantly more disclosed risk information during the financial crisis than before. The first hypothesis is accepted. It was not possible to compare this result with other researches, because there was no research which tested this relation. For the three control variables, the correlations were calculated with the Pearson</w:t>
      </w:r>
      <w:r>
        <w:rPr>
          <w:sz w:val="22"/>
          <w:lang w:val="en-US"/>
        </w:rPr>
        <w:t xml:space="preserve"> </w:t>
      </w:r>
      <w:r w:rsidRPr="0088395B">
        <w:rPr>
          <w:sz w:val="22"/>
          <w:lang w:val="en-US"/>
        </w:rPr>
        <w:t xml:space="preserve">correlation coefficient, the Spearman’s rho correlation coefficient and the one-way ANOVA. None of the variables (company profitability, level of risk, and type of industry) was </w:t>
      </w:r>
      <w:r>
        <w:rPr>
          <w:sz w:val="22"/>
          <w:lang w:val="en-US"/>
        </w:rPr>
        <w:t xml:space="preserve">significant correlated with </w:t>
      </w:r>
      <w:r w:rsidRPr="0088395B">
        <w:rPr>
          <w:sz w:val="22"/>
          <w:lang w:val="en-US"/>
        </w:rPr>
        <w:t>risk disclosure</w:t>
      </w:r>
      <w:r>
        <w:rPr>
          <w:sz w:val="22"/>
          <w:lang w:val="en-US"/>
        </w:rPr>
        <w:t xml:space="preserve">s </w:t>
      </w:r>
      <w:r w:rsidRPr="0088395B">
        <w:rPr>
          <w:sz w:val="22"/>
          <w:lang w:val="en-US"/>
        </w:rPr>
        <w:t>in both periods. This is in line with other researches (Linsley and Shrives, 2006a+b; Abraham and Cox, 2007; Amran et al., 2009). The second hypothesis is rejected, while the third and fourth hypotheses are accepted for this research.</w:t>
      </w:r>
    </w:p>
    <w:p w:rsidR="00AE4097" w:rsidRDefault="00AE4097" w:rsidP="00A82089">
      <w:pPr>
        <w:pStyle w:val="Heading1"/>
        <w:numPr>
          <w:ilvl w:val="0"/>
          <w:numId w:val="2"/>
        </w:numPr>
        <w:suppressAutoHyphens/>
        <w:spacing w:line="360" w:lineRule="auto"/>
        <w:jc w:val="both"/>
        <w:rPr>
          <w:sz w:val="24"/>
          <w:lang w:val="en-US"/>
        </w:rPr>
      </w:pPr>
      <w:r>
        <w:rPr>
          <w:sz w:val="24"/>
          <w:lang w:val="en-US"/>
        </w:rPr>
        <w:br w:type="page"/>
      </w:r>
      <w:bookmarkStart w:id="186" w:name="_Toc288459388"/>
      <w:bookmarkStart w:id="187" w:name="_Toc288725929"/>
      <w:r>
        <w:rPr>
          <w:sz w:val="24"/>
          <w:lang w:val="en-US"/>
        </w:rPr>
        <w:lastRenderedPageBreak/>
        <w:t>Conclusion</w:t>
      </w:r>
      <w:bookmarkEnd w:id="186"/>
      <w:bookmarkEnd w:id="187"/>
    </w:p>
    <w:p w:rsidR="00AE4097" w:rsidRDefault="00AE4097" w:rsidP="008C2ED0">
      <w:pPr>
        <w:pStyle w:val="Heading2"/>
        <w:numPr>
          <w:ilvl w:val="1"/>
          <w:numId w:val="2"/>
        </w:numPr>
        <w:suppressAutoHyphens/>
        <w:spacing w:line="360" w:lineRule="auto"/>
        <w:jc w:val="both"/>
        <w:rPr>
          <w:i w:val="0"/>
          <w:sz w:val="22"/>
          <w:szCs w:val="22"/>
          <w:lang w:val="en-US"/>
        </w:rPr>
      </w:pPr>
      <w:bookmarkStart w:id="188" w:name="_Toc288459390"/>
      <w:bookmarkStart w:id="189" w:name="_Toc288725930"/>
      <w:r>
        <w:rPr>
          <w:i w:val="0"/>
          <w:sz w:val="22"/>
          <w:szCs w:val="22"/>
          <w:lang w:val="en-US"/>
        </w:rPr>
        <w:t>Conclusi</w:t>
      </w:r>
      <w:r w:rsidRPr="0088395B">
        <w:rPr>
          <w:i w:val="0"/>
          <w:sz w:val="22"/>
          <w:szCs w:val="22"/>
          <w:lang w:val="en-US"/>
        </w:rPr>
        <w:t>on</w:t>
      </w:r>
      <w:bookmarkEnd w:id="188"/>
      <w:bookmarkEnd w:id="189"/>
    </w:p>
    <w:p w:rsidR="00AE4097" w:rsidRPr="00792718" w:rsidRDefault="00AE4097" w:rsidP="00A82089">
      <w:pPr>
        <w:pStyle w:val="000"/>
        <w:suppressAutoHyphens/>
        <w:spacing w:line="360" w:lineRule="auto"/>
        <w:ind w:firstLine="567"/>
        <w:jc w:val="both"/>
        <w:rPr>
          <w:sz w:val="22"/>
          <w:szCs w:val="22"/>
          <w:lang w:val="en-US"/>
        </w:rPr>
      </w:pPr>
      <w:r>
        <w:rPr>
          <w:sz w:val="22"/>
          <w:szCs w:val="22"/>
          <w:lang w:val="en-US"/>
        </w:rPr>
        <w:t>I</w:t>
      </w:r>
      <w:r w:rsidRPr="0088395B">
        <w:rPr>
          <w:sz w:val="22"/>
          <w:szCs w:val="22"/>
          <w:lang w:val="en-US"/>
        </w:rPr>
        <w:t xml:space="preserve">n this </w:t>
      </w:r>
      <w:r>
        <w:rPr>
          <w:sz w:val="22"/>
          <w:szCs w:val="22"/>
          <w:lang w:val="en-US"/>
        </w:rPr>
        <w:t xml:space="preserve">paragraph </w:t>
      </w:r>
      <w:r w:rsidRPr="00792718">
        <w:rPr>
          <w:iCs/>
          <w:sz w:val="22"/>
          <w:szCs w:val="22"/>
          <w:lang w:val="en-US"/>
        </w:rPr>
        <w:t>the answers of the sub-questions as given in the other chapters</w:t>
      </w:r>
      <w:r>
        <w:rPr>
          <w:sz w:val="22"/>
          <w:szCs w:val="22"/>
          <w:lang w:val="en-US"/>
        </w:rPr>
        <w:t xml:space="preserve"> and </w:t>
      </w:r>
      <w:r w:rsidRPr="0088395B">
        <w:rPr>
          <w:sz w:val="22"/>
          <w:szCs w:val="22"/>
          <w:lang w:val="en-US"/>
        </w:rPr>
        <w:t xml:space="preserve">the results of the </w:t>
      </w:r>
      <w:r w:rsidRPr="00792718">
        <w:rPr>
          <w:sz w:val="22"/>
          <w:szCs w:val="22"/>
          <w:lang w:val="en-US"/>
        </w:rPr>
        <w:t xml:space="preserve">previous chapter are used to give an answer to the research question. </w:t>
      </w:r>
    </w:p>
    <w:p w:rsidR="00AE4097" w:rsidRPr="0088395B" w:rsidRDefault="00AE4097" w:rsidP="00A82089">
      <w:pPr>
        <w:pStyle w:val="000"/>
        <w:suppressAutoHyphens/>
        <w:spacing w:line="360" w:lineRule="auto"/>
        <w:ind w:firstLine="567"/>
        <w:jc w:val="both"/>
        <w:rPr>
          <w:sz w:val="22"/>
          <w:szCs w:val="22"/>
          <w:lang w:val="en-US"/>
        </w:rPr>
      </w:pPr>
      <w:r w:rsidRPr="0088395B">
        <w:rPr>
          <w:sz w:val="22"/>
          <w:szCs w:val="22"/>
          <w:lang w:val="en-US"/>
        </w:rPr>
        <w:t xml:space="preserve">This study examined the quantity of risk disclosures of non-financial Dutch listed companies before and during the financial crisis. Prior risk disclosure research had not tested for the influence of the </w:t>
      </w:r>
      <w:r w:rsidRPr="00792718">
        <w:rPr>
          <w:sz w:val="22"/>
          <w:szCs w:val="22"/>
          <w:lang w:val="en-US"/>
        </w:rPr>
        <w:t>financial crisis. The aim of this paper has been to extend empirical knowledge and add to prior risk disclosure studies</w:t>
      </w:r>
      <w:r w:rsidRPr="00792718">
        <w:rPr>
          <w:color w:val="FF0000"/>
          <w:sz w:val="22"/>
          <w:szCs w:val="22"/>
          <w:lang w:val="en-US"/>
        </w:rPr>
        <w:t xml:space="preserve"> </w:t>
      </w:r>
      <w:r w:rsidRPr="00792718">
        <w:rPr>
          <w:sz w:val="22"/>
          <w:lang w:val="en-US"/>
        </w:rPr>
        <w:t xml:space="preserve">particularly in Dutch context, because </w:t>
      </w:r>
      <w:r w:rsidRPr="00792718">
        <w:rPr>
          <w:sz w:val="22"/>
          <w:szCs w:val="22"/>
          <w:lang w:val="en-US"/>
        </w:rPr>
        <w:t>except for Deumes (2008),</w:t>
      </w:r>
      <w:r w:rsidRPr="00792718">
        <w:rPr>
          <w:sz w:val="22"/>
          <w:lang w:val="en-US"/>
        </w:rPr>
        <w:t xml:space="preserve"> no prior research had been done to risk reporting in the Netherlands</w:t>
      </w:r>
      <w:r w:rsidRPr="00792718">
        <w:rPr>
          <w:sz w:val="22"/>
          <w:szCs w:val="22"/>
          <w:lang w:val="en-US"/>
        </w:rPr>
        <w:t xml:space="preserve">. So it is not possible to compare this research with </w:t>
      </w:r>
      <w:r w:rsidRPr="00792718">
        <w:rPr>
          <w:iCs/>
          <w:sz w:val="22"/>
          <w:szCs w:val="22"/>
          <w:lang w:val="en-US"/>
        </w:rPr>
        <w:t>other researches</w:t>
      </w:r>
      <w:r w:rsidRPr="00792718">
        <w:rPr>
          <w:sz w:val="22"/>
          <w:szCs w:val="22"/>
          <w:lang w:val="en-US"/>
        </w:rPr>
        <w:t>.</w:t>
      </w:r>
      <w:r w:rsidRPr="002F2411">
        <w:rPr>
          <w:sz w:val="22"/>
          <w:szCs w:val="22"/>
          <w:lang w:val="en-US"/>
        </w:rPr>
        <w:t xml:space="preserve"> The article by Linsley and Shrives (2006a) is used</w:t>
      </w:r>
      <w:r w:rsidRPr="0088395B">
        <w:rPr>
          <w:sz w:val="22"/>
          <w:szCs w:val="22"/>
          <w:lang w:val="en-US"/>
        </w:rPr>
        <w:t xml:space="preserve"> as basis for this paper, but their research was totally different. </w:t>
      </w:r>
    </w:p>
    <w:p w:rsidR="00AE4097" w:rsidRPr="0088395B" w:rsidRDefault="00AE4097" w:rsidP="00A82089">
      <w:pPr>
        <w:pStyle w:val="000"/>
        <w:suppressAutoHyphens/>
        <w:spacing w:line="360" w:lineRule="auto"/>
        <w:ind w:firstLine="567"/>
        <w:jc w:val="both"/>
        <w:rPr>
          <w:sz w:val="22"/>
          <w:szCs w:val="22"/>
          <w:lang w:val="en-US"/>
        </w:rPr>
      </w:pPr>
      <w:r w:rsidRPr="0088395B">
        <w:rPr>
          <w:sz w:val="22"/>
          <w:szCs w:val="22"/>
          <w:lang w:val="en-US"/>
        </w:rPr>
        <w:t>Based on the theoretical framework and the empirical research an answer to the research question can be given. The research question was:</w:t>
      </w:r>
    </w:p>
    <w:p w:rsidR="00AE4097" w:rsidRDefault="00AE4097" w:rsidP="00A82089">
      <w:pPr>
        <w:pStyle w:val="000"/>
        <w:suppressAutoHyphens/>
        <w:spacing w:line="360" w:lineRule="auto"/>
        <w:ind w:firstLine="567"/>
        <w:jc w:val="both"/>
        <w:rPr>
          <w:color w:val="FF0000"/>
          <w:sz w:val="22"/>
          <w:szCs w:val="22"/>
          <w:lang w:val="en-US"/>
        </w:rPr>
      </w:pPr>
    </w:p>
    <w:p w:rsidR="00AE4097" w:rsidRDefault="00AE4097" w:rsidP="00A82089">
      <w:pPr>
        <w:pBdr>
          <w:top w:val="single" w:sz="12" w:space="1" w:color="000080"/>
          <w:left w:val="single" w:sz="12" w:space="4" w:color="000080"/>
          <w:bottom w:val="single" w:sz="12" w:space="1" w:color="000080"/>
          <w:right w:val="single" w:sz="12" w:space="4" w:color="000080"/>
        </w:pBdr>
        <w:suppressAutoHyphens/>
        <w:spacing w:line="360" w:lineRule="auto"/>
        <w:jc w:val="both"/>
        <w:rPr>
          <w:b/>
          <w:i/>
          <w:sz w:val="22"/>
          <w:szCs w:val="22"/>
          <w:lang w:val="en-US"/>
        </w:rPr>
      </w:pPr>
      <w:r>
        <w:rPr>
          <w:b/>
          <w:i/>
          <w:sz w:val="22"/>
          <w:szCs w:val="22"/>
          <w:lang w:val="en-US"/>
        </w:rPr>
        <w:t>What is the influence of the financial crisis on the quantity of risk reporting in the annual reports of Dutch listed companies?</w:t>
      </w:r>
    </w:p>
    <w:p w:rsidR="00AE4097" w:rsidRDefault="00AE4097" w:rsidP="00A82089">
      <w:pPr>
        <w:spacing w:line="360" w:lineRule="auto"/>
        <w:jc w:val="both"/>
        <w:rPr>
          <w:bCs/>
          <w:color w:val="0000FF"/>
          <w:sz w:val="22"/>
          <w:szCs w:val="22"/>
          <w:lang w:val="en-US"/>
        </w:rPr>
      </w:pPr>
    </w:p>
    <w:p w:rsidR="00466506" w:rsidRDefault="00AE4097" w:rsidP="00A82089">
      <w:pPr>
        <w:suppressAutoHyphens/>
        <w:spacing w:line="360" w:lineRule="auto"/>
        <w:ind w:firstLine="567"/>
        <w:jc w:val="both"/>
        <w:rPr>
          <w:sz w:val="22"/>
          <w:lang w:val="en-US"/>
        </w:rPr>
      </w:pPr>
      <w:r w:rsidRPr="00BC7E4D">
        <w:rPr>
          <w:bCs/>
          <w:sz w:val="22"/>
          <w:szCs w:val="22"/>
          <w:lang w:val="en-US"/>
        </w:rPr>
        <w:t xml:space="preserve">Chapter 2 gave some background information regarding voluntary disclosures and most of the sub-questions are answered here. As a result of the increasing stakeholders demand, firms are disclosing more risk information to fill the gap between the information provided and the information needed by investors </w:t>
      </w:r>
      <w:proofErr w:type="gramStart"/>
      <w:r w:rsidRPr="00BC7E4D">
        <w:rPr>
          <w:bCs/>
          <w:sz w:val="22"/>
          <w:szCs w:val="22"/>
          <w:lang w:val="en-US"/>
        </w:rPr>
        <w:t>This</w:t>
      </w:r>
      <w:proofErr w:type="gramEnd"/>
      <w:r w:rsidRPr="00BC7E4D">
        <w:rPr>
          <w:bCs/>
          <w:sz w:val="22"/>
          <w:szCs w:val="22"/>
          <w:lang w:val="en-US"/>
        </w:rPr>
        <w:t xml:space="preserve"> is in line with the positive accounting theory. In times of a financial crisis, the manager’s motive for disclosing information earlier is to reduce the cost of litigation. However, there are constraints for voluntary disclosures as well, for example that voluntary disclosed information can damage the competitive position. After discussing the management motives, the different methods for measuring disclosures are explained. For this research, a content analysis is used in combination with a </w:t>
      </w:r>
      <w:r>
        <w:rPr>
          <w:bCs/>
          <w:sz w:val="22"/>
          <w:szCs w:val="22"/>
          <w:lang w:val="en-US"/>
        </w:rPr>
        <w:t>risk disclosure index</w:t>
      </w:r>
      <w:r w:rsidRPr="00BC7E4D">
        <w:rPr>
          <w:bCs/>
          <w:sz w:val="22"/>
          <w:szCs w:val="22"/>
          <w:lang w:val="en-US"/>
        </w:rPr>
        <w:t xml:space="preserve">. </w:t>
      </w:r>
      <w:r w:rsidRPr="00BC7E4D">
        <w:rPr>
          <w:sz w:val="22"/>
          <w:lang w:val="en-US"/>
        </w:rPr>
        <w:t xml:space="preserve">Although there are different interpretations of ‘risk’, the definition by Linsley and Shrives (2006a) is used, which considers both the positive and the negative side of risk. </w:t>
      </w:r>
      <w:r w:rsidRPr="00BC7E4D">
        <w:rPr>
          <w:sz w:val="22"/>
          <w:szCs w:val="22"/>
          <w:lang w:val="en-US"/>
        </w:rPr>
        <w:t xml:space="preserve">Further, the Enterprise Risk Management (ERM) framework (COSO II) is explained, together with the different risk categories. In examining the development of risk reporting, regulation is important as well. </w:t>
      </w:r>
      <w:r w:rsidRPr="00BC7E4D">
        <w:rPr>
          <w:sz w:val="22"/>
          <w:lang w:val="en-US"/>
        </w:rPr>
        <w:t xml:space="preserve">Listed companies in the Netherlands have to comply with the International Financial Reporting Standards and the </w:t>
      </w:r>
      <w:r>
        <w:rPr>
          <w:sz w:val="22"/>
          <w:lang w:val="en-US"/>
        </w:rPr>
        <w:t>Dutch Corporate Governance Code</w:t>
      </w:r>
      <w:r w:rsidRPr="00BC7E4D">
        <w:rPr>
          <w:sz w:val="22"/>
          <w:lang w:val="en-US"/>
        </w:rPr>
        <w:t xml:space="preserve">. According to IFRS 7 disclosing risk information is not required. A broad description of the biggest risks and uncertainties is sufficient. The </w:t>
      </w:r>
      <w:r>
        <w:rPr>
          <w:sz w:val="22"/>
          <w:lang w:val="en-US"/>
        </w:rPr>
        <w:t>Dutch Corporate Governance Code</w:t>
      </w:r>
      <w:r w:rsidRPr="00BC7E4D">
        <w:rPr>
          <w:sz w:val="22"/>
          <w:lang w:val="en-US"/>
        </w:rPr>
        <w:t xml:space="preserve"> does not give explicit rules, it only prescribes that the company should have descriptions of the risk-profile and the internal risk management and control system (‘in-control statement’). In this research the financial crisis plays an important role. </w:t>
      </w:r>
    </w:p>
    <w:p w:rsidR="00AE4097" w:rsidRPr="00BC7E4D" w:rsidRDefault="00AE4097" w:rsidP="00466506">
      <w:pPr>
        <w:suppressAutoHyphens/>
        <w:spacing w:line="360" w:lineRule="auto"/>
        <w:jc w:val="both"/>
        <w:rPr>
          <w:bCs/>
          <w:sz w:val="22"/>
          <w:szCs w:val="22"/>
          <w:lang w:val="en-US"/>
        </w:rPr>
      </w:pPr>
      <w:r w:rsidRPr="00BC7E4D">
        <w:rPr>
          <w:sz w:val="22"/>
          <w:lang w:val="en-US"/>
        </w:rPr>
        <w:lastRenderedPageBreak/>
        <w:t>At the end of chapter 2</w:t>
      </w:r>
      <w:r w:rsidRPr="00BC7E4D">
        <w:rPr>
          <w:sz w:val="22"/>
          <w:szCs w:val="22"/>
          <w:lang w:val="en-US"/>
        </w:rPr>
        <w:t xml:space="preserve"> the causes and consequences of the financial crisis were discussed. The more detailed results of this influence are analyzed in chapter 5.</w:t>
      </w:r>
      <w:r w:rsidRPr="00BC7E4D">
        <w:rPr>
          <w:i/>
          <w:sz w:val="22"/>
          <w:szCs w:val="22"/>
          <w:lang w:val="en-US"/>
        </w:rPr>
        <w:t xml:space="preserve"> </w:t>
      </w:r>
    </w:p>
    <w:p w:rsidR="00AE4097" w:rsidRPr="0088395B" w:rsidRDefault="00AE4097" w:rsidP="00A82089">
      <w:pPr>
        <w:suppressAutoHyphens/>
        <w:spacing w:line="360" w:lineRule="auto"/>
        <w:ind w:firstLine="567"/>
        <w:jc w:val="both"/>
        <w:rPr>
          <w:sz w:val="22"/>
          <w:szCs w:val="22"/>
          <w:lang w:val="en-US"/>
        </w:rPr>
      </w:pPr>
      <w:r w:rsidRPr="0088395B">
        <w:rPr>
          <w:sz w:val="22"/>
          <w:szCs w:val="22"/>
          <w:lang w:val="en-US"/>
        </w:rPr>
        <w:t>Further, the already existing academic literature of risk reporting is discussed in chapter 3, where the articles by Lajili and Zéghal (</w:t>
      </w:r>
      <w:r w:rsidRPr="006C4BF1">
        <w:rPr>
          <w:sz w:val="22"/>
          <w:szCs w:val="22"/>
          <w:lang w:val="en-US"/>
        </w:rPr>
        <w:t xml:space="preserve">2005), Linsley and Shrives (2006a), Abraham and Cox (2007) and Amran et al. (2009) are important for this research. </w:t>
      </w:r>
      <w:r w:rsidRPr="006C4BF1">
        <w:rPr>
          <w:iCs/>
          <w:sz w:val="22"/>
          <w:szCs w:val="22"/>
          <w:lang w:val="en-US"/>
        </w:rPr>
        <w:t xml:space="preserve">Although none of the articles are identical to this </w:t>
      </w:r>
      <w:r>
        <w:rPr>
          <w:iCs/>
          <w:sz w:val="22"/>
          <w:szCs w:val="22"/>
          <w:lang w:val="en-US"/>
        </w:rPr>
        <w:t xml:space="preserve">paper, </w:t>
      </w:r>
      <w:r w:rsidRPr="006C4BF1">
        <w:rPr>
          <w:iCs/>
          <w:sz w:val="22"/>
          <w:szCs w:val="22"/>
          <w:lang w:val="en-US"/>
        </w:rPr>
        <w:t>the studies had a contributing value in preparing this research</w:t>
      </w:r>
      <w:r w:rsidRPr="006C4BF1">
        <w:rPr>
          <w:i/>
          <w:iCs/>
          <w:sz w:val="22"/>
          <w:szCs w:val="22"/>
          <w:lang w:val="en-US"/>
        </w:rPr>
        <w:t>.</w:t>
      </w:r>
      <w:r w:rsidRPr="0088395B">
        <w:rPr>
          <w:sz w:val="22"/>
          <w:szCs w:val="22"/>
          <w:lang w:val="en-US"/>
        </w:rPr>
        <w:t xml:space="preserve"> Besides the influence of the financial crisis on risk reporting, some factors found in prior literature influence risk disclosures as well. This paper tests the influence of some of these factors (company profitability, level of risk and type of industry).</w:t>
      </w:r>
    </w:p>
    <w:p w:rsidR="00AE4097" w:rsidRPr="000C1CD0" w:rsidRDefault="00AE4097" w:rsidP="00A82089">
      <w:pPr>
        <w:pStyle w:val="000"/>
        <w:suppressAutoHyphens/>
        <w:spacing w:line="360" w:lineRule="auto"/>
        <w:ind w:firstLine="567"/>
        <w:jc w:val="both"/>
        <w:rPr>
          <w:sz w:val="22"/>
          <w:szCs w:val="22"/>
          <w:lang w:val="en-US"/>
        </w:rPr>
      </w:pPr>
      <w:r w:rsidRPr="0088395B">
        <w:rPr>
          <w:sz w:val="22"/>
          <w:szCs w:val="22"/>
          <w:lang w:val="en-US"/>
        </w:rPr>
        <w:t>In chapter 4 the research design is explained.</w:t>
      </w:r>
      <w:r>
        <w:rPr>
          <w:color w:val="FF0000"/>
          <w:sz w:val="22"/>
          <w:szCs w:val="22"/>
          <w:lang w:val="en-US"/>
        </w:rPr>
        <w:t xml:space="preserve"> </w:t>
      </w:r>
      <w:r w:rsidRPr="0088395B">
        <w:rPr>
          <w:iCs/>
          <w:sz w:val="22"/>
          <w:szCs w:val="22"/>
          <w:lang w:val="en-US"/>
        </w:rPr>
        <w:t xml:space="preserve">The data used </w:t>
      </w:r>
      <w:r>
        <w:rPr>
          <w:iCs/>
          <w:sz w:val="22"/>
          <w:szCs w:val="22"/>
          <w:lang w:val="en-US"/>
        </w:rPr>
        <w:t>have been</w:t>
      </w:r>
      <w:r w:rsidRPr="0088395B">
        <w:rPr>
          <w:iCs/>
          <w:sz w:val="22"/>
          <w:szCs w:val="22"/>
          <w:lang w:val="en-US"/>
        </w:rPr>
        <w:t xml:space="preserve"> obtained from a sample of 18 Dutch listed companies on the AEX-index. Financial companies are excluded and only the companies that had a risk paragraph in their annual reports are examined. To obtain a risk disclosure score for each company, a risk disclosure index </w:t>
      </w:r>
      <w:r>
        <w:rPr>
          <w:iCs/>
          <w:sz w:val="22"/>
          <w:szCs w:val="22"/>
          <w:lang w:val="en-US"/>
        </w:rPr>
        <w:t>identifying ten risk categories has been</w:t>
      </w:r>
      <w:r w:rsidRPr="0088395B">
        <w:rPr>
          <w:iCs/>
          <w:sz w:val="22"/>
          <w:szCs w:val="22"/>
          <w:lang w:val="en-US"/>
        </w:rPr>
        <w:t xml:space="preserve"> used</w:t>
      </w:r>
      <w:r>
        <w:rPr>
          <w:iCs/>
          <w:sz w:val="22"/>
          <w:szCs w:val="22"/>
          <w:lang w:val="en-US"/>
        </w:rPr>
        <w:t>.</w:t>
      </w:r>
      <w:r>
        <w:rPr>
          <w:iCs/>
          <w:color w:val="00B0F0"/>
          <w:sz w:val="22"/>
          <w:szCs w:val="22"/>
          <w:lang w:val="en-US"/>
        </w:rPr>
        <w:t xml:space="preserve"> </w:t>
      </w:r>
      <w:r w:rsidRPr="0088395B">
        <w:rPr>
          <w:iCs/>
          <w:sz w:val="22"/>
          <w:szCs w:val="22"/>
          <w:lang w:val="en-US"/>
        </w:rPr>
        <w:t xml:space="preserve">Because this research studies the impact of the financial crisis, there has been chosen for a research period from 2006-2009, where 2006-2007 covers the period before the financial crisis and 2008-2009 is the period during this crisis. This chapter ends </w:t>
      </w:r>
      <w:r w:rsidRPr="000C1CD0">
        <w:rPr>
          <w:iCs/>
          <w:sz w:val="22"/>
          <w:szCs w:val="22"/>
          <w:lang w:val="en-US"/>
        </w:rPr>
        <w:t>with four hypotheses, which are formulated in order to find an answer for the research question.</w:t>
      </w:r>
    </w:p>
    <w:p w:rsidR="00AE4097" w:rsidRPr="006A6A0F" w:rsidRDefault="00AE4097" w:rsidP="00A82089">
      <w:pPr>
        <w:pStyle w:val="000"/>
        <w:suppressAutoHyphens/>
        <w:spacing w:line="360" w:lineRule="auto"/>
        <w:ind w:firstLine="567"/>
        <w:jc w:val="both"/>
        <w:rPr>
          <w:sz w:val="22"/>
          <w:szCs w:val="22"/>
          <w:lang w:val="en-US"/>
        </w:rPr>
      </w:pPr>
      <w:r w:rsidRPr="000C1CD0">
        <w:rPr>
          <w:sz w:val="22"/>
          <w:szCs w:val="22"/>
          <w:lang w:val="en-US"/>
        </w:rPr>
        <w:t xml:space="preserve">After illustrating the research design, in chapter 5 the results of this research are analyzed. First, the risk disclosure scores are calculated. The results show that almost all companies have an increasing risk disclosure score during the research period, but due to the limitations of the risk disclosure index it is not possible to draw a clear conclusion. Further, the </w:t>
      </w:r>
      <w:proofErr w:type="gramStart"/>
      <w:r w:rsidRPr="000C1CD0">
        <w:rPr>
          <w:sz w:val="22"/>
          <w:szCs w:val="22"/>
          <w:lang w:val="en-US"/>
        </w:rPr>
        <w:t>amount of pages of some annual reports are</w:t>
      </w:r>
      <w:proofErr w:type="gramEnd"/>
      <w:r w:rsidRPr="000C1CD0">
        <w:rPr>
          <w:sz w:val="22"/>
          <w:szCs w:val="22"/>
          <w:lang w:val="en-US"/>
        </w:rPr>
        <w:t xml:space="preserve"> calculated and the number of sentences of the financial risk category are measured for all annual reports. Both the number of pages and the number of sentences of the financial risk category increase as result of the financial crisis. With these additional methods, the conclusion that the risk disclosure scores are increasing during the research period become</w:t>
      </w:r>
      <w:r>
        <w:rPr>
          <w:sz w:val="22"/>
          <w:szCs w:val="22"/>
          <w:lang w:val="en-US"/>
        </w:rPr>
        <w:t xml:space="preserve"> more valuable. </w:t>
      </w:r>
      <w:r w:rsidRPr="000C1CD0">
        <w:rPr>
          <w:sz w:val="22"/>
          <w:szCs w:val="22"/>
          <w:lang w:val="en-US"/>
        </w:rPr>
        <w:t>Finally, some other results of analyzing the risk paragraph are that almost all companies apply the fo</w:t>
      </w:r>
      <w:r>
        <w:rPr>
          <w:sz w:val="22"/>
          <w:szCs w:val="22"/>
          <w:lang w:val="en-US"/>
        </w:rPr>
        <w:t xml:space="preserve">rmat as specified by the Dutch </w:t>
      </w:r>
      <w:r w:rsidRPr="006A6A0F">
        <w:rPr>
          <w:sz w:val="22"/>
          <w:szCs w:val="22"/>
          <w:lang w:val="en-US"/>
        </w:rPr>
        <w:t>Corporate Governance Code and that in most of the annual reports of 2008 and 2009 attention is paid to the financial crisis.</w:t>
      </w:r>
    </w:p>
    <w:p w:rsidR="00466506" w:rsidRDefault="00AE4097" w:rsidP="00466506">
      <w:pPr>
        <w:pStyle w:val="000"/>
        <w:suppressAutoHyphens/>
        <w:spacing w:line="360" w:lineRule="auto"/>
        <w:ind w:firstLine="567"/>
        <w:jc w:val="both"/>
        <w:rPr>
          <w:sz w:val="22"/>
          <w:szCs w:val="22"/>
          <w:lang w:val="en-US"/>
        </w:rPr>
      </w:pPr>
      <w:r w:rsidRPr="006A6A0F">
        <w:rPr>
          <w:sz w:val="22"/>
          <w:szCs w:val="22"/>
          <w:lang w:val="en-US"/>
        </w:rPr>
        <w:t xml:space="preserve">  The most important result of this chapter is that the annual reports of 2008 and 2009 contain significantly more disclosed risk information than the annual reports of 2006 and 2007. This is in line with the statement of Suijs (2005) that the amount of news will increase when the financial position is threatened</w:t>
      </w:r>
      <w:r w:rsidR="006A6A0F" w:rsidRPr="006A6A0F">
        <w:rPr>
          <w:sz w:val="22"/>
          <w:szCs w:val="22"/>
          <w:lang w:val="en-US"/>
        </w:rPr>
        <w:t xml:space="preserve">. </w:t>
      </w:r>
      <w:r w:rsidRPr="006A6A0F">
        <w:rPr>
          <w:sz w:val="22"/>
          <w:szCs w:val="22"/>
          <w:lang w:val="en-US"/>
        </w:rPr>
        <w:t>So the increasing risk disclosures can be explained with the financial</w:t>
      </w:r>
      <w:r w:rsidR="006A6A0F" w:rsidRPr="006A6A0F">
        <w:rPr>
          <w:sz w:val="22"/>
          <w:szCs w:val="22"/>
          <w:lang w:val="en-US"/>
        </w:rPr>
        <w:t xml:space="preserve"> crisis, but other factors may have</w:t>
      </w:r>
      <w:r w:rsidRPr="006A6A0F">
        <w:rPr>
          <w:sz w:val="22"/>
          <w:szCs w:val="22"/>
          <w:lang w:val="en-US"/>
        </w:rPr>
        <w:t xml:space="preserve"> influence</w:t>
      </w:r>
      <w:r w:rsidR="006A6A0F" w:rsidRPr="006A6A0F">
        <w:rPr>
          <w:sz w:val="22"/>
          <w:szCs w:val="22"/>
          <w:lang w:val="en-US"/>
        </w:rPr>
        <w:t>d</w:t>
      </w:r>
      <w:r w:rsidRPr="006A6A0F">
        <w:rPr>
          <w:sz w:val="22"/>
          <w:szCs w:val="22"/>
          <w:lang w:val="en-US"/>
        </w:rPr>
        <w:t xml:space="preserve"> the quantity </w:t>
      </w:r>
      <w:proofErr w:type="gramStart"/>
      <w:r w:rsidRPr="006A6A0F">
        <w:rPr>
          <w:sz w:val="22"/>
          <w:szCs w:val="22"/>
          <w:lang w:val="en-US"/>
        </w:rPr>
        <w:t>of  risk</w:t>
      </w:r>
      <w:proofErr w:type="gramEnd"/>
      <w:r w:rsidRPr="006A6A0F">
        <w:rPr>
          <w:sz w:val="22"/>
          <w:szCs w:val="22"/>
          <w:lang w:val="en-US"/>
        </w:rPr>
        <w:t xml:space="preserve"> disclosures as well. To test</w:t>
      </w:r>
      <w:r w:rsidRPr="006C4BF1">
        <w:rPr>
          <w:sz w:val="22"/>
          <w:szCs w:val="22"/>
          <w:lang w:val="en-US"/>
        </w:rPr>
        <w:t xml:space="preserve"> this, three</w:t>
      </w:r>
      <w:r w:rsidRPr="000C1CD0">
        <w:rPr>
          <w:sz w:val="22"/>
          <w:szCs w:val="22"/>
          <w:lang w:val="en-US"/>
        </w:rPr>
        <w:t xml:space="preserve"> control variables are prepared. The first control variable, company profitability, did not have a sign</w:t>
      </w:r>
      <w:r>
        <w:rPr>
          <w:sz w:val="22"/>
          <w:szCs w:val="22"/>
          <w:lang w:val="en-US"/>
        </w:rPr>
        <w:t>ificant influence on the quantity</w:t>
      </w:r>
      <w:r w:rsidRPr="000C1CD0">
        <w:rPr>
          <w:sz w:val="22"/>
          <w:szCs w:val="22"/>
          <w:lang w:val="en-US"/>
        </w:rPr>
        <w:t xml:space="preserve"> of risk disclosures. This is in line with Linsley and Shrives (2006b) and Deumes (2008). Maybe there are other factors that are influencing this relationship or may be that a different measure for this variable would lead to a different outcome. </w:t>
      </w:r>
    </w:p>
    <w:p w:rsidR="00AE4097" w:rsidRPr="009370BD" w:rsidRDefault="00AE4097" w:rsidP="00466506">
      <w:pPr>
        <w:pStyle w:val="000"/>
        <w:suppressAutoHyphens/>
        <w:spacing w:line="360" w:lineRule="auto"/>
        <w:jc w:val="both"/>
        <w:rPr>
          <w:sz w:val="22"/>
          <w:szCs w:val="22"/>
          <w:lang w:val="en-US"/>
        </w:rPr>
      </w:pPr>
      <w:r w:rsidRPr="000C1CD0">
        <w:rPr>
          <w:sz w:val="22"/>
          <w:szCs w:val="22"/>
          <w:lang w:val="en-US"/>
        </w:rPr>
        <w:lastRenderedPageBreak/>
        <w:t xml:space="preserve">The second variable, level of risk, also did not have a significant relation with risk disclosures. This confirms the result of Linsley and Shrives (2006a+b), Abraham and Cox (2007) and Amran et al. (2009). That there is no correlation could be attributed to the wish of companies to keep their risk information private, which can be related to the issue of proprietary cost. Because it is difficult to measure the level of risk, it is interesting to study this variable in future research. The last hypothesis concerned the nominal variable type of industry. The expected non-significant relation is confirmed. Because the small sample size of this research, it is interesting as well to </w:t>
      </w:r>
      <w:r w:rsidRPr="009370BD">
        <w:rPr>
          <w:sz w:val="22"/>
          <w:szCs w:val="22"/>
          <w:lang w:val="en-US"/>
        </w:rPr>
        <w:t>further investigated this in future research.</w:t>
      </w:r>
    </w:p>
    <w:p w:rsidR="00AE4097" w:rsidRPr="006C4BF1" w:rsidRDefault="00AE4097" w:rsidP="00A82089">
      <w:pPr>
        <w:pStyle w:val="000"/>
        <w:suppressAutoHyphens/>
        <w:spacing w:line="360" w:lineRule="auto"/>
        <w:ind w:firstLine="567"/>
        <w:jc w:val="both"/>
        <w:rPr>
          <w:b/>
          <w:sz w:val="22"/>
          <w:szCs w:val="22"/>
          <w:lang w:val="en-US"/>
        </w:rPr>
      </w:pPr>
      <w:r w:rsidRPr="006C4BF1">
        <w:rPr>
          <w:sz w:val="22"/>
          <w:szCs w:val="22"/>
          <w:lang w:val="en-US"/>
        </w:rPr>
        <w:t xml:space="preserve">The answer of the main research question is that the quantity of risk reporting in the annual reports of Dutch listed companies is increased during the financial crisis. This can be explained with the positive accounting theory and the agency cost theory. Managers are voluntary disclosing more risk information, bearing in mind the increasing demand from stakeholders for more transparency. The theory predicts a demand for monitor the way in which the management discloses risk information. Although disclosing all risk information is not required according to IFRS and the </w:t>
      </w:r>
      <w:r>
        <w:rPr>
          <w:sz w:val="22"/>
          <w:szCs w:val="22"/>
          <w:lang w:val="en-US"/>
        </w:rPr>
        <w:t>Dutch Corporate Governance Code</w:t>
      </w:r>
      <w:r w:rsidRPr="006C4BF1">
        <w:rPr>
          <w:sz w:val="22"/>
          <w:szCs w:val="22"/>
          <w:lang w:val="en-US"/>
        </w:rPr>
        <w:t xml:space="preserve">, regulation concerning risk reporting became more and more important. When there is no monitor system for controlling companies, it is expected that they do not want to report the relevant risks. </w:t>
      </w:r>
    </w:p>
    <w:p w:rsidR="00AE4097" w:rsidRPr="006C4BF1" w:rsidRDefault="00AE4097" w:rsidP="00A82089">
      <w:pPr>
        <w:pStyle w:val="000"/>
        <w:suppressAutoHyphens/>
        <w:spacing w:line="360" w:lineRule="auto"/>
        <w:ind w:firstLine="567"/>
        <w:jc w:val="both"/>
        <w:rPr>
          <w:sz w:val="22"/>
          <w:szCs w:val="22"/>
          <w:lang w:val="en-US"/>
        </w:rPr>
      </w:pPr>
      <w:r w:rsidRPr="006C4BF1">
        <w:rPr>
          <w:sz w:val="22"/>
          <w:szCs w:val="22"/>
          <w:lang w:val="en-US"/>
        </w:rPr>
        <w:t>However, other factors, which are not discussed here, may have influenced the increasing quantity. This limitations is incorporated in the next paragraph, were other limitations of this research are described as well.</w:t>
      </w:r>
    </w:p>
    <w:p w:rsidR="00AE4097" w:rsidRPr="00204326" w:rsidRDefault="00AE4097" w:rsidP="00A82089">
      <w:pPr>
        <w:pStyle w:val="000"/>
        <w:suppressAutoHyphens/>
        <w:spacing w:line="360" w:lineRule="auto"/>
        <w:jc w:val="both"/>
        <w:rPr>
          <w:sz w:val="22"/>
          <w:szCs w:val="22"/>
          <w:lang w:val="en-US"/>
        </w:rPr>
      </w:pPr>
    </w:p>
    <w:p w:rsidR="00AE4097" w:rsidRPr="00204326" w:rsidRDefault="00AE4097" w:rsidP="00A82089">
      <w:pPr>
        <w:pStyle w:val="Heading2"/>
        <w:numPr>
          <w:ilvl w:val="1"/>
          <w:numId w:val="2"/>
        </w:numPr>
        <w:suppressAutoHyphens/>
        <w:spacing w:before="0" w:after="0" w:line="360" w:lineRule="auto"/>
        <w:jc w:val="both"/>
        <w:rPr>
          <w:i w:val="0"/>
          <w:sz w:val="22"/>
          <w:szCs w:val="22"/>
          <w:lang w:val="en-US"/>
        </w:rPr>
      </w:pPr>
      <w:bookmarkStart w:id="190" w:name="_Toc288459391"/>
      <w:bookmarkStart w:id="191" w:name="_Toc288725931"/>
      <w:r w:rsidRPr="00204326">
        <w:rPr>
          <w:i w:val="0"/>
          <w:sz w:val="22"/>
          <w:szCs w:val="22"/>
          <w:lang w:val="en-US"/>
        </w:rPr>
        <w:t>Limitations</w:t>
      </w:r>
      <w:bookmarkEnd w:id="190"/>
      <w:bookmarkEnd w:id="191"/>
    </w:p>
    <w:p w:rsidR="00AE4097" w:rsidRPr="00204326" w:rsidRDefault="00AE4097" w:rsidP="00A82089">
      <w:pPr>
        <w:pStyle w:val="BodyTextIndent3"/>
        <w:suppressAutoHyphens/>
        <w:rPr>
          <w:color w:val="auto"/>
        </w:rPr>
      </w:pPr>
      <w:r w:rsidRPr="00204326">
        <w:rPr>
          <w:color w:val="auto"/>
        </w:rPr>
        <w:t>Just like other researches, this study has some limitations, which could influence the results as well. When drawing conclusions regarding risk disclosures of Dutch listed companies, the small sample size has to be taken into account. Adding more companies to the sample will give more reliable results. The same applies when including financial companies. Because there has been limited prior empirical research about risk disclosures, this research has a contributing value despite the small sample size.</w:t>
      </w:r>
    </w:p>
    <w:p w:rsidR="00466506" w:rsidRDefault="00AE4097" w:rsidP="00A82089">
      <w:pPr>
        <w:suppressAutoHyphens/>
        <w:spacing w:line="360" w:lineRule="auto"/>
        <w:jc w:val="both"/>
        <w:rPr>
          <w:sz w:val="22"/>
          <w:szCs w:val="22"/>
          <w:lang w:val="en-US"/>
        </w:rPr>
      </w:pPr>
      <w:r w:rsidRPr="00204326">
        <w:rPr>
          <w:sz w:val="22"/>
          <w:szCs w:val="22"/>
          <w:lang w:val="en-US"/>
        </w:rPr>
        <w:tab/>
        <w:t>The most important limitation concerns the research method. In this paper a risk disclosure index is calculated in combination with counting the number of pages and the number of sentences for the financial risk category. For a combination of analyses was chosen because only one dimension of risk disclosures is taken into account when measuring sentences or words (content analysis).</w:t>
      </w:r>
      <w:r>
        <w:rPr>
          <w:sz w:val="22"/>
          <w:szCs w:val="22"/>
          <w:lang w:val="en-US"/>
        </w:rPr>
        <w:t xml:space="preserve"> </w:t>
      </w:r>
      <w:r w:rsidRPr="00204326">
        <w:rPr>
          <w:sz w:val="22"/>
          <w:szCs w:val="22"/>
          <w:lang w:val="en-US"/>
        </w:rPr>
        <w:t>For the risk disclosure index</w:t>
      </w:r>
      <w:r>
        <w:rPr>
          <w:sz w:val="22"/>
          <w:szCs w:val="22"/>
          <w:lang w:val="en-US"/>
        </w:rPr>
        <w:t xml:space="preserve"> a classification of the </w:t>
      </w:r>
      <w:r w:rsidRPr="00204326">
        <w:rPr>
          <w:sz w:val="22"/>
          <w:szCs w:val="22"/>
          <w:lang w:val="en-US"/>
        </w:rPr>
        <w:t xml:space="preserve">different types of risk is prepared. No mandatory risk categorization scheme is included in IFRS and the </w:t>
      </w:r>
      <w:r>
        <w:rPr>
          <w:sz w:val="22"/>
          <w:szCs w:val="22"/>
          <w:lang w:val="en-US"/>
        </w:rPr>
        <w:t>Dutch Corporate Governance Code</w:t>
      </w:r>
      <w:r w:rsidRPr="00204326">
        <w:rPr>
          <w:sz w:val="22"/>
          <w:szCs w:val="22"/>
          <w:lang w:val="en-US"/>
        </w:rPr>
        <w:t xml:space="preserve">. However, a different categorization scheme can lead to other risk disclosure scores as more or less categories are identified and some risk categories are more important for companies in a certain industry than other risk categories. </w:t>
      </w:r>
    </w:p>
    <w:p w:rsidR="00AE4097" w:rsidRPr="006C4BF1" w:rsidRDefault="00AE4097" w:rsidP="00A82089">
      <w:pPr>
        <w:suppressAutoHyphens/>
        <w:spacing w:line="360" w:lineRule="auto"/>
        <w:jc w:val="both"/>
        <w:rPr>
          <w:sz w:val="22"/>
          <w:szCs w:val="22"/>
          <w:lang w:val="en-US"/>
        </w:rPr>
      </w:pPr>
      <w:r w:rsidRPr="00204326">
        <w:rPr>
          <w:sz w:val="22"/>
          <w:szCs w:val="22"/>
          <w:lang w:val="en-US"/>
        </w:rPr>
        <w:lastRenderedPageBreak/>
        <w:t xml:space="preserve">To deal with this kind of limitation it is interesting to add weight to the different risk categories when calculating the risk disclosure scores. </w:t>
      </w:r>
      <w:r w:rsidRPr="006C4BF1">
        <w:rPr>
          <w:sz w:val="22"/>
          <w:szCs w:val="22"/>
          <w:lang w:val="en-US"/>
        </w:rPr>
        <w:t>Classifying different risk types and calculating the corresponding risk disclosure scores is a subjective</w:t>
      </w:r>
      <w:r w:rsidRPr="00204326">
        <w:rPr>
          <w:sz w:val="22"/>
          <w:szCs w:val="22"/>
          <w:lang w:val="en-US"/>
        </w:rPr>
        <w:t xml:space="preserve"> process, which cannot completely be eliminated, despite the fact that this research developed some decision rules and that the risk </w:t>
      </w:r>
      <w:r w:rsidRPr="006C4BF1">
        <w:rPr>
          <w:sz w:val="22"/>
          <w:szCs w:val="22"/>
          <w:lang w:val="en-US"/>
        </w:rPr>
        <w:t>disclosure index was carried out by two different persons. Still the research method in this research is effective in making important contributions to the existing literature.</w:t>
      </w:r>
    </w:p>
    <w:p w:rsidR="00AE4097" w:rsidRPr="006C4BF1" w:rsidRDefault="00AE4097" w:rsidP="00A82089">
      <w:pPr>
        <w:suppressAutoHyphens/>
        <w:spacing w:line="360" w:lineRule="auto"/>
        <w:jc w:val="both"/>
        <w:rPr>
          <w:sz w:val="22"/>
          <w:szCs w:val="22"/>
          <w:lang w:val="en-US"/>
        </w:rPr>
      </w:pPr>
      <w:r w:rsidRPr="006C4BF1">
        <w:rPr>
          <w:sz w:val="22"/>
          <w:szCs w:val="22"/>
          <w:lang w:val="en-US"/>
        </w:rPr>
        <w:tab/>
        <w:t xml:space="preserve">Next, IFRS 7 is introduced in 2007. Although this paper is doing research for the period between 2006 and 2009, the increasing risk disclosures are not explained with the introduction of IFRS 7. </w:t>
      </w:r>
      <w:proofErr w:type="gramStart"/>
      <w:r w:rsidRPr="006C4BF1">
        <w:rPr>
          <w:sz w:val="22"/>
          <w:szCs w:val="22"/>
          <w:lang w:val="en-US"/>
        </w:rPr>
        <w:t>It  is</w:t>
      </w:r>
      <w:proofErr w:type="gramEnd"/>
      <w:r w:rsidRPr="006C4BF1">
        <w:rPr>
          <w:sz w:val="22"/>
          <w:szCs w:val="22"/>
          <w:lang w:val="en-US"/>
        </w:rPr>
        <w:t xml:space="preserve"> recommended to early adopt IFRS 7 in annual reports and there is les</w:t>
      </w:r>
      <w:r>
        <w:rPr>
          <w:sz w:val="22"/>
          <w:szCs w:val="22"/>
          <w:lang w:val="en-US"/>
        </w:rPr>
        <w:t xml:space="preserve">s regulation in IFRS regarding </w:t>
      </w:r>
      <w:r w:rsidRPr="006C4BF1">
        <w:rPr>
          <w:sz w:val="22"/>
          <w:szCs w:val="22"/>
          <w:lang w:val="en-US"/>
        </w:rPr>
        <w:t>non-financial companies in comparison with financial companies. Because no big differences are found between the annual reports of 2006 and 2007 the introduction of IFRS 7 is not incorporated in this research.</w:t>
      </w:r>
    </w:p>
    <w:p w:rsidR="00AE4097" w:rsidRPr="0083543D" w:rsidRDefault="00AE4097" w:rsidP="00A82089">
      <w:pPr>
        <w:suppressAutoHyphens/>
        <w:spacing w:line="360" w:lineRule="auto"/>
        <w:ind w:firstLine="567"/>
        <w:jc w:val="both"/>
        <w:rPr>
          <w:sz w:val="22"/>
          <w:szCs w:val="22"/>
          <w:lang w:val="en-US"/>
        </w:rPr>
      </w:pPr>
      <w:r w:rsidRPr="00204326">
        <w:rPr>
          <w:sz w:val="22"/>
          <w:szCs w:val="22"/>
          <w:lang w:val="en-US"/>
        </w:rPr>
        <w:t>This research used only three control variables (company profitability, level of risk, and type of industry), which is not enough. Adding more variables could lead to a better expl</w:t>
      </w:r>
      <w:r w:rsidRPr="0083543D">
        <w:rPr>
          <w:sz w:val="22"/>
          <w:szCs w:val="22"/>
          <w:lang w:val="en-US"/>
        </w:rPr>
        <w:t xml:space="preserve">anation of the scores. In the literature review some other variables are discussed, but in practice there could be much more factors that influence risk disclosures. Another explanation that adding more variables is </w:t>
      </w:r>
      <w:proofErr w:type="gramStart"/>
      <w:r w:rsidRPr="0083543D">
        <w:rPr>
          <w:sz w:val="22"/>
          <w:szCs w:val="22"/>
          <w:lang w:val="en-US"/>
        </w:rPr>
        <w:t>useful,</w:t>
      </w:r>
      <w:proofErr w:type="gramEnd"/>
      <w:r w:rsidRPr="0083543D">
        <w:rPr>
          <w:sz w:val="22"/>
          <w:szCs w:val="22"/>
          <w:lang w:val="en-US"/>
        </w:rPr>
        <w:t xml:space="preserve"> is that it is not known if the increasing scores can exclusively be contributed to the financial crisis. Maybe there are more variables that influence the increasing scores.</w:t>
      </w:r>
    </w:p>
    <w:p w:rsidR="00AE4097" w:rsidRPr="00525509" w:rsidRDefault="00AE4097" w:rsidP="00A82089">
      <w:pPr>
        <w:suppressAutoHyphens/>
        <w:spacing w:line="360" w:lineRule="auto"/>
        <w:ind w:firstLine="567"/>
        <w:jc w:val="both"/>
        <w:rPr>
          <w:sz w:val="22"/>
          <w:szCs w:val="22"/>
          <w:lang w:val="en-US"/>
        </w:rPr>
      </w:pPr>
      <w:r w:rsidRPr="0083543D">
        <w:rPr>
          <w:sz w:val="22"/>
          <w:szCs w:val="22"/>
          <w:lang w:val="en-US"/>
        </w:rPr>
        <w:t>Another limitation of this research is that it is focused only on what type of risk disclosures the annual reports contain, not on why the risk information is disclosed, because a sentence-based approach just measures the quantity, not the quality of risk disclosures. In fact, the quality of risk disclosures is an important element in the case of risk reporting as well. However, it is too time-</w:t>
      </w:r>
      <w:r w:rsidRPr="00525509">
        <w:rPr>
          <w:sz w:val="22"/>
          <w:szCs w:val="22"/>
          <w:lang w:val="en-US"/>
        </w:rPr>
        <w:t xml:space="preserve">consuming to discuss this element in this research. </w:t>
      </w:r>
    </w:p>
    <w:p w:rsidR="00AE4097" w:rsidRPr="00525509" w:rsidRDefault="00AE4097" w:rsidP="00A82089">
      <w:pPr>
        <w:suppressAutoHyphens/>
        <w:spacing w:line="360" w:lineRule="auto"/>
        <w:ind w:firstLine="567"/>
        <w:jc w:val="both"/>
        <w:rPr>
          <w:sz w:val="22"/>
          <w:szCs w:val="22"/>
          <w:lang w:val="en-US"/>
        </w:rPr>
      </w:pPr>
      <w:r w:rsidRPr="00525509">
        <w:rPr>
          <w:sz w:val="22"/>
          <w:szCs w:val="22"/>
          <w:lang w:val="en-US"/>
        </w:rPr>
        <w:t>Due to the limited time, this paper does not reflect the stakeholders demand and did not examine differences between countries. That the stakeholder demand is not taken into account means that there are no discussions with different professionals, for example risk managers, auditors or analysts. Another reason why this is not included in this research is the question if interviewing a few professionals is representative for the whole group of users of the annual report.</w:t>
      </w:r>
    </w:p>
    <w:p w:rsidR="00AE4097" w:rsidRPr="00525509" w:rsidRDefault="00AE4097" w:rsidP="00A82089">
      <w:pPr>
        <w:suppressAutoHyphens/>
        <w:spacing w:line="360" w:lineRule="auto"/>
        <w:ind w:firstLine="567"/>
        <w:jc w:val="both"/>
        <w:rPr>
          <w:sz w:val="22"/>
          <w:szCs w:val="22"/>
          <w:lang w:val="en-US"/>
        </w:rPr>
      </w:pPr>
      <w:r w:rsidRPr="00525509">
        <w:rPr>
          <w:sz w:val="22"/>
          <w:szCs w:val="22"/>
          <w:lang w:val="en-US"/>
        </w:rPr>
        <w:t xml:space="preserve">Finally, there is much difficulty in measuring risks. An important question is if it is more beneficial to require risk disclosures for all types of risk by accounting standards. As discussed in chapter two of this paper, IFRS requires companies to disclose only the financial risks in their annual reports. All other risk information is voluntary. The </w:t>
      </w:r>
      <w:r>
        <w:rPr>
          <w:sz w:val="22"/>
          <w:szCs w:val="22"/>
          <w:lang w:val="en-US"/>
        </w:rPr>
        <w:t>Dutch Corporate Governance Code</w:t>
      </w:r>
      <w:r w:rsidRPr="00525509">
        <w:rPr>
          <w:sz w:val="22"/>
          <w:szCs w:val="22"/>
          <w:lang w:val="en-US"/>
        </w:rPr>
        <w:t xml:space="preserve"> does not require any of the risk </w:t>
      </w:r>
      <w:proofErr w:type="gramStart"/>
      <w:r w:rsidRPr="00525509">
        <w:rPr>
          <w:sz w:val="22"/>
          <w:szCs w:val="22"/>
          <w:lang w:val="en-US"/>
        </w:rPr>
        <w:t>categories,</w:t>
      </w:r>
      <w:proofErr w:type="gramEnd"/>
      <w:r w:rsidRPr="00525509">
        <w:rPr>
          <w:sz w:val="22"/>
          <w:szCs w:val="22"/>
          <w:lang w:val="en-US"/>
        </w:rPr>
        <w:t xml:space="preserve"> however, they recommend companies to incorporate financial risks in their risk paragraph. However, even if it would become mandatory to incorporate risk information in annual reports, evidence suggests that it is not sufficient to fill the gap between stakeholders and the company (Lajili and Zéghal, 2005; and Linsley 2006a). </w:t>
      </w:r>
    </w:p>
    <w:p w:rsidR="00AE4097" w:rsidRDefault="00AE4097" w:rsidP="00A82089">
      <w:pPr>
        <w:spacing w:line="360" w:lineRule="auto"/>
        <w:jc w:val="both"/>
        <w:rPr>
          <w:b/>
          <w:sz w:val="22"/>
          <w:szCs w:val="22"/>
          <w:lang w:val="en-US"/>
        </w:rPr>
      </w:pPr>
      <w:bookmarkStart w:id="192" w:name="_Toc288459392"/>
    </w:p>
    <w:p w:rsidR="00AE4097" w:rsidRPr="00891FCE" w:rsidRDefault="00AE4097" w:rsidP="00A82089">
      <w:pPr>
        <w:pStyle w:val="Heading2"/>
        <w:numPr>
          <w:ilvl w:val="1"/>
          <w:numId w:val="2"/>
        </w:numPr>
        <w:suppressAutoHyphens/>
        <w:spacing w:before="0" w:after="0" w:line="360" w:lineRule="auto"/>
        <w:jc w:val="both"/>
        <w:rPr>
          <w:i w:val="0"/>
          <w:sz w:val="22"/>
          <w:szCs w:val="22"/>
          <w:lang w:val="en-US"/>
        </w:rPr>
      </w:pPr>
      <w:bookmarkStart w:id="193" w:name="_Toc288725932"/>
      <w:r w:rsidRPr="00891FCE">
        <w:rPr>
          <w:i w:val="0"/>
          <w:sz w:val="22"/>
          <w:szCs w:val="22"/>
          <w:lang w:val="en-US"/>
        </w:rPr>
        <w:lastRenderedPageBreak/>
        <w:t>Future research</w:t>
      </w:r>
      <w:bookmarkEnd w:id="192"/>
      <w:bookmarkEnd w:id="193"/>
    </w:p>
    <w:p w:rsidR="00AE4097" w:rsidRPr="00525509" w:rsidRDefault="00AE4097" w:rsidP="00A82089">
      <w:pPr>
        <w:pStyle w:val="BodyTextIndent3"/>
        <w:suppressAutoHyphens/>
        <w:autoSpaceDE w:val="0"/>
        <w:autoSpaceDN w:val="0"/>
        <w:adjustRightInd w:val="0"/>
        <w:rPr>
          <w:color w:val="auto"/>
        </w:rPr>
      </w:pPr>
      <w:r w:rsidRPr="00891FCE">
        <w:rPr>
          <w:color w:val="auto"/>
        </w:rPr>
        <w:t xml:space="preserve">There is considerable scope for future research on the topic of risk reporting. First of all, it is useful to examine the quality of the risk paragraph in the annual reports as well. However, </w:t>
      </w:r>
      <w:r w:rsidR="00791D97">
        <w:rPr>
          <w:color w:val="auto"/>
        </w:rPr>
        <w:t xml:space="preserve">measuring quality is difficult, because there is </w:t>
      </w:r>
      <w:r w:rsidRPr="00891FCE">
        <w:rPr>
          <w:color w:val="auto"/>
        </w:rPr>
        <w:t xml:space="preserve">no </w:t>
      </w:r>
      <w:r w:rsidRPr="00525509">
        <w:rPr>
          <w:color w:val="auto"/>
        </w:rPr>
        <w:t xml:space="preserve">clear definition </w:t>
      </w:r>
      <w:r w:rsidR="00791D97">
        <w:rPr>
          <w:color w:val="auto"/>
        </w:rPr>
        <w:t>for</w:t>
      </w:r>
      <w:r w:rsidRPr="00D9318D">
        <w:rPr>
          <w:color w:val="auto"/>
        </w:rPr>
        <w:t xml:space="preserve"> ‘</w:t>
      </w:r>
      <w:r w:rsidR="00D9318D">
        <w:rPr>
          <w:color w:val="auto"/>
        </w:rPr>
        <w:t>quality’</w:t>
      </w:r>
      <w:r w:rsidR="006A6A0F">
        <w:rPr>
          <w:color w:val="auto"/>
        </w:rPr>
        <w:t xml:space="preserve">. </w:t>
      </w:r>
      <w:r w:rsidRPr="00D9318D">
        <w:rPr>
          <w:color w:val="auto"/>
        </w:rPr>
        <w:t>Before quality</w:t>
      </w:r>
      <w:r w:rsidRPr="00525509">
        <w:rPr>
          <w:color w:val="auto"/>
        </w:rPr>
        <w:t xml:space="preserve"> can be measured, more research has to be done.</w:t>
      </w:r>
    </w:p>
    <w:p w:rsidR="00AE4097" w:rsidRPr="00321287" w:rsidRDefault="00AE4097" w:rsidP="00A82089">
      <w:pPr>
        <w:pStyle w:val="BodyTextIndent3"/>
        <w:suppressAutoHyphens/>
        <w:autoSpaceDE w:val="0"/>
        <w:autoSpaceDN w:val="0"/>
        <w:adjustRightInd w:val="0"/>
        <w:rPr>
          <w:color w:val="auto"/>
        </w:rPr>
      </w:pPr>
      <w:r w:rsidRPr="00525509">
        <w:rPr>
          <w:color w:val="auto"/>
        </w:rPr>
        <w:t xml:space="preserve">The risk classification as used in this </w:t>
      </w:r>
      <w:proofErr w:type="gramStart"/>
      <w:r w:rsidRPr="00525509">
        <w:rPr>
          <w:color w:val="auto"/>
        </w:rPr>
        <w:t>research,</w:t>
      </w:r>
      <w:proofErr w:type="gramEnd"/>
      <w:r w:rsidRPr="00525509">
        <w:rPr>
          <w:color w:val="auto"/>
        </w:rPr>
        <w:t xml:space="preserve"> is used by a lot of other researchers as well.</w:t>
      </w:r>
      <w:r w:rsidRPr="00321287">
        <w:rPr>
          <w:color w:val="auto"/>
        </w:rPr>
        <w:t xml:space="preserve"> However, developing a local risk measurement checklist will help researchers to better reflect on the findings in the local context.</w:t>
      </w:r>
      <w:r w:rsidRPr="0040317C">
        <w:t xml:space="preserve"> </w:t>
      </w:r>
    </w:p>
    <w:p w:rsidR="00AE4097" w:rsidRPr="00525509" w:rsidRDefault="00AE4097" w:rsidP="00A82089">
      <w:pPr>
        <w:suppressAutoHyphens/>
        <w:autoSpaceDE w:val="0"/>
        <w:autoSpaceDN w:val="0"/>
        <w:adjustRightInd w:val="0"/>
        <w:spacing w:line="360" w:lineRule="auto"/>
        <w:ind w:firstLine="567"/>
        <w:jc w:val="both"/>
        <w:rPr>
          <w:sz w:val="22"/>
          <w:szCs w:val="22"/>
          <w:lang w:val="en-US"/>
        </w:rPr>
      </w:pPr>
      <w:r w:rsidRPr="00525509">
        <w:rPr>
          <w:sz w:val="22"/>
          <w:szCs w:val="22"/>
          <w:lang w:val="en-US"/>
        </w:rPr>
        <w:t xml:space="preserve">An important study for future research is a behavioral study, which focuses on the demand side of information. Risk information is of importance for stakeholders and investors. This study can be done to examine whether increased risk disclosures lead to better decisions and judgments by users of annual reports. This will reduce the gap in literature identified by </w:t>
      </w:r>
      <w:proofErr w:type="spellStart"/>
      <w:r w:rsidRPr="00525509">
        <w:rPr>
          <w:sz w:val="22"/>
          <w:szCs w:val="22"/>
          <w:lang w:val="en-US"/>
        </w:rPr>
        <w:t>Shrand</w:t>
      </w:r>
      <w:proofErr w:type="spellEnd"/>
      <w:r w:rsidRPr="00525509">
        <w:rPr>
          <w:sz w:val="22"/>
          <w:szCs w:val="22"/>
          <w:lang w:val="en-US"/>
        </w:rPr>
        <w:t xml:space="preserve"> and Elliot (1998) and Solomon et al. (2000). Although it is not possible to close the whole gap between companies and their stakeholders, future research is necessary.</w:t>
      </w:r>
    </w:p>
    <w:p w:rsidR="00AE4097" w:rsidRPr="000D3227" w:rsidRDefault="00AE4097" w:rsidP="00A82089">
      <w:pPr>
        <w:suppressAutoHyphens/>
        <w:autoSpaceDE w:val="0"/>
        <w:autoSpaceDN w:val="0"/>
        <w:adjustRightInd w:val="0"/>
        <w:spacing w:line="360" w:lineRule="auto"/>
        <w:ind w:firstLine="567"/>
        <w:jc w:val="both"/>
        <w:rPr>
          <w:sz w:val="22"/>
          <w:szCs w:val="22"/>
          <w:lang w:val="en-US"/>
        </w:rPr>
      </w:pPr>
      <w:r w:rsidRPr="0040317C">
        <w:rPr>
          <w:sz w:val="22"/>
          <w:szCs w:val="22"/>
          <w:lang w:val="en-US"/>
        </w:rPr>
        <w:t xml:space="preserve">This research examines the influence of the financial crisis, but due to the fact that the financial crisis had not come to an end yet when writing this paper, the only possibility to study the influence of the financial crisis was to compare risk paragraphs before and during the financial crisis. For a </w:t>
      </w:r>
      <w:r w:rsidRPr="000D3227">
        <w:rPr>
          <w:sz w:val="22"/>
          <w:szCs w:val="22"/>
          <w:lang w:val="en-US"/>
        </w:rPr>
        <w:t xml:space="preserve">complete investigation future research to the risk paragraph during and after the crisis is necessary. Then the differences before, during, and after the financial crisis can be compared. Further, it is not known if the increasing scores can exclusively be contributed to the financial crisis. It is possible that more variables had influence on the risk disclosures. Another important element for future research is to further investigate the different variables that may be involved, and to take into account cross-country and industry-specific risk disclosure studies. These studies are helpful in understanding the managers’ motives to disclose risk information. </w:t>
      </w:r>
    </w:p>
    <w:p w:rsidR="00AE4097" w:rsidRPr="000D3227" w:rsidRDefault="00AE4097" w:rsidP="00A82089">
      <w:pPr>
        <w:suppressAutoHyphens/>
        <w:autoSpaceDE w:val="0"/>
        <w:autoSpaceDN w:val="0"/>
        <w:adjustRightInd w:val="0"/>
        <w:spacing w:line="360" w:lineRule="auto"/>
        <w:ind w:firstLine="567"/>
        <w:jc w:val="both"/>
        <w:rPr>
          <w:sz w:val="22"/>
          <w:szCs w:val="22"/>
          <w:lang w:val="en-US"/>
        </w:rPr>
      </w:pPr>
      <w:r w:rsidRPr="000D3227">
        <w:rPr>
          <w:sz w:val="22"/>
          <w:szCs w:val="22"/>
          <w:lang w:val="en-US"/>
        </w:rPr>
        <w:t xml:space="preserve">Because this study examines the influence of the financial crisis on the risk paragraph of Dutch listed companies, it does not say anything about the capital market and the cost of capital. To measure if the capital market becomes more efficient and the cost of capital declines due to increased risk disclosures is an appropriate study for future research. But when examining annual reports, the question arises if the annual report is the most appropriate place for reporting risk information? Annual reports focus on past information and are published only once a </w:t>
      </w:r>
      <w:proofErr w:type="gramStart"/>
      <w:r w:rsidRPr="000D3227">
        <w:rPr>
          <w:sz w:val="22"/>
          <w:szCs w:val="22"/>
          <w:lang w:val="en-US"/>
        </w:rPr>
        <w:t>year  (</w:t>
      </w:r>
      <w:proofErr w:type="gramEnd"/>
      <w:r w:rsidRPr="000D3227">
        <w:rPr>
          <w:sz w:val="22"/>
          <w:szCs w:val="22"/>
          <w:lang w:val="en-US"/>
        </w:rPr>
        <w:t>Linsley and Shrives, 2006b). Because risk alters over time, it might be better to publish the risk information somewhere else. However</w:t>
      </w:r>
      <w:r w:rsidRPr="000D3227">
        <w:rPr>
          <w:b/>
          <w:sz w:val="22"/>
          <w:szCs w:val="22"/>
          <w:lang w:val="en-US"/>
        </w:rPr>
        <w:t>,</w:t>
      </w:r>
      <w:r w:rsidRPr="000D3227">
        <w:rPr>
          <w:sz w:val="22"/>
          <w:szCs w:val="22"/>
          <w:lang w:val="en-US"/>
        </w:rPr>
        <w:t xml:space="preserve"> it always remains possible that users of annual reports may interpret the information differently. </w:t>
      </w:r>
    </w:p>
    <w:p w:rsidR="00AE4097" w:rsidRDefault="00AE4097" w:rsidP="00A82089">
      <w:pPr>
        <w:suppressAutoHyphens/>
        <w:spacing w:line="360" w:lineRule="auto"/>
        <w:ind w:firstLine="567"/>
        <w:jc w:val="both"/>
        <w:rPr>
          <w:b/>
          <w:lang w:val="en-US" w:eastAsia="en-US"/>
        </w:rPr>
      </w:pPr>
      <w:r w:rsidRPr="000D3227">
        <w:rPr>
          <w:sz w:val="22"/>
          <w:szCs w:val="22"/>
          <w:lang w:val="en-US"/>
        </w:rPr>
        <w:t>Finally, future research is necessary to provide empirical evidence for the results of this research.</w:t>
      </w:r>
      <w:r>
        <w:rPr>
          <w:b/>
          <w:lang w:val="en-US" w:eastAsia="en-US"/>
        </w:rPr>
        <w:br w:type="page"/>
      </w:r>
      <w:r>
        <w:rPr>
          <w:b/>
          <w:lang w:val="en-US" w:eastAsia="en-US"/>
        </w:rPr>
        <w:lastRenderedPageBreak/>
        <w:t>Reference list</w:t>
      </w:r>
    </w:p>
    <w:p w:rsidR="00AE4097" w:rsidRDefault="00AE4097" w:rsidP="00AE4097">
      <w:pPr>
        <w:tabs>
          <w:tab w:val="left" w:pos="2700"/>
        </w:tabs>
        <w:autoSpaceDE w:val="0"/>
        <w:autoSpaceDN w:val="0"/>
        <w:adjustRightInd w:val="0"/>
        <w:spacing w:line="360" w:lineRule="auto"/>
        <w:jc w:val="both"/>
        <w:rPr>
          <w:b/>
          <w:sz w:val="22"/>
          <w:szCs w:val="22"/>
          <w:lang w:val="en-US" w:eastAsia="en-US"/>
        </w:rPr>
      </w:pPr>
      <w:r>
        <w:rPr>
          <w:b/>
          <w:sz w:val="22"/>
          <w:szCs w:val="22"/>
          <w:lang w:val="en-US" w:eastAsia="en-US"/>
        </w:rPr>
        <w:tab/>
      </w: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Abraham, S. and Cox, P. (2007).</w:t>
      </w:r>
      <w:proofErr w:type="gramEnd"/>
      <w:r>
        <w:rPr>
          <w:sz w:val="20"/>
          <w:szCs w:val="20"/>
          <w:lang w:val="en-US"/>
        </w:rPr>
        <w:t xml:space="preserve"> </w:t>
      </w:r>
      <w:proofErr w:type="gramStart"/>
      <w:r>
        <w:rPr>
          <w:sz w:val="20"/>
          <w:szCs w:val="20"/>
          <w:lang w:val="en-US"/>
        </w:rPr>
        <w:t xml:space="preserve">Analysing the determinants of narrative risk information in </w:t>
      </w:r>
      <w:r w:rsidR="00F073FE">
        <w:rPr>
          <w:sz w:val="20"/>
          <w:szCs w:val="20"/>
          <w:lang w:val="en-US"/>
        </w:rPr>
        <w:t>UK</w:t>
      </w:r>
      <w:r>
        <w:rPr>
          <w:sz w:val="20"/>
          <w:szCs w:val="20"/>
          <w:lang w:val="en-US"/>
        </w:rPr>
        <w:t xml:space="preserve"> FTSE 100 annual reports.</w:t>
      </w:r>
      <w:proofErr w:type="gramEnd"/>
      <w:r>
        <w:rPr>
          <w:sz w:val="20"/>
          <w:szCs w:val="20"/>
          <w:lang w:val="en-US"/>
        </w:rPr>
        <w:t xml:space="preserve"> </w:t>
      </w:r>
      <w:r>
        <w:rPr>
          <w:i/>
          <w:iCs/>
          <w:sz w:val="20"/>
          <w:szCs w:val="20"/>
          <w:lang w:val="en-US"/>
        </w:rPr>
        <w:t>The British Accounting Review</w:t>
      </w:r>
      <w:r>
        <w:rPr>
          <w:sz w:val="20"/>
          <w:szCs w:val="20"/>
          <w:lang w:val="en-US"/>
        </w:rPr>
        <w:t>, Vol. 39, pp. 227-248.</w:t>
      </w:r>
    </w:p>
    <w:p w:rsidR="00AE4097" w:rsidRDefault="00AE4097" w:rsidP="00AE4097">
      <w:pPr>
        <w:autoSpaceDE w:val="0"/>
        <w:autoSpaceDN w:val="0"/>
        <w:adjustRightInd w:val="0"/>
        <w:spacing w:line="276" w:lineRule="auto"/>
        <w:jc w:val="both"/>
        <w:rPr>
          <w:sz w:val="20"/>
          <w:szCs w:val="20"/>
          <w:lang w:val="en-US" w:eastAsia="en-US"/>
        </w:rPr>
      </w:pPr>
    </w:p>
    <w:p w:rsidR="00AE4097" w:rsidRDefault="00AE4097" w:rsidP="00AE4097">
      <w:pPr>
        <w:autoSpaceDE w:val="0"/>
        <w:autoSpaceDN w:val="0"/>
        <w:adjustRightInd w:val="0"/>
        <w:spacing w:line="276" w:lineRule="auto"/>
        <w:jc w:val="both"/>
        <w:rPr>
          <w:sz w:val="20"/>
          <w:szCs w:val="20"/>
          <w:lang w:val="en-US" w:eastAsia="en-US"/>
        </w:rPr>
      </w:pPr>
      <w:r>
        <w:rPr>
          <w:sz w:val="20"/>
          <w:szCs w:val="20"/>
          <w:lang w:val="en-US" w:eastAsia="en-US"/>
        </w:rPr>
        <w:t>Ahmed, K. and Courtis</w:t>
      </w:r>
      <w:proofErr w:type="gramStart"/>
      <w:r>
        <w:rPr>
          <w:sz w:val="20"/>
          <w:szCs w:val="20"/>
          <w:lang w:val="en-US" w:eastAsia="en-US"/>
        </w:rPr>
        <w:t>,  J.K</w:t>
      </w:r>
      <w:proofErr w:type="gramEnd"/>
      <w:r>
        <w:rPr>
          <w:sz w:val="20"/>
          <w:szCs w:val="20"/>
          <w:lang w:val="en-US" w:eastAsia="en-US"/>
        </w:rPr>
        <w:t xml:space="preserve">. (1999). Associations between corporate characteristics and disclosure levels in annual reports: a </w:t>
      </w:r>
      <w:proofErr w:type="gramStart"/>
      <w:r>
        <w:rPr>
          <w:sz w:val="20"/>
          <w:szCs w:val="20"/>
          <w:lang w:val="en-US" w:eastAsia="en-US"/>
        </w:rPr>
        <w:t>meta</w:t>
      </w:r>
      <w:proofErr w:type="gramEnd"/>
      <w:r>
        <w:rPr>
          <w:sz w:val="20"/>
          <w:szCs w:val="20"/>
          <w:lang w:val="en-US" w:eastAsia="en-US"/>
        </w:rPr>
        <w:t xml:space="preserve"> analysis.</w:t>
      </w:r>
      <w:r>
        <w:rPr>
          <w:i/>
          <w:sz w:val="20"/>
          <w:szCs w:val="20"/>
          <w:lang w:val="en-US" w:eastAsia="en-US"/>
        </w:rPr>
        <w:t xml:space="preserve"> British Accounting Review</w:t>
      </w:r>
      <w:r>
        <w:rPr>
          <w:sz w:val="20"/>
          <w:szCs w:val="20"/>
          <w:lang w:val="en-US" w:eastAsia="en-US"/>
        </w:rPr>
        <w:t>, Vol. 31, pp. 35-61.</w:t>
      </w:r>
    </w:p>
    <w:p w:rsidR="00AE4097" w:rsidRDefault="00AE4097" w:rsidP="00AE4097">
      <w:pPr>
        <w:autoSpaceDE w:val="0"/>
        <w:autoSpaceDN w:val="0"/>
        <w:adjustRightInd w:val="0"/>
        <w:spacing w:line="276" w:lineRule="auto"/>
        <w:jc w:val="both"/>
        <w:rPr>
          <w:sz w:val="20"/>
          <w:szCs w:val="20"/>
          <w:lang w:val="en-US" w:eastAsia="en-US"/>
        </w:rPr>
      </w:pPr>
    </w:p>
    <w:p w:rsidR="00AE4097" w:rsidRDefault="00AE4097" w:rsidP="00AE4097">
      <w:pPr>
        <w:autoSpaceDE w:val="0"/>
        <w:autoSpaceDN w:val="0"/>
        <w:adjustRightInd w:val="0"/>
        <w:spacing w:line="276" w:lineRule="auto"/>
        <w:jc w:val="both"/>
        <w:rPr>
          <w:sz w:val="20"/>
          <w:szCs w:val="20"/>
          <w:lang w:val="en-US" w:eastAsia="en-US"/>
        </w:rPr>
      </w:pPr>
      <w:proofErr w:type="gramStart"/>
      <w:r>
        <w:rPr>
          <w:sz w:val="20"/>
          <w:szCs w:val="20"/>
          <w:lang w:val="en-US" w:eastAsia="en-US"/>
        </w:rPr>
        <w:t>Ahn, T.S. and Lee, J. (2004).</w:t>
      </w:r>
      <w:proofErr w:type="gramEnd"/>
      <w:r>
        <w:rPr>
          <w:sz w:val="20"/>
          <w:szCs w:val="20"/>
          <w:lang w:val="en-US" w:eastAsia="en-US"/>
        </w:rPr>
        <w:t xml:space="preserve"> Determinants of voluntary disclosures in management discussion and analysis (MD&amp;A): Korean Evidence. </w:t>
      </w:r>
      <w:proofErr w:type="gramStart"/>
      <w:r>
        <w:rPr>
          <w:i/>
          <w:sz w:val="20"/>
          <w:szCs w:val="20"/>
          <w:lang w:val="en-US" w:eastAsia="en-US"/>
        </w:rPr>
        <w:t>Paper presented in at the 16</w:t>
      </w:r>
      <w:r>
        <w:rPr>
          <w:i/>
          <w:sz w:val="20"/>
          <w:szCs w:val="20"/>
          <w:vertAlign w:val="superscript"/>
          <w:lang w:val="en-US" w:eastAsia="en-US"/>
        </w:rPr>
        <w:t>th</w:t>
      </w:r>
      <w:r>
        <w:rPr>
          <w:i/>
          <w:sz w:val="20"/>
          <w:szCs w:val="20"/>
          <w:lang w:val="en-US" w:eastAsia="en-US"/>
        </w:rPr>
        <w:t xml:space="preserve"> Asian Pacific Conference on International Accounting Issues</w:t>
      </w:r>
      <w:r>
        <w:rPr>
          <w:sz w:val="20"/>
          <w:szCs w:val="20"/>
          <w:lang w:val="en-US" w:eastAsia="en-US"/>
        </w:rPr>
        <w:t>, Seoul, November 7-10.</w:t>
      </w:r>
      <w:proofErr w:type="gramEnd"/>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Amran, A., Bin, A.M.R. and Hassan, B.C.H.M. (2009).</w:t>
      </w:r>
      <w:proofErr w:type="gramEnd"/>
      <w:r>
        <w:rPr>
          <w:sz w:val="20"/>
          <w:szCs w:val="20"/>
          <w:lang w:val="en-US"/>
        </w:rPr>
        <w:t xml:space="preserve"> </w:t>
      </w:r>
      <w:proofErr w:type="gramStart"/>
      <w:r>
        <w:rPr>
          <w:sz w:val="20"/>
          <w:szCs w:val="20"/>
          <w:lang w:val="en-US"/>
        </w:rPr>
        <w:t xml:space="preserve">Risk reporting: An exploratory study on risk management disclosure in Malaysian annual reports, </w:t>
      </w:r>
      <w:r>
        <w:rPr>
          <w:i/>
          <w:iCs/>
          <w:sz w:val="20"/>
          <w:szCs w:val="20"/>
          <w:lang w:val="en-US"/>
        </w:rPr>
        <w:t>Managerial Auditing Journal</w:t>
      </w:r>
      <w:r>
        <w:rPr>
          <w:sz w:val="20"/>
          <w:szCs w:val="20"/>
          <w:lang w:val="en-US"/>
        </w:rPr>
        <w:t>, Vol. 24, No. 1, pp. 39-57.</w:t>
      </w:r>
      <w:proofErr w:type="gramEnd"/>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autoSpaceDE w:val="0"/>
        <w:autoSpaceDN w:val="0"/>
        <w:adjustRightInd w:val="0"/>
        <w:spacing w:line="276" w:lineRule="auto"/>
        <w:jc w:val="both"/>
        <w:rPr>
          <w:sz w:val="20"/>
          <w:szCs w:val="20"/>
          <w:lang w:val="en-US" w:eastAsia="en-US"/>
        </w:rPr>
      </w:pPr>
      <w:r>
        <w:rPr>
          <w:sz w:val="20"/>
          <w:szCs w:val="20"/>
          <w:lang w:val="en-US" w:eastAsia="en-US"/>
        </w:rPr>
        <w:t xml:space="preserve">American Institute of Certified Public Accountants (AICPA) </w:t>
      </w:r>
      <w:proofErr w:type="gramStart"/>
      <w:r>
        <w:rPr>
          <w:sz w:val="20"/>
          <w:szCs w:val="20"/>
          <w:lang w:val="en-US" w:eastAsia="en-US"/>
        </w:rPr>
        <w:t>( 1994</w:t>
      </w:r>
      <w:proofErr w:type="gramEnd"/>
      <w:r>
        <w:rPr>
          <w:sz w:val="20"/>
          <w:szCs w:val="20"/>
          <w:lang w:val="en-US" w:eastAsia="en-US"/>
        </w:rPr>
        <w:t xml:space="preserve">). Improving business reporting – A customer focus: meeting the information needs of investors and creditors; comprehensive report of the special committee on financial reporting </w:t>
      </w:r>
      <w:proofErr w:type="gramStart"/>
      <w:r>
        <w:rPr>
          <w:sz w:val="20"/>
          <w:szCs w:val="20"/>
          <w:lang w:val="en-US" w:eastAsia="en-US"/>
        </w:rPr>
        <w:t>( the</w:t>
      </w:r>
      <w:proofErr w:type="gramEnd"/>
      <w:r>
        <w:rPr>
          <w:sz w:val="20"/>
          <w:szCs w:val="20"/>
          <w:lang w:val="en-US" w:eastAsia="en-US"/>
        </w:rPr>
        <w:t xml:space="preserve"> Jenkins Report). New York, NY.</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Arner, D.W. (2009). The Global Credit Crisis of 2008: Causes and Consequences. </w:t>
      </w:r>
      <w:r>
        <w:rPr>
          <w:i/>
          <w:iCs/>
          <w:sz w:val="20"/>
          <w:szCs w:val="20"/>
          <w:lang w:val="en-US"/>
        </w:rPr>
        <w:t>AIIFL Working Paper No.3</w:t>
      </w:r>
      <w:r>
        <w:rPr>
          <w:sz w:val="20"/>
          <w:szCs w:val="20"/>
          <w:lang w:val="en-US"/>
        </w:rPr>
        <w:t>, http://ssrn.com/abstract=1330744.</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Barry, C.B. and Brown, S.J. (1986).</w:t>
      </w:r>
      <w:proofErr w:type="gramEnd"/>
      <w:r>
        <w:rPr>
          <w:sz w:val="20"/>
          <w:szCs w:val="20"/>
          <w:lang w:val="en-US"/>
        </w:rPr>
        <w:t xml:space="preserve"> </w:t>
      </w:r>
      <w:proofErr w:type="gramStart"/>
      <w:r>
        <w:rPr>
          <w:sz w:val="20"/>
          <w:szCs w:val="20"/>
          <w:lang w:val="en-US"/>
        </w:rPr>
        <w:t>Limited information as a source of risk.</w:t>
      </w:r>
      <w:proofErr w:type="gramEnd"/>
      <w:r>
        <w:rPr>
          <w:sz w:val="20"/>
          <w:szCs w:val="20"/>
          <w:lang w:val="en-US"/>
        </w:rPr>
        <w:t xml:space="preserve"> </w:t>
      </w:r>
      <w:r>
        <w:rPr>
          <w:i/>
          <w:sz w:val="20"/>
          <w:szCs w:val="20"/>
          <w:lang w:val="en-US"/>
        </w:rPr>
        <w:t>The Journal of Portfolio Management</w:t>
      </w:r>
      <w:r>
        <w:rPr>
          <w:sz w:val="20"/>
          <w:szCs w:val="20"/>
          <w:lang w:val="en-US"/>
        </w:rPr>
        <w:t>, Vol. 12, pp. 66-72.</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Beattie, V., McInnes, W., and Fearnley, S. (2004).</w:t>
      </w:r>
      <w:proofErr w:type="gramEnd"/>
      <w:r>
        <w:rPr>
          <w:sz w:val="20"/>
          <w:szCs w:val="20"/>
          <w:lang w:val="en-US"/>
        </w:rPr>
        <w:t xml:space="preserve"> A methodology for anal</w:t>
      </w:r>
      <w:r w:rsidR="00466506">
        <w:rPr>
          <w:sz w:val="20"/>
          <w:szCs w:val="20"/>
          <w:lang w:val="en-US"/>
        </w:rPr>
        <w:t>ysing and evaluating narratives</w:t>
      </w:r>
      <w:r>
        <w:rPr>
          <w:sz w:val="20"/>
          <w:szCs w:val="20"/>
          <w:lang w:val="en-US"/>
        </w:rPr>
        <w:t xml:space="preserve"> in annual reports: a comprehensive descriptive profile and metrics for disclosure quality attributes. </w:t>
      </w:r>
      <w:r>
        <w:rPr>
          <w:i/>
          <w:iCs/>
          <w:sz w:val="20"/>
          <w:szCs w:val="20"/>
          <w:lang w:val="en-US"/>
        </w:rPr>
        <w:t>Accounting Forum</w:t>
      </w:r>
      <w:r>
        <w:rPr>
          <w:sz w:val="20"/>
          <w:szCs w:val="20"/>
          <w:lang w:val="en-US"/>
        </w:rPr>
        <w:t>, vol. 28, no.3, pp. 205-236.</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Berretta, S. and Bozzolan, S. (2004).</w:t>
      </w:r>
      <w:proofErr w:type="gramEnd"/>
      <w:r>
        <w:rPr>
          <w:sz w:val="20"/>
          <w:szCs w:val="20"/>
          <w:lang w:val="en-US"/>
        </w:rPr>
        <w:t xml:space="preserve"> </w:t>
      </w:r>
      <w:proofErr w:type="gramStart"/>
      <w:r>
        <w:rPr>
          <w:sz w:val="20"/>
          <w:szCs w:val="20"/>
          <w:lang w:val="en-US"/>
        </w:rPr>
        <w:t>A framework for the analysis of from risk communication.</w:t>
      </w:r>
      <w:proofErr w:type="gramEnd"/>
      <w:r>
        <w:rPr>
          <w:sz w:val="20"/>
          <w:szCs w:val="20"/>
          <w:lang w:val="en-US"/>
        </w:rPr>
        <w:t xml:space="preserve"> </w:t>
      </w:r>
      <w:r>
        <w:rPr>
          <w:i/>
          <w:sz w:val="20"/>
          <w:szCs w:val="20"/>
          <w:lang w:val="en-US"/>
        </w:rPr>
        <w:t>The International Journal of Accounting</w:t>
      </w:r>
      <w:r>
        <w:rPr>
          <w:sz w:val="20"/>
          <w:szCs w:val="20"/>
          <w:lang w:val="en-US"/>
        </w:rPr>
        <w:t>, Vol. 39, pp. 265-288.</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Berger, P. and Hann, R. (2003).</w:t>
      </w:r>
      <w:proofErr w:type="gramEnd"/>
      <w:r>
        <w:rPr>
          <w:sz w:val="20"/>
          <w:szCs w:val="20"/>
          <w:lang w:val="en-US"/>
        </w:rPr>
        <w:t xml:space="preserve"> </w:t>
      </w:r>
      <w:proofErr w:type="gramStart"/>
      <w:r>
        <w:rPr>
          <w:sz w:val="20"/>
          <w:szCs w:val="20"/>
          <w:lang w:val="en-US"/>
        </w:rPr>
        <w:t>Segment disclosures, proprietary costs, and the market for corporate control.</w:t>
      </w:r>
      <w:proofErr w:type="gramEnd"/>
      <w:r>
        <w:rPr>
          <w:sz w:val="20"/>
          <w:szCs w:val="20"/>
          <w:lang w:val="en-US"/>
        </w:rPr>
        <w:t xml:space="preserve"> </w:t>
      </w:r>
      <w:proofErr w:type="gramStart"/>
      <w:r>
        <w:rPr>
          <w:sz w:val="20"/>
          <w:szCs w:val="20"/>
          <w:lang w:val="en-US"/>
        </w:rPr>
        <w:t>Working paper, University of Chicago and University of Southern California.</w:t>
      </w:r>
      <w:proofErr w:type="gramEnd"/>
      <w:r>
        <w:rPr>
          <w:sz w:val="20"/>
          <w:szCs w:val="20"/>
          <w:lang w:val="en-US"/>
        </w:rPr>
        <w:t xml:space="preserve"> </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Bessis, J. (2002). Risk Management in Banking. </w:t>
      </w:r>
      <w:proofErr w:type="gramStart"/>
      <w:r>
        <w:rPr>
          <w:sz w:val="20"/>
          <w:szCs w:val="20"/>
          <w:lang w:val="en-US"/>
        </w:rPr>
        <w:t>Wiley, Chichester.</w:t>
      </w:r>
      <w:proofErr w:type="gramEnd"/>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Botosan, C.A. (1997). </w:t>
      </w:r>
      <w:proofErr w:type="gramStart"/>
      <w:r>
        <w:rPr>
          <w:sz w:val="20"/>
          <w:szCs w:val="20"/>
          <w:lang w:val="en-US"/>
        </w:rPr>
        <w:t>Disclosure level and the cost of equity capital.</w:t>
      </w:r>
      <w:proofErr w:type="gramEnd"/>
      <w:r>
        <w:rPr>
          <w:sz w:val="20"/>
          <w:szCs w:val="20"/>
          <w:lang w:val="en-US"/>
        </w:rPr>
        <w:t xml:space="preserve"> </w:t>
      </w:r>
      <w:r>
        <w:rPr>
          <w:i/>
          <w:sz w:val="20"/>
          <w:szCs w:val="20"/>
          <w:lang w:val="en-US"/>
        </w:rPr>
        <w:t>The Accounting Review</w:t>
      </w:r>
      <w:r>
        <w:rPr>
          <w:sz w:val="20"/>
          <w:szCs w:val="20"/>
          <w:lang w:val="en-US"/>
        </w:rPr>
        <w:t>, Vol. 73, No. 3, pp. 323-349.</w:t>
      </w:r>
    </w:p>
    <w:p w:rsidR="00AE4097" w:rsidRDefault="00AE4097" w:rsidP="00AE4097">
      <w:pPr>
        <w:pStyle w:val="ecxmsonormal"/>
        <w:shd w:val="clear" w:color="auto" w:fill="FFFFFF"/>
        <w:spacing w:after="0" w:line="276" w:lineRule="auto"/>
        <w:jc w:val="both"/>
        <w:rPr>
          <w:sz w:val="20"/>
          <w:szCs w:val="20"/>
          <w:shd w:val="clear" w:color="auto" w:fill="FFFF00"/>
          <w:lang w:val="en-US"/>
        </w:rPr>
      </w:pPr>
    </w:p>
    <w:p w:rsidR="00AE4097" w:rsidRDefault="00AE4097" w:rsidP="00AE4097">
      <w:pPr>
        <w:pStyle w:val="ecxmsonormal"/>
        <w:shd w:val="clear" w:color="auto" w:fill="FFFFFF"/>
        <w:spacing w:after="0" w:line="276" w:lineRule="auto"/>
        <w:jc w:val="both"/>
        <w:rPr>
          <w:sz w:val="20"/>
          <w:szCs w:val="20"/>
        </w:rPr>
      </w:pPr>
      <w:r>
        <w:rPr>
          <w:sz w:val="20"/>
          <w:szCs w:val="20"/>
          <w:lang w:val="en-US"/>
        </w:rPr>
        <w:t xml:space="preserve">Botosan, C.A. (2004). </w:t>
      </w:r>
      <w:proofErr w:type="gramStart"/>
      <w:r>
        <w:rPr>
          <w:sz w:val="20"/>
          <w:szCs w:val="20"/>
          <w:lang w:val="en-US"/>
        </w:rPr>
        <w:t>Discussion of a framework for the analysis of firm risk communication.</w:t>
      </w:r>
      <w:proofErr w:type="gramEnd"/>
      <w:r>
        <w:rPr>
          <w:sz w:val="20"/>
          <w:szCs w:val="20"/>
          <w:lang w:val="en-US"/>
        </w:rPr>
        <w:t xml:space="preserve"> </w:t>
      </w:r>
      <w:proofErr w:type="gramStart"/>
      <w:r>
        <w:rPr>
          <w:i/>
          <w:iCs/>
          <w:sz w:val="20"/>
          <w:szCs w:val="20"/>
          <w:lang w:val="en-US"/>
        </w:rPr>
        <w:t>The International Journal of Accounting</w:t>
      </w:r>
      <w:r>
        <w:rPr>
          <w:sz w:val="20"/>
          <w:szCs w:val="20"/>
          <w:lang w:val="en-US"/>
        </w:rPr>
        <w:t>.</w:t>
      </w:r>
      <w:proofErr w:type="gramEnd"/>
      <w:r>
        <w:rPr>
          <w:sz w:val="20"/>
          <w:szCs w:val="20"/>
          <w:lang w:val="en-US"/>
        </w:rPr>
        <w:t xml:space="preserve"> </w:t>
      </w:r>
      <w:r>
        <w:rPr>
          <w:sz w:val="20"/>
          <w:szCs w:val="20"/>
        </w:rPr>
        <w:t>Vol. 39, pp. 289-295.</w:t>
      </w:r>
    </w:p>
    <w:p w:rsidR="00AE4097" w:rsidRDefault="00AE4097" w:rsidP="00AE4097">
      <w:pPr>
        <w:pStyle w:val="ecxmsonormal"/>
        <w:shd w:val="clear" w:color="auto" w:fill="FFFFFF"/>
        <w:spacing w:after="0" w:line="276" w:lineRule="auto"/>
        <w:jc w:val="both"/>
        <w:rPr>
          <w:sz w:val="20"/>
          <w:szCs w:val="20"/>
        </w:rPr>
      </w:pPr>
    </w:p>
    <w:p w:rsidR="00AE4097" w:rsidRDefault="00AE4097" w:rsidP="00AE4097">
      <w:pPr>
        <w:pStyle w:val="ecxmsonormal"/>
        <w:shd w:val="clear" w:color="auto" w:fill="FFFFFF"/>
        <w:spacing w:after="0" w:line="276" w:lineRule="auto"/>
        <w:jc w:val="both"/>
        <w:rPr>
          <w:sz w:val="20"/>
          <w:szCs w:val="20"/>
          <w:lang w:val="en-US"/>
        </w:rPr>
      </w:pPr>
      <w:r>
        <w:rPr>
          <w:sz w:val="20"/>
          <w:szCs w:val="20"/>
        </w:rPr>
        <w:t xml:space="preserve">Bowman, E.H. (1984). </w:t>
      </w:r>
      <w:proofErr w:type="gramStart"/>
      <w:r>
        <w:rPr>
          <w:sz w:val="20"/>
          <w:szCs w:val="20"/>
          <w:lang w:val="en-US"/>
        </w:rPr>
        <w:t>Content analysis of annual reports for corporate strategy and risk.</w:t>
      </w:r>
      <w:proofErr w:type="gramEnd"/>
      <w:r>
        <w:rPr>
          <w:sz w:val="20"/>
          <w:szCs w:val="20"/>
          <w:lang w:val="en-US"/>
        </w:rPr>
        <w:t xml:space="preserve"> </w:t>
      </w:r>
      <w:r>
        <w:rPr>
          <w:i/>
          <w:sz w:val="20"/>
          <w:szCs w:val="20"/>
          <w:lang w:val="en-US"/>
        </w:rPr>
        <w:t xml:space="preserve">Interfaces, </w:t>
      </w:r>
      <w:r>
        <w:rPr>
          <w:sz w:val="20"/>
          <w:szCs w:val="20"/>
          <w:lang w:val="en-US"/>
        </w:rPr>
        <w:t>Vol. 14, pp. 61-71.</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rPr>
      </w:pPr>
      <w:proofErr w:type="gramStart"/>
      <w:r>
        <w:rPr>
          <w:sz w:val="20"/>
          <w:szCs w:val="20"/>
          <w:lang w:val="en-US"/>
        </w:rPr>
        <w:t>Broberg, P. and Tagesson, T. (2010).</w:t>
      </w:r>
      <w:proofErr w:type="gramEnd"/>
      <w:r>
        <w:rPr>
          <w:sz w:val="20"/>
          <w:szCs w:val="20"/>
          <w:lang w:val="en-US"/>
        </w:rPr>
        <w:t xml:space="preserve"> What explains variation in voluntary disclosure? A study of the annual reports of corporations listed on the Stockholm Stock Exchange. </w:t>
      </w:r>
      <w:r>
        <w:rPr>
          <w:i/>
          <w:iCs/>
          <w:sz w:val="20"/>
          <w:szCs w:val="20"/>
        </w:rPr>
        <w:t>Journal of Management</w:t>
      </w:r>
      <w:r>
        <w:rPr>
          <w:sz w:val="20"/>
          <w:szCs w:val="20"/>
        </w:rPr>
        <w:t>, Vol. 14, pp. 351-377.</w:t>
      </w:r>
    </w:p>
    <w:p w:rsidR="00AE4097" w:rsidRDefault="00AE4097" w:rsidP="00AE4097">
      <w:pPr>
        <w:pStyle w:val="ecxmsonormal"/>
        <w:shd w:val="clear" w:color="auto" w:fill="FFFFFF"/>
        <w:spacing w:after="0" w:line="276" w:lineRule="auto"/>
        <w:jc w:val="both"/>
        <w:rPr>
          <w:sz w:val="20"/>
          <w:szCs w:val="20"/>
        </w:rPr>
      </w:pPr>
    </w:p>
    <w:p w:rsidR="00AE4097" w:rsidRDefault="00AE4097" w:rsidP="00AE4097">
      <w:pPr>
        <w:pStyle w:val="ecxmsonormal"/>
        <w:shd w:val="clear" w:color="auto" w:fill="FFFFFF"/>
        <w:spacing w:after="0" w:line="276" w:lineRule="auto"/>
        <w:jc w:val="both"/>
        <w:rPr>
          <w:sz w:val="20"/>
          <w:szCs w:val="20"/>
        </w:rPr>
      </w:pPr>
      <w:r>
        <w:rPr>
          <w:sz w:val="20"/>
          <w:szCs w:val="20"/>
        </w:rPr>
        <w:t>Burgerlijk Wetboek</w:t>
      </w:r>
    </w:p>
    <w:p w:rsidR="00AE4097" w:rsidRDefault="00AE4097" w:rsidP="00AE4097">
      <w:pPr>
        <w:pStyle w:val="ecxmsonormal"/>
        <w:shd w:val="clear" w:color="auto" w:fill="FFFFFF"/>
        <w:spacing w:after="0" w:line="276" w:lineRule="auto"/>
        <w:jc w:val="both"/>
        <w:rPr>
          <w:sz w:val="20"/>
          <w:szCs w:val="20"/>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lastRenderedPageBreak/>
        <w:t>Cabedo, J.D. and Tirado, J.M. (2004).</w:t>
      </w:r>
      <w:proofErr w:type="gramEnd"/>
      <w:r>
        <w:rPr>
          <w:sz w:val="20"/>
          <w:szCs w:val="20"/>
          <w:lang w:val="en-US"/>
        </w:rPr>
        <w:t xml:space="preserve"> </w:t>
      </w:r>
      <w:r>
        <w:rPr>
          <w:i/>
          <w:sz w:val="20"/>
          <w:szCs w:val="20"/>
          <w:lang w:val="en-US"/>
        </w:rPr>
        <w:t xml:space="preserve"> </w:t>
      </w:r>
      <w:r>
        <w:rPr>
          <w:sz w:val="20"/>
          <w:szCs w:val="20"/>
          <w:lang w:val="en-US"/>
        </w:rPr>
        <w:t xml:space="preserve">The disclosure or risk in </w:t>
      </w:r>
      <w:proofErr w:type="gramStart"/>
      <w:r>
        <w:rPr>
          <w:sz w:val="20"/>
          <w:szCs w:val="20"/>
          <w:lang w:val="en-US"/>
        </w:rPr>
        <w:t>Financial</w:t>
      </w:r>
      <w:proofErr w:type="gramEnd"/>
      <w:r>
        <w:rPr>
          <w:sz w:val="20"/>
          <w:szCs w:val="20"/>
          <w:lang w:val="en-US"/>
        </w:rPr>
        <w:t xml:space="preserve"> statements. </w:t>
      </w:r>
      <w:proofErr w:type="gramStart"/>
      <w:r>
        <w:rPr>
          <w:i/>
          <w:sz w:val="20"/>
          <w:szCs w:val="20"/>
          <w:lang w:val="en-US"/>
        </w:rPr>
        <w:t>Accounting Forum,</w:t>
      </w:r>
      <w:r>
        <w:rPr>
          <w:sz w:val="20"/>
          <w:szCs w:val="20"/>
          <w:lang w:val="en-US"/>
        </w:rPr>
        <w:t xml:space="preserve"> Vol. 28, No. 2, pp. 181-200.</w:t>
      </w:r>
      <w:proofErr w:type="gramEnd"/>
      <w:r>
        <w:rPr>
          <w:sz w:val="20"/>
          <w:szCs w:val="20"/>
          <w:lang w:val="en-US"/>
        </w:rPr>
        <w:t xml:space="preserve"> </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Canadian Institute of Chartered Accountants (CICA) (1991).</w:t>
      </w:r>
      <w:proofErr w:type="gramEnd"/>
      <w:r>
        <w:rPr>
          <w:sz w:val="20"/>
          <w:szCs w:val="20"/>
          <w:lang w:val="en-US"/>
        </w:rPr>
        <w:t xml:space="preserve"> </w:t>
      </w:r>
      <w:proofErr w:type="gramStart"/>
      <w:r>
        <w:rPr>
          <w:sz w:val="20"/>
          <w:szCs w:val="20"/>
          <w:lang w:val="en-US"/>
        </w:rPr>
        <w:t>Information to be included in the annual report to shareholders.</w:t>
      </w:r>
      <w:proofErr w:type="gramEnd"/>
      <w:r>
        <w:rPr>
          <w:sz w:val="20"/>
          <w:szCs w:val="20"/>
          <w:lang w:val="en-US"/>
        </w:rPr>
        <w:t xml:space="preserve"> Toronto, Ontario.</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Cooke, T.E. (1989a). </w:t>
      </w:r>
      <w:proofErr w:type="gramStart"/>
      <w:r>
        <w:rPr>
          <w:sz w:val="20"/>
          <w:szCs w:val="20"/>
          <w:lang w:val="en-US"/>
        </w:rPr>
        <w:t>Disclosure in corporate annual reports of Swedish companies.</w:t>
      </w:r>
      <w:proofErr w:type="gramEnd"/>
      <w:r>
        <w:rPr>
          <w:sz w:val="20"/>
          <w:szCs w:val="20"/>
          <w:lang w:val="en-US"/>
        </w:rPr>
        <w:t xml:space="preserve"> </w:t>
      </w:r>
      <w:r>
        <w:rPr>
          <w:i/>
          <w:sz w:val="20"/>
          <w:szCs w:val="20"/>
          <w:lang w:val="en-US"/>
        </w:rPr>
        <w:t>Accounting and Business Research</w:t>
      </w:r>
      <w:r>
        <w:rPr>
          <w:sz w:val="20"/>
          <w:szCs w:val="20"/>
          <w:lang w:val="en-US"/>
        </w:rPr>
        <w:t>, Vol. 19, No. 74, pp. 113-124.</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Cooke, T.E. (1989b). </w:t>
      </w:r>
      <w:proofErr w:type="gramStart"/>
      <w:r>
        <w:rPr>
          <w:sz w:val="20"/>
          <w:szCs w:val="20"/>
          <w:lang w:val="en-US"/>
        </w:rPr>
        <w:t>Voluntary corporate disclosure by Swedish companies.</w:t>
      </w:r>
      <w:proofErr w:type="gramEnd"/>
      <w:r>
        <w:rPr>
          <w:sz w:val="20"/>
          <w:szCs w:val="20"/>
          <w:lang w:val="en-US"/>
        </w:rPr>
        <w:t xml:space="preserve"> </w:t>
      </w:r>
      <w:r>
        <w:rPr>
          <w:i/>
          <w:sz w:val="20"/>
          <w:szCs w:val="20"/>
          <w:lang w:val="en-US"/>
        </w:rPr>
        <w:t>Journal of International Financial Management and Accounting</w:t>
      </w:r>
      <w:r>
        <w:rPr>
          <w:sz w:val="20"/>
          <w:szCs w:val="20"/>
          <w:lang w:val="en-US"/>
        </w:rPr>
        <w:t>, Vol. 1, No. 2, pp. 171-195.</w:t>
      </w:r>
    </w:p>
    <w:p w:rsidR="00AE4097" w:rsidRDefault="00AE4097" w:rsidP="00AE4097">
      <w:pPr>
        <w:pStyle w:val="ecxmsonormal"/>
        <w:shd w:val="clear" w:color="auto" w:fill="FFFFFF"/>
        <w:spacing w:after="0" w:line="276" w:lineRule="auto"/>
        <w:jc w:val="both"/>
        <w:rPr>
          <w:sz w:val="20"/>
          <w:szCs w:val="20"/>
          <w:highlight w:val="yellow"/>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Crouhy, M., Galai, D. and Mark, R. (2006).</w:t>
      </w:r>
      <w:proofErr w:type="gramEnd"/>
      <w:r>
        <w:rPr>
          <w:sz w:val="20"/>
          <w:szCs w:val="20"/>
          <w:lang w:val="en-US"/>
        </w:rPr>
        <w:t xml:space="preserve"> </w:t>
      </w:r>
      <w:proofErr w:type="gramStart"/>
      <w:r>
        <w:rPr>
          <w:sz w:val="20"/>
          <w:szCs w:val="20"/>
          <w:lang w:val="en-US"/>
        </w:rPr>
        <w:t>The Essentials of Risk Management.</w:t>
      </w:r>
      <w:proofErr w:type="gramEnd"/>
      <w:r>
        <w:rPr>
          <w:sz w:val="20"/>
          <w:szCs w:val="20"/>
          <w:lang w:val="en-US"/>
        </w:rPr>
        <w:t xml:space="preserve"> McGrawHill, New York.</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Deumes, R. (2008). Corporate Risk Reporting: A Content Analysis of Narrative Risk Disclosures in Prospectuses. </w:t>
      </w:r>
      <w:r>
        <w:rPr>
          <w:i/>
          <w:iCs/>
          <w:sz w:val="20"/>
          <w:szCs w:val="20"/>
          <w:lang w:val="en-US"/>
        </w:rPr>
        <w:t>Journal of Business Communication</w:t>
      </w:r>
      <w:r>
        <w:rPr>
          <w:sz w:val="20"/>
          <w:szCs w:val="20"/>
          <w:lang w:val="en-US"/>
        </w:rPr>
        <w:t>, Vol. 45, No.2, pp. 120-157.</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Deumes, R. and Knechel, W.R. (2008).</w:t>
      </w:r>
      <w:proofErr w:type="gramEnd"/>
      <w:r>
        <w:rPr>
          <w:sz w:val="20"/>
          <w:szCs w:val="20"/>
          <w:lang w:val="en-US"/>
        </w:rPr>
        <w:t xml:space="preserve"> </w:t>
      </w:r>
      <w:proofErr w:type="gramStart"/>
      <w:r>
        <w:rPr>
          <w:sz w:val="20"/>
          <w:szCs w:val="20"/>
          <w:lang w:val="en-US"/>
        </w:rPr>
        <w:t>Economic incentives for voluntary reporting on internal risk management and control systems.</w:t>
      </w:r>
      <w:proofErr w:type="gramEnd"/>
      <w:r>
        <w:rPr>
          <w:sz w:val="20"/>
          <w:szCs w:val="20"/>
          <w:lang w:val="en-US"/>
        </w:rPr>
        <w:t xml:space="preserve"> </w:t>
      </w:r>
      <w:proofErr w:type="gramStart"/>
      <w:r>
        <w:rPr>
          <w:i/>
          <w:sz w:val="20"/>
          <w:szCs w:val="20"/>
          <w:lang w:val="en-US"/>
        </w:rPr>
        <w:t>Auditing: A Journal of Practice and Theory</w:t>
      </w:r>
      <w:r>
        <w:rPr>
          <w:sz w:val="20"/>
          <w:szCs w:val="20"/>
          <w:lang w:val="en-US"/>
        </w:rPr>
        <w:t>, Vol. 27, No. 1, pp. 35-66.</w:t>
      </w:r>
      <w:proofErr w:type="gramEnd"/>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Deegan, C. and Unerman, J. (2006).</w:t>
      </w:r>
      <w:proofErr w:type="gramEnd"/>
      <w:r>
        <w:rPr>
          <w:sz w:val="20"/>
          <w:szCs w:val="20"/>
          <w:lang w:val="en-US"/>
        </w:rPr>
        <w:t xml:space="preserve"> </w:t>
      </w:r>
      <w:proofErr w:type="gramStart"/>
      <w:r>
        <w:rPr>
          <w:sz w:val="20"/>
          <w:szCs w:val="20"/>
          <w:lang w:val="en-US"/>
        </w:rPr>
        <w:t>Financial Accounting Theory.</w:t>
      </w:r>
      <w:proofErr w:type="gramEnd"/>
      <w:r>
        <w:rPr>
          <w:sz w:val="20"/>
          <w:szCs w:val="20"/>
          <w:lang w:val="en-US"/>
        </w:rPr>
        <w:t xml:space="preserve"> McGrawHill, New York. </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Diamond, D. and Verrecchia, R. (1991).</w:t>
      </w:r>
      <w:proofErr w:type="gramEnd"/>
      <w:r>
        <w:rPr>
          <w:sz w:val="20"/>
          <w:szCs w:val="20"/>
          <w:lang w:val="en-US"/>
        </w:rPr>
        <w:t xml:space="preserve"> </w:t>
      </w:r>
      <w:proofErr w:type="gramStart"/>
      <w:r>
        <w:rPr>
          <w:sz w:val="20"/>
          <w:szCs w:val="20"/>
          <w:lang w:val="en-US"/>
        </w:rPr>
        <w:t>Disclosure, liquidity, and the cost of capital.</w:t>
      </w:r>
      <w:proofErr w:type="gramEnd"/>
      <w:r>
        <w:rPr>
          <w:sz w:val="20"/>
          <w:szCs w:val="20"/>
          <w:lang w:val="en-US"/>
        </w:rPr>
        <w:t xml:space="preserve"> </w:t>
      </w:r>
      <w:r>
        <w:rPr>
          <w:i/>
          <w:sz w:val="20"/>
          <w:szCs w:val="20"/>
          <w:lang w:val="en-US"/>
        </w:rPr>
        <w:t>The Journal of Finance 66</w:t>
      </w:r>
      <w:r>
        <w:rPr>
          <w:sz w:val="20"/>
          <w:szCs w:val="20"/>
          <w:lang w:val="en-US"/>
        </w:rPr>
        <w:t>, pp. 1325-1355.</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Dobler, M. (2005).</w:t>
      </w:r>
      <w:proofErr w:type="gramEnd"/>
      <w:r>
        <w:rPr>
          <w:sz w:val="20"/>
          <w:szCs w:val="20"/>
          <w:lang w:val="en-US"/>
        </w:rPr>
        <w:t xml:space="preserve"> How Informative is Risk Reporting? </w:t>
      </w:r>
      <w:proofErr w:type="gramStart"/>
      <w:r>
        <w:rPr>
          <w:sz w:val="20"/>
          <w:szCs w:val="20"/>
          <w:lang w:val="en-US"/>
        </w:rPr>
        <w:t>A review of Disclosure Models.</w:t>
      </w:r>
      <w:proofErr w:type="gramEnd"/>
      <w:r>
        <w:rPr>
          <w:sz w:val="20"/>
          <w:szCs w:val="20"/>
          <w:lang w:val="en-US"/>
        </w:rPr>
        <w:t xml:space="preserve"> </w:t>
      </w:r>
      <w:proofErr w:type="gramStart"/>
      <w:r>
        <w:rPr>
          <w:sz w:val="20"/>
          <w:szCs w:val="20"/>
          <w:lang w:val="en-US"/>
        </w:rPr>
        <w:t>Working Paper, Munich Business Research.</w:t>
      </w:r>
      <w:proofErr w:type="gramEnd"/>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Dobler, M. (2008).</w:t>
      </w:r>
      <w:proofErr w:type="gramEnd"/>
      <w:r>
        <w:rPr>
          <w:sz w:val="20"/>
          <w:szCs w:val="20"/>
          <w:lang w:val="en-US"/>
        </w:rPr>
        <w:t xml:space="preserve"> Incentives for risk reporting – A discretionary disclosure and cheap talk approach. </w:t>
      </w:r>
      <w:r>
        <w:rPr>
          <w:i/>
          <w:sz w:val="20"/>
          <w:szCs w:val="20"/>
          <w:lang w:val="en-US"/>
        </w:rPr>
        <w:t>The International Journal of Accounting</w:t>
      </w:r>
      <w:r>
        <w:rPr>
          <w:sz w:val="20"/>
          <w:szCs w:val="20"/>
          <w:lang w:val="en-US"/>
        </w:rPr>
        <w:t>, Vol. 43, pp. 184-206.</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fr-FR"/>
        </w:rPr>
        <w:t xml:space="preserve">Dye, R.A. (2001). </w:t>
      </w:r>
      <w:proofErr w:type="gramStart"/>
      <w:r>
        <w:rPr>
          <w:sz w:val="20"/>
          <w:szCs w:val="20"/>
          <w:lang w:val="en-US"/>
        </w:rPr>
        <w:t>An evaluation of essays on disclosure and the disclosure literature in accounting.</w:t>
      </w:r>
      <w:proofErr w:type="gramEnd"/>
      <w:r>
        <w:rPr>
          <w:sz w:val="20"/>
          <w:szCs w:val="20"/>
          <w:lang w:val="en-US"/>
        </w:rPr>
        <w:t xml:space="preserve"> </w:t>
      </w:r>
      <w:r>
        <w:rPr>
          <w:i/>
          <w:sz w:val="20"/>
          <w:szCs w:val="20"/>
          <w:lang w:val="en-US"/>
        </w:rPr>
        <w:t>Journal of Accounting and Economics</w:t>
      </w:r>
      <w:r>
        <w:rPr>
          <w:sz w:val="20"/>
          <w:szCs w:val="20"/>
          <w:lang w:val="en-US"/>
        </w:rPr>
        <w:t>, Vol. 31, pp. 181-235.</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Ernst and Young</w:t>
      </w:r>
      <w:proofErr w:type="gramStart"/>
      <w:r>
        <w:rPr>
          <w:sz w:val="20"/>
          <w:szCs w:val="20"/>
          <w:lang w:val="en-US"/>
        </w:rPr>
        <w:t>  (</w:t>
      </w:r>
      <w:proofErr w:type="gramEnd"/>
      <w:r>
        <w:rPr>
          <w:sz w:val="20"/>
          <w:szCs w:val="20"/>
          <w:lang w:val="en-US"/>
        </w:rPr>
        <w:t xml:space="preserve">2008). </w:t>
      </w:r>
      <w:r>
        <w:rPr>
          <w:sz w:val="20"/>
          <w:szCs w:val="20"/>
        </w:rPr>
        <w:t xml:space="preserve">De risicoparagraaf: Wat moet erin?. </w:t>
      </w:r>
      <w:r>
        <w:rPr>
          <w:sz w:val="20"/>
          <w:szCs w:val="20"/>
          <w:lang w:val="en-US"/>
        </w:rPr>
        <w:t>Brochure EY on Finance, pp. 22-24.</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Field, A</w:t>
      </w:r>
      <w:proofErr w:type="gramStart"/>
      <w:r>
        <w:rPr>
          <w:sz w:val="20"/>
          <w:szCs w:val="20"/>
          <w:lang w:val="en-US"/>
        </w:rPr>
        <w:t>.(</w:t>
      </w:r>
      <w:proofErr w:type="gramEnd"/>
      <w:r>
        <w:rPr>
          <w:sz w:val="20"/>
          <w:szCs w:val="20"/>
          <w:lang w:val="en-US"/>
        </w:rPr>
        <w:t xml:space="preserve">2009). </w:t>
      </w:r>
      <w:proofErr w:type="gramStart"/>
      <w:r>
        <w:rPr>
          <w:sz w:val="20"/>
          <w:szCs w:val="20"/>
          <w:lang w:val="en-US"/>
        </w:rPr>
        <w:t>Discovering statistics using SPSS.</w:t>
      </w:r>
      <w:proofErr w:type="gramEnd"/>
      <w:r>
        <w:rPr>
          <w:sz w:val="20"/>
          <w:szCs w:val="20"/>
          <w:lang w:val="en-US"/>
        </w:rPr>
        <w:t xml:space="preserve"> </w:t>
      </w:r>
      <w:proofErr w:type="gramStart"/>
      <w:r>
        <w:rPr>
          <w:sz w:val="20"/>
          <w:szCs w:val="20"/>
          <w:lang w:val="en-US"/>
        </w:rPr>
        <w:t>Sage Publications, London.</w:t>
      </w:r>
      <w:proofErr w:type="gramEnd"/>
    </w:p>
    <w:p w:rsidR="00AE4097" w:rsidRDefault="00AE4097" w:rsidP="00AE4097">
      <w:pPr>
        <w:pStyle w:val="ecxmsonormal"/>
        <w:shd w:val="clear" w:color="auto" w:fill="FFFFFF"/>
        <w:spacing w:after="0" w:line="276" w:lineRule="auto"/>
        <w:jc w:val="both"/>
        <w:rPr>
          <w:sz w:val="20"/>
          <w:szCs w:val="20"/>
          <w:highlight w:val="yellow"/>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Francis, J., Philbrick, D. and Schipper, K. (1994).</w:t>
      </w:r>
      <w:proofErr w:type="gramEnd"/>
      <w:r>
        <w:rPr>
          <w:sz w:val="20"/>
          <w:szCs w:val="20"/>
          <w:lang w:val="en-US"/>
        </w:rPr>
        <w:t xml:space="preserve"> </w:t>
      </w:r>
      <w:proofErr w:type="gramStart"/>
      <w:r>
        <w:rPr>
          <w:sz w:val="20"/>
          <w:szCs w:val="20"/>
          <w:lang w:val="en-US"/>
        </w:rPr>
        <w:t>Shareholder litigation and corporate disclosures.</w:t>
      </w:r>
      <w:proofErr w:type="gramEnd"/>
      <w:r>
        <w:rPr>
          <w:sz w:val="20"/>
          <w:szCs w:val="20"/>
          <w:lang w:val="en-US"/>
        </w:rPr>
        <w:t xml:space="preserve"> </w:t>
      </w:r>
      <w:proofErr w:type="gramStart"/>
      <w:r>
        <w:rPr>
          <w:i/>
          <w:sz w:val="20"/>
          <w:szCs w:val="20"/>
          <w:lang w:val="en-US"/>
        </w:rPr>
        <w:t>Journal of Accounting Research</w:t>
      </w:r>
      <w:r>
        <w:rPr>
          <w:sz w:val="20"/>
          <w:szCs w:val="20"/>
          <w:lang w:val="en-US"/>
        </w:rPr>
        <w:t>.</w:t>
      </w:r>
      <w:proofErr w:type="gramEnd"/>
      <w:r>
        <w:rPr>
          <w:sz w:val="20"/>
          <w:szCs w:val="20"/>
          <w:lang w:val="en-US"/>
        </w:rPr>
        <w:t xml:space="preserve"> Vol. 32, pp. 137-164.</w:t>
      </w: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Fuller, J. and Jensen, M.C. (2002).</w:t>
      </w:r>
      <w:proofErr w:type="gramEnd"/>
      <w:r>
        <w:rPr>
          <w:sz w:val="20"/>
          <w:szCs w:val="20"/>
          <w:lang w:val="en-US"/>
        </w:rPr>
        <w:t xml:space="preserve"> Just say no to Wall Street. </w:t>
      </w:r>
      <w:r>
        <w:rPr>
          <w:i/>
          <w:sz w:val="20"/>
          <w:szCs w:val="20"/>
          <w:lang w:val="en-US"/>
        </w:rPr>
        <w:t>Journal of Applied Corporate Finance</w:t>
      </w:r>
      <w:r>
        <w:rPr>
          <w:sz w:val="20"/>
          <w:szCs w:val="20"/>
          <w:lang w:val="en-US"/>
        </w:rPr>
        <w:t xml:space="preserve">, Vol. 14, No. 4, pp. 41-46. </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fr-FR"/>
        </w:rPr>
        <w:t xml:space="preserve">Gauthier, S.J. (2006). </w:t>
      </w:r>
      <w:proofErr w:type="gramStart"/>
      <w:r>
        <w:rPr>
          <w:sz w:val="20"/>
          <w:szCs w:val="20"/>
          <w:lang w:val="en-US"/>
        </w:rPr>
        <w:t>Understanding Internal Control.</w:t>
      </w:r>
      <w:proofErr w:type="gramEnd"/>
      <w:r>
        <w:rPr>
          <w:sz w:val="20"/>
          <w:szCs w:val="20"/>
          <w:lang w:val="en-US"/>
        </w:rPr>
        <w:t xml:space="preserve"> </w:t>
      </w:r>
      <w:r>
        <w:rPr>
          <w:i/>
          <w:sz w:val="20"/>
          <w:szCs w:val="20"/>
          <w:lang w:val="en-US"/>
        </w:rPr>
        <w:t>Government Finance Review</w:t>
      </w:r>
      <w:r>
        <w:rPr>
          <w:sz w:val="20"/>
          <w:szCs w:val="20"/>
          <w:lang w:val="en-US"/>
        </w:rPr>
        <w:t>, pp. 10-16.</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Graham, R., Harvey, C. and Rajgopal S. (2005).</w:t>
      </w:r>
      <w:proofErr w:type="gramEnd"/>
      <w:r>
        <w:rPr>
          <w:sz w:val="20"/>
          <w:szCs w:val="20"/>
          <w:lang w:val="en-US"/>
        </w:rPr>
        <w:t xml:space="preserve"> </w:t>
      </w:r>
      <w:proofErr w:type="gramStart"/>
      <w:r>
        <w:rPr>
          <w:sz w:val="20"/>
          <w:szCs w:val="20"/>
          <w:lang w:val="en-US"/>
        </w:rPr>
        <w:t>The economic implications of corporate financial reporting.</w:t>
      </w:r>
      <w:proofErr w:type="gramEnd"/>
      <w:r>
        <w:rPr>
          <w:sz w:val="20"/>
          <w:szCs w:val="20"/>
          <w:lang w:val="en-US"/>
        </w:rPr>
        <w:t xml:space="preserve"> </w:t>
      </w:r>
      <w:r>
        <w:rPr>
          <w:i/>
          <w:iCs/>
          <w:sz w:val="20"/>
          <w:szCs w:val="20"/>
          <w:lang w:val="en-US"/>
        </w:rPr>
        <w:t>The Journal of Accounting and Economics</w:t>
      </w:r>
      <w:r>
        <w:rPr>
          <w:sz w:val="20"/>
          <w:szCs w:val="20"/>
          <w:lang w:val="en-US"/>
        </w:rPr>
        <w:t>, Vol. 40, pp. 3-73.</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Gray, R., Kouhy, R. and Lavers, S. (1995a). </w:t>
      </w:r>
      <w:proofErr w:type="gramStart"/>
      <w:r>
        <w:rPr>
          <w:sz w:val="20"/>
          <w:szCs w:val="20"/>
          <w:lang w:val="en-US"/>
        </w:rPr>
        <w:t>Corporate social and environmental reporting.</w:t>
      </w:r>
      <w:proofErr w:type="gramEnd"/>
      <w:r>
        <w:rPr>
          <w:sz w:val="20"/>
          <w:szCs w:val="20"/>
          <w:lang w:val="en-US"/>
        </w:rPr>
        <w:t xml:space="preserve"> </w:t>
      </w:r>
      <w:proofErr w:type="gramStart"/>
      <w:r>
        <w:rPr>
          <w:sz w:val="20"/>
          <w:szCs w:val="20"/>
          <w:lang w:val="en-US"/>
        </w:rPr>
        <w:t xml:space="preserve">A review of the literature and a longitudinal study of </w:t>
      </w:r>
      <w:r w:rsidR="00F073FE">
        <w:rPr>
          <w:sz w:val="20"/>
          <w:szCs w:val="20"/>
          <w:lang w:val="en-US"/>
        </w:rPr>
        <w:t>UK</w:t>
      </w:r>
      <w:r>
        <w:rPr>
          <w:sz w:val="20"/>
          <w:szCs w:val="20"/>
          <w:lang w:val="en-US"/>
        </w:rPr>
        <w:t xml:space="preserve"> disclosure.</w:t>
      </w:r>
      <w:proofErr w:type="gramEnd"/>
      <w:r>
        <w:rPr>
          <w:sz w:val="20"/>
          <w:szCs w:val="20"/>
          <w:lang w:val="en-US"/>
        </w:rPr>
        <w:t xml:space="preserve"> </w:t>
      </w:r>
      <w:proofErr w:type="gramStart"/>
      <w:r>
        <w:rPr>
          <w:i/>
          <w:sz w:val="20"/>
          <w:szCs w:val="20"/>
          <w:lang w:val="en-US"/>
        </w:rPr>
        <w:t>Accounting, Auditing and Accountability Journal</w:t>
      </w:r>
      <w:r>
        <w:rPr>
          <w:sz w:val="20"/>
          <w:szCs w:val="20"/>
          <w:lang w:val="en-US"/>
        </w:rPr>
        <w:t>, Vol. 8, No.2, pp. 47-77.</w:t>
      </w:r>
      <w:proofErr w:type="gramEnd"/>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rPr>
      </w:pPr>
      <w:r>
        <w:rPr>
          <w:sz w:val="20"/>
          <w:szCs w:val="20"/>
        </w:rPr>
        <w:lastRenderedPageBreak/>
        <w:t xml:space="preserve">Groenland, J., Daals, R. en Von </w:t>
      </w:r>
      <w:proofErr w:type="gramStart"/>
      <w:r>
        <w:rPr>
          <w:sz w:val="20"/>
          <w:szCs w:val="20"/>
        </w:rPr>
        <w:t>Eije ,</w:t>
      </w:r>
      <w:proofErr w:type="gramEnd"/>
      <w:r>
        <w:rPr>
          <w:sz w:val="20"/>
          <w:szCs w:val="20"/>
        </w:rPr>
        <w:t xml:space="preserve"> H. (2006). De Tabaksblat risicoparagraaf in Nederlandse jaarverslagen: een eerste analyse van inhoud en effect. </w:t>
      </w:r>
      <w:r>
        <w:rPr>
          <w:i/>
          <w:iCs/>
          <w:sz w:val="20"/>
          <w:szCs w:val="20"/>
        </w:rPr>
        <w:t>Maandblad voor Accountancy en Bedrijfseconomie</w:t>
      </w:r>
      <w:r>
        <w:rPr>
          <w:sz w:val="20"/>
          <w:szCs w:val="20"/>
        </w:rPr>
        <w:t>, pp. 93-99.</w:t>
      </w:r>
    </w:p>
    <w:p w:rsidR="00AE4097" w:rsidRDefault="00AE4097" w:rsidP="00AE4097">
      <w:pPr>
        <w:pStyle w:val="ecxmsonormal"/>
        <w:shd w:val="clear" w:color="auto" w:fill="FFFFFF"/>
        <w:spacing w:after="0" w:line="276" w:lineRule="auto"/>
        <w:jc w:val="both"/>
        <w:rPr>
          <w:sz w:val="20"/>
          <w:szCs w:val="20"/>
        </w:rPr>
      </w:pPr>
      <w:r>
        <w:rPr>
          <w:sz w:val="20"/>
          <w:szCs w:val="20"/>
        </w:rPr>
        <w:t> </w:t>
      </w:r>
    </w:p>
    <w:p w:rsidR="00AE4097" w:rsidRDefault="00AE4097" w:rsidP="00AE4097">
      <w:pPr>
        <w:pStyle w:val="ecxmsonormal"/>
        <w:shd w:val="clear" w:color="auto" w:fill="FFFFFF"/>
        <w:spacing w:after="0" w:line="276" w:lineRule="auto"/>
        <w:jc w:val="both"/>
        <w:rPr>
          <w:sz w:val="20"/>
          <w:szCs w:val="20"/>
          <w:lang w:val="en-US"/>
        </w:rPr>
      </w:pPr>
      <w:r>
        <w:rPr>
          <w:sz w:val="20"/>
          <w:szCs w:val="20"/>
        </w:rPr>
        <w:t>Groot, J. de (2008). ‘</w:t>
      </w:r>
      <w:r w:rsidRPr="00466506">
        <w:rPr>
          <w:sz w:val="20"/>
          <w:szCs w:val="20"/>
          <w:lang w:val="en-US"/>
        </w:rPr>
        <w:t>Accounting for risks’: De</w:t>
      </w:r>
      <w:r>
        <w:rPr>
          <w:sz w:val="20"/>
          <w:szCs w:val="20"/>
        </w:rPr>
        <w:t xml:space="preserve"> risicoparagraaf in het jaarverslag. </w:t>
      </w:r>
      <w:r>
        <w:rPr>
          <w:i/>
          <w:iCs/>
          <w:sz w:val="20"/>
          <w:szCs w:val="20"/>
          <w:lang w:val="en-US"/>
        </w:rPr>
        <w:t>Management Executive</w:t>
      </w:r>
      <w:r>
        <w:rPr>
          <w:sz w:val="20"/>
          <w:szCs w:val="20"/>
          <w:lang w:val="en-US"/>
        </w:rPr>
        <w:t xml:space="preserve">, pp. 50-53. </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Healy, P.M. and Palepu, K.G. (2001).</w:t>
      </w:r>
      <w:proofErr w:type="gramEnd"/>
      <w:r>
        <w:rPr>
          <w:sz w:val="20"/>
          <w:szCs w:val="20"/>
          <w:lang w:val="en-US"/>
        </w:rPr>
        <w:t xml:space="preserve"> Information asymmetry, corporate disclosure, and the capital markets: A review of the empirical disclosure literature. </w:t>
      </w:r>
      <w:r>
        <w:rPr>
          <w:i/>
          <w:iCs/>
          <w:sz w:val="20"/>
          <w:szCs w:val="20"/>
          <w:lang w:val="en-US"/>
        </w:rPr>
        <w:t>Journal of Accounting and Economics</w:t>
      </w:r>
      <w:r>
        <w:rPr>
          <w:sz w:val="20"/>
          <w:szCs w:val="20"/>
          <w:lang w:val="en-US"/>
        </w:rPr>
        <w:t>, Vol. 31, pp. 405-440.</w:t>
      </w:r>
    </w:p>
    <w:p w:rsidR="00AE4097" w:rsidRDefault="00AE4097" w:rsidP="00AE4097">
      <w:pPr>
        <w:pStyle w:val="ecxmsonormal"/>
        <w:shd w:val="clear" w:color="auto" w:fill="FFFFFF"/>
        <w:spacing w:after="0" w:line="276" w:lineRule="auto"/>
        <w:jc w:val="both"/>
        <w:rPr>
          <w:sz w:val="20"/>
          <w:szCs w:val="20"/>
          <w:lang w:val="en-US"/>
        </w:rPr>
      </w:pPr>
    </w:p>
    <w:p w:rsidR="008131D1" w:rsidRDefault="005C1394" w:rsidP="00AE4097">
      <w:pPr>
        <w:pStyle w:val="ecxmsonormal"/>
        <w:shd w:val="clear" w:color="auto" w:fill="FFFFFF"/>
        <w:spacing w:after="0" w:line="276" w:lineRule="auto"/>
        <w:jc w:val="both"/>
        <w:rPr>
          <w:sz w:val="20"/>
          <w:szCs w:val="20"/>
          <w:lang w:val="en-US"/>
        </w:rPr>
      </w:pPr>
      <w:proofErr w:type="gramStart"/>
      <w:r w:rsidRPr="005C1394">
        <w:rPr>
          <w:sz w:val="20"/>
          <w:szCs w:val="20"/>
          <w:lang w:val="en-US"/>
        </w:rPr>
        <w:t xml:space="preserve">Helbok, G. </w:t>
      </w:r>
      <w:r w:rsidR="00AE4097" w:rsidRPr="005C1394">
        <w:rPr>
          <w:sz w:val="20"/>
          <w:szCs w:val="20"/>
          <w:lang w:val="en-US"/>
        </w:rPr>
        <w:t>and Wagner</w:t>
      </w:r>
      <w:r w:rsidRPr="005C1394">
        <w:rPr>
          <w:sz w:val="20"/>
          <w:szCs w:val="20"/>
          <w:lang w:val="en-US"/>
        </w:rPr>
        <w:t>, C.</w:t>
      </w:r>
      <w:r w:rsidR="00AE4097" w:rsidRPr="005C1394">
        <w:rPr>
          <w:sz w:val="20"/>
          <w:szCs w:val="20"/>
          <w:lang w:val="en-US"/>
        </w:rPr>
        <w:t xml:space="preserve"> (2006).</w:t>
      </w:r>
      <w:proofErr w:type="gramEnd"/>
      <w:r w:rsidRPr="005C1394">
        <w:rPr>
          <w:sz w:val="20"/>
          <w:szCs w:val="20"/>
          <w:lang w:val="en-US"/>
        </w:rPr>
        <w:t xml:space="preserve"> Determinants of operational risk reporting in the banking industry. </w:t>
      </w:r>
      <w:r w:rsidRPr="005C1394">
        <w:rPr>
          <w:i/>
          <w:sz w:val="20"/>
          <w:szCs w:val="20"/>
          <w:lang w:val="en-US"/>
        </w:rPr>
        <w:t>Journal of Risk</w:t>
      </w:r>
      <w:r>
        <w:rPr>
          <w:sz w:val="20"/>
          <w:szCs w:val="20"/>
          <w:lang w:val="en-US"/>
        </w:rPr>
        <w:t xml:space="preserve">, Vol. 9, </w:t>
      </w:r>
      <w:r w:rsidRPr="005C1394">
        <w:rPr>
          <w:sz w:val="20"/>
          <w:szCs w:val="20"/>
          <w:lang w:val="en-US"/>
        </w:rPr>
        <w:t>No.1, pp. 49-74.</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Holsti, O.R. (1969). </w:t>
      </w:r>
      <w:proofErr w:type="gramStart"/>
      <w:r>
        <w:rPr>
          <w:sz w:val="20"/>
          <w:szCs w:val="20"/>
          <w:lang w:val="en-US"/>
        </w:rPr>
        <w:t>Content Analysis for the Social Sciences and Humanities.</w:t>
      </w:r>
      <w:proofErr w:type="gramEnd"/>
      <w:r>
        <w:rPr>
          <w:sz w:val="20"/>
          <w:szCs w:val="20"/>
          <w:lang w:val="en-US"/>
        </w:rPr>
        <w:t xml:space="preserve"> </w:t>
      </w:r>
      <w:proofErr w:type="gramStart"/>
      <w:r>
        <w:rPr>
          <w:sz w:val="20"/>
          <w:szCs w:val="20"/>
          <w:lang w:val="en-US"/>
        </w:rPr>
        <w:t>Addison-Wesley, London.</w:t>
      </w:r>
      <w:proofErr w:type="gramEnd"/>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Hutton, A. (2004). </w:t>
      </w:r>
      <w:r w:rsidR="005C1394">
        <w:rPr>
          <w:sz w:val="20"/>
          <w:szCs w:val="20"/>
          <w:lang w:val="en-US"/>
        </w:rPr>
        <w:t>Beyond</w:t>
      </w:r>
      <w:r>
        <w:rPr>
          <w:sz w:val="20"/>
          <w:szCs w:val="20"/>
          <w:lang w:val="en-US"/>
        </w:rPr>
        <w:t xml:space="preserve"> financial reporting: An integrated approach to disclosure. </w:t>
      </w:r>
      <w:r>
        <w:rPr>
          <w:i/>
          <w:sz w:val="20"/>
          <w:szCs w:val="20"/>
          <w:lang w:val="en-US"/>
        </w:rPr>
        <w:t>Journal of Applied Corporate Finance</w:t>
      </w:r>
      <w:r>
        <w:rPr>
          <w:sz w:val="20"/>
          <w:szCs w:val="20"/>
          <w:lang w:val="en-US"/>
        </w:rPr>
        <w:t>, Vol. 16, No. 4, pp. 8-16.</w:t>
      </w: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Institute of Chartered Accountants in England and Wales (ICAEW) (1998).</w:t>
      </w:r>
      <w:proofErr w:type="gramEnd"/>
      <w:r>
        <w:rPr>
          <w:sz w:val="20"/>
          <w:szCs w:val="20"/>
          <w:lang w:val="en-US"/>
        </w:rPr>
        <w:t xml:space="preserve"> Financial Reporting of Risk - Proposals for a statement of Business Risk, London.</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Institute of Chartered Accountants in England and Wales (ICAEW) (1999).</w:t>
      </w:r>
      <w:proofErr w:type="gramEnd"/>
      <w:r>
        <w:rPr>
          <w:sz w:val="20"/>
          <w:szCs w:val="20"/>
          <w:lang w:val="en-US"/>
        </w:rPr>
        <w:t xml:space="preserve"> No surprises: The case for better risk reporting, London.</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Inchausti, B.G. (1997). </w:t>
      </w:r>
      <w:proofErr w:type="gramStart"/>
      <w:r>
        <w:rPr>
          <w:sz w:val="20"/>
          <w:szCs w:val="20"/>
          <w:lang w:val="en-US"/>
        </w:rPr>
        <w:t>The influence of company c</w:t>
      </w:r>
      <w:r w:rsidR="00466506">
        <w:rPr>
          <w:sz w:val="20"/>
          <w:szCs w:val="20"/>
          <w:lang w:val="en-US"/>
        </w:rPr>
        <w:t>h</w:t>
      </w:r>
      <w:r>
        <w:rPr>
          <w:sz w:val="20"/>
          <w:szCs w:val="20"/>
          <w:lang w:val="en-US"/>
        </w:rPr>
        <w:t xml:space="preserve">aracteristics and accounting </w:t>
      </w:r>
      <w:r w:rsidR="00466506">
        <w:rPr>
          <w:sz w:val="20"/>
          <w:szCs w:val="20"/>
          <w:lang w:val="en-US"/>
        </w:rPr>
        <w:t>regulation</w:t>
      </w:r>
      <w:r>
        <w:rPr>
          <w:sz w:val="20"/>
          <w:szCs w:val="20"/>
          <w:lang w:val="en-US"/>
        </w:rPr>
        <w:t xml:space="preserve"> on information disclosed by Spanish firms.</w:t>
      </w:r>
      <w:proofErr w:type="gramEnd"/>
      <w:r>
        <w:rPr>
          <w:sz w:val="20"/>
          <w:szCs w:val="20"/>
          <w:lang w:val="en-US"/>
        </w:rPr>
        <w:t xml:space="preserve"> </w:t>
      </w:r>
      <w:r>
        <w:rPr>
          <w:i/>
          <w:iCs/>
          <w:sz w:val="20"/>
          <w:szCs w:val="20"/>
          <w:lang w:val="en-US"/>
        </w:rPr>
        <w:t>The Eur</w:t>
      </w:r>
      <w:r w:rsidR="00466506">
        <w:rPr>
          <w:i/>
          <w:iCs/>
          <w:sz w:val="20"/>
          <w:szCs w:val="20"/>
          <w:lang w:val="en-US"/>
        </w:rPr>
        <w:t>o</w:t>
      </w:r>
      <w:r>
        <w:rPr>
          <w:i/>
          <w:iCs/>
          <w:sz w:val="20"/>
          <w:szCs w:val="20"/>
          <w:lang w:val="en-US"/>
        </w:rPr>
        <w:t>pean Accounting Review</w:t>
      </w:r>
      <w:r>
        <w:rPr>
          <w:sz w:val="20"/>
          <w:szCs w:val="20"/>
          <w:lang w:val="en-US"/>
        </w:rPr>
        <w:t>, Vol. 6, No. 1, pp. 45-68.</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Industry Classification Benchmark (ICB). </w:t>
      </w:r>
      <w:proofErr w:type="gramStart"/>
      <w:r>
        <w:rPr>
          <w:sz w:val="20"/>
          <w:szCs w:val="20"/>
          <w:lang w:val="en-US"/>
        </w:rPr>
        <w:t>Product Specification.</w:t>
      </w:r>
      <w:proofErr w:type="gramEnd"/>
      <w:r>
        <w:rPr>
          <w:sz w:val="20"/>
          <w:szCs w:val="20"/>
          <w:lang w:val="en-US"/>
        </w:rPr>
        <w:t xml:space="preserve"> </w:t>
      </w:r>
      <w:proofErr w:type="gramStart"/>
      <w:r>
        <w:rPr>
          <w:sz w:val="20"/>
          <w:szCs w:val="20"/>
          <w:lang w:val="en-US"/>
        </w:rPr>
        <w:t>Universe Data Services.</w:t>
      </w:r>
      <w:proofErr w:type="gramEnd"/>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International Financial Reporting Standards (IFRS) IFRS 7: Financial Instruments.</w:t>
      </w:r>
      <w:proofErr w:type="gramEnd"/>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Jones, M.J. and Shoemaker, P.A. (1994).</w:t>
      </w:r>
      <w:proofErr w:type="gramEnd"/>
      <w:r>
        <w:rPr>
          <w:sz w:val="20"/>
          <w:szCs w:val="20"/>
          <w:lang w:val="en-US"/>
        </w:rPr>
        <w:t xml:space="preserve"> </w:t>
      </w:r>
      <w:proofErr w:type="gramStart"/>
      <w:r>
        <w:rPr>
          <w:sz w:val="20"/>
          <w:szCs w:val="20"/>
          <w:lang w:val="en-US"/>
        </w:rPr>
        <w:t>Accounting narratives: A review of empirical studies of content and readability.</w:t>
      </w:r>
      <w:proofErr w:type="gramEnd"/>
      <w:r>
        <w:rPr>
          <w:sz w:val="20"/>
          <w:szCs w:val="20"/>
          <w:lang w:val="en-US"/>
        </w:rPr>
        <w:t xml:space="preserve"> </w:t>
      </w:r>
      <w:r>
        <w:rPr>
          <w:i/>
          <w:sz w:val="20"/>
          <w:szCs w:val="20"/>
          <w:lang w:val="en-US"/>
        </w:rPr>
        <w:t>Journal of Accounting Literature</w:t>
      </w:r>
      <w:r>
        <w:rPr>
          <w:sz w:val="20"/>
          <w:szCs w:val="20"/>
          <w:lang w:val="en-US"/>
        </w:rPr>
        <w:t>, Vol. 13, pp. 142-184.</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Jensen, M.C. and Meckling, W.H. (1976).</w:t>
      </w:r>
      <w:proofErr w:type="gramEnd"/>
      <w:r>
        <w:rPr>
          <w:sz w:val="20"/>
          <w:szCs w:val="20"/>
          <w:lang w:val="en-US"/>
        </w:rPr>
        <w:t xml:space="preserve"> </w:t>
      </w:r>
      <w:proofErr w:type="gramStart"/>
      <w:r>
        <w:rPr>
          <w:sz w:val="20"/>
          <w:szCs w:val="20"/>
          <w:lang w:val="en-US"/>
        </w:rPr>
        <w:t>Theory of the firm; managerial behavior, agency costs and ownership structure.</w:t>
      </w:r>
      <w:proofErr w:type="gramEnd"/>
      <w:r>
        <w:rPr>
          <w:sz w:val="20"/>
          <w:szCs w:val="20"/>
          <w:lang w:val="en-US"/>
        </w:rPr>
        <w:t xml:space="preserve"> </w:t>
      </w:r>
      <w:r>
        <w:rPr>
          <w:i/>
          <w:sz w:val="20"/>
          <w:szCs w:val="20"/>
          <w:lang w:val="en-US"/>
        </w:rPr>
        <w:t>Journal of Financial Economics</w:t>
      </w:r>
      <w:r>
        <w:rPr>
          <w:sz w:val="20"/>
          <w:szCs w:val="20"/>
          <w:lang w:val="en-US"/>
        </w:rPr>
        <w:t>, Vol. 17, pp. 41-68.</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Jorion, P. (1997). Value-at-Risk: The New Benchmark for controlling Market Risk. Chicago.</w:t>
      </w:r>
    </w:p>
    <w:p w:rsidR="00AE4097" w:rsidRDefault="00AE4097" w:rsidP="00AE4097">
      <w:pPr>
        <w:pStyle w:val="ecxmsonormal"/>
        <w:shd w:val="clear" w:color="auto" w:fill="FFFFFF"/>
        <w:spacing w:after="0" w:line="276" w:lineRule="auto"/>
        <w:jc w:val="both"/>
        <w:rPr>
          <w:sz w:val="20"/>
          <w:szCs w:val="20"/>
          <w:highlight w:val="yellow"/>
          <w:lang w:val="en-US"/>
        </w:rPr>
      </w:pPr>
    </w:p>
    <w:p w:rsidR="00AE4097" w:rsidRPr="00466506" w:rsidRDefault="00466506" w:rsidP="00AE4097">
      <w:pPr>
        <w:pStyle w:val="ecxmsonormal"/>
        <w:shd w:val="clear" w:color="auto" w:fill="FFFFFF"/>
        <w:spacing w:after="0" w:line="276" w:lineRule="auto"/>
        <w:jc w:val="both"/>
        <w:rPr>
          <w:sz w:val="20"/>
          <w:szCs w:val="20"/>
          <w:lang w:val="de-DE"/>
        </w:rPr>
      </w:pPr>
      <w:r>
        <w:rPr>
          <w:sz w:val="20"/>
          <w:szCs w:val="20"/>
          <w:lang w:val="en-US"/>
        </w:rPr>
        <w:t xml:space="preserve">Kajüter, P. (2001). </w:t>
      </w:r>
      <w:r w:rsidR="00AE4097" w:rsidRPr="00466506">
        <w:rPr>
          <w:sz w:val="20"/>
          <w:szCs w:val="20"/>
          <w:lang w:val="de-DE"/>
        </w:rPr>
        <w:t>Risikoberichterstattung: Empirische Befunde und der Entwurf der DRS5</w:t>
      </w:r>
      <w:r w:rsidR="00AE4097" w:rsidRPr="00466506">
        <w:rPr>
          <w:i/>
          <w:sz w:val="20"/>
          <w:szCs w:val="20"/>
          <w:lang w:val="de-DE"/>
        </w:rPr>
        <w:t>. Der Betrieb</w:t>
      </w:r>
      <w:r w:rsidR="00AE4097" w:rsidRPr="00466506">
        <w:rPr>
          <w:sz w:val="20"/>
          <w:szCs w:val="20"/>
          <w:lang w:val="de-DE"/>
        </w:rPr>
        <w:t>, Vol.</w:t>
      </w:r>
      <w:r w:rsidR="00AE4097" w:rsidRPr="00466506">
        <w:rPr>
          <w:i/>
          <w:sz w:val="20"/>
          <w:szCs w:val="20"/>
          <w:lang w:val="de-DE"/>
        </w:rPr>
        <w:t xml:space="preserve"> </w:t>
      </w:r>
      <w:r w:rsidR="00AE4097" w:rsidRPr="00466506">
        <w:rPr>
          <w:sz w:val="20"/>
          <w:szCs w:val="20"/>
          <w:lang w:val="de-DE"/>
        </w:rPr>
        <w:t xml:space="preserve">54. </w:t>
      </w:r>
      <w:r w:rsidRPr="00466506">
        <w:rPr>
          <w:sz w:val="20"/>
          <w:szCs w:val="20"/>
          <w:lang w:val="de-DE"/>
        </w:rPr>
        <w:t xml:space="preserve">No. 3, pp. 105-111. </w:t>
      </w:r>
    </w:p>
    <w:p w:rsidR="00AE4097" w:rsidRPr="00466506" w:rsidRDefault="00AE4097" w:rsidP="00AE4097">
      <w:pPr>
        <w:pStyle w:val="ecxmsonormal"/>
        <w:shd w:val="clear" w:color="auto" w:fill="FFFFFF"/>
        <w:spacing w:after="0" w:line="276" w:lineRule="auto"/>
        <w:jc w:val="both"/>
        <w:rPr>
          <w:sz w:val="20"/>
          <w:szCs w:val="20"/>
          <w:lang w:val="de-DE"/>
        </w:rPr>
      </w:pPr>
    </w:p>
    <w:p w:rsidR="00AE4097" w:rsidRPr="00466506" w:rsidRDefault="005C1394" w:rsidP="00AE4097">
      <w:pPr>
        <w:pStyle w:val="ecxmsonormal"/>
        <w:shd w:val="clear" w:color="auto" w:fill="FFFFFF"/>
        <w:spacing w:after="0" w:line="276" w:lineRule="auto"/>
        <w:jc w:val="both"/>
        <w:rPr>
          <w:sz w:val="20"/>
          <w:szCs w:val="20"/>
          <w:lang w:val="de-DE"/>
        </w:rPr>
      </w:pPr>
      <w:r w:rsidRPr="00466506">
        <w:rPr>
          <w:sz w:val="20"/>
          <w:szCs w:val="20"/>
          <w:lang w:val="de-DE"/>
        </w:rPr>
        <w:t>Kajüter, P. and Winkler, C. (</w:t>
      </w:r>
      <w:r w:rsidR="00AE4097" w:rsidRPr="00466506">
        <w:rPr>
          <w:sz w:val="20"/>
          <w:szCs w:val="20"/>
          <w:lang w:val="de-DE"/>
        </w:rPr>
        <w:t>2003).</w:t>
      </w:r>
      <w:r w:rsidRPr="00466506">
        <w:rPr>
          <w:sz w:val="20"/>
          <w:szCs w:val="20"/>
          <w:lang w:val="de-DE"/>
        </w:rPr>
        <w:t xml:space="preserve"> Die Risikoberichterstattung der DAX100-Unternehmen</w:t>
      </w:r>
      <w:r w:rsidR="00466506">
        <w:rPr>
          <w:sz w:val="20"/>
          <w:szCs w:val="20"/>
          <w:lang w:val="de-DE"/>
        </w:rPr>
        <w:t xml:space="preserve"> im Zeitverg</w:t>
      </w:r>
      <w:r w:rsidRPr="00466506">
        <w:rPr>
          <w:sz w:val="20"/>
          <w:szCs w:val="20"/>
          <w:lang w:val="de-DE"/>
        </w:rPr>
        <w:t xml:space="preserve">leich. </w:t>
      </w:r>
      <w:r w:rsidRPr="00466506">
        <w:rPr>
          <w:i/>
          <w:sz w:val="20"/>
          <w:szCs w:val="20"/>
          <w:lang w:val="de-DE"/>
        </w:rPr>
        <w:t>Kapitalmarktorientierte Rechnungslegung</w:t>
      </w:r>
      <w:r w:rsidRPr="00466506">
        <w:rPr>
          <w:sz w:val="20"/>
          <w:szCs w:val="20"/>
          <w:lang w:val="de-DE"/>
        </w:rPr>
        <w:t>, Vol. 5, pp. 217-228.</w:t>
      </w:r>
    </w:p>
    <w:p w:rsidR="008131D1" w:rsidRDefault="008131D1"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Kim, O. and Verrecchia, R. (1994).</w:t>
      </w:r>
      <w:proofErr w:type="gramEnd"/>
      <w:r>
        <w:rPr>
          <w:sz w:val="20"/>
          <w:szCs w:val="20"/>
          <w:lang w:val="en-US"/>
        </w:rPr>
        <w:t xml:space="preserve"> </w:t>
      </w:r>
      <w:proofErr w:type="gramStart"/>
      <w:r>
        <w:rPr>
          <w:sz w:val="20"/>
          <w:szCs w:val="20"/>
          <w:lang w:val="en-US"/>
        </w:rPr>
        <w:t>Market liquidity and volume around earnings announcements.</w:t>
      </w:r>
      <w:proofErr w:type="gramEnd"/>
      <w:r>
        <w:rPr>
          <w:sz w:val="20"/>
          <w:szCs w:val="20"/>
          <w:lang w:val="en-US"/>
        </w:rPr>
        <w:t xml:space="preserve"> </w:t>
      </w:r>
      <w:r>
        <w:rPr>
          <w:i/>
          <w:sz w:val="20"/>
          <w:szCs w:val="20"/>
          <w:lang w:val="en-US"/>
        </w:rPr>
        <w:t>Journal of Accounting and Economics</w:t>
      </w:r>
      <w:r>
        <w:rPr>
          <w:sz w:val="20"/>
          <w:szCs w:val="20"/>
          <w:lang w:val="en-US"/>
        </w:rPr>
        <w:t>, Vol. 17, pp. 41-68.</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KPMG (2009).</w:t>
      </w:r>
      <w:proofErr w:type="gramEnd"/>
      <w:r>
        <w:rPr>
          <w:sz w:val="20"/>
          <w:szCs w:val="20"/>
          <w:lang w:val="en-US"/>
        </w:rPr>
        <w:t xml:space="preserve"> </w:t>
      </w:r>
      <w:proofErr w:type="gramStart"/>
      <w:r>
        <w:rPr>
          <w:sz w:val="20"/>
          <w:szCs w:val="20"/>
          <w:lang w:val="en-US"/>
        </w:rPr>
        <w:t>Never again?</w:t>
      </w:r>
      <w:proofErr w:type="gramEnd"/>
      <w:r>
        <w:rPr>
          <w:sz w:val="20"/>
          <w:szCs w:val="20"/>
          <w:lang w:val="en-US"/>
        </w:rPr>
        <w:t xml:space="preserve"> </w:t>
      </w:r>
      <w:proofErr w:type="gramStart"/>
      <w:r>
        <w:rPr>
          <w:sz w:val="20"/>
          <w:szCs w:val="20"/>
          <w:lang w:val="en-US"/>
        </w:rPr>
        <w:t>Risk management in banking beyond the credit crisis.</w:t>
      </w:r>
      <w:proofErr w:type="gramEnd"/>
    </w:p>
    <w:p w:rsidR="00AE4097" w:rsidRDefault="00AE4097" w:rsidP="00AE4097">
      <w:pPr>
        <w:pStyle w:val="ecxmsonormal"/>
        <w:shd w:val="clear" w:color="auto" w:fill="FFFFFF"/>
        <w:spacing w:after="0" w:line="276" w:lineRule="auto"/>
        <w:jc w:val="both"/>
        <w:rPr>
          <w:sz w:val="20"/>
          <w:szCs w:val="20"/>
          <w:highlight w:val="yellow"/>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Krippendorff, K. (1980). Content Analysis: An Introduction to its Methodology. </w:t>
      </w:r>
      <w:proofErr w:type="gramStart"/>
      <w:r>
        <w:rPr>
          <w:sz w:val="20"/>
          <w:szCs w:val="20"/>
          <w:lang w:val="en-US"/>
        </w:rPr>
        <w:t>Sage, Beverly Hills.</w:t>
      </w:r>
      <w:proofErr w:type="gramEnd"/>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Lajili, K. and Zéghal, D. (2005).</w:t>
      </w:r>
      <w:proofErr w:type="gramEnd"/>
      <w:r>
        <w:rPr>
          <w:sz w:val="20"/>
          <w:szCs w:val="20"/>
          <w:lang w:val="en-US"/>
        </w:rPr>
        <w:t xml:space="preserve"> </w:t>
      </w:r>
      <w:proofErr w:type="gramStart"/>
      <w:r>
        <w:rPr>
          <w:sz w:val="20"/>
          <w:szCs w:val="20"/>
          <w:lang w:val="en-US"/>
        </w:rPr>
        <w:t>A Content Analysis of Risk Management Disclosures in Canadian Annual Reports.</w:t>
      </w:r>
      <w:proofErr w:type="gramEnd"/>
      <w:r>
        <w:rPr>
          <w:sz w:val="20"/>
          <w:szCs w:val="20"/>
          <w:lang w:val="en-US"/>
        </w:rPr>
        <w:t xml:space="preserve"> </w:t>
      </w:r>
      <w:r>
        <w:rPr>
          <w:i/>
          <w:iCs/>
          <w:sz w:val="20"/>
          <w:szCs w:val="20"/>
          <w:lang w:val="en-US"/>
        </w:rPr>
        <w:t>Canadian Journal of Administrative Sciences</w:t>
      </w:r>
      <w:r>
        <w:rPr>
          <w:sz w:val="20"/>
          <w:szCs w:val="20"/>
          <w:lang w:val="en-US"/>
        </w:rPr>
        <w:t>, Vol. 22, No. 2, pp. 125-142.</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lastRenderedPageBreak/>
        <w:t>Lang, M.H. and Lundholm, R.J. (1993).</w:t>
      </w:r>
      <w:proofErr w:type="gramEnd"/>
      <w:r>
        <w:rPr>
          <w:sz w:val="20"/>
          <w:szCs w:val="20"/>
          <w:lang w:val="en-US"/>
        </w:rPr>
        <w:t xml:space="preserve"> </w:t>
      </w:r>
      <w:proofErr w:type="gramStart"/>
      <w:r>
        <w:rPr>
          <w:sz w:val="20"/>
          <w:szCs w:val="20"/>
          <w:lang w:val="en-US"/>
        </w:rPr>
        <w:t>Cross-sectional determinants of analyst ratings of corporate disclosures.</w:t>
      </w:r>
      <w:proofErr w:type="gramEnd"/>
      <w:r>
        <w:rPr>
          <w:sz w:val="20"/>
          <w:szCs w:val="20"/>
          <w:lang w:val="en-US"/>
        </w:rPr>
        <w:t xml:space="preserve"> </w:t>
      </w:r>
      <w:r>
        <w:rPr>
          <w:i/>
          <w:sz w:val="20"/>
          <w:szCs w:val="20"/>
          <w:lang w:val="en-US"/>
        </w:rPr>
        <w:t>Journal of Accounting Research</w:t>
      </w:r>
      <w:r>
        <w:rPr>
          <w:sz w:val="20"/>
          <w:szCs w:val="20"/>
          <w:lang w:val="en-US"/>
        </w:rPr>
        <w:t>, Vol. 31, pp. 246-271.</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Linsley, P.M. and Shrives, P.J. (2006a). Risk Reporting: A study of risk disclosures in the annual reports of </w:t>
      </w:r>
      <w:r w:rsidR="00F073FE">
        <w:rPr>
          <w:sz w:val="20"/>
          <w:szCs w:val="20"/>
          <w:lang w:val="en-US"/>
        </w:rPr>
        <w:t>UK</w:t>
      </w:r>
      <w:r>
        <w:rPr>
          <w:sz w:val="20"/>
          <w:szCs w:val="20"/>
          <w:lang w:val="en-US"/>
        </w:rPr>
        <w:t xml:space="preserve"> companies. </w:t>
      </w:r>
      <w:r>
        <w:rPr>
          <w:i/>
          <w:iCs/>
          <w:sz w:val="20"/>
          <w:szCs w:val="20"/>
          <w:lang w:val="en-US"/>
        </w:rPr>
        <w:t xml:space="preserve">The </w:t>
      </w:r>
      <w:r w:rsidR="00466506">
        <w:rPr>
          <w:i/>
          <w:iCs/>
          <w:sz w:val="20"/>
          <w:szCs w:val="20"/>
          <w:lang w:val="en-US"/>
        </w:rPr>
        <w:t>British</w:t>
      </w:r>
      <w:r>
        <w:rPr>
          <w:i/>
          <w:iCs/>
          <w:sz w:val="20"/>
          <w:szCs w:val="20"/>
          <w:lang w:val="en-US"/>
        </w:rPr>
        <w:t xml:space="preserve"> Accounting Review</w:t>
      </w:r>
      <w:r>
        <w:rPr>
          <w:sz w:val="20"/>
          <w:szCs w:val="20"/>
          <w:lang w:val="en-US"/>
        </w:rPr>
        <w:t>, Vol. 38, pp. 387-404.</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Linsley, P.M.,</w:t>
      </w:r>
      <w:proofErr w:type="gramStart"/>
      <w:r>
        <w:rPr>
          <w:sz w:val="20"/>
          <w:szCs w:val="20"/>
          <w:lang w:val="en-US"/>
        </w:rPr>
        <w:t>  Shrives</w:t>
      </w:r>
      <w:proofErr w:type="gramEnd"/>
      <w:r>
        <w:rPr>
          <w:sz w:val="20"/>
          <w:szCs w:val="20"/>
          <w:lang w:val="en-US"/>
        </w:rPr>
        <w:t xml:space="preserve"> P.J. and Crumpton, M. (2006b). Risk disclosure: An exploratory study of </w:t>
      </w:r>
      <w:r w:rsidR="00F073FE">
        <w:rPr>
          <w:sz w:val="20"/>
          <w:szCs w:val="20"/>
          <w:lang w:val="en-US"/>
        </w:rPr>
        <w:t>UK</w:t>
      </w:r>
      <w:r>
        <w:rPr>
          <w:sz w:val="20"/>
          <w:szCs w:val="20"/>
          <w:lang w:val="en-US"/>
        </w:rPr>
        <w:t xml:space="preserve"> and Canadian banks, </w:t>
      </w:r>
      <w:r>
        <w:rPr>
          <w:i/>
          <w:iCs/>
          <w:sz w:val="20"/>
          <w:szCs w:val="20"/>
          <w:lang w:val="en-US"/>
        </w:rPr>
        <w:t>Journal of Banking Regulation</w:t>
      </w:r>
      <w:r>
        <w:rPr>
          <w:sz w:val="20"/>
          <w:szCs w:val="20"/>
          <w:lang w:val="en-US"/>
        </w:rPr>
        <w:t>, Vol.7, No.3/4,</w:t>
      </w:r>
      <w:proofErr w:type="gramStart"/>
      <w:r>
        <w:rPr>
          <w:sz w:val="20"/>
          <w:szCs w:val="20"/>
          <w:lang w:val="en-US"/>
        </w:rPr>
        <w:t>  pp</w:t>
      </w:r>
      <w:proofErr w:type="gramEnd"/>
      <w:r>
        <w:rPr>
          <w:sz w:val="20"/>
          <w:szCs w:val="20"/>
          <w:lang w:val="en-US"/>
        </w:rPr>
        <w:t>. 268-282.</w:t>
      </w:r>
    </w:p>
    <w:p w:rsidR="00AE4097" w:rsidRDefault="00AE4097" w:rsidP="00AE4097">
      <w:pPr>
        <w:pStyle w:val="ecxmsonormal"/>
        <w:shd w:val="clear" w:color="auto" w:fill="FFFFFF"/>
        <w:spacing w:after="0" w:line="276" w:lineRule="auto"/>
        <w:jc w:val="both"/>
        <w:rPr>
          <w:sz w:val="20"/>
          <w:szCs w:val="20"/>
          <w:highlight w:val="yellow"/>
          <w:shd w:val="clear" w:color="auto" w:fill="FFFF0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Lupton, D. (1999). </w:t>
      </w:r>
      <w:proofErr w:type="gramStart"/>
      <w:r>
        <w:rPr>
          <w:sz w:val="20"/>
          <w:szCs w:val="20"/>
          <w:lang w:val="en-US"/>
        </w:rPr>
        <w:t>Risk.</w:t>
      </w:r>
      <w:proofErr w:type="gramEnd"/>
      <w:r>
        <w:rPr>
          <w:sz w:val="20"/>
          <w:szCs w:val="20"/>
          <w:lang w:val="en-US"/>
        </w:rPr>
        <w:t xml:space="preserve"> Routledge, London.</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Marston, C.L. and Shrives, P.J. (1991). The use of disclosure indices in Accounting Research: A review article. </w:t>
      </w:r>
      <w:r>
        <w:rPr>
          <w:i/>
          <w:sz w:val="20"/>
          <w:szCs w:val="20"/>
          <w:lang w:val="en-US"/>
        </w:rPr>
        <w:t>British Accounting Review</w:t>
      </w:r>
      <w:r>
        <w:rPr>
          <w:sz w:val="20"/>
          <w:szCs w:val="20"/>
          <w:lang w:val="en-US"/>
        </w:rPr>
        <w:t>, Vol. 23, pp. 195-210.</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rPr>
        <w:t xml:space="preserve">Merton, R.C. (1987). </w:t>
      </w:r>
      <w:proofErr w:type="gramStart"/>
      <w:r>
        <w:rPr>
          <w:sz w:val="20"/>
          <w:szCs w:val="20"/>
          <w:lang w:val="en-US"/>
        </w:rPr>
        <w:t>A simple model of capital market equilibrium with incomplete information.</w:t>
      </w:r>
      <w:proofErr w:type="gramEnd"/>
      <w:r>
        <w:rPr>
          <w:sz w:val="20"/>
          <w:szCs w:val="20"/>
          <w:lang w:val="en-US"/>
        </w:rPr>
        <w:t xml:space="preserve"> </w:t>
      </w:r>
      <w:r>
        <w:rPr>
          <w:i/>
          <w:sz w:val="20"/>
          <w:szCs w:val="20"/>
          <w:lang w:val="en-US"/>
        </w:rPr>
        <w:t>The Journal of Finance</w:t>
      </w:r>
      <w:r>
        <w:rPr>
          <w:sz w:val="20"/>
          <w:szCs w:val="20"/>
          <w:lang w:val="en-US"/>
        </w:rPr>
        <w:t xml:space="preserve">, Vol. 42, pp. 483-510. </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Miller, G. and Piotroski, J. (2000).</w:t>
      </w:r>
      <w:proofErr w:type="gramEnd"/>
      <w:r>
        <w:rPr>
          <w:sz w:val="20"/>
          <w:szCs w:val="20"/>
          <w:lang w:val="en-US"/>
        </w:rPr>
        <w:t xml:space="preserve"> </w:t>
      </w:r>
      <w:proofErr w:type="gramStart"/>
      <w:r>
        <w:rPr>
          <w:sz w:val="20"/>
          <w:szCs w:val="20"/>
          <w:lang w:val="en-US"/>
        </w:rPr>
        <w:t>The role of disclosure for high book-to-market firms.</w:t>
      </w:r>
      <w:proofErr w:type="gramEnd"/>
      <w:r>
        <w:rPr>
          <w:sz w:val="20"/>
          <w:szCs w:val="20"/>
          <w:lang w:val="en-US"/>
        </w:rPr>
        <w:t xml:space="preserve"> </w:t>
      </w:r>
      <w:proofErr w:type="gramStart"/>
      <w:r>
        <w:rPr>
          <w:sz w:val="20"/>
          <w:szCs w:val="20"/>
          <w:lang w:val="en-US"/>
        </w:rPr>
        <w:t>Unpublished working paper, Harvard University.</w:t>
      </w:r>
      <w:proofErr w:type="gramEnd"/>
    </w:p>
    <w:p w:rsidR="00AE4097" w:rsidRDefault="00AE4097" w:rsidP="00466506">
      <w:pPr>
        <w:pStyle w:val="ecxmsonormal"/>
        <w:shd w:val="clear" w:color="auto" w:fill="FFFFFF"/>
        <w:spacing w:after="0" w:line="276" w:lineRule="auto"/>
        <w:jc w:val="both"/>
        <w:rPr>
          <w:sz w:val="20"/>
          <w:szCs w:val="20"/>
          <w:lang w:val="en-US"/>
        </w:rPr>
      </w:pPr>
    </w:p>
    <w:p w:rsidR="00AE4097" w:rsidRDefault="00AE4097" w:rsidP="00466506">
      <w:pPr>
        <w:pStyle w:val="ecxmsonormal"/>
        <w:shd w:val="clear" w:color="auto" w:fill="FFFFFF"/>
        <w:spacing w:after="0" w:line="276" w:lineRule="auto"/>
        <w:jc w:val="both"/>
        <w:rPr>
          <w:sz w:val="20"/>
          <w:szCs w:val="20"/>
          <w:lang w:val="en-US"/>
        </w:rPr>
      </w:pPr>
      <w:proofErr w:type="gramStart"/>
      <w:r>
        <w:rPr>
          <w:sz w:val="20"/>
          <w:szCs w:val="20"/>
          <w:lang w:val="en-US"/>
        </w:rPr>
        <w:t>Milne, M.J. and Adler, R.W. (1999).</w:t>
      </w:r>
      <w:proofErr w:type="gramEnd"/>
      <w:r>
        <w:rPr>
          <w:sz w:val="20"/>
          <w:szCs w:val="20"/>
          <w:lang w:val="en-US"/>
        </w:rPr>
        <w:t xml:space="preserve"> </w:t>
      </w:r>
      <w:proofErr w:type="gramStart"/>
      <w:r>
        <w:rPr>
          <w:sz w:val="20"/>
          <w:szCs w:val="20"/>
          <w:lang w:val="en-US"/>
        </w:rPr>
        <w:t>Exploring the reliability of social and environmental disclosures content analysis.</w:t>
      </w:r>
      <w:proofErr w:type="gramEnd"/>
      <w:r>
        <w:rPr>
          <w:sz w:val="20"/>
          <w:szCs w:val="20"/>
          <w:lang w:val="en-US"/>
        </w:rPr>
        <w:t xml:space="preserve"> </w:t>
      </w:r>
      <w:proofErr w:type="gramStart"/>
      <w:r>
        <w:rPr>
          <w:i/>
          <w:sz w:val="20"/>
          <w:szCs w:val="20"/>
          <w:lang w:val="en-US"/>
        </w:rPr>
        <w:t>Accounting, Auditing and Accountability Journal</w:t>
      </w:r>
      <w:r>
        <w:rPr>
          <w:sz w:val="20"/>
          <w:szCs w:val="20"/>
          <w:lang w:val="en-US"/>
        </w:rPr>
        <w:t>, Vol. 12, No. 2, pp. 237-256.</w:t>
      </w:r>
      <w:proofErr w:type="gramEnd"/>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Myers, S. and Maljuf, N. (1984).</w:t>
      </w:r>
      <w:proofErr w:type="gramEnd"/>
      <w:r>
        <w:rPr>
          <w:sz w:val="20"/>
          <w:szCs w:val="20"/>
          <w:lang w:val="en-US"/>
        </w:rPr>
        <w:t xml:space="preserve"> Corporate financing and investment decisions when firms have information </w:t>
      </w:r>
      <w:proofErr w:type="gramStart"/>
      <w:r>
        <w:rPr>
          <w:sz w:val="20"/>
          <w:szCs w:val="20"/>
          <w:lang w:val="en-US"/>
        </w:rPr>
        <w:t>that</w:t>
      </w:r>
      <w:proofErr w:type="gramEnd"/>
      <w:r>
        <w:rPr>
          <w:sz w:val="20"/>
          <w:szCs w:val="20"/>
          <w:lang w:val="en-US"/>
        </w:rPr>
        <w:t xml:space="preserve"> investors do not have. </w:t>
      </w:r>
      <w:r>
        <w:rPr>
          <w:i/>
          <w:sz w:val="20"/>
          <w:szCs w:val="20"/>
          <w:lang w:val="en-US"/>
        </w:rPr>
        <w:t>Journal of Financial Economics</w:t>
      </w:r>
      <w:r>
        <w:rPr>
          <w:sz w:val="20"/>
          <w:szCs w:val="20"/>
          <w:lang w:val="en-US"/>
        </w:rPr>
        <w:t>, Vol. 13, pp. 187-222.</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Nagar, V., Nanda, D. and Wysocki, P. (2003).</w:t>
      </w:r>
      <w:proofErr w:type="gramEnd"/>
      <w:r>
        <w:rPr>
          <w:sz w:val="20"/>
          <w:szCs w:val="20"/>
          <w:lang w:val="en-US"/>
        </w:rPr>
        <w:t xml:space="preserve"> </w:t>
      </w:r>
      <w:proofErr w:type="gramStart"/>
      <w:r>
        <w:rPr>
          <w:sz w:val="20"/>
          <w:szCs w:val="20"/>
          <w:lang w:val="en-US"/>
        </w:rPr>
        <w:t>Discretionary disclosures and stock-based-incentives.</w:t>
      </w:r>
      <w:proofErr w:type="gramEnd"/>
      <w:r>
        <w:rPr>
          <w:sz w:val="20"/>
          <w:szCs w:val="20"/>
          <w:lang w:val="en-US"/>
        </w:rPr>
        <w:t xml:space="preserve"> </w:t>
      </w:r>
      <w:r>
        <w:rPr>
          <w:i/>
          <w:sz w:val="20"/>
          <w:szCs w:val="20"/>
          <w:lang w:val="en-US"/>
        </w:rPr>
        <w:t>Journal of Accounting and Finance</w:t>
      </w:r>
      <w:r>
        <w:rPr>
          <w:sz w:val="20"/>
          <w:szCs w:val="20"/>
          <w:lang w:val="en-US"/>
        </w:rPr>
        <w:t>, Vol. 34, pp. 283-309.</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Power, M. (2004). The Risk Management of Everything: Rethinking, the Politics of Uncertainty. </w:t>
      </w:r>
      <w:proofErr w:type="gramStart"/>
      <w:r>
        <w:rPr>
          <w:sz w:val="20"/>
          <w:szCs w:val="20"/>
          <w:lang w:val="en-US"/>
        </w:rPr>
        <w:t>Demos, London.</w:t>
      </w:r>
      <w:proofErr w:type="gramEnd"/>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rPr>
      </w:pPr>
      <w:proofErr w:type="gramStart"/>
      <w:r>
        <w:rPr>
          <w:sz w:val="20"/>
          <w:szCs w:val="20"/>
          <w:lang w:val="en-US"/>
        </w:rPr>
        <w:t>Ridder, W.P. de (2007).</w:t>
      </w:r>
      <w:proofErr w:type="gramEnd"/>
      <w:r>
        <w:rPr>
          <w:sz w:val="20"/>
          <w:szCs w:val="20"/>
          <w:lang w:val="en-US"/>
        </w:rPr>
        <w:t xml:space="preserve"> </w:t>
      </w:r>
      <w:r>
        <w:rPr>
          <w:sz w:val="20"/>
          <w:szCs w:val="20"/>
        </w:rPr>
        <w:t xml:space="preserve">Operationeel risicomanagement meer dan alleen </w:t>
      </w:r>
      <w:r w:rsidRPr="00466506">
        <w:rPr>
          <w:sz w:val="20"/>
          <w:szCs w:val="20"/>
          <w:lang w:val="en-US"/>
        </w:rPr>
        <w:t>compliance</w:t>
      </w:r>
      <w:r>
        <w:rPr>
          <w:sz w:val="20"/>
          <w:szCs w:val="20"/>
        </w:rPr>
        <w:t xml:space="preserve">. </w:t>
      </w:r>
      <w:r>
        <w:rPr>
          <w:i/>
          <w:sz w:val="20"/>
          <w:szCs w:val="20"/>
        </w:rPr>
        <w:t>Maandblad voor Accountancy en Bedrijfseconomie</w:t>
      </w:r>
      <w:r>
        <w:rPr>
          <w:sz w:val="20"/>
          <w:szCs w:val="20"/>
        </w:rPr>
        <w:t>, Vol. 81, No. 4, pp. 138-145.</w:t>
      </w:r>
    </w:p>
    <w:p w:rsidR="00AE4097" w:rsidRDefault="00AE4097" w:rsidP="00AE4097">
      <w:pPr>
        <w:pStyle w:val="ecxmsonormal"/>
        <w:shd w:val="clear" w:color="auto" w:fill="FFFFFF"/>
        <w:spacing w:after="0" w:line="276" w:lineRule="auto"/>
        <w:jc w:val="both"/>
        <w:rPr>
          <w:sz w:val="20"/>
          <w:szCs w:val="20"/>
        </w:rPr>
      </w:pPr>
    </w:p>
    <w:p w:rsidR="00AE4097" w:rsidRDefault="00AE4097" w:rsidP="00AE4097">
      <w:pPr>
        <w:autoSpaceDE w:val="0"/>
        <w:autoSpaceDN w:val="0"/>
        <w:adjustRightInd w:val="0"/>
        <w:spacing w:line="276" w:lineRule="auto"/>
        <w:jc w:val="both"/>
        <w:rPr>
          <w:sz w:val="20"/>
          <w:szCs w:val="20"/>
          <w:lang w:val="en-US"/>
        </w:rPr>
      </w:pPr>
      <w:r>
        <w:rPr>
          <w:sz w:val="20"/>
          <w:szCs w:val="20"/>
          <w:lang w:val="en-US"/>
        </w:rPr>
        <w:t xml:space="preserve">Robb, S.W.G., Single, L.E. and Zarzeski, M.T. (2001) </w:t>
      </w:r>
      <w:proofErr w:type="gramStart"/>
      <w:r>
        <w:rPr>
          <w:sz w:val="20"/>
          <w:szCs w:val="20"/>
          <w:lang w:val="en-US"/>
        </w:rPr>
        <w:t>Nonfinancial</w:t>
      </w:r>
      <w:proofErr w:type="gramEnd"/>
      <w:r>
        <w:rPr>
          <w:sz w:val="20"/>
          <w:szCs w:val="20"/>
          <w:lang w:val="en-US"/>
        </w:rPr>
        <w:t xml:space="preserve"> disclosures across Anglo-American countries. </w:t>
      </w:r>
      <w:r>
        <w:rPr>
          <w:i/>
          <w:sz w:val="20"/>
          <w:szCs w:val="20"/>
          <w:lang w:val="en-US"/>
        </w:rPr>
        <w:t>Journal of International Accounting</w:t>
      </w:r>
      <w:r>
        <w:rPr>
          <w:sz w:val="20"/>
          <w:szCs w:val="20"/>
          <w:lang w:val="en-US"/>
        </w:rPr>
        <w:t>, Vol. 10, No. 1, pp. 71-83.</w:t>
      </w:r>
    </w:p>
    <w:p w:rsidR="00AE4097" w:rsidRDefault="00AE4097" w:rsidP="00AE4097">
      <w:pPr>
        <w:pStyle w:val="ecxmsonormal"/>
        <w:shd w:val="clear" w:color="auto" w:fill="FFFFFF"/>
        <w:spacing w:after="0" w:line="276" w:lineRule="auto"/>
        <w:jc w:val="both"/>
        <w:rPr>
          <w:sz w:val="20"/>
          <w:szCs w:val="20"/>
          <w:lang w:val="en-US"/>
        </w:rPr>
      </w:pPr>
    </w:p>
    <w:p w:rsidR="00AE4097" w:rsidRDefault="00466506" w:rsidP="00AE4097">
      <w:pPr>
        <w:autoSpaceDE w:val="0"/>
        <w:autoSpaceDN w:val="0"/>
        <w:adjustRightInd w:val="0"/>
        <w:spacing w:line="276" w:lineRule="auto"/>
        <w:jc w:val="both"/>
        <w:rPr>
          <w:sz w:val="20"/>
          <w:szCs w:val="20"/>
          <w:lang w:val="en-US"/>
        </w:rPr>
      </w:pPr>
      <w:proofErr w:type="gramStart"/>
      <w:r>
        <w:rPr>
          <w:sz w:val="20"/>
          <w:szCs w:val="20"/>
          <w:lang w:val="en-US"/>
        </w:rPr>
        <w:t>Schrand</w:t>
      </w:r>
      <w:r w:rsidR="00AE4097">
        <w:rPr>
          <w:sz w:val="20"/>
          <w:szCs w:val="20"/>
          <w:lang w:val="en-US"/>
        </w:rPr>
        <w:t>, C.M. and Elliot, J.A. (1998).</w:t>
      </w:r>
      <w:proofErr w:type="gramEnd"/>
      <w:r w:rsidR="00AE4097">
        <w:rPr>
          <w:sz w:val="20"/>
          <w:szCs w:val="20"/>
          <w:lang w:val="en-US"/>
        </w:rPr>
        <w:t xml:space="preserve"> Risk and Financial Reporting: A summary of the discussion at the 1997 AAA/FASB Conference. </w:t>
      </w:r>
      <w:r w:rsidR="00AE4097">
        <w:rPr>
          <w:i/>
          <w:sz w:val="20"/>
          <w:szCs w:val="20"/>
          <w:lang w:val="en-US"/>
        </w:rPr>
        <w:t>American Horizons</w:t>
      </w:r>
      <w:r w:rsidR="00AE4097">
        <w:rPr>
          <w:sz w:val="20"/>
          <w:szCs w:val="20"/>
          <w:lang w:val="en-US"/>
        </w:rPr>
        <w:t>, Vol. 12, No.3, pp. 271-282.</w:t>
      </w:r>
    </w:p>
    <w:p w:rsidR="00AE4097" w:rsidRDefault="00AE4097" w:rsidP="00AE4097">
      <w:pPr>
        <w:autoSpaceDE w:val="0"/>
        <w:autoSpaceDN w:val="0"/>
        <w:adjustRightInd w:val="0"/>
        <w:spacing w:line="276" w:lineRule="auto"/>
        <w:jc w:val="both"/>
        <w:rPr>
          <w:sz w:val="20"/>
          <w:szCs w:val="20"/>
          <w:lang w:val="en-US"/>
        </w:rPr>
      </w:pPr>
    </w:p>
    <w:p w:rsidR="00AE4097" w:rsidRDefault="00AE4097" w:rsidP="00AE4097">
      <w:pPr>
        <w:autoSpaceDE w:val="0"/>
        <w:autoSpaceDN w:val="0"/>
        <w:adjustRightInd w:val="0"/>
        <w:spacing w:line="276" w:lineRule="auto"/>
        <w:jc w:val="both"/>
        <w:rPr>
          <w:sz w:val="20"/>
          <w:szCs w:val="20"/>
          <w:lang w:val="en-US"/>
        </w:rPr>
      </w:pPr>
      <w:r>
        <w:rPr>
          <w:sz w:val="20"/>
          <w:szCs w:val="20"/>
          <w:lang w:val="en-US" w:eastAsia="en-US"/>
        </w:rPr>
        <w:t xml:space="preserve">Scott, W. R. (2003). </w:t>
      </w:r>
      <w:proofErr w:type="gramStart"/>
      <w:r>
        <w:rPr>
          <w:sz w:val="20"/>
          <w:szCs w:val="20"/>
          <w:lang w:val="en-US" w:eastAsia="en-US"/>
        </w:rPr>
        <w:t>Financial Accounting Theory.</w:t>
      </w:r>
      <w:proofErr w:type="gramEnd"/>
      <w:r>
        <w:rPr>
          <w:sz w:val="20"/>
          <w:szCs w:val="20"/>
          <w:lang w:val="en-US" w:eastAsia="en-US"/>
        </w:rPr>
        <w:t xml:space="preserve"> </w:t>
      </w:r>
      <w:proofErr w:type="gramStart"/>
      <w:r>
        <w:rPr>
          <w:sz w:val="20"/>
          <w:szCs w:val="20"/>
          <w:lang w:val="en-US" w:eastAsia="en-US"/>
        </w:rPr>
        <w:t>Pearson Education Canada Inc., Toronto, Ontario, Prentice Hall.</w:t>
      </w:r>
      <w:proofErr w:type="gramEnd"/>
      <w:r>
        <w:rPr>
          <w:sz w:val="20"/>
          <w:szCs w:val="20"/>
          <w:lang w:val="en-US" w:eastAsia="en-US"/>
        </w:rPr>
        <w:t xml:space="preserve"> </w:t>
      </w:r>
      <w:proofErr w:type="gramStart"/>
      <w:r>
        <w:rPr>
          <w:sz w:val="20"/>
          <w:szCs w:val="20"/>
          <w:lang w:val="en-US" w:eastAsia="en-US"/>
        </w:rPr>
        <w:t>Pp. 412-413, 432.</w:t>
      </w:r>
      <w:proofErr w:type="gramEnd"/>
    </w:p>
    <w:p w:rsidR="00AE4097" w:rsidRDefault="00AE4097" w:rsidP="00AE4097">
      <w:pPr>
        <w:autoSpaceDE w:val="0"/>
        <w:autoSpaceDN w:val="0"/>
        <w:adjustRightInd w:val="0"/>
        <w:spacing w:line="276" w:lineRule="auto"/>
        <w:jc w:val="both"/>
        <w:rPr>
          <w:sz w:val="20"/>
          <w:szCs w:val="20"/>
          <w:lang w:val="en-US"/>
        </w:rPr>
      </w:pPr>
    </w:p>
    <w:p w:rsidR="00AE4097" w:rsidRDefault="00AE4097" w:rsidP="00AE4097">
      <w:pPr>
        <w:autoSpaceDE w:val="0"/>
        <w:autoSpaceDN w:val="0"/>
        <w:adjustRightInd w:val="0"/>
        <w:spacing w:line="276" w:lineRule="auto"/>
        <w:jc w:val="both"/>
        <w:rPr>
          <w:sz w:val="20"/>
          <w:szCs w:val="20"/>
          <w:lang w:val="en-US"/>
        </w:rPr>
      </w:pPr>
      <w:r>
        <w:rPr>
          <w:sz w:val="20"/>
          <w:szCs w:val="20"/>
          <w:lang w:val="en-US"/>
        </w:rPr>
        <w:t xml:space="preserve">Skinner, D. (1994). Why firms voluntarily disclose bad news. </w:t>
      </w:r>
      <w:r>
        <w:rPr>
          <w:i/>
          <w:sz w:val="20"/>
          <w:szCs w:val="20"/>
          <w:lang w:val="en-US"/>
        </w:rPr>
        <w:t>Journal of Accounting Research</w:t>
      </w:r>
      <w:r>
        <w:rPr>
          <w:sz w:val="20"/>
          <w:szCs w:val="20"/>
          <w:lang w:val="en-US"/>
        </w:rPr>
        <w:t xml:space="preserve">, Vol. 32, pp. 38-60. </w:t>
      </w:r>
    </w:p>
    <w:p w:rsidR="00AE4097" w:rsidRDefault="00AE4097" w:rsidP="00AE4097">
      <w:pPr>
        <w:autoSpaceDE w:val="0"/>
        <w:autoSpaceDN w:val="0"/>
        <w:adjustRightInd w:val="0"/>
        <w:spacing w:line="276" w:lineRule="auto"/>
        <w:jc w:val="both"/>
        <w:rPr>
          <w:sz w:val="20"/>
          <w:szCs w:val="20"/>
          <w:lang w:val="en-US"/>
        </w:rPr>
      </w:pPr>
      <w:r>
        <w:rPr>
          <w:sz w:val="20"/>
          <w:szCs w:val="20"/>
          <w:lang w:val="en-US"/>
        </w:rPr>
        <w:t>Smith, M</w:t>
      </w:r>
      <w:proofErr w:type="gramStart"/>
      <w:r>
        <w:rPr>
          <w:sz w:val="20"/>
          <w:szCs w:val="20"/>
          <w:lang w:val="en-US"/>
        </w:rPr>
        <w:t>..</w:t>
      </w:r>
      <w:proofErr w:type="gramEnd"/>
      <w:r>
        <w:rPr>
          <w:sz w:val="20"/>
          <w:szCs w:val="20"/>
          <w:lang w:val="en-US"/>
        </w:rPr>
        <w:t xml:space="preserve"> </w:t>
      </w:r>
      <w:proofErr w:type="gramStart"/>
      <w:r>
        <w:rPr>
          <w:sz w:val="20"/>
          <w:szCs w:val="20"/>
          <w:lang w:val="en-US"/>
        </w:rPr>
        <w:t>and</w:t>
      </w:r>
      <w:proofErr w:type="gramEnd"/>
      <w:r>
        <w:rPr>
          <w:sz w:val="20"/>
          <w:szCs w:val="20"/>
          <w:lang w:val="en-US"/>
        </w:rPr>
        <w:t xml:space="preserve"> Taffler, R. (2000). </w:t>
      </w:r>
      <w:proofErr w:type="gramStart"/>
      <w:r>
        <w:rPr>
          <w:sz w:val="20"/>
          <w:szCs w:val="20"/>
          <w:lang w:val="en-US"/>
        </w:rPr>
        <w:t>The Chairman’s statement – a content analysis of discretionary narrative disclosures.</w:t>
      </w:r>
      <w:proofErr w:type="gramEnd"/>
      <w:r>
        <w:rPr>
          <w:sz w:val="20"/>
          <w:szCs w:val="20"/>
          <w:lang w:val="en-US"/>
        </w:rPr>
        <w:t xml:space="preserve"> </w:t>
      </w:r>
      <w:proofErr w:type="gramStart"/>
      <w:r>
        <w:rPr>
          <w:i/>
          <w:sz w:val="20"/>
          <w:szCs w:val="20"/>
          <w:lang w:val="en-US"/>
        </w:rPr>
        <w:t>Accounting, Auditing and Accountability Journal</w:t>
      </w:r>
      <w:r>
        <w:rPr>
          <w:sz w:val="20"/>
          <w:szCs w:val="20"/>
          <w:lang w:val="en-US"/>
        </w:rPr>
        <w:t>, Vol. 13, No. 5, pp. 624-647.</w:t>
      </w:r>
      <w:proofErr w:type="gramEnd"/>
    </w:p>
    <w:p w:rsidR="00AE4097" w:rsidRDefault="00AE4097" w:rsidP="00AE4097">
      <w:pPr>
        <w:autoSpaceDE w:val="0"/>
        <w:autoSpaceDN w:val="0"/>
        <w:adjustRightInd w:val="0"/>
        <w:spacing w:line="276" w:lineRule="auto"/>
        <w:jc w:val="both"/>
        <w:rPr>
          <w:sz w:val="20"/>
          <w:szCs w:val="20"/>
          <w:lang w:val="en-US"/>
        </w:rPr>
      </w:pPr>
    </w:p>
    <w:p w:rsidR="00AE4097" w:rsidRDefault="00AE4097" w:rsidP="00AE4097">
      <w:pPr>
        <w:autoSpaceDE w:val="0"/>
        <w:autoSpaceDN w:val="0"/>
        <w:adjustRightInd w:val="0"/>
        <w:spacing w:line="276" w:lineRule="auto"/>
        <w:jc w:val="both"/>
        <w:rPr>
          <w:sz w:val="20"/>
          <w:szCs w:val="20"/>
          <w:lang w:val="en-US"/>
        </w:rPr>
      </w:pPr>
      <w:proofErr w:type="gramStart"/>
      <w:r>
        <w:rPr>
          <w:sz w:val="20"/>
          <w:szCs w:val="20"/>
          <w:lang w:val="en-US"/>
        </w:rPr>
        <w:t>SRI International (1987).</w:t>
      </w:r>
      <w:proofErr w:type="gramEnd"/>
      <w:r>
        <w:rPr>
          <w:sz w:val="20"/>
          <w:szCs w:val="20"/>
          <w:lang w:val="en-US"/>
        </w:rPr>
        <w:t xml:space="preserve"> Investor information needs and the annual report. Morristown, NJ: Financial Executives Research Foundation.</w:t>
      </w:r>
    </w:p>
    <w:p w:rsidR="00AE4097" w:rsidRDefault="00AE4097" w:rsidP="00AE4097">
      <w:pPr>
        <w:pStyle w:val="ecxmsonormal"/>
        <w:shd w:val="clear" w:color="auto" w:fill="FFFFFF"/>
        <w:spacing w:after="0" w:line="276" w:lineRule="auto"/>
        <w:jc w:val="both"/>
        <w:rPr>
          <w:sz w:val="20"/>
          <w:szCs w:val="20"/>
          <w:shd w:val="clear" w:color="auto" w:fill="FFFF0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lastRenderedPageBreak/>
        <w:t>Solomon, J. F., Solomon, A., Norton, S. D. and Joseph, N.L. (2000).</w:t>
      </w:r>
      <w:proofErr w:type="gramEnd"/>
      <w:r>
        <w:rPr>
          <w:sz w:val="20"/>
          <w:szCs w:val="20"/>
          <w:lang w:val="en-US"/>
        </w:rPr>
        <w:t xml:space="preserve"> </w:t>
      </w:r>
      <w:proofErr w:type="gramStart"/>
      <w:r>
        <w:rPr>
          <w:sz w:val="20"/>
          <w:szCs w:val="20"/>
          <w:lang w:val="en-US"/>
        </w:rPr>
        <w:t>A Conceptual Framework for Corporate Risk Disclosure Emerging from the Agenda for Corporate Governance Reform.</w:t>
      </w:r>
      <w:proofErr w:type="gramEnd"/>
      <w:r>
        <w:rPr>
          <w:sz w:val="20"/>
          <w:szCs w:val="20"/>
          <w:lang w:val="en-US"/>
        </w:rPr>
        <w:t xml:space="preserve"> </w:t>
      </w:r>
      <w:proofErr w:type="gramStart"/>
      <w:r>
        <w:rPr>
          <w:rStyle w:val="Emphasis"/>
          <w:bCs/>
          <w:sz w:val="20"/>
          <w:szCs w:val="20"/>
          <w:lang w:val="en-US"/>
        </w:rPr>
        <w:t>British Accounting Review</w:t>
      </w:r>
      <w:r>
        <w:rPr>
          <w:rStyle w:val="Emphasis"/>
          <w:sz w:val="20"/>
          <w:szCs w:val="20"/>
          <w:lang w:val="en-US"/>
        </w:rPr>
        <w:t>,</w:t>
      </w:r>
      <w:r>
        <w:rPr>
          <w:sz w:val="20"/>
          <w:szCs w:val="20"/>
          <w:lang w:val="en-US"/>
        </w:rPr>
        <w:t xml:space="preserve"> Vol.32, No.4, pp.447-478.</w:t>
      </w:r>
      <w:proofErr w:type="gramEnd"/>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Suijs, J. (2005). </w:t>
      </w:r>
      <w:proofErr w:type="gramStart"/>
      <w:r>
        <w:rPr>
          <w:sz w:val="20"/>
          <w:szCs w:val="20"/>
          <w:lang w:val="en-US"/>
        </w:rPr>
        <w:t>Voluntary Disclosure of Bad News.</w:t>
      </w:r>
      <w:proofErr w:type="gramEnd"/>
      <w:r>
        <w:rPr>
          <w:sz w:val="20"/>
          <w:szCs w:val="20"/>
          <w:lang w:val="en-US"/>
        </w:rPr>
        <w:t xml:space="preserve"> </w:t>
      </w:r>
      <w:r>
        <w:rPr>
          <w:i/>
          <w:sz w:val="20"/>
          <w:szCs w:val="20"/>
          <w:lang w:val="en-US"/>
        </w:rPr>
        <w:t>Journal of Business Finance and Accounting</w:t>
      </w:r>
      <w:r>
        <w:rPr>
          <w:sz w:val="20"/>
          <w:szCs w:val="20"/>
          <w:lang w:val="en-US"/>
        </w:rPr>
        <w:t>, Vol. 32, No. 7-8, pp. 1423-1435.</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Sundmacher, M. (2008).</w:t>
      </w:r>
      <w:proofErr w:type="gramEnd"/>
      <w:r>
        <w:rPr>
          <w:sz w:val="20"/>
          <w:szCs w:val="20"/>
          <w:lang w:val="en-US"/>
        </w:rPr>
        <w:t xml:space="preserve"> </w:t>
      </w:r>
      <w:proofErr w:type="gramStart"/>
      <w:r>
        <w:rPr>
          <w:sz w:val="20"/>
          <w:szCs w:val="20"/>
          <w:lang w:val="en-US"/>
        </w:rPr>
        <w:t>Consistency of Risk Reporting in Financial Services Firms.</w:t>
      </w:r>
      <w:proofErr w:type="gramEnd"/>
      <w:r>
        <w:rPr>
          <w:sz w:val="20"/>
          <w:szCs w:val="20"/>
          <w:lang w:val="en-US"/>
        </w:rPr>
        <w:t xml:space="preserve"> </w:t>
      </w:r>
      <w:proofErr w:type="gramStart"/>
      <w:r>
        <w:rPr>
          <w:sz w:val="20"/>
          <w:szCs w:val="20"/>
          <w:lang w:val="en-US"/>
        </w:rPr>
        <w:t>Working paper, available at http://ssrn.com/abstract=963245.</w:t>
      </w:r>
      <w:proofErr w:type="gramEnd"/>
      <w:r>
        <w:rPr>
          <w:sz w:val="20"/>
          <w:szCs w:val="20"/>
          <w:lang w:val="en-US"/>
        </w:rPr>
        <w:t xml:space="preserve"> </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highlight w:val="yellow"/>
          <w:lang w:val="en-US"/>
        </w:rPr>
      </w:pPr>
      <w:proofErr w:type="gramStart"/>
      <w:r>
        <w:rPr>
          <w:sz w:val="20"/>
          <w:szCs w:val="20"/>
          <w:lang w:val="en-US"/>
        </w:rPr>
        <w:t>Sydserff, R. and Weetman, P. (1999).</w:t>
      </w:r>
      <w:proofErr w:type="gramEnd"/>
      <w:r>
        <w:rPr>
          <w:sz w:val="20"/>
          <w:szCs w:val="20"/>
          <w:lang w:val="en-US"/>
        </w:rPr>
        <w:t xml:space="preserve"> A texture index for evaluating narratives: An alternative to readability formulas. </w:t>
      </w:r>
      <w:proofErr w:type="gramStart"/>
      <w:r>
        <w:rPr>
          <w:i/>
          <w:sz w:val="20"/>
          <w:szCs w:val="20"/>
          <w:lang w:val="en-US"/>
        </w:rPr>
        <w:t>Accounting, Auditing and Accountability Journal</w:t>
      </w:r>
      <w:r>
        <w:rPr>
          <w:sz w:val="20"/>
          <w:szCs w:val="20"/>
          <w:lang w:val="en-US"/>
        </w:rPr>
        <w:t>, Vol. 12, No. 4, pp. 459-488.</w:t>
      </w:r>
      <w:proofErr w:type="gramEnd"/>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Tabaksblat Code (2003), Dutch Corporate Governance Code.</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Tabaksblat Code (2008), Dutch Corporate Governance Code. </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w:t>
      </w: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Trueman, B. (1986). Why do managers voluntary release earnings forecasts</w:t>
      </w:r>
      <w:proofErr w:type="gramStart"/>
      <w:r>
        <w:rPr>
          <w:sz w:val="20"/>
          <w:szCs w:val="20"/>
          <w:lang w:val="en-US"/>
        </w:rPr>
        <w:t>?.</w:t>
      </w:r>
      <w:proofErr w:type="gramEnd"/>
      <w:r>
        <w:rPr>
          <w:sz w:val="20"/>
          <w:szCs w:val="20"/>
          <w:lang w:val="en-US"/>
        </w:rPr>
        <w:t xml:space="preserve"> </w:t>
      </w:r>
      <w:r>
        <w:rPr>
          <w:i/>
          <w:iCs/>
          <w:sz w:val="20"/>
          <w:szCs w:val="20"/>
          <w:lang w:val="en-US"/>
        </w:rPr>
        <w:t>Journal of Accounting and Economics</w:t>
      </w:r>
      <w:r>
        <w:rPr>
          <w:sz w:val="20"/>
          <w:szCs w:val="20"/>
          <w:lang w:val="en-US"/>
        </w:rPr>
        <w:t>, Vol. 8, pp. 53-72.</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Verrecchia, R. (2001). </w:t>
      </w:r>
      <w:proofErr w:type="gramStart"/>
      <w:r>
        <w:rPr>
          <w:sz w:val="20"/>
          <w:szCs w:val="20"/>
          <w:lang w:val="en-US"/>
        </w:rPr>
        <w:t>Essays on disclosure.</w:t>
      </w:r>
      <w:proofErr w:type="gramEnd"/>
      <w:r>
        <w:rPr>
          <w:sz w:val="20"/>
          <w:szCs w:val="20"/>
          <w:lang w:val="en-US"/>
        </w:rPr>
        <w:t xml:space="preserve"> </w:t>
      </w:r>
      <w:proofErr w:type="gramStart"/>
      <w:r>
        <w:rPr>
          <w:i/>
          <w:sz w:val="20"/>
          <w:szCs w:val="20"/>
          <w:lang w:val="en-US"/>
        </w:rPr>
        <w:t>Journal of Accounting and Economics</w:t>
      </w:r>
      <w:r>
        <w:rPr>
          <w:sz w:val="20"/>
          <w:szCs w:val="20"/>
          <w:lang w:val="en-US"/>
        </w:rPr>
        <w:t>, Vol. 32, nos.1-3, pp. 97-180.</w:t>
      </w:r>
      <w:proofErr w:type="gramEnd"/>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r>
        <w:rPr>
          <w:sz w:val="20"/>
          <w:szCs w:val="20"/>
          <w:lang w:val="en-US"/>
        </w:rPr>
        <w:t xml:space="preserve">Wagenhofer, A. (1990). </w:t>
      </w:r>
      <w:proofErr w:type="gramStart"/>
      <w:r>
        <w:rPr>
          <w:sz w:val="20"/>
          <w:szCs w:val="20"/>
          <w:lang w:val="en-US"/>
        </w:rPr>
        <w:t>Voluntary disclosure with a strategic opponent.</w:t>
      </w:r>
      <w:proofErr w:type="gramEnd"/>
      <w:r>
        <w:rPr>
          <w:sz w:val="20"/>
          <w:szCs w:val="20"/>
          <w:lang w:val="en-US"/>
        </w:rPr>
        <w:t xml:space="preserve"> </w:t>
      </w:r>
      <w:r>
        <w:rPr>
          <w:i/>
          <w:sz w:val="20"/>
          <w:szCs w:val="20"/>
          <w:lang w:val="en-US"/>
        </w:rPr>
        <w:t>Journal of Accounting and Economics</w:t>
      </w:r>
      <w:r>
        <w:rPr>
          <w:sz w:val="20"/>
          <w:szCs w:val="20"/>
          <w:lang w:val="en-US"/>
        </w:rPr>
        <w:t>, Vol. Vol. 12, pp. 341-363.</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Watson, D. and Head, T. (1998).</w:t>
      </w:r>
      <w:proofErr w:type="gramEnd"/>
      <w:r>
        <w:rPr>
          <w:sz w:val="20"/>
          <w:szCs w:val="20"/>
          <w:lang w:val="en-US"/>
        </w:rPr>
        <w:t xml:space="preserve"> </w:t>
      </w:r>
      <w:proofErr w:type="gramStart"/>
      <w:r>
        <w:rPr>
          <w:sz w:val="20"/>
          <w:szCs w:val="20"/>
          <w:lang w:val="en-US"/>
        </w:rPr>
        <w:t>Co</w:t>
      </w:r>
      <w:r w:rsidR="00466506">
        <w:rPr>
          <w:sz w:val="20"/>
          <w:szCs w:val="20"/>
          <w:lang w:val="en-US"/>
        </w:rPr>
        <w:t>r</w:t>
      </w:r>
      <w:r>
        <w:rPr>
          <w:sz w:val="20"/>
          <w:szCs w:val="20"/>
          <w:lang w:val="en-US"/>
        </w:rPr>
        <w:t>porate Finance Principles and Practice.</w:t>
      </w:r>
      <w:proofErr w:type="gramEnd"/>
      <w:r>
        <w:rPr>
          <w:sz w:val="20"/>
          <w:szCs w:val="20"/>
          <w:lang w:val="en-US"/>
        </w:rPr>
        <w:t xml:space="preserve"> </w:t>
      </w:r>
      <w:proofErr w:type="gramStart"/>
      <w:r>
        <w:rPr>
          <w:i/>
          <w:sz w:val="20"/>
          <w:szCs w:val="20"/>
          <w:lang w:val="en-US"/>
        </w:rPr>
        <w:t>Financial Times Management</w:t>
      </w:r>
      <w:r>
        <w:rPr>
          <w:sz w:val="20"/>
          <w:szCs w:val="20"/>
          <w:lang w:val="en-US"/>
        </w:rPr>
        <w:t>, London.</w:t>
      </w:r>
      <w:proofErr w:type="gramEnd"/>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0"/>
          <w:szCs w:val="20"/>
          <w:lang w:val="en-US"/>
        </w:rPr>
      </w:pPr>
      <w:proofErr w:type="gramStart"/>
      <w:r>
        <w:rPr>
          <w:sz w:val="20"/>
          <w:szCs w:val="20"/>
          <w:lang w:val="en-US"/>
        </w:rPr>
        <w:t>Watts, R.L. and Zimmerman, J.L. (1986).</w:t>
      </w:r>
      <w:proofErr w:type="gramEnd"/>
      <w:r>
        <w:rPr>
          <w:sz w:val="20"/>
          <w:szCs w:val="20"/>
          <w:lang w:val="en-US"/>
        </w:rPr>
        <w:t xml:space="preserve"> </w:t>
      </w:r>
      <w:proofErr w:type="gramStart"/>
      <w:r>
        <w:rPr>
          <w:sz w:val="20"/>
          <w:szCs w:val="20"/>
          <w:lang w:val="en-US"/>
        </w:rPr>
        <w:t>Positive Accounting Theory.</w:t>
      </w:r>
      <w:proofErr w:type="gramEnd"/>
      <w:r>
        <w:rPr>
          <w:sz w:val="20"/>
          <w:szCs w:val="20"/>
          <w:lang w:val="en-US"/>
        </w:rPr>
        <w:t xml:space="preserve"> </w:t>
      </w:r>
      <w:r>
        <w:rPr>
          <w:i/>
          <w:sz w:val="20"/>
          <w:szCs w:val="20"/>
          <w:lang w:val="en-US"/>
        </w:rPr>
        <w:t>Prentice Hall</w:t>
      </w:r>
      <w:r>
        <w:rPr>
          <w:sz w:val="20"/>
          <w:szCs w:val="20"/>
          <w:lang w:val="en-US"/>
        </w:rPr>
        <w:t>, New Jersey.</w:t>
      </w:r>
    </w:p>
    <w:p w:rsidR="00AE4097" w:rsidRDefault="00AE4097" w:rsidP="00AE4097">
      <w:pPr>
        <w:pStyle w:val="ecxmsonormal"/>
        <w:shd w:val="clear" w:color="auto" w:fill="FFFFFF"/>
        <w:spacing w:after="0" w:line="276" w:lineRule="auto"/>
        <w:jc w:val="both"/>
        <w:rPr>
          <w:sz w:val="20"/>
          <w:szCs w:val="20"/>
          <w:lang w:val="en-US"/>
        </w:rPr>
      </w:pPr>
    </w:p>
    <w:p w:rsidR="00AE4097" w:rsidRDefault="00AE4097" w:rsidP="00AE4097">
      <w:pPr>
        <w:pStyle w:val="ecxmsonormal"/>
        <w:shd w:val="clear" w:color="auto" w:fill="FFFFFF"/>
        <w:spacing w:after="0" w:line="276" w:lineRule="auto"/>
        <w:jc w:val="both"/>
        <w:rPr>
          <w:sz w:val="22"/>
          <w:szCs w:val="22"/>
          <w:lang w:val="en-US"/>
        </w:rPr>
      </w:pPr>
      <w:r>
        <w:rPr>
          <w:sz w:val="20"/>
          <w:szCs w:val="20"/>
          <w:lang w:val="en-US"/>
        </w:rPr>
        <w:t xml:space="preserve">Weber, R.P. (1985). </w:t>
      </w:r>
      <w:proofErr w:type="gramStart"/>
      <w:r>
        <w:rPr>
          <w:sz w:val="20"/>
          <w:szCs w:val="20"/>
          <w:lang w:val="en-US"/>
        </w:rPr>
        <w:t>Basic content analysis, quantitative applications in the social sciences.</w:t>
      </w:r>
      <w:proofErr w:type="gramEnd"/>
      <w:r>
        <w:rPr>
          <w:sz w:val="20"/>
          <w:szCs w:val="20"/>
          <w:lang w:val="en-US"/>
        </w:rPr>
        <w:t xml:space="preserve"> Beverly Hills, CA: Sage Publications.</w:t>
      </w:r>
    </w:p>
    <w:p w:rsidR="00AE4097" w:rsidRDefault="00AE4097" w:rsidP="008C2ED0">
      <w:pPr>
        <w:pStyle w:val="ListParagraph"/>
        <w:numPr>
          <w:ilvl w:val="0"/>
          <w:numId w:val="11"/>
        </w:numPr>
        <w:spacing w:after="200" w:line="360" w:lineRule="auto"/>
        <w:jc w:val="both"/>
        <w:rPr>
          <w:sz w:val="22"/>
          <w:szCs w:val="22"/>
          <w:lang w:val="en-US"/>
        </w:rPr>
        <w:sectPr w:rsidR="00AE4097" w:rsidSect="00AE4097">
          <w:headerReference w:type="default" r:id="rId10"/>
          <w:footerReference w:type="even" r:id="rId11"/>
          <w:footerReference w:type="default" r:id="rId12"/>
          <w:pgSz w:w="11906" w:h="16838" w:code="9"/>
          <w:pgMar w:top="1418" w:right="1418" w:bottom="1418" w:left="1418" w:header="720" w:footer="720" w:gutter="0"/>
          <w:cols w:space="720"/>
          <w:titlePg/>
          <w:docGrid w:linePitch="360"/>
        </w:sectPr>
      </w:pPr>
    </w:p>
    <w:p w:rsidR="00AE4097" w:rsidRDefault="00AE4097" w:rsidP="00AE4097">
      <w:pPr>
        <w:spacing w:line="360" w:lineRule="auto"/>
        <w:jc w:val="both"/>
        <w:rPr>
          <w:b/>
          <w:lang w:val="en-US"/>
        </w:rPr>
      </w:pPr>
      <w:r>
        <w:rPr>
          <w:b/>
          <w:lang w:val="en-US"/>
        </w:rPr>
        <w:lastRenderedPageBreak/>
        <w:t>Appendix I Empirical studies on risk reporting</w:t>
      </w:r>
    </w:p>
    <w:p w:rsidR="00AE4097" w:rsidRDefault="00AE4097" w:rsidP="00AE4097">
      <w:pPr>
        <w:spacing w:line="360" w:lineRule="auto"/>
        <w:jc w:val="both"/>
        <w:rPr>
          <w:b/>
          <w:sz w:val="22"/>
          <w:szCs w:val="22"/>
          <w:lang w:val="en-US"/>
        </w:rPr>
      </w:pPr>
    </w:p>
    <w:p w:rsidR="00AE4097" w:rsidRDefault="00AE4097" w:rsidP="00AE4097">
      <w:pPr>
        <w:spacing w:line="360" w:lineRule="auto"/>
        <w:jc w:val="both"/>
        <w:rPr>
          <w:sz w:val="22"/>
          <w:szCs w:val="22"/>
          <w:lang w:val="en-US"/>
        </w:rPr>
      </w:pPr>
      <w:r>
        <w:rPr>
          <w:sz w:val="22"/>
          <w:szCs w:val="22"/>
          <w:lang w:val="en-US"/>
        </w:rPr>
        <w:t xml:space="preserve">This table gives a short summary of the studies discussed in chapter 3 (Literature review). </w:t>
      </w:r>
    </w:p>
    <w:p w:rsidR="00AE4097" w:rsidRDefault="00AE4097" w:rsidP="00AE4097">
      <w:pPr>
        <w:jc w:val="both"/>
        <w:rPr>
          <w:b/>
          <w:sz w:val="22"/>
          <w:szCs w:val="22"/>
          <w:lang w:val="en-US"/>
        </w:rPr>
      </w:pPr>
    </w:p>
    <w:p w:rsidR="00AE4097" w:rsidRPr="00352DC9" w:rsidRDefault="00AE4097" w:rsidP="00AE4097">
      <w:pPr>
        <w:pBdr>
          <w:top w:val="single" w:sz="4" w:space="0" w:color="auto"/>
        </w:pBdr>
        <w:jc w:val="both"/>
        <w:rPr>
          <w:b/>
          <w:sz w:val="20"/>
          <w:szCs w:val="20"/>
          <w:lang w:val="en-US"/>
        </w:rPr>
      </w:pPr>
      <w:r w:rsidRPr="00352DC9">
        <w:rPr>
          <w:b/>
          <w:sz w:val="20"/>
          <w:szCs w:val="20"/>
          <w:lang w:val="en-US"/>
        </w:rPr>
        <w:t>Author(s)</w:t>
      </w:r>
      <w:r w:rsidRPr="00352DC9">
        <w:rPr>
          <w:b/>
          <w:sz w:val="20"/>
          <w:szCs w:val="20"/>
          <w:lang w:val="en-US"/>
        </w:rPr>
        <w:tab/>
      </w:r>
      <w:r w:rsidRPr="00352DC9">
        <w:rPr>
          <w:b/>
          <w:sz w:val="20"/>
          <w:szCs w:val="20"/>
          <w:lang w:val="en-US"/>
        </w:rPr>
        <w:tab/>
        <w:t>Sample</w:t>
      </w:r>
      <w:r w:rsidRPr="00352DC9">
        <w:rPr>
          <w:b/>
          <w:sz w:val="20"/>
          <w:szCs w:val="20"/>
          <w:lang w:val="en-US"/>
        </w:rPr>
        <w:tab/>
      </w:r>
      <w:r w:rsidRPr="00352DC9">
        <w:rPr>
          <w:b/>
          <w:sz w:val="20"/>
          <w:szCs w:val="20"/>
          <w:lang w:val="en-US"/>
        </w:rPr>
        <w:tab/>
      </w:r>
      <w:r w:rsidRPr="00352DC9">
        <w:rPr>
          <w:b/>
          <w:sz w:val="20"/>
          <w:szCs w:val="20"/>
          <w:lang w:val="en-US"/>
        </w:rPr>
        <w:tab/>
        <w:t>Methodology</w:t>
      </w:r>
      <w:r w:rsidRPr="00352DC9">
        <w:rPr>
          <w:b/>
          <w:sz w:val="20"/>
          <w:szCs w:val="20"/>
          <w:lang w:val="en-US"/>
        </w:rPr>
        <w:tab/>
      </w:r>
      <w:r w:rsidRPr="00352DC9">
        <w:rPr>
          <w:b/>
          <w:sz w:val="20"/>
          <w:szCs w:val="20"/>
          <w:lang w:val="en-US"/>
        </w:rPr>
        <w:tab/>
      </w:r>
      <w:r w:rsidRPr="00352DC9">
        <w:rPr>
          <w:b/>
          <w:sz w:val="20"/>
          <w:szCs w:val="20"/>
          <w:lang w:val="en-US"/>
        </w:rPr>
        <w:tab/>
      </w:r>
      <w:r w:rsidRPr="00352DC9">
        <w:rPr>
          <w:b/>
          <w:sz w:val="20"/>
          <w:szCs w:val="20"/>
          <w:lang w:val="en-US"/>
        </w:rPr>
        <w:tab/>
        <w:t>Results</w:t>
      </w:r>
    </w:p>
    <w:p w:rsidR="00AE4097" w:rsidRPr="00352DC9" w:rsidRDefault="00AE4097" w:rsidP="00AE4097">
      <w:pPr>
        <w:pBdr>
          <w:top w:val="single" w:sz="4" w:space="1" w:color="auto"/>
        </w:pBdr>
        <w:jc w:val="both"/>
        <w:rPr>
          <w:sz w:val="20"/>
          <w:szCs w:val="20"/>
          <w:lang w:val="en-US"/>
        </w:rPr>
      </w:pPr>
      <w:proofErr w:type="gramStart"/>
      <w:r w:rsidRPr="00352DC9">
        <w:rPr>
          <w:sz w:val="20"/>
          <w:szCs w:val="20"/>
          <w:lang w:val="en-US"/>
        </w:rPr>
        <w:t>Beretta and</w:t>
      </w:r>
      <w:r w:rsidRPr="00352DC9">
        <w:rPr>
          <w:sz w:val="20"/>
          <w:szCs w:val="20"/>
          <w:lang w:val="en-US"/>
        </w:rPr>
        <w:tab/>
      </w:r>
      <w:r w:rsidRPr="00352DC9">
        <w:rPr>
          <w:sz w:val="20"/>
          <w:szCs w:val="20"/>
          <w:lang w:val="en-US"/>
        </w:rPr>
        <w:tab/>
        <w:t>85 annual reports</w:t>
      </w:r>
      <w:r w:rsidRPr="00352DC9">
        <w:rPr>
          <w:sz w:val="20"/>
          <w:szCs w:val="20"/>
          <w:lang w:val="en-US"/>
        </w:rPr>
        <w:tab/>
      </w:r>
      <w:r w:rsidRPr="00352DC9">
        <w:rPr>
          <w:sz w:val="20"/>
          <w:szCs w:val="20"/>
          <w:lang w:val="en-US"/>
        </w:rPr>
        <w:tab/>
        <w:t>Content analysis;</w:t>
      </w:r>
      <w:r w:rsidRPr="00352DC9">
        <w:rPr>
          <w:sz w:val="20"/>
          <w:szCs w:val="20"/>
          <w:lang w:val="en-US"/>
        </w:rPr>
        <w:tab/>
      </w:r>
      <w:r w:rsidRPr="00352DC9">
        <w:rPr>
          <w:sz w:val="20"/>
          <w:szCs w:val="20"/>
          <w:lang w:val="en-US"/>
        </w:rPr>
        <w:tab/>
      </w:r>
      <w:r w:rsidRPr="00352DC9">
        <w:rPr>
          <w:sz w:val="20"/>
          <w:szCs w:val="20"/>
          <w:lang w:val="en-US"/>
        </w:rPr>
        <w:tab/>
        <w:t>1.</w:t>
      </w:r>
      <w:proofErr w:type="gramEnd"/>
      <w:r w:rsidRPr="00352DC9">
        <w:rPr>
          <w:sz w:val="20"/>
          <w:szCs w:val="20"/>
          <w:lang w:val="en-US"/>
        </w:rPr>
        <w:t xml:space="preserve"> Strong level of association between the </w:t>
      </w:r>
      <w:proofErr w:type="gramStart"/>
      <w:r w:rsidRPr="00352DC9">
        <w:rPr>
          <w:sz w:val="20"/>
          <w:szCs w:val="20"/>
          <w:lang w:val="en-US"/>
        </w:rPr>
        <w:t>type</w:t>
      </w:r>
      <w:proofErr w:type="gramEnd"/>
      <w:r w:rsidRPr="00352DC9">
        <w:rPr>
          <w:sz w:val="20"/>
          <w:szCs w:val="20"/>
          <w:lang w:val="en-US"/>
        </w:rPr>
        <w:t xml:space="preserve"> of measures adopted in</w:t>
      </w:r>
    </w:p>
    <w:p w:rsidR="00AE4097" w:rsidRPr="00352DC9" w:rsidRDefault="00AE4097" w:rsidP="00AE4097">
      <w:pPr>
        <w:jc w:val="both"/>
        <w:rPr>
          <w:sz w:val="20"/>
          <w:szCs w:val="20"/>
          <w:lang w:val="en-US"/>
        </w:rPr>
      </w:pPr>
      <w:r w:rsidRPr="00352DC9">
        <w:rPr>
          <w:sz w:val="20"/>
          <w:szCs w:val="20"/>
          <w:lang w:val="en-US"/>
        </w:rPr>
        <w:t xml:space="preserve">Bozzolan </w:t>
      </w:r>
      <w:r w:rsidRPr="00352DC9">
        <w:rPr>
          <w:sz w:val="20"/>
          <w:szCs w:val="20"/>
          <w:lang w:val="en-US"/>
        </w:rPr>
        <w:tab/>
      </w:r>
      <w:r w:rsidRPr="00352DC9">
        <w:rPr>
          <w:sz w:val="20"/>
          <w:szCs w:val="20"/>
          <w:lang w:val="en-US"/>
        </w:rPr>
        <w:tab/>
      </w:r>
      <w:proofErr w:type="gramStart"/>
      <w:r w:rsidRPr="00352DC9">
        <w:rPr>
          <w:sz w:val="20"/>
          <w:szCs w:val="20"/>
          <w:lang w:val="en-US"/>
        </w:rPr>
        <w:t>of  Italian</w:t>
      </w:r>
      <w:proofErr w:type="gramEnd"/>
      <w:r w:rsidRPr="00352DC9">
        <w:rPr>
          <w:sz w:val="20"/>
          <w:szCs w:val="20"/>
          <w:lang w:val="en-US"/>
        </w:rPr>
        <w:t xml:space="preserve"> listed </w:t>
      </w:r>
      <w:r w:rsidRPr="00352DC9">
        <w:rPr>
          <w:sz w:val="20"/>
          <w:szCs w:val="20"/>
          <w:lang w:val="en-US"/>
        </w:rPr>
        <w:tab/>
      </w:r>
      <w:r w:rsidRPr="00352DC9">
        <w:rPr>
          <w:sz w:val="20"/>
          <w:szCs w:val="20"/>
          <w:lang w:val="en-US"/>
        </w:rPr>
        <w:tab/>
        <w:t>disclosure index and</w:t>
      </w:r>
      <w:r w:rsidRPr="00352DC9">
        <w:rPr>
          <w:sz w:val="20"/>
          <w:szCs w:val="20"/>
          <w:lang w:val="en-US"/>
        </w:rPr>
        <w:tab/>
      </w:r>
      <w:r w:rsidRPr="00352DC9">
        <w:rPr>
          <w:sz w:val="20"/>
          <w:szCs w:val="20"/>
          <w:lang w:val="en-US"/>
        </w:rPr>
        <w:tab/>
      </w:r>
      <w:r w:rsidRPr="00352DC9">
        <w:rPr>
          <w:sz w:val="20"/>
          <w:szCs w:val="20"/>
          <w:lang w:val="en-US"/>
        </w:rPr>
        <w:tab/>
        <w:t>external communication and sources of risk.</w:t>
      </w:r>
    </w:p>
    <w:p w:rsidR="00AE4097" w:rsidRPr="00352DC9" w:rsidRDefault="00AE4097" w:rsidP="00AE4097">
      <w:pPr>
        <w:jc w:val="both"/>
        <w:rPr>
          <w:sz w:val="20"/>
          <w:szCs w:val="20"/>
          <w:lang w:val="en-US"/>
        </w:rPr>
      </w:pPr>
      <w:proofErr w:type="gramStart"/>
      <w:r w:rsidRPr="00352DC9">
        <w:rPr>
          <w:sz w:val="20"/>
          <w:szCs w:val="20"/>
          <w:lang w:val="en-US"/>
        </w:rPr>
        <w:t>(2004)</w:t>
      </w:r>
      <w:r w:rsidRPr="00352DC9">
        <w:rPr>
          <w:sz w:val="20"/>
          <w:szCs w:val="20"/>
          <w:lang w:val="en-US"/>
        </w:rPr>
        <w:tab/>
      </w:r>
      <w:r w:rsidRPr="00352DC9">
        <w:rPr>
          <w:sz w:val="20"/>
          <w:szCs w:val="20"/>
          <w:lang w:val="en-US"/>
        </w:rPr>
        <w:tab/>
      </w:r>
      <w:r w:rsidRPr="00352DC9">
        <w:rPr>
          <w:sz w:val="20"/>
          <w:szCs w:val="20"/>
          <w:lang w:val="en-US"/>
        </w:rPr>
        <w:tab/>
        <w:t>non-financial</w:t>
      </w:r>
      <w:r w:rsidRPr="00352DC9">
        <w:rPr>
          <w:sz w:val="20"/>
          <w:szCs w:val="20"/>
          <w:lang w:val="en-US"/>
        </w:rPr>
        <w:tab/>
      </w:r>
      <w:r w:rsidRPr="00352DC9">
        <w:rPr>
          <w:sz w:val="20"/>
          <w:szCs w:val="20"/>
          <w:lang w:val="en-US"/>
        </w:rPr>
        <w:tab/>
      </w:r>
      <w:r w:rsidRPr="00352DC9">
        <w:rPr>
          <w:sz w:val="20"/>
          <w:szCs w:val="20"/>
          <w:lang w:val="en-US"/>
        </w:rPr>
        <w:tab/>
        <w:t>regressions</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2.</w:t>
      </w:r>
      <w:proofErr w:type="gramEnd"/>
      <w:r w:rsidRPr="00352DC9">
        <w:rPr>
          <w:sz w:val="20"/>
          <w:szCs w:val="20"/>
          <w:lang w:val="en-US"/>
        </w:rPr>
        <w:t xml:space="preserve">  Disclosed items are more focused on the present and the past than on the</w:t>
      </w:r>
    </w:p>
    <w:p w:rsidR="00AE4097" w:rsidRPr="00352DC9" w:rsidRDefault="00AE4097" w:rsidP="00AE4097">
      <w:pPr>
        <w:jc w:val="both"/>
        <w:rPr>
          <w:sz w:val="20"/>
          <w:szCs w:val="20"/>
          <w:lang w:val="en-US"/>
        </w:rPr>
      </w:pPr>
      <w:r w:rsidRPr="00352DC9">
        <w:rPr>
          <w:sz w:val="20"/>
          <w:szCs w:val="20"/>
          <w:lang w:val="en-US"/>
        </w:rPr>
        <w:tab/>
      </w:r>
      <w:r w:rsidRPr="00352DC9">
        <w:rPr>
          <w:sz w:val="20"/>
          <w:szCs w:val="20"/>
          <w:lang w:val="en-US"/>
        </w:rPr>
        <w:tab/>
      </w:r>
      <w:r w:rsidRPr="00352DC9">
        <w:rPr>
          <w:sz w:val="20"/>
          <w:szCs w:val="20"/>
          <w:lang w:val="en-US"/>
        </w:rPr>
        <w:tab/>
      </w:r>
      <w:proofErr w:type="gramStart"/>
      <w:r w:rsidRPr="00352DC9">
        <w:rPr>
          <w:sz w:val="20"/>
          <w:szCs w:val="20"/>
          <w:lang w:val="en-US"/>
        </w:rPr>
        <w:t>Companies</w:t>
      </w:r>
      <w:proofErr w:type="gramEnd"/>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future.</w:t>
      </w:r>
    </w:p>
    <w:p w:rsidR="00AE4097" w:rsidRPr="00352DC9" w:rsidRDefault="00AE4097" w:rsidP="00AE4097">
      <w:pPr>
        <w:ind w:left="1134" w:firstLine="567"/>
        <w:jc w:val="both"/>
        <w:rPr>
          <w:sz w:val="20"/>
          <w:szCs w:val="20"/>
          <w:lang w:val="en-US"/>
        </w:rPr>
      </w:pPr>
      <w:r w:rsidRPr="00352DC9">
        <w:rPr>
          <w:sz w:val="20"/>
          <w:szCs w:val="20"/>
          <w:lang w:val="en-US"/>
        </w:rPr>
        <w:t>Period: 2001</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3. Risk communication of Italian listed companies is very poor.</w:t>
      </w:r>
    </w:p>
    <w:p w:rsidR="00AE4097" w:rsidRPr="00352DC9" w:rsidRDefault="00AE4097" w:rsidP="00AE4097">
      <w:pPr>
        <w:jc w:val="both"/>
        <w:rPr>
          <w:sz w:val="20"/>
          <w:szCs w:val="20"/>
          <w:lang w:val="en-US"/>
        </w:rPr>
      </w:pP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4. There is no relation with company size.</w:t>
      </w:r>
    </w:p>
    <w:p w:rsidR="00AE4097" w:rsidRPr="00352DC9" w:rsidRDefault="00AE4097" w:rsidP="00AE4097">
      <w:pPr>
        <w:jc w:val="both"/>
        <w:rPr>
          <w:sz w:val="20"/>
          <w:szCs w:val="20"/>
          <w:lang w:val="en-US"/>
        </w:rPr>
      </w:pP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 xml:space="preserve">5. The percentages of information disclosed in each category in different </w:t>
      </w:r>
    </w:p>
    <w:p w:rsidR="00AE4097" w:rsidRPr="00352DC9" w:rsidRDefault="00AE4097" w:rsidP="00AE4097">
      <w:pPr>
        <w:ind w:left="6237" w:firstLine="567"/>
        <w:jc w:val="both"/>
        <w:rPr>
          <w:sz w:val="20"/>
          <w:szCs w:val="20"/>
          <w:lang w:val="en-US"/>
        </w:rPr>
      </w:pPr>
      <w:proofErr w:type="gramStart"/>
      <w:r w:rsidRPr="00352DC9">
        <w:rPr>
          <w:sz w:val="20"/>
          <w:szCs w:val="20"/>
          <w:lang w:val="en-US"/>
        </w:rPr>
        <w:t>industries</w:t>
      </w:r>
      <w:proofErr w:type="gramEnd"/>
      <w:r w:rsidRPr="00352DC9">
        <w:rPr>
          <w:sz w:val="20"/>
          <w:szCs w:val="20"/>
          <w:lang w:val="en-US"/>
        </w:rPr>
        <w:t xml:space="preserve"> are not statistically different.</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p>
    <w:p w:rsidR="00AE4097" w:rsidRPr="00352DC9" w:rsidRDefault="00AE4097" w:rsidP="00AE4097">
      <w:pPr>
        <w:pBdr>
          <w:top w:val="single" w:sz="4" w:space="1" w:color="auto"/>
        </w:pBdr>
        <w:ind w:left="1134" w:hanging="1134"/>
        <w:jc w:val="both"/>
        <w:rPr>
          <w:sz w:val="20"/>
          <w:szCs w:val="20"/>
          <w:lang w:val="en-US"/>
        </w:rPr>
      </w:pPr>
      <w:r w:rsidRPr="00352DC9">
        <w:rPr>
          <w:sz w:val="20"/>
          <w:szCs w:val="20"/>
          <w:lang w:val="en-US"/>
        </w:rPr>
        <w:t xml:space="preserve">Lajili, K. </w:t>
      </w:r>
      <w:r w:rsidRPr="00352DC9">
        <w:rPr>
          <w:sz w:val="20"/>
          <w:szCs w:val="20"/>
          <w:lang w:val="en-US"/>
        </w:rPr>
        <w:tab/>
      </w:r>
      <w:r w:rsidRPr="00352DC9">
        <w:rPr>
          <w:sz w:val="20"/>
          <w:szCs w:val="20"/>
          <w:lang w:val="en-US"/>
        </w:rPr>
        <w:tab/>
      </w:r>
      <w:proofErr w:type="gramStart"/>
      <w:r w:rsidRPr="00352DC9">
        <w:rPr>
          <w:sz w:val="20"/>
          <w:szCs w:val="20"/>
          <w:lang w:val="en-US"/>
        </w:rPr>
        <w:t>300 annual reports of</w:t>
      </w:r>
      <w:r w:rsidRPr="00352DC9">
        <w:rPr>
          <w:sz w:val="20"/>
          <w:szCs w:val="20"/>
          <w:lang w:val="en-US"/>
        </w:rPr>
        <w:tab/>
        <w:t>Content analysis</w:t>
      </w:r>
      <w:r w:rsidRPr="00352DC9">
        <w:rPr>
          <w:sz w:val="20"/>
          <w:szCs w:val="20"/>
          <w:lang w:val="en-US"/>
        </w:rPr>
        <w:tab/>
      </w:r>
      <w:r w:rsidRPr="00352DC9">
        <w:rPr>
          <w:sz w:val="20"/>
          <w:szCs w:val="20"/>
          <w:lang w:val="en-US"/>
        </w:rPr>
        <w:tab/>
      </w:r>
      <w:r w:rsidRPr="00352DC9">
        <w:rPr>
          <w:sz w:val="20"/>
          <w:szCs w:val="20"/>
          <w:lang w:val="en-US"/>
        </w:rPr>
        <w:tab/>
        <w:t>1.</w:t>
      </w:r>
      <w:proofErr w:type="gramEnd"/>
      <w:r w:rsidRPr="00352DC9">
        <w:rPr>
          <w:sz w:val="20"/>
          <w:szCs w:val="20"/>
          <w:lang w:val="en-US"/>
        </w:rPr>
        <w:t xml:space="preserve">  Risk information is mainly qualitative and is located in the notes to the </w:t>
      </w:r>
    </w:p>
    <w:p w:rsidR="00AE4097" w:rsidRPr="00352DC9" w:rsidRDefault="00AE4097" w:rsidP="00AE4097">
      <w:pPr>
        <w:ind w:left="1134" w:hanging="1134"/>
        <w:jc w:val="both"/>
        <w:rPr>
          <w:sz w:val="20"/>
          <w:szCs w:val="20"/>
          <w:lang w:val="en-US"/>
        </w:rPr>
      </w:pPr>
      <w:proofErr w:type="gramStart"/>
      <w:r w:rsidRPr="00352DC9">
        <w:rPr>
          <w:sz w:val="20"/>
          <w:szCs w:val="20"/>
          <w:lang w:val="en-US"/>
        </w:rPr>
        <w:t>and</w:t>
      </w:r>
      <w:proofErr w:type="gramEnd"/>
      <w:r w:rsidRPr="00352DC9">
        <w:rPr>
          <w:sz w:val="20"/>
          <w:szCs w:val="20"/>
          <w:lang w:val="en-US"/>
        </w:rPr>
        <w:t xml:space="preserve"> D. </w:t>
      </w:r>
      <w:r w:rsidR="00466506" w:rsidRPr="00352DC9">
        <w:rPr>
          <w:sz w:val="20"/>
          <w:szCs w:val="20"/>
          <w:lang w:val="en-US"/>
        </w:rPr>
        <w:t>Zéghal</w:t>
      </w:r>
      <w:r w:rsidRPr="00352DC9">
        <w:rPr>
          <w:sz w:val="20"/>
          <w:szCs w:val="20"/>
          <w:lang w:val="en-US"/>
        </w:rPr>
        <w:t xml:space="preserve"> </w:t>
      </w:r>
      <w:r w:rsidRPr="00352DC9">
        <w:rPr>
          <w:sz w:val="20"/>
          <w:szCs w:val="20"/>
          <w:lang w:val="en-US"/>
        </w:rPr>
        <w:tab/>
        <w:t xml:space="preserve">Canadian listed </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 xml:space="preserve">financial statements and/or in the ‘management discussion and analysis’ </w:t>
      </w:r>
    </w:p>
    <w:p w:rsidR="00AE4097" w:rsidRPr="00352DC9" w:rsidRDefault="00AE4097" w:rsidP="00AE4097">
      <w:pPr>
        <w:ind w:left="1134" w:hanging="1134"/>
        <w:jc w:val="both"/>
        <w:rPr>
          <w:sz w:val="20"/>
          <w:szCs w:val="20"/>
          <w:lang w:val="en-US"/>
        </w:rPr>
      </w:pPr>
      <w:r w:rsidRPr="00352DC9">
        <w:rPr>
          <w:sz w:val="20"/>
          <w:szCs w:val="20"/>
          <w:lang w:val="en-US"/>
        </w:rPr>
        <w:t>(2005)</w:t>
      </w:r>
      <w:r w:rsidRPr="00352DC9">
        <w:rPr>
          <w:sz w:val="20"/>
          <w:szCs w:val="20"/>
          <w:lang w:val="en-US"/>
        </w:rPr>
        <w:tab/>
      </w:r>
      <w:r w:rsidRPr="00352DC9">
        <w:rPr>
          <w:sz w:val="20"/>
          <w:szCs w:val="20"/>
          <w:lang w:val="en-US"/>
        </w:rPr>
        <w:tab/>
        <w:t>companies,</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section.</w:t>
      </w:r>
    </w:p>
    <w:p w:rsidR="00AE4097" w:rsidRPr="00352DC9" w:rsidRDefault="00AE4097" w:rsidP="00AE4097">
      <w:pPr>
        <w:ind w:left="6237" w:hanging="4536"/>
        <w:jc w:val="both"/>
        <w:rPr>
          <w:sz w:val="20"/>
          <w:szCs w:val="20"/>
          <w:lang w:val="en-US"/>
        </w:rPr>
      </w:pPr>
      <w:proofErr w:type="gramStart"/>
      <w:r w:rsidRPr="00352DC9">
        <w:rPr>
          <w:sz w:val="20"/>
          <w:szCs w:val="20"/>
          <w:lang w:val="en-US"/>
        </w:rPr>
        <w:t>both</w:t>
      </w:r>
      <w:proofErr w:type="gramEnd"/>
      <w:r w:rsidRPr="00352DC9">
        <w:rPr>
          <w:sz w:val="20"/>
          <w:szCs w:val="20"/>
          <w:lang w:val="en-US"/>
        </w:rPr>
        <w:t xml:space="preserve"> financial and</w:t>
      </w:r>
      <w:r w:rsidRPr="00352DC9">
        <w:rPr>
          <w:sz w:val="20"/>
          <w:szCs w:val="20"/>
          <w:lang w:val="en-US"/>
        </w:rPr>
        <w:tab/>
      </w:r>
      <w:r w:rsidRPr="00352DC9">
        <w:rPr>
          <w:sz w:val="20"/>
          <w:szCs w:val="20"/>
          <w:lang w:val="en-US"/>
        </w:rPr>
        <w:tab/>
      </w:r>
      <w:r w:rsidRPr="00352DC9">
        <w:rPr>
          <w:sz w:val="20"/>
          <w:szCs w:val="20"/>
          <w:lang w:val="en-US"/>
        </w:rPr>
        <w:tab/>
        <w:t xml:space="preserve">2. The most frequently used risk categories are financial risk, commodity and </w:t>
      </w:r>
    </w:p>
    <w:p w:rsidR="00AE4097" w:rsidRPr="00352DC9" w:rsidRDefault="00AE4097" w:rsidP="00AE4097">
      <w:pPr>
        <w:ind w:left="1134" w:firstLine="567"/>
        <w:jc w:val="both"/>
        <w:rPr>
          <w:sz w:val="20"/>
          <w:szCs w:val="20"/>
          <w:lang w:val="en-US"/>
        </w:rPr>
      </w:pPr>
      <w:proofErr w:type="gramStart"/>
      <w:r w:rsidRPr="00352DC9">
        <w:rPr>
          <w:sz w:val="20"/>
          <w:szCs w:val="20"/>
          <w:lang w:val="en-US"/>
        </w:rPr>
        <w:t>non-financial</w:t>
      </w:r>
      <w:proofErr w:type="gramEnd"/>
      <w:r w:rsidRPr="00352DC9">
        <w:rPr>
          <w:sz w:val="20"/>
          <w:szCs w:val="20"/>
          <w:lang w:val="en-US"/>
        </w:rPr>
        <w:t>.</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proofErr w:type="gramStart"/>
      <w:r w:rsidRPr="00352DC9">
        <w:rPr>
          <w:sz w:val="20"/>
          <w:szCs w:val="20"/>
          <w:lang w:val="en-US"/>
        </w:rPr>
        <w:t>market</w:t>
      </w:r>
      <w:proofErr w:type="gramEnd"/>
      <w:r w:rsidRPr="00352DC9">
        <w:rPr>
          <w:sz w:val="20"/>
          <w:szCs w:val="20"/>
          <w:lang w:val="en-US"/>
        </w:rPr>
        <w:t xml:space="preserve"> risk.</w:t>
      </w:r>
    </w:p>
    <w:p w:rsidR="00AE4097" w:rsidRPr="00352DC9" w:rsidRDefault="00AE4097" w:rsidP="00AE4097">
      <w:pPr>
        <w:ind w:left="1134" w:firstLine="567"/>
        <w:jc w:val="both"/>
        <w:rPr>
          <w:sz w:val="20"/>
          <w:szCs w:val="20"/>
          <w:lang w:val="en-US"/>
        </w:rPr>
      </w:pPr>
      <w:r w:rsidRPr="00352DC9">
        <w:rPr>
          <w:sz w:val="20"/>
          <w:szCs w:val="20"/>
          <w:lang w:val="en-US"/>
        </w:rPr>
        <w:t>Period: 1999</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3. Downside risk, up-side effects and value-creating opportunities are absent.</w:t>
      </w:r>
    </w:p>
    <w:p w:rsidR="00AE4097" w:rsidRPr="00352DC9" w:rsidRDefault="00AE4097" w:rsidP="00AE4097">
      <w:pPr>
        <w:ind w:left="1134" w:hanging="1134"/>
        <w:jc w:val="both"/>
        <w:rPr>
          <w:sz w:val="20"/>
          <w:szCs w:val="20"/>
          <w:lang w:val="en-US"/>
        </w:rPr>
      </w:pP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4. Voluntary risk disclosures</w:t>
      </w:r>
    </w:p>
    <w:p w:rsidR="00AE4097" w:rsidRPr="00352DC9" w:rsidRDefault="00AE4097" w:rsidP="00AE4097">
      <w:pPr>
        <w:ind w:left="1134" w:hanging="1134"/>
        <w:jc w:val="both"/>
        <w:rPr>
          <w:sz w:val="20"/>
          <w:szCs w:val="20"/>
          <w:lang w:val="en-US"/>
        </w:rPr>
      </w:pP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p>
    <w:p w:rsidR="00AE4097" w:rsidRPr="00352DC9" w:rsidRDefault="00AE4097" w:rsidP="00AE4097">
      <w:pPr>
        <w:pBdr>
          <w:top w:val="single" w:sz="4" w:space="1" w:color="auto"/>
        </w:pBdr>
        <w:jc w:val="both"/>
        <w:rPr>
          <w:sz w:val="20"/>
          <w:szCs w:val="20"/>
          <w:lang w:val="en-US"/>
        </w:rPr>
      </w:pPr>
      <w:proofErr w:type="gramStart"/>
      <w:r w:rsidRPr="00352DC9">
        <w:rPr>
          <w:sz w:val="20"/>
          <w:szCs w:val="20"/>
          <w:lang w:val="en-US"/>
        </w:rPr>
        <w:t>Groenland, J.,</w:t>
      </w:r>
      <w:r w:rsidRPr="00352DC9">
        <w:rPr>
          <w:sz w:val="20"/>
          <w:szCs w:val="20"/>
          <w:lang w:val="en-US"/>
        </w:rPr>
        <w:tab/>
      </w:r>
      <w:r w:rsidRPr="00352DC9">
        <w:rPr>
          <w:sz w:val="20"/>
          <w:szCs w:val="20"/>
          <w:lang w:val="en-US"/>
        </w:rPr>
        <w:tab/>
        <w:t xml:space="preserve">125 annual reports of </w:t>
      </w:r>
      <w:r w:rsidRPr="00352DC9">
        <w:rPr>
          <w:sz w:val="20"/>
          <w:szCs w:val="20"/>
          <w:lang w:val="en-US"/>
        </w:rPr>
        <w:tab/>
        <w:t xml:space="preserve">Content analysis </w:t>
      </w:r>
      <w:r w:rsidRPr="00352DC9">
        <w:rPr>
          <w:sz w:val="20"/>
          <w:szCs w:val="20"/>
          <w:lang w:val="en-US"/>
        </w:rPr>
        <w:tab/>
      </w:r>
      <w:r w:rsidRPr="00352DC9">
        <w:rPr>
          <w:sz w:val="20"/>
          <w:szCs w:val="20"/>
          <w:lang w:val="en-US"/>
        </w:rPr>
        <w:tab/>
      </w:r>
      <w:r w:rsidRPr="00352DC9">
        <w:rPr>
          <w:sz w:val="20"/>
          <w:szCs w:val="20"/>
          <w:lang w:val="en-US"/>
        </w:rPr>
        <w:tab/>
        <w:t>1.</w:t>
      </w:r>
      <w:proofErr w:type="gramEnd"/>
      <w:r w:rsidRPr="00352DC9">
        <w:rPr>
          <w:sz w:val="20"/>
          <w:szCs w:val="20"/>
          <w:lang w:val="en-US"/>
        </w:rPr>
        <w:t xml:space="preserve"> Risk paragraph consist of 3</w:t>
      </w:r>
      <w:proofErr w:type="gramStart"/>
      <w:r w:rsidRPr="00352DC9">
        <w:rPr>
          <w:sz w:val="20"/>
          <w:szCs w:val="20"/>
          <w:lang w:val="en-US"/>
        </w:rPr>
        <w:t>,5</w:t>
      </w:r>
      <w:proofErr w:type="gramEnd"/>
      <w:r w:rsidRPr="00352DC9">
        <w:rPr>
          <w:sz w:val="20"/>
          <w:szCs w:val="20"/>
          <w:lang w:val="en-US"/>
        </w:rPr>
        <w:t xml:space="preserve"> pages (average)</w:t>
      </w:r>
    </w:p>
    <w:p w:rsidR="00AE4097" w:rsidRPr="00352DC9" w:rsidRDefault="00AE4097" w:rsidP="00AE4097">
      <w:pPr>
        <w:pBdr>
          <w:top w:val="single" w:sz="4" w:space="1" w:color="auto"/>
        </w:pBdr>
        <w:jc w:val="both"/>
        <w:rPr>
          <w:sz w:val="20"/>
          <w:szCs w:val="20"/>
          <w:lang w:val="en-US"/>
        </w:rPr>
      </w:pPr>
      <w:proofErr w:type="gramStart"/>
      <w:r w:rsidRPr="00352DC9">
        <w:rPr>
          <w:sz w:val="20"/>
          <w:szCs w:val="20"/>
          <w:lang w:val="en-US"/>
        </w:rPr>
        <w:t xml:space="preserve">Daals, R. and </w:t>
      </w:r>
      <w:r w:rsidRPr="00352DC9">
        <w:rPr>
          <w:sz w:val="20"/>
          <w:szCs w:val="20"/>
          <w:lang w:val="en-US"/>
        </w:rPr>
        <w:tab/>
      </w:r>
      <w:r w:rsidRPr="00352DC9">
        <w:rPr>
          <w:sz w:val="20"/>
          <w:szCs w:val="20"/>
          <w:lang w:val="en-US"/>
        </w:rPr>
        <w:tab/>
        <w:t>Dutch listed companies</w:t>
      </w:r>
      <w:r w:rsidRPr="00352DC9">
        <w:rPr>
          <w:sz w:val="20"/>
          <w:szCs w:val="20"/>
          <w:lang w:val="en-US"/>
        </w:rPr>
        <w:tab/>
        <w:t>and regressions</w:t>
      </w:r>
      <w:r w:rsidRPr="00352DC9">
        <w:rPr>
          <w:sz w:val="20"/>
          <w:szCs w:val="20"/>
          <w:lang w:val="en-US"/>
        </w:rPr>
        <w:tab/>
      </w:r>
      <w:r w:rsidRPr="00352DC9">
        <w:rPr>
          <w:sz w:val="20"/>
          <w:szCs w:val="20"/>
          <w:lang w:val="en-US"/>
        </w:rPr>
        <w:tab/>
      </w:r>
      <w:r w:rsidRPr="00352DC9">
        <w:rPr>
          <w:sz w:val="20"/>
          <w:szCs w:val="20"/>
          <w:lang w:val="en-US"/>
        </w:rPr>
        <w:tab/>
        <w:t>2.</w:t>
      </w:r>
      <w:proofErr w:type="gramEnd"/>
      <w:r w:rsidRPr="00352DC9">
        <w:rPr>
          <w:sz w:val="20"/>
          <w:szCs w:val="20"/>
          <w:lang w:val="en-US"/>
        </w:rPr>
        <w:t xml:space="preserve"> 76% of the companies </w:t>
      </w:r>
      <w:proofErr w:type="gramStart"/>
      <w:r w:rsidRPr="00352DC9">
        <w:rPr>
          <w:sz w:val="20"/>
          <w:szCs w:val="20"/>
          <w:lang w:val="en-US"/>
        </w:rPr>
        <w:t>does</w:t>
      </w:r>
      <w:proofErr w:type="gramEnd"/>
      <w:r w:rsidRPr="00352DC9">
        <w:rPr>
          <w:sz w:val="20"/>
          <w:szCs w:val="20"/>
          <w:lang w:val="en-US"/>
        </w:rPr>
        <w:t xml:space="preserve"> have a risk paragraph</w:t>
      </w:r>
    </w:p>
    <w:p w:rsidR="00AE4097" w:rsidRPr="00352DC9" w:rsidRDefault="00AE4097" w:rsidP="00AE4097">
      <w:pPr>
        <w:jc w:val="both"/>
        <w:rPr>
          <w:sz w:val="20"/>
          <w:szCs w:val="20"/>
          <w:lang w:val="en-US"/>
        </w:rPr>
      </w:pPr>
      <w:proofErr w:type="gramStart"/>
      <w:r w:rsidRPr="00352DC9">
        <w:rPr>
          <w:sz w:val="20"/>
          <w:szCs w:val="20"/>
          <w:lang w:val="en-US"/>
        </w:rPr>
        <w:t>H. Von Eije</w:t>
      </w:r>
      <w:r w:rsidRPr="00352DC9">
        <w:rPr>
          <w:sz w:val="20"/>
          <w:szCs w:val="20"/>
          <w:lang w:val="en-US"/>
        </w:rPr>
        <w:tab/>
      </w:r>
      <w:r w:rsidRPr="00352DC9">
        <w:rPr>
          <w:sz w:val="20"/>
          <w:szCs w:val="20"/>
          <w:lang w:val="en-US"/>
        </w:rPr>
        <w:tab/>
        <w:t>both financial and</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3.</w:t>
      </w:r>
      <w:proofErr w:type="gramEnd"/>
      <w:r w:rsidRPr="00352DC9">
        <w:rPr>
          <w:sz w:val="20"/>
          <w:szCs w:val="20"/>
          <w:lang w:val="en-US"/>
        </w:rPr>
        <w:t xml:space="preserve"> No significant association between individual risk categories and </w:t>
      </w:r>
    </w:p>
    <w:p w:rsidR="00AE4097" w:rsidRPr="00352DC9" w:rsidRDefault="00AE4097" w:rsidP="00AE4097">
      <w:pPr>
        <w:jc w:val="both"/>
        <w:rPr>
          <w:sz w:val="20"/>
          <w:szCs w:val="20"/>
          <w:lang w:val="en-US"/>
        </w:rPr>
      </w:pPr>
      <w:proofErr w:type="gramStart"/>
      <w:r w:rsidRPr="00352DC9">
        <w:rPr>
          <w:sz w:val="20"/>
          <w:szCs w:val="20"/>
          <w:lang w:val="en-US"/>
        </w:rPr>
        <w:t>(2006)</w:t>
      </w:r>
      <w:r w:rsidRPr="00352DC9">
        <w:rPr>
          <w:sz w:val="20"/>
          <w:szCs w:val="20"/>
          <w:lang w:val="en-US"/>
        </w:rPr>
        <w:tab/>
      </w:r>
      <w:r w:rsidRPr="00352DC9">
        <w:rPr>
          <w:sz w:val="20"/>
          <w:szCs w:val="20"/>
          <w:lang w:val="en-US"/>
        </w:rPr>
        <w:tab/>
      </w:r>
      <w:r w:rsidRPr="00352DC9">
        <w:rPr>
          <w:sz w:val="20"/>
          <w:szCs w:val="20"/>
          <w:lang w:val="en-US"/>
        </w:rPr>
        <w:tab/>
        <w:t>non-financial.</w:t>
      </w:r>
      <w:proofErr w:type="gramEnd"/>
      <w:r w:rsidRPr="00352DC9">
        <w:rPr>
          <w:sz w:val="20"/>
          <w:szCs w:val="20"/>
          <w:lang w:val="en-US"/>
        </w:rPr>
        <w:tab/>
        <w:t xml:space="preserve"> </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proofErr w:type="gramStart"/>
      <w:r w:rsidRPr="00352DC9">
        <w:rPr>
          <w:sz w:val="20"/>
          <w:szCs w:val="20"/>
          <w:lang w:val="en-US"/>
        </w:rPr>
        <w:t>profitability</w:t>
      </w:r>
      <w:proofErr w:type="gramEnd"/>
      <w:r w:rsidRPr="00352DC9">
        <w:rPr>
          <w:sz w:val="20"/>
          <w:szCs w:val="20"/>
          <w:lang w:val="en-US"/>
        </w:rPr>
        <w:t xml:space="preserve"> of the companies.</w:t>
      </w:r>
    </w:p>
    <w:p w:rsidR="00AE4097" w:rsidRPr="00352DC9" w:rsidRDefault="00AE4097" w:rsidP="00AE4097">
      <w:pPr>
        <w:jc w:val="both"/>
        <w:rPr>
          <w:sz w:val="20"/>
          <w:szCs w:val="20"/>
          <w:lang w:val="en-US"/>
        </w:rPr>
      </w:pPr>
      <w:r w:rsidRPr="00352DC9">
        <w:rPr>
          <w:sz w:val="20"/>
          <w:szCs w:val="20"/>
          <w:lang w:val="en-US"/>
        </w:rPr>
        <w:tab/>
      </w:r>
      <w:r w:rsidRPr="00352DC9">
        <w:rPr>
          <w:sz w:val="20"/>
          <w:szCs w:val="20"/>
          <w:lang w:val="en-US"/>
        </w:rPr>
        <w:tab/>
      </w:r>
      <w:r w:rsidRPr="00352DC9">
        <w:rPr>
          <w:sz w:val="20"/>
          <w:szCs w:val="20"/>
          <w:lang w:val="en-US"/>
        </w:rPr>
        <w:tab/>
        <w:t>Period: 2004</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 xml:space="preserve">4. Only when company wrote down something about the risk management- and </w:t>
      </w:r>
    </w:p>
    <w:p w:rsidR="00AE4097" w:rsidRPr="00352DC9" w:rsidRDefault="00AE4097" w:rsidP="00AE4097">
      <w:pPr>
        <w:ind w:left="6237" w:firstLine="567"/>
        <w:jc w:val="both"/>
        <w:rPr>
          <w:sz w:val="20"/>
          <w:szCs w:val="20"/>
          <w:lang w:val="en-US"/>
        </w:rPr>
      </w:pPr>
      <w:proofErr w:type="gramStart"/>
      <w:r w:rsidRPr="00352DC9">
        <w:rPr>
          <w:sz w:val="20"/>
          <w:szCs w:val="20"/>
          <w:lang w:val="en-US"/>
        </w:rPr>
        <w:t>control</w:t>
      </w:r>
      <w:proofErr w:type="gramEnd"/>
      <w:r w:rsidRPr="00352DC9">
        <w:rPr>
          <w:sz w:val="20"/>
          <w:szCs w:val="20"/>
          <w:lang w:val="en-US"/>
        </w:rPr>
        <w:t xml:space="preserve"> system there was a significant association with profitability.</w:t>
      </w:r>
    </w:p>
    <w:p w:rsidR="00AE4097" w:rsidRPr="00352DC9" w:rsidRDefault="00AE4097" w:rsidP="00AE4097">
      <w:pPr>
        <w:jc w:val="both"/>
        <w:rPr>
          <w:sz w:val="20"/>
          <w:szCs w:val="20"/>
          <w:lang w:val="en-US"/>
        </w:rPr>
      </w:pPr>
    </w:p>
    <w:p w:rsidR="00AE4097" w:rsidRPr="00352DC9" w:rsidRDefault="00AE4097" w:rsidP="00AE4097">
      <w:pPr>
        <w:pBdr>
          <w:top w:val="single" w:sz="4" w:space="1" w:color="auto"/>
        </w:pBdr>
        <w:jc w:val="both"/>
        <w:rPr>
          <w:sz w:val="20"/>
          <w:szCs w:val="20"/>
          <w:lang w:val="en-US"/>
        </w:rPr>
      </w:pPr>
      <w:r w:rsidRPr="00352DC9">
        <w:rPr>
          <w:sz w:val="20"/>
          <w:szCs w:val="20"/>
          <w:lang w:val="en-US"/>
        </w:rPr>
        <w:t xml:space="preserve">Linsley, P.M. </w:t>
      </w:r>
      <w:r w:rsidRPr="00352DC9">
        <w:rPr>
          <w:sz w:val="20"/>
          <w:szCs w:val="20"/>
          <w:lang w:val="en-US"/>
        </w:rPr>
        <w:tab/>
        <w:t xml:space="preserve">79 non-financial </w:t>
      </w:r>
      <w:r w:rsidR="00F073FE">
        <w:rPr>
          <w:sz w:val="20"/>
          <w:szCs w:val="20"/>
          <w:lang w:val="en-US"/>
        </w:rPr>
        <w:t>UK</w:t>
      </w:r>
      <w:r w:rsidRPr="00352DC9">
        <w:rPr>
          <w:sz w:val="20"/>
          <w:szCs w:val="20"/>
          <w:lang w:val="en-US"/>
        </w:rPr>
        <w:t xml:space="preserve"> </w:t>
      </w:r>
      <w:r w:rsidRPr="00352DC9">
        <w:rPr>
          <w:sz w:val="20"/>
          <w:szCs w:val="20"/>
          <w:lang w:val="en-US"/>
        </w:rPr>
        <w:tab/>
        <w:t xml:space="preserve">Sentence </w:t>
      </w:r>
      <w:proofErr w:type="gramStart"/>
      <w:r w:rsidRPr="00352DC9">
        <w:rPr>
          <w:sz w:val="20"/>
          <w:szCs w:val="20"/>
          <w:lang w:val="en-US"/>
        </w:rPr>
        <w:t>analysis</w:t>
      </w:r>
      <w:proofErr w:type="gramEnd"/>
      <w:r w:rsidRPr="00352DC9">
        <w:rPr>
          <w:sz w:val="20"/>
          <w:szCs w:val="20"/>
          <w:lang w:val="en-US"/>
        </w:rPr>
        <w:t>-</w:t>
      </w:r>
      <w:r w:rsidRPr="00352DC9">
        <w:rPr>
          <w:sz w:val="20"/>
          <w:szCs w:val="20"/>
          <w:lang w:val="en-US"/>
        </w:rPr>
        <w:tab/>
      </w:r>
      <w:r w:rsidRPr="00352DC9">
        <w:rPr>
          <w:sz w:val="20"/>
          <w:szCs w:val="20"/>
          <w:lang w:val="en-US"/>
        </w:rPr>
        <w:tab/>
      </w:r>
      <w:r w:rsidRPr="00352DC9">
        <w:rPr>
          <w:sz w:val="20"/>
          <w:szCs w:val="20"/>
          <w:lang w:val="en-US"/>
        </w:rPr>
        <w:tab/>
        <w:t xml:space="preserve">1. There is a positive correlation between the </w:t>
      </w:r>
      <w:proofErr w:type="gramStart"/>
      <w:r w:rsidRPr="00352DC9">
        <w:rPr>
          <w:sz w:val="20"/>
          <w:szCs w:val="20"/>
          <w:lang w:val="en-US"/>
        </w:rPr>
        <w:t>volume</w:t>
      </w:r>
      <w:proofErr w:type="gramEnd"/>
      <w:r w:rsidRPr="00352DC9">
        <w:rPr>
          <w:sz w:val="20"/>
          <w:szCs w:val="20"/>
          <w:lang w:val="en-US"/>
        </w:rPr>
        <w:t xml:space="preserve"> of risk disclosures with </w:t>
      </w:r>
    </w:p>
    <w:p w:rsidR="00AE4097" w:rsidRPr="00352DC9" w:rsidRDefault="00AE4097" w:rsidP="00AE4097">
      <w:pPr>
        <w:pBdr>
          <w:top w:val="single" w:sz="4" w:space="1" w:color="auto"/>
        </w:pBdr>
        <w:jc w:val="both"/>
        <w:rPr>
          <w:sz w:val="20"/>
          <w:szCs w:val="20"/>
          <w:lang w:val="en-US"/>
        </w:rPr>
      </w:pPr>
      <w:proofErr w:type="gramStart"/>
      <w:r w:rsidRPr="00352DC9">
        <w:rPr>
          <w:sz w:val="20"/>
          <w:szCs w:val="20"/>
          <w:lang w:val="en-US"/>
        </w:rPr>
        <w:t>and</w:t>
      </w:r>
      <w:proofErr w:type="gramEnd"/>
      <w:r w:rsidRPr="00352DC9">
        <w:rPr>
          <w:sz w:val="20"/>
          <w:szCs w:val="20"/>
          <w:lang w:val="en-US"/>
        </w:rPr>
        <w:t xml:space="preserve"> P.J. Shrives </w:t>
      </w:r>
      <w:r w:rsidRPr="00352DC9">
        <w:rPr>
          <w:sz w:val="20"/>
          <w:szCs w:val="20"/>
          <w:lang w:val="en-US"/>
        </w:rPr>
        <w:tab/>
        <w:t xml:space="preserve">companies listed on </w:t>
      </w:r>
      <w:r w:rsidRPr="00352DC9">
        <w:rPr>
          <w:sz w:val="20"/>
          <w:szCs w:val="20"/>
          <w:lang w:val="en-US"/>
        </w:rPr>
        <w:tab/>
      </w:r>
      <w:r w:rsidRPr="00352DC9">
        <w:rPr>
          <w:sz w:val="20"/>
          <w:szCs w:val="20"/>
          <w:lang w:val="en-US"/>
        </w:rPr>
        <w:tab/>
        <w:t>approach</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both company size and the level of risk.</w:t>
      </w:r>
    </w:p>
    <w:p w:rsidR="00AE4097" w:rsidRPr="00352DC9" w:rsidRDefault="00AE4097" w:rsidP="00AE4097">
      <w:pPr>
        <w:ind w:left="1701" w:hanging="1695"/>
        <w:jc w:val="both"/>
        <w:rPr>
          <w:sz w:val="20"/>
          <w:szCs w:val="20"/>
          <w:lang w:val="en-US"/>
        </w:rPr>
      </w:pPr>
      <w:proofErr w:type="gramStart"/>
      <w:r w:rsidRPr="00352DC9">
        <w:rPr>
          <w:sz w:val="20"/>
          <w:szCs w:val="20"/>
          <w:lang w:val="en-US"/>
        </w:rPr>
        <w:t>(2006a)</w:t>
      </w:r>
      <w:r w:rsidRPr="00352DC9">
        <w:rPr>
          <w:sz w:val="20"/>
          <w:szCs w:val="20"/>
          <w:lang w:val="en-US"/>
        </w:rPr>
        <w:tab/>
        <w:t>the FTSE 100</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2.</w:t>
      </w:r>
      <w:proofErr w:type="gramEnd"/>
      <w:r w:rsidRPr="00352DC9">
        <w:rPr>
          <w:sz w:val="20"/>
          <w:szCs w:val="20"/>
          <w:lang w:val="en-US"/>
        </w:rPr>
        <w:t xml:space="preserve"> The number of non-monetary risk disclosures is significantly greater </w:t>
      </w:r>
    </w:p>
    <w:p w:rsidR="00AE4097" w:rsidRPr="00352DC9" w:rsidRDefault="00AE4097" w:rsidP="00AE4097">
      <w:pPr>
        <w:jc w:val="both"/>
        <w:rPr>
          <w:sz w:val="20"/>
          <w:szCs w:val="20"/>
          <w:lang w:val="en-US"/>
        </w:rPr>
      </w:pPr>
      <w:r w:rsidRPr="00352DC9">
        <w:rPr>
          <w:sz w:val="20"/>
          <w:szCs w:val="20"/>
          <w:lang w:val="en-US"/>
        </w:rPr>
        <w:tab/>
      </w:r>
      <w:r w:rsidRPr="00352DC9">
        <w:rPr>
          <w:sz w:val="20"/>
          <w:szCs w:val="20"/>
          <w:lang w:val="en-US"/>
        </w:rPr>
        <w:tab/>
      </w:r>
      <w:r w:rsidRPr="00352DC9">
        <w:rPr>
          <w:sz w:val="20"/>
          <w:szCs w:val="20"/>
          <w:lang w:val="en-US"/>
        </w:rPr>
        <w:tab/>
        <w:t>Period: 2001</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than the number of monetary risk disclosures.</w:t>
      </w:r>
    </w:p>
    <w:p w:rsidR="00AE4097" w:rsidRPr="00352DC9" w:rsidRDefault="00AE4097" w:rsidP="00AE4097">
      <w:pPr>
        <w:jc w:val="both"/>
        <w:rPr>
          <w:sz w:val="20"/>
          <w:szCs w:val="20"/>
          <w:lang w:val="en-US"/>
        </w:rPr>
      </w:pP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3. The numbers of good and bad risk disclosures do not significantly differ.</w:t>
      </w:r>
    </w:p>
    <w:p w:rsidR="00AE4097" w:rsidRPr="00352DC9" w:rsidRDefault="00AE4097" w:rsidP="00AE4097">
      <w:pPr>
        <w:ind w:left="6804" w:firstLine="9"/>
        <w:jc w:val="both"/>
        <w:rPr>
          <w:sz w:val="20"/>
          <w:szCs w:val="20"/>
          <w:lang w:val="en-US"/>
        </w:rPr>
      </w:pPr>
      <w:r w:rsidRPr="00352DC9">
        <w:rPr>
          <w:sz w:val="20"/>
          <w:szCs w:val="20"/>
          <w:lang w:val="en-US"/>
        </w:rPr>
        <w:t xml:space="preserve">4. There is no general statement for all companies about the relation between past </w:t>
      </w:r>
      <w:proofErr w:type="gramStart"/>
      <w:r w:rsidRPr="00352DC9">
        <w:rPr>
          <w:sz w:val="20"/>
          <w:szCs w:val="20"/>
          <w:lang w:val="en-US"/>
        </w:rPr>
        <w:t>risk</w:t>
      </w:r>
      <w:proofErr w:type="gramEnd"/>
    </w:p>
    <w:p w:rsidR="00AE4097" w:rsidRPr="00352DC9" w:rsidRDefault="00AE4097" w:rsidP="00AE4097">
      <w:pPr>
        <w:pBdr>
          <w:bottom w:val="single" w:sz="4" w:space="1" w:color="auto"/>
        </w:pBdr>
        <w:jc w:val="both"/>
        <w:rPr>
          <w:sz w:val="20"/>
          <w:szCs w:val="20"/>
          <w:lang w:val="en-US"/>
        </w:rPr>
      </w:pP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proofErr w:type="gramStart"/>
      <w:r w:rsidRPr="00352DC9">
        <w:rPr>
          <w:sz w:val="20"/>
          <w:szCs w:val="20"/>
          <w:lang w:val="en-US"/>
        </w:rPr>
        <w:t>disclosures</w:t>
      </w:r>
      <w:proofErr w:type="gramEnd"/>
      <w:r w:rsidRPr="00352DC9">
        <w:rPr>
          <w:sz w:val="20"/>
          <w:szCs w:val="20"/>
          <w:lang w:val="en-US"/>
        </w:rPr>
        <w:t xml:space="preserve"> and future risk disclosures. </w:t>
      </w:r>
    </w:p>
    <w:p w:rsidR="00AE4097" w:rsidRPr="00352DC9" w:rsidRDefault="00AE4097" w:rsidP="00AE4097">
      <w:pPr>
        <w:pBdr>
          <w:top w:val="single" w:sz="4" w:space="1" w:color="auto"/>
        </w:pBdr>
        <w:jc w:val="both"/>
        <w:rPr>
          <w:sz w:val="20"/>
          <w:szCs w:val="20"/>
          <w:lang w:val="en-US"/>
        </w:rPr>
      </w:pPr>
      <w:proofErr w:type="gramStart"/>
      <w:r w:rsidRPr="00352DC9">
        <w:rPr>
          <w:sz w:val="20"/>
          <w:szCs w:val="20"/>
          <w:lang w:val="en-US"/>
        </w:rPr>
        <w:lastRenderedPageBreak/>
        <w:t xml:space="preserve">Linsley, P.M., </w:t>
      </w:r>
      <w:r w:rsidRPr="00352DC9">
        <w:rPr>
          <w:sz w:val="20"/>
          <w:szCs w:val="20"/>
          <w:lang w:val="en-US"/>
        </w:rPr>
        <w:tab/>
        <w:t>18 annual reports of</w:t>
      </w:r>
      <w:r w:rsidRPr="00352DC9">
        <w:rPr>
          <w:sz w:val="20"/>
          <w:szCs w:val="20"/>
          <w:lang w:val="en-US"/>
        </w:rPr>
        <w:tab/>
      </w:r>
      <w:r w:rsidRPr="00352DC9">
        <w:rPr>
          <w:sz w:val="20"/>
          <w:szCs w:val="20"/>
          <w:lang w:val="en-US"/>
        </w:rPr>
        <w:tab/>
        <w:t>Content analysis</w:t>
      </w:r>
      <w:r w:rsidRPr="00352DC9">
        <w:rPr>
          <w:sz w:val="20"/>
          <w:szCs w:val="20"/>
          <w:lang w:val="en-US"/>
        </w:rPr>
        <w:tab/>
      </w:r>
      <w:r w:rsidRPr="00352DC9">
        <w:rPr>
          <w:sz w:val="20"/>
          <w:szCs w:val="20"/>
          <w:lang w:val="en-US"/>
        </w:rPr>
        <w:tab/>
      </w:r>
      <w:r w:rsidRPr="00352DC9">
        <w:rPr>
          <w:sz w:val="20"/>
          <w:szCs w:val="20"/>
          <w:lang w:val="en-US"/>
        </w:rPr>
        <w:tab/>
        <w:t>1.</w:t>
      </w:r>
      <w:proofErr w:type="gramEnd"/>
      <w:r w:rsidRPr="00352DC9">
        <w:rPr>
          <w:sz w:val="20"/>
          <w:szCs w:val="20"/>
          <w:lang w:val="en-US"/>
        </w:rPr>
        <w:t xml:space="preserve"> There is no association between levels of risk disclosures and either bank </w:t>
      </w:r>
    </w:p>
    <w:p w:rsidR="00AE4097" w:rsidRPr="00352DC9" w:rsidRDefault="00AE4097" w:rsidP="00AE4097">
      <w:pPr>
        <w:jc w:val="both"/>
        <w:rPr>
          <w:sz w:val="20"/>
          <w:szCs w:val="20"/>
          <w:lang w:val="en-US"/>
        </w:rPr>
      </w:pPr>
      <w:proofErr w:type="gramStart"/>
      <w:r w:rsidRPr="00352DC9">
        <w:rPr>
          <w:sz w:val="20"/>
          <w:szCs w:val="20"/>
          <w:lang w:val="en-US"/>
        </w:rPr>
        <w:t>and</w:t>
      </w:r>
      <w:proofErr w:type="gramEnd"/>
      <w:r w:rsidRPr="00352DC9">
        <w:rPr>
          <w:sz w:val="20"/>
          <w:szCs w:val="20"/>
          <w:lang w:val="en-US"/>
        </w:rPr>
        <w:t xml:space="preserve"> P.J. Shrives </w:t>
      </w:r>
      <w:r w:rsidRPr="00352DC9">
        <w:rPr>
          <w:sz w:val="20"/>
          <w:szCs w:val="20"/>
          <w:lang w:val="en-US"/>
        </w:rPr>
        <w:tab/>
        <w:t xml:space="preserve">Canadian and </w:t>
      </w:r>
      <w:r w:rsidR="00F073FE">
        <w:rPr>
          <w:sz w:val="20"/>
          <w:szCs w:val="20"/>
          <w:lang w:val="en-US"/>
        </w:rPr>
        <w:t>UK</w:t>
      </w:r>
      <w:r w:rsidRPr="00352DC9">
        <w:rPr>
          <w:sz w:val="20"/>
          <w:szCs w:val="20"/>
          <w:lang w:val="en-US"/>
        </w:rPr>
        <w:t xml:space="preserve"> banks</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profitability or the level of risk within the bank.</w:t>
      </w:r>
    </w:p>
    <w:p w:rsidR="00AE4097" w:rsidRPr="00352DC9" w:rsidRDefault="00AE4097" w:rsidP="00AE4097">
      <w:pPr>
        <w:jc w:val="both"/>
        <w:rPr>
          <w:sz w:val="20"/>
          <w:szCs w:val="20"/>
          <w:lang w:val="en-US"/>
        </w:rPr>
      </w:pPr>
      <w:r w:rsidRPr="00352DC9">
        <w:rPr>
          <w:sz w:val="20"/>
          <w:szCs w:val="20"/>
          <w:lang w:val="en-US"/>
        </w:rPr>
        <w:t>(2006b)</w:t>
      </w:r>
      <w:r w:rsidRPr="00352DC9">
        <w:rPr>
          <w:sz w:val="20"/>
          <w:szCs w:val="20"/>
          <w:lang w:val="en-US"/>
        </w:rPr>
        <w:tab/>
      </w:r>
      <w:r w:rsidRPr="00352DC9">
        <w:rPr>
          <w:sz w:val="20"/>
          <w:szCs w:val="20"/>
          <w:lang w:val="en-US"/>
        </w:rPr>
        <w:tab/>
        <w:t>Period: 2001</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 xml:space="preserve">2. There is a positive association between levels of risk and both </w:t>
      </w:r>
    </w:p>
    <w:p w:rsidR="00AE4097" w:rsidRPr="00352DC9" w:rsidRDefault="00AE4097" w:rsidP="00AE4097">
      <w:pPr>
        <w:ind w:left="6804"/>
        <w:jc w:val="both"/>
        <w:rPr>
          <w:sz w:val="20"/>
          <w:szCs w:val="20"/>
          <w:lang w:val="en-US"/>
        </w:rPr>
      </w:pPr>
      <w:proofErr w:type="gramStart"/>
      <w:r w:rsidRPr="00352DC9">
        <w:rPr>
          <w:sz w:val="20"/>
          <w:szCs w:val="20"/>
          <w:lang w:val="en-US"/>
        </w:rPr>
        <w:t>bank</w:t>
      </w:r>
      <w:proofErr w:type="gramEnd"/>
      <w:r w:rsidRPr="00352DC9">
        <w:rPr>
          <w:sz w:val="20"/>
          <w:szCs w:val="20"/>
          <w:lang w:val="en-US"/>
        </w:rPr>
        <w:t xml:space="preserve"> size and the number of risk definitions</w:t>
      </w:r>
      <w:r w:rsidRPr="00352DC9">
        <w:rPr>
          <w:sz w:val="20"/>
          <w:szCs w:val="20"/>
          <w:lang w:val="en-US"/>
        </w:rPr>
        <w:tab/>
      </w:r>
    </w:p>
    <w:p w:rsidR="00AE4097" w:rsidRPr="00352DC9" w:rsidRDefault="00AE4097" w:rsidP="00AE4097">
      <w:pPr>
        <w:ind w:left="6804"/>
        <w:jc w:val="both"/>
        <w:rPr>
          <w:sz w:val="20"/>
          <w:szCs w:val="20"/>
          <w:lang w:val="en-US"/>
        </w:rPr>
      </w:pPr>
      <w:r w:rsidRPr="00352DC9">
        <w:rPr>
          <w:sz w:val="20"/>
          <w:szCs w:val="20"/>
          <w:lang w:val="en-US"/>
        </w:rPr>
        <w:t xml:space="preserve">3. There is no statistically significant difference in the risk disclosure levels of the Canadian banks when compared to the </w:t>
      </w:r>
      <w:r w:rsidR="00F073FE">
        <w:rPr>
          <w:sz w:val="20"/>
          <w:szCs w:val="20"/>
          <w:lang w:val="en-US"/>
        </w:rPr>
        <w:t>UK</w:t>
      </w:r>
      <w:r w:rsidRPr="00352DC9">
        <w:rPr>
          <w:sz w:val="20"/>
          <w:szCs w:val="20"/>
          <w:lang w:val="en-US"/>
        </w:rPr>
        <w:t xml:space="preserve"> banks.</w:t>
      </w:r>
    </w:p>
    <w:p w:rsidR="00AE4097" w:rsidRPr="00352DC9" w:rsidRDefault="00AE4097" w:rsidP="00AE4097">
      <w:pPr>
        <w:ind w:left="6804"/>
        <w:jc w:val="both"/>
        <w:rPr>
          <w:sz w:val="20"/>
          <w:szCs w:val="20"/>
          <w:lang w:val="en-US"/>
        </w:rPr>
      </w:pPr>
      <w:r w:rsidRPr="00352DC9">
        <w:rPr>
          <w:sz w:val="20"/>
          <w:szCs w:val="20"/>
          <w:lang w:val="en-US"/>
        </w:rPr>
        <w:t xml:space="preserve">4. Quantitative and future risk information </w:t>
      </w:r>
      <w:proofErr w:type="gramStart"/>
      <w:r w:rsidRPr="00352DC9">
        <w:rPr>
          <w:sz w:val="20"/>
          <w:szCs w:val="20"/>
          <w:lang w:val="en-US"/>
        </w:rPr>
        <w:t>are</w:t>
      </w:r>
      <w:proofErr w:type="gramEnd"/>
      <w:r w:rsidRPr="00352DC9">
        <w:rPr>
          <w:sz w:val="20"/>
          <w:szCs w:val="20"/>
          <w:lang w:val="en-US"/>
        </w:rPr>
        <w:t xml:space="preserve"> disclosed much less often than qualitative and past information.</w:t>
      </w:r>
    </w:p>
    <w:p w:rsidR="00AE4097" w:rsidRPr="00352DC9" w:rsidRDefault="00AE4097" w:rsidP="00AE4097">
      <w:pPr>
        <w:spacing w:line="360" w:lineRule="auto"/>
        <w:jc w:val="both"/>
        <w:rPr>
          <w:sz w:val="20"/>
          <w:szCs w:val="20"/>
          <w:lang w:val="en-US"/>
        </w:rPr>
      </w:pPr>
    </w:p>
    <w:p w:rsidR="00AE4097" w:rsidRPr="00352DC9" w:rsidRDefault="00AE4097" w:rsidP="00AE4097">
      <w:pPr>
        <w:pBdr>
          <w:top w:val="single" w:sz="4" w:space="1" w:color="auto"/>
        </w:pBdr>
        <w:ind w:left="1134" w:hanging="1134"/>
        <w:jc w:val="both"/>
        <w:rPr>
          <w:sz w:val="20"/>
          <w:szCs w:val="20"/>
          <w:lang w:val="en-US"/>
        </w:rPr>
      </w:pPr>
      <w:r w:rsidRPr="00352DC9">
        <w:rPr>
          <w:sz w:val="20"/>
          <w:szCs w:val="20"/>
          <w:lang w:val="en-US"/>
        </w:rPr>
        <w:t xml:space="preserve">Abraham S. </w:t>
      </w:r>
      <w:r w:rsidRPr="00352DC9">
        <w:rPr>
          <w:sz w:val="20"/>
          <w:szCs w:val="20"/>
          <w:lang w:val="en-US"/>
        </w:rPr>
        <w:tab/>
      </w:r>
      <w:r w:rsidRPr="00352DC9">
        <w:rPr>
          <w:sz w:val="20"/>
          <w:szCs w:val="20"/>
          <w:lang w:val="en-US"/>
        </w:rPr>
        <w:tab/>
        <w:t xml:space="preserve">FTSE 100 annual reports </w:t>
      </w:r>
      <w:r w:rsidRPr="00352DC9">
        <w:rPr>
          <w:sz w:val="20"/>
          <w:szCs w:val="20"/>
          <w:lang w:val="en-US"/>
        </w:rPr>
        <w:tab/>
        <w:t>Content analysis and</w:t>
      </w:r>
      <w:r w:rsidRPr="00352DC9">
        <w:rPr>
          <w:sz w:val="20"/>
          <w:szCs w:val="20"/>
          <w:lang w:val="en-US"/>
        </w:rPr>
        <w:tab/>
      </w:r>
      <w:r w:rsidRPr="00352DC9">
        <w:rPr>
          <w:sz w:val="20"/>
          <w:szCs w:val="20"/>
          <w:lang w:val="en-US"/>
        </w:rPr>
        <w:tab/>
      </w:r>
      <w:r w:rsidRPr="00352DC9">
        <w:rPr>
          <w:sz w:val="20"/>
          <w:szCs w:val="20"/>
          <w:lang w:val="en-US"/>
        </w:rPr>
        <w:tab/>
        <w:t xml:space="preserve">1. Corporate ownership by long-term institutions is negatively related to risk </w:t>
      </w:r>
    </w:p>
    <w:p w:rsidR="00AE4097" w:rsidRPr="00352DC9" w:rsidRDefault="00AE4097" w:rsidP="00AE4097">
      <w:pPr>
        <w:ind w:left="1134" w:hanging="1134"/>
        <w:jc w:val="both"/>
        <w:rPr>
          <w:sz w:val="20"/>
          <w:szCs w:val="20"/>
          <w:lang w:val="en-US"/>
        </w:rPr>
      </w:pPr>
      <w:proofErr w:type="gramStart"/>
      <w:r w:rsidRPr="00352DC9">
        <w:rPr>
          <w:sz w:val="20"/>
          <w:szCs w:val="20"/>
          <w:lang w:val="en-US"/>
        </w:rPr>
        <w:t>and  P</w:t>
      </w:r>
      <w:proofErr w:type="gramEnd"/>
      <w:r w:rsidRPr="00352DC9">
        <w:rPr>
          <w:sz w:val="20"/>
          <w:szCs w:val="20"/>
          <w:lang w:val="en-US"/>
        </w:rPr>
        <w:t xml:space="preserve">. Cox </w:t>
      </w:r>
      <w:r w:rsidRPr="00352DC9">
        <w:rPr>
          <w:sz w:val="20"/>
          <w:szCs w:val="20"/>
          <w:lang w:val="en-US"/>
        </w:rPr>
        <w:tab/>
      </w:r>
      <w:r w:rsidRPr="00352DC9">
        <w:rPr>
          <w:sz w:val="20"/>
          <w:szCs w:val="20"/>
          <w:lang w:val="en-US"/>
        </w:rPr>
        <w:tab/>
        <w:t xml:space="preserve">from </w:t>
      </w:r>
      <w:r w:rsidR="00F073FE">
        <w:rPr>
          <w:sz w:val="20"/>
          <w:szCs w:val="20"/>
          <w:lang w:val="en-US"/>
        </w:rPr>
        <w:t>UK</w:t>
      </w:r>
      <w:r w:rsidRPr="00352DC9">
        <w:rPr>
          <w:sz w:val="20"/>
          <w:szCs w:val="20"/>
          <w:lang w:val="en-US"/>
        </w:rPr>
        <w:t xml:space="preserve"> non-financial </w:t>
      </w:r>
      <w:r w:rsidRPr="00352DC9">
        <w:rPr>
          <w:sz w:val="20"/>
          <w:szCs w:val="20"/>
          <w:lang w:val="en-US"/>
        </w:rPr>
        <w:tab/>
        <w:t>regressions</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reporting and is positively related by short-term institutions.</w:t>
      </w:r>
    </w:p>
    <w:p w:rsidR="00AE4097" w:rsidRPr="00352DC9" w:rsidRDefault="00AE4097" w:rsidP="00AE4097">
      <w:pPr>
        <w:ind w:left="1134" w:hanging="1134"/>
        <w:jc w:val="both"/>
        <w:rPr>
          <w:sz w:val="20"/>
          <w:szCs w:val="20"/>
          <w:lang w:val="en-US"/>
        </w:rPr>
      </w:pPr>
      <w:proofErr w:type="gramStart"/>
      <w:r w:rsidRPr="00352DC9">
        <w:rPr>
          <w:sz w:val="20"/>
          <w:szCs w:val="20"/>
          <w:lang w:val="en-US"/>
        </w:rPr>
        <w:t>(2007)</w:t>
      </w:r>
      <w:r w:rsidRPr="00352DC9">
        <w:rPr>
          <w:sz w:val="20"/>
          <w:szCs w:val="20"/>
          <w:lang w:val="en-US"/>
        </w:rPr>
        <w:tab/>
      </w:r>
      <w:r w:rsidRPr="00352DC9">
        <w:rPr>
          <w:sz w:val="20"/>
          <w:szCs w:val="20"/>
          <w:lang w:val="en-US"/>
        </w:rPr>
        <w:tab/>
        <w:t>companies</w:t>
      </w:r>
      <w:r w:rsidRPr="00352DC9">
        <w:rPr>
          <w:sz w:val="20"/>
          <w:szCs w:val="20"/>
          <w:lang w:val="en-US"/>
        </w:rPr>
        <w:tab/>
      </w:r>
      <w:r w:rsidRPr="00352DC9">
        <w:rPr>
          <w:sz w:val="20"/>
          <w:szCs w:val="20"/>
          <w:lang w:val="en-US"/>
        </w:rPr>
        <w:tab/>
      </w:r>
      <w:r w:rsidRPr="00352DC9">
        <w:rPr>
          <w:sz w:val="20"/>
          <w:szCs w:val="20"/>
          <w:lang w:val="en-US"/>
        </w:rPr>
        <w:tab/>
        <w:t>(agency perspective)</w:t>
      </w:r>
      <w:r w:rsidRPr="00352DC9">
        <w:rPr>
          <w:sz w:val="20"/>
          <w:szCs w:val="20"/>
          <w:lang w:val="en-US"/>
        </w:rPr>
        <w:tab/>
      </w:r>
      <w:r w:rsidRPr="00352DC9">
        <w:rPr>
          <w:sz w:val="20"/>
          <w:szCs w:val="20"/>
          <w:lang w:val="en-US"/>
        </w:rPr>
        <w:tab/>
      </w:r>
      <w:r w:rsidRPr="00352DC9">
        <w:rPr>
          <w:sz w:val="20"/>
          <w:szCs w:val="20"/>
          <w:lang w:val="en-US"/>
        </w:rPr>
        <w:tab/>
        <w:t>2.</w:t>
      </w:r>
      <w:proofErr w:type="gramEnd"/>
      <w:r w:rsidRPr="00352DC9">
        <w:rPr>
          <w:sz w:val="20"/>
          <w:szCs w:val="20"/>
          <w:lang w:val="en-US"/>
        </w:rPr>
        <w:t xml:space="preserve"> Executive and independent directors are both important in risk reporting.</w:t>
      </w:r>
    </w:p>
    <w:p w:rsidR="00AE4097" w:rsidRPr="00352DC9" w:rsidRDefault="00AE4097" w:rsidP="00AE4097">
      <w:pPr>
        <w:ind w:left="1134" w:hanging="1134"/>
        <w:jc w:val="both"/>
        <w:rPr>
          <w:sz w:val="20"/>
          <w:szCs w:val="20"/>
          <w:lang w:val="en-US"/>
        </w:rPr>
      </w:pPr>
      <w:r w:rsidRPr="00352DC9">
        <w:rPr>
          <w:sz w:val="20"/>
          <w:szCs w:val="20"/>
          <w:lang w:val="en-US"/>
        </w:rPr>
        <w:tab/>
      </w:r>
      <w:r w:rsidRPr="00352DC9">
        <w:rPr>
          <w:sz w:val="20"/>
          <w:szCs w:val="20"/>
          <w:lang w:val="en-US"/>
        </w:rPr>
        <w:tab/>
        <w:t>Period: 2002</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3. Dependent non-executive directors do not contribute to transparency.</w:t>
      </w:r>
    </w:p>
    <w:p w:rsidR="00AE4097" w:rsidRPr="00352DC9" w:rsidRDefault="00AE4097" w:rsidP="00AE4097">
      <w:pPr>
        <w:ind w:left="6237" w:firstLine="567"/>
        <w:jc w:val="both"/>
        <w:rPr>
          <w:sz w:val="20"/>
          <w:szCs w:val="20"/>
          <w:lang w:val="en-US"/>
        </w:rPr>
      </w:pPr>
      <w:r w:rsidRPr="00352DC9">
        <w:rPr>
          <w:sz w:val="20"/>
          <w:szCs w:val="20"/>
          <w:lang w:val="en-US"/>
        </w:rPr>
        <w:t xml:space="preserve">4. US-listed </w:t>
      </w:r>
      <w:r w:rsidR="00F073FE">
        <w:rPr>
          <w:sz w:val="20"/>
          <w:szCs w:val="20"/>
          <w:lang w:val="en-US"/>
        </w:rPr>
        <w:t>UK</w:t>
      </w:r>
      <w:r w:rsidRPr="00352DC9">
        <w:rPr>
          <w:sz w:val="20"/>
          <w:szCs w:val="20"/>
          <w:lang w:val="en-US"/>
        </w:rPr>
        <w:t xml:space="preserve"> firms do disclose more risk information in their </w:t>
      </w:r>
      <w:r w:rsidR="00F073FE">
        <w:rPr>
          <w:sz w:val="20"/>
          <w:szCs w:val="20"/>
          <w:lang w:val="en-US"/>
        </w:rPr>
        <w:t>UK</w:t>
      </w:r>
      <w:r w:rsidRPr="00352DC9">
        <w:rPr>
          <w:sz w:val="20"/>
          <w:szCs w:val="20"/>
          <w:lang w:val="en-US"/>
        </w:rPr>
        <w:t xml:space="preserve"> annual </w:t>
      </w:r>
    </w:p>
    <w:p w:rsidR="00AE4097" w:rsidRPr="00352DC9" w:rsidRDefault="00AE4097" w:rsidP="00AE4097">
      <w:pPr>
        <w:ind w:left="6237" w:firstLine="567"/>
        <w:jc w:val="both"/>
        <w:rPr>
          <w:sz w:val="20"/>
          <w:szCs w:val="20"/>
          <w:lang w:val="en-US"/>
        </w:rPr>
      </w:pPr>
      <w:proofErr w:type="gramStart"/>
      <w:r w:rsidRPr="00352DC9">
        <w:rPr>
          <w:sz w:val="20"/>
          <w:szCs w:val="20"/>
          <w:lang w:val="en-US"/>
        </w:rPr>
        <w:t>report</w:t>
      </w:r>
      <w:proofErr w:type="gramEnd"/>
      <w:r w:rsidRPr="00352DC9">
        <w:rPr>
          <w:sz w:val="20"/>
          <w:szCs w:val="20"/>
          <w:lang w:val="en-US"/>
        </w:rPr>
        <w:t xml:space="preserve"> than non-US-listed </w:t>
      </w:r>
      <w:r w:rsidR="00F073FE">
        <w:rPr>
          <w:sz w:val="20"/>
          <w:szCs w:val="20"/>
          <w:lang w:val="en-US"/>
        </w:rPr>
        <w:t>UK</w:t>
      </w:r>
      <w:r w:rsidRPr="00352DC9">
        <w:rPr>
          <w:sz w:val="20"/>
          <w:szCs w:val="20"/>
          <w:lang w:val="en-US"/>
        </w:rPr>
        <w:t xml:space="preserve"> firms.</w:t>
      </w:r>
    </w:p>
    <w:p w:rsidR="00AE4097" w:rsidRPr="00352DC9" w:rsidRDefault="00AE4097" w:rsidP="00AE4097">
      <w:pPr>
        <w:ind w:left="6237" w:firstLine="567"/>
        <w:jc w:val="both"/>
        <w:rPr>
          <w:sz w:val="20"/>
          <w:szCs w:val="20"/>
          <w:lang w:val="en-US"/>
        </w:rPr>
      </w:pPr>
      <w:r w:rsidRPr="00352DC9">
        <w:rPr>
          <w:sz w:val="20"/>
          <w:szCs w:val="20"/>
          <w:lang w:val="en-US"/>
        </w:rPr>
        <w:t>5. Positive relation with level of risk.</w:t>
      </w:r>
    </w:p>
    <w:p w:rsidR="00AE4097" w:rsidRPr="00352DC9" w:rsidRDefault="00AE4097" w:rsidP="00AE4097">
      <w:pPr>
        <w:ind w:left="2835" w:firstLine="3975"/>
        <w:jc w:val="both"/>
        <w:rPr>
          <w:sz w:val="20"/>
          <w:szCs w:val="20"/>
          <w:lang w:val="en-US"/>
        </w:rPr>
      </w:pPr>
    </w:p>
    <w:p w:rsidR="00AE4097" w:rsidRPr="00352DC9" w:rsidRDefault="00AE4097" w:rsidP="00AE4097">
      <w:pPr>
        <w:pBdr>
          <w:top w:val="single" w:sz="4" w:space="1" w:color="auto"/>
        </w:pBdr>
        <w:jc w:val="both"/>
        <w:rPr>
          <w:sz w:val="20"/>
          <w:szCs w:val="20"/>
          <w:lang w:val="en-US"/>
        </w:rPr>
      </w:pPr>
      <w:r w:rsidRPr="00352DC9">
        <w:rPr>
          <w:sz w:val="20"/>
          <w:szCs w:val="20"/>
          <w:lang w:val="en-US"/>
        </w:rPr>
        <w:t xml:space="preserve">Deumes, R. </w:t>
      </w:r>
      <w:r w:rsidRPr="00352DC9">
        <w:rPr>
          <w:sz w:val="20"/>
          <w:szCs w:val="20"/>
          <w:lang w:val="en-US"/>
        </w:rPr>
        <w:tab/>
      </w:r>
      <w:r w:rsidRPr="00352DC9">
        <w:rPr>
          <w:sz w:val="20"/>
          <w:szCs w:val="20"/>
          <w:lang w:val="en-US"/>
        </w:rPr>
        <w:tab/>
      </w:r>
      <w:proofErr w:type="gramStart"/>
      <w:r w:rsidRPr="00352DC9">
        <w:rPr>
          <w:sz w:val="20"/>
          <w:szCs w:val="20"/>
          <w:lang w:val="en-US"/>
        </w:rPr>
        <w:t>90 prospectuses of</w:t>
      </w:r>
      <w:r w:rsidRPr="00352DC9">
        <w:rPr>
          <w:sz w:val="20"/>
          <w:szCs w:val="20"/>
          <w:lang w:val="en-US"/>
        </w:rPr>
        <w:tab/>
      </w:r>
      <w:r w:rsidRPr="00352DC9">
        <w:rPr>
          <w:sz w:val="20"/>
          <w:szCs w:val="20"/>
          <w:lang w:val="en-US"/>
        </w:rPr>
        <w:tab/>
        <w:t xml:space="preserve">Content analysis and </w:t>
      </w:r>
      <w:r w:rsidRPr="00352DC9">
        <w:rPr>
          <w:sz w:val="20"/>
          <w:szCs w:val="20"/>
          <w:lang w:val="en-US"/>
        </w:rPr>
        <w:tab/>
      </w:r>
      <w:r w:rsidRPr="00352DC9">
        <w:rPr>
          <w:sz w:val="20"/>
          <w:szCs w:val="20"/>
          <w:lang w:val="en-US"/>
        </w:rPr>
        <w:tab/>
        <w:t>1.</w:t>
      </w:r>
      <w:proofErr w:type="gramEnd"/>
      <w:r w:rsidRPr="00352DC9">
        <w:rPr>
          <w:sz w:val="20"/>
          <w:szCs w:val="20"/>
          <w:lang w:val="en-US"/>
        </w:rPr>
        <w:t xml:space="preserve"> Prospectuses of Dutch firms contain risk-relevant information for </w:t>
      </w:r>
    </w:p>
    <w:p w:rsidR="00AE4097" w:rsidRPr="00352DC9" w:rsidRDefault="00AE4097" w:rsidP="00AE4097">
      <w:pPr>
        <w:pBdr>
          <w:top w:val="single" w:sz="4" w:space="1" w:color="auto"/>
        </w:pBdr>
        <w:jc w:val="both"/>
        <w:rPr>
          <w:sz w:val="20"/>
          <w:szCs w:val="20"/>
          <w:lang w:val="en-US"/>
        </w:rPr>
      </w:pPr>
      <w:r w:rsidRPr="00352DC9">
        <w:rPr>
          <w:sz w:val="20"/>
          <w:szCs w:val="20"/>
          <w:lang w:val="en-US"/>
        </w:rPr>
        <w:t>(2008)</w:t>
      </w:r>
      <w:r w:rsidRPr="00352DC9">
        <w:rPr>
          <w:sz w:val="20"/>
          <w:szCs w:val="20"/>
          <w:lang w:val="en-US"/>
        </w:rPr>
        <w:tab/>
      </w:r>
      <w:r w:rsidRPr="00352DC9">
        <w:rPr>
          <w:sz w:val="20"/>
          <w:szCs w:val="20"/>
          <w:lang w:val="en-US"/>
        </w:rPr>
        <w:tab/>
      </w:r>
      <w:r w:rsidRPr="00352DC9">
        <w:rPr>
          <w:sz w:val="20"/>
          <w:szCs w:val="20"/>
          <w:lang w:val="en-US"/>
        </w:rPr>
        <w:tab/>
        <w:t xml:space="preserve">Dutch companies on </w:t>
      </w:r>
      <w:r w:rsidRPr="00352DC9">
        <w:rPr>
          <w:sz w:val="20"/>
          <w:szCs w:val="20"/>
          <w:lang w:val="en-US"/>
        </w:rPr>
        <w:tab/>
      </w:r>
      <w:r w:rsidRPr="00352DC9">
        <w:rPr>
          <w:sz w:val="20"/>
          <w:szCs w:val="20"/>
          <w:lang w:val="en-US"/>
        </w:rPr>
        <w:tab/>
        <w:t>regressions</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prospective investors.</w:t>
      </w:r>
    </w:p>
    <w:p w:rsidR="00AE4097" w:rsidRPr="00352DC9" w:rsidRDefault="00AE4097" w:rsidP="00AE4097">
      <w:pPr>
        <w:ind w:left="1134" w:firstLine="567"/>
        <w:jc w:val="both"/>
        <w:rPr>
          <w:sz w:val="20"/>
          <w:szCs w:val="20"/>
          <w:lang w:val="en-US"/>
        </w:rPr>
      </w:pPr>
      <w:proofErr w:type="gramStart"/>
      <w:r w:rsidRPr="00352DC9">
        <w:rPr>
          <w:sz w:val="20"/>
          <w:szCs w:val="20"/>
          <w:lang w:val="en-US"/>
        </w:rPr>
        <w:t>the</w:t>
      </w:r>
      <w:proofErr w:type="gramEnd"/>
      <w:r w:rsidRPr="00352DC9">
        <w:rPr>
          <w:sz w:val="20"/>
          <w:szCs w:val="20"/>
          <w:lang w:val="en-US"/>
        </w:rPr>
        <w:t xml:space="preserve"> AEX, both</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2. An aggregate measure of risk obtained by the content analysis predicts</w:t>
      </w:r>
    </w:p>
    <w:p w:rsidR="00AE4097" w:rsidRPr="00352DC9" w:rsidRDefault="00AE4097" w:rsidP="00AE4097">
      <w:pPr>
        <w:ind w:left="1134" w:firstLine="567"/>
        <w:jc w:val="both"/>
        <w:rPr>
          <w:sz w:val="20"/>
          <w:szCs w:val="20"/>
          <w:lang w:val="en-US"/>
        </w:rPr>
      </w:pPr>
      <w:proofErr w:type="gramStart"/>
      <w:r w:rsidRPr="00352DC9">
        <w:rPr>
          <w:sz w:val="20"/>
          <w:szCs w:val="20"/>
          <w:lang w:val="en-US"/>
        </w:rPr>
        <w:t>financial</w:t>
      </w:r>
      <w:proofErr w:type="gramEnd"/>
      <w:r w:rsidRPr="00352DC9">
        <w:rPr>
          <w:sz w:val="20"/>
          <w:szCs w:val="20"/>
          <w:lang w:val="en-US"/>
        </w:rPr>
        <w:t xml:space="preserve"> and </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successfully the future total return risk, future systematic risk, and the</w:t>
      </w:r>
    </w:p>
    <w:p w:rsidR="00AE4097" w:rsidRPr="00352DC9" w:rsidRDefault="00AE4097" w:rsidP="00AE4097">
      <w:pPr>
        <w:ind w:left="1134" w:firstLine="567"/>
        <w:jc w:val="both"/>
        <w:rPr>
          <w:sz w:val="20"/>
          <w:szCs w:val="20"/>
          <w:lang w:val="en-US"/>
        </w:rPr>
      </w:pPr>
      <w:proofErr w:type="gramStart"/>
      <w:r w:rsidRPr="00352DC9">
        <w:rPr>
          <w:sz w:val="20"/>
          <w:szCs w:val="20"/>
          <w:lang w:val="en-US"/>
        </w:rPr>
        <w:t>non-financial</w:t>
      </w:r>
      <w:proofErr w:type="gramEnd"/>
      <w:r w:rsidRPr="00352DC9">
        <w:rPr>
          <w:sz w:val="20"/>
          <w:szCs w:val="20"/>
          <w:lang w:val="en-US"/>
        </w:rPr>
        <w:t>.</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proofErr w:type="gramStart"/>
      <w:r w:rsidRPr="00352DC9">
        <w:rPr>
          <w:sz w:val="20"/>
          <w:szCs w:val="20"/>
          <w:lang w:val="en-US"/>
        </w:rPr>
        <w:t>likelihood</w:t>
      </w:r>
      <w:proofErr w:type="gramEnd"/>
      <w:r w:rsidRPr="00352DC9">
        <w:rPr>
          <w:sz w:val="20"/>
          <w:szCs w:val="20"/>
          <w:lang w:val="en-US"/>
        </w:rPr>
        <w:t xml:space="preserve"> of severe declines in stock prices in the 30-month period after </w:t>
      </w:r>
    </w:p>
    <w:p w:rsidR="00AE4097" w:rsidRPr="00352DC9" w:rsidRDefault="00AE4097" w:rsidP="00AE4097">
      <w:pPr>
        <w:ind w:left="1134" w:firstLine="567"/>
        <w:jc w:val="both"/>
        <w:rPr>
          <w:sz w:val="20"/>
          <w:szCs w:val="20"/>
          <w:lang w:val="en-US"/>
        </w:rPr>
      </w:pPr>
      <w:r w:rsidRPr="00352DC9">
        <w:rPr>
          <w:sz w:val="20"/>
          <w:szCs w:val="20"/>
          <w:lang w:val="en-US"/>
        </w:rPr>
        <w:t>Period: 1997-2000</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 xml:space="preserve">publication of the prospectus and held when controlling for several other </w:t>
      </w:r>
    </w:p>
    <w:p w:rsidR="00AE4097" w:rsidRPr="00352DC9" w:rsidRDefault="00AE4097" w:rsidP="00AE4097">
      <w:pPr>
        <w:ind w:left="6804"/>
        <w:jc w:val="both"/>
        <w:rPr>
          <w:sz w:val="20"/>
          <w:szCs w:val="20"/>
          <w:lang w:val="en-US"/>
        </w:rPr>
      </w:pPr>
      <w:proofErr w:type="gramStart"/>
      <w:r w:rsidRPr="00352DC9">
        <w:rPr>
          <w:sz w:val="20"/>
          <w:szCs w:val="20"/>
          <w:lang w:val="en-US"/>
        </w:rPr>
        <w:t>factors</w:t>
      </w:r>
      <w:proofErr w:type="gramEnd"/>
      <w:r w:rsidRPr="00352DC9">
        <w:rPr>
          <w:sz w:val="20"/>
          <w:szCs w:val="20"/>
          <w:lang w:val="en-US"/>
        </w:rPr>
        <w:t xml:space="preserve"> (firm size, type of industry, type of offering, cross-listing at a foreign exchange, and the language).</w:t>
      </w:r>
    </w:p>
    <w:p w:rsidR="00AE4097" w:rsidRPr="00352DC9" w:rsidRDefault="00AE4097" w:rsidP="00AE4097">
      <w:pPr>
        <w:ind w:left="1134" w:hanging="1134"/>
        <w:jc w:val="both"/>
        <w:rPr>
          <w:sz w:val="20"/>
          <w:szCs w:val="20"/>
          <w:lang w:val="en-US"/>
        </w:rPr>
      </w:pP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 xml:space="preserve">3. Information from the paragraph is more useful than market information on </w:t>
      </w:r>
    </w:p>
    <w:p w:rsidR="00AE4097" w:rsidRPr="00352DC9" w:rsidRDefault="00AE4097" w:rsidP="00AE4097">
      <w:pPr>
        <w:ind w:left="6237" w:firstLine="567"/>
        <w:jc w:val="both"/>
        <w:rPr>
          <w:sz w:val="20"/>
          <w:szCs w:val="20"/>
          <w:lang w:val="en-US"/>
        </w:rPr>
      </w:pPr>
      <w:proofErr w:type="gramStart"/>
      <w:r w:rsidRPr="00352DC9">
        <w:rPr>
          <w:sz w:val="20"/>
          <w:szCs w:val="20"/>
          <w:lang w:val="en-US"/>
        </w:rPr>
        <w:t>past</w:t>
      </w:r>
      <w:proofErr w:type="gramEnd"/>
      <w:r w:rsidRPr="00352DC9">
        <w:rPr>
          <w:sz w:val="20"/>
          <w:szCs w:val="20"/>
          <w:lang w:val="en-US"/>
        </w:rPr>
        <w:t xml:space="preserve"> risk.</w:t>
      </w:r>
    </w:p>
    <w:p w:rsidR="00AE4097" w:rsidRPr="00352DC9" w:rsidRDefault="00AE4097" w:rsidP="00AE4097">
      <w:pPr>
        <w:ind w:left="6237" w:firstLine="567"/>
        <w:jc w:val="both"/>
        <w:rPr>
          <w:sz w:val="20"/>
          <w:szCs w:val="20"/>
          <w:lang w:val="en-US"/>
        </w:rPr>
      </w:pPr>
    </w:p>
    <w:p w:rsidR="00AE4097" w:rsidRPr="00352DC9" w:rsidRDefault="00AE4097" w:rsidP="00AE4097">
      <w:pPr>
        <w:pBdr>
          <w:top w:val="single" w:sz="4" w:space="1" w:color="auto"/>
        </w:pBdr>
        <w:jc w:val="both"/>
        <w:rPr>
          <w:sz w:val="20"/>
          <w:szCs w:val="20"/>
          <w:lang w:val="en-US"/>
        </w:rPr>
      </w:pPr>
      <w:proofErr w:type="gramStart"/>
      <w:r w:rsidRPr="00352DC9">
        <w:rPr>
          <w:sz w:val="20"/>
          <w:szCs w:val="20"/>
          <w:lang w:val="en-US"/>
        </w:rPr>
        <w:t xml:space="preserve">M.K. Hassan </w:t>
      </w:r>
      <w:r w:rsidRPr="00352DC9">
        <w:rPr>
          <w:sz w:val="20"/>
          <w:szCs w:val="20"/>
          <w:lang w:val="en-US"/>
        </w:rPr>
        <w:tab/>
      </w:r>
      <w:r w:rsidRPr="00352DC9">
        <w:rPr>
          <w:sz w:val="20"/>
          <w:szCs w:val="20"/>
          <w:lang w:val="en-US"/>
        </w:rPr>
        <w:tab/>
        <w:t>41 annual reports of</w:t>
      </w:r>
      <w:r w:rsidRPr="00352DC9">
        <w:rPr>
          <w:sz w:val="20"/>
          <w:szCs w:val="20"/>
          <w:lang w:val="en-US"/>
        </w:rPr>
        <w:tab/>
      </w:r>
      <w:r w:rsidRPr="00352DC9">
        <w:rPr>
          <w:sz w:val="20"/>
          <w:szCs w:val="20"/>
          <w:lang w:val="en-US"/>
        </w:rPr>
        <w:tab/>
        <w:t xml:space="preserve">Content analysis, </w:t>
      </w:r>
      <w:r w:rsidRPr="00352DC9">
        <w:rPr>
          <w:sz w:val="20"/>
          <w:szCs w:val="20"/>
          <w:lang w:val="en-US"/>
        </w:rPr>
        <w:tab/>
      </w:r>
      <w:r w:rsidRPr="00352DC9">
        <w:rPr>
          <w:sz w:val="20"/>
          <w:szCs w:val="20"/>
          <w:lang w:val="en-US"/>
        </w:rPr>
        <w:tab/>
      </w:r>
      <w:r w:rsidRPr="00352DC9">
        <w:rPr>
          <w:sz w:val="20"/>
          <w:szCs w:val="20"/>
          <w:lang w:val="en-US"/>
        </w:rPr>
        <w:tab/>
        <w:t>1.</w:t>
      </w:r>
      <w:proofErr w:type="gramEnd"/>
      <w:r w:rsidRPr="00352DC9">
        <w:rPr>
          <w:sz w:val="20"/>
          <w:szCs w:val="20"/>
          <w:lang w:val="en-US"/>
        </w:rPr>
        <w:t xml:space="preserve"> Company size is positively correlated to the risk disclosure index, but </w:t>
      </w:r>
    </w:p>
    <w:p w:rsidR="00AE4097" w:rsidRPr="00352DC9" w:rsidRDefault="00AE4097" w:rsidP="00AE4097">
      <w:pPr>
        <w:ind w:left="1134" w:hanging="1134"/>
        <w:jc w:val="both"/>
        <w:rPr>
          <w:sz w:val="20"/>
          <w:szCs w:val="20"/>
          <w:lang w:val="en-US"/>
        </w:rPr>
      </w:pPr>
      <w:proofErr w:type="gramStart"/>
      <w:r w:rsidRPr="00352DC9">
        <w:rPr>
          <w:sz w:val="20"/>
          <w:szCs w:val="20"/>
          <w:lang w:val="en-US"/>
        </w:rPr>
        <w:t xml:space="preserve">(2008) </w:t>
      </w:r>
      <w:r w:rsidRPr="00352DC9">
        <w:rPr>
          <w:sz w:val="20"/>
          <w:szCs w:val="20"/>
          <w:lang w:val="en-US"/>
        </w:rPr>
        <w:tab/>
      </w:r>
      <w:r w:rsidRPr="00352DC9">
        <w:rPr>
          <w:sz w:val="20"/>
          <w:szCs w:val="20"/>
          <w:lang w:val="en-US"/>
        </w:rPr>
        <w:tab/>
        <w:t xml:space="preserve">United Arab Emirates </w:t>
      </w:r>
      <w:r w:rsidRPr="00352DC9">
        <w:rPr>
          <w:sz w:val="20"/>
          <w:szCs w:val="20"/>
          <w:lang w:val="en-US"/>
        </w:rPr>
        <w:tab/>
        <w:t>disclosure index model</w:t>
      </w:r>
      <w:r w:rsidRPr="00352DC9">
        <w:rPr>
          <w:sz w:val="20"/>
          <w:szCs w:val="20"/>
          <w:lang w:val="en-US"/>
        </w:rPr>
        <w:tab/>
      </w:r>
      <w:r w:rsidRPr="00352DC9">
        <w:rPr>
          <w:sz w:val="20"/>
          <w:szCs w:val="20"/>
          <w:lang w:val="en-US"/>
        </w:rPr>
        <w:tab/>
        <w:t>insignificant.</w:t>
      </w:r>
      <w:proofErr w:type="gramEnd"/>
      <w:r w:rsidRPr="00352DC9">
        <w:rPr>
          <w:sz w:val="20"/>
          <w:szCs w:val="20"/>
          <w:lang w:val="en-US"/>
        </w:rPr>
        <w:t xml:space="preserve"> The companies have an open business environment. They operate </w:t>
      </w:r>
    </w:p>
    <w:p w:rsidR="00AE4097" w:rsidRPr="00352DC9" w:rsidRDefault="00AE4097" w:rsidP="00AE4097">
      <w:pPr>
        <w:ind w:left="1701"/>
        <w:jc w:val="both"/>
        <w:rPr>
          <w:sz w:val="20"/>
          <w:szCs w:val="20"/>
          <w:lang w:val="en-US"/>
        </w:rPr>
      </w:pPr>
      <w:proofErr w:type="gramStart"/>
      <w:r w:rsidRPr="00352DC9">
        <w:rPr>
          <w:sz w:val="20"/>
          <w:szCs w:val="20"/>
          <w:lang w:val="en-US"/>
        </w:rPr>
        <w:t>listed</w:t>
      </w:r>
      <w:proofErr w:type="gramEnd"/>
      <w:r w:rsidRPr="00352DC9">
        <w:rPr>
          <w:sz w:val="20"/>
          <w:szCs w:val="20"/>
          <w:lang w:val="en-US"/>
        </w:rPr>
        <w:t xml:space="preserve"> companies, </w:t>
      </w:r>
      <w:r w:rsidRPr="00352DC9">
        <w:rPr>
          <w:sz w:val="20"/>
          <w:szCs w:val="20"/>
          <w:lang w:val="en-US"/>
        </w:rPr>
        <w:tab/>
      </w:r>
      <w:r w:rsidRPr="00352DC9">
        <w:rPr>
          <w:sz w:val="20"/>
          <w:szCs w:val="20"/>
          <w:lang w:val="en-US"/>
        </w:rPr>
        <w:tab/>
        <w:t>and regressions</w:t>
      </w:r>
      <w:r w:rsidRPr="00352DC9">
        <w:rPr>
          <w:sz w:val="20"/>
          <w:szCs w:val="20"/>
          <w:lang w:val="en-US"/>
        </w:rPr>
        <w:tab/>
      </w:r>
      <w:r w:rsidRPr="00352DC9">
        <w:rPr>
          <w:sz w:val="20"/>
          <w:szCs w:val="20"/>
          <w:lang w:val="en-US"/>
        </w:rPr>
        <w:tab/>
      </w:r>
      <w:r w:rsidRPr="00352DC9">
        <w:rPr>
          <w:sz w:val="20"/>
          <w:szCs w:val="20"/>
          <w:lang w:val="en-US"/>
        </w:rPr>
        <w:tab/>
        <w:t>freely within the government regulatory framework.</w:t>
      </w:r>
    </w:p>
    <w:p w:rsidR="00AE4097" w:rsidRPr="00352DC9" w:rsidRDefault="00AE4097" w:rsidP="00AE4097">
      <w:pPr>
        <w:ind w:left="1701"/>
        <w:jc w:val="both"/>
        <w:rPr>
          <w:sz w:val="20"/>
          <w:szCs w:val="20"/>
          <w:lang w:val="en-US"/>
        </w:rPr>
      </w:pPr>
      <w:proofErr w:type="gramStart"/>
      <w:r w:rsidRPr="00352DC9">
        <w:rPr>
          <w:sz w:val="20"/>
          <w:szCs w:val="20"/>
          <w:lang w:val="en-US"/>
        </w:rPr>
        <w:t>both</w:t>
      </w:r>
      <w:proofErr w:type="gramEnd"/>
      <w:r w:rsidRPr="00352DC9">
        <w:rPr>
          <w:sz w:val="20"/>
          <w:szCs w:val="20"/>
          <w:lang w:val="en-US"/>
        </w:rPr>
        <w:t xml:space="preserve"> financial and </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2. There is a negative and insignificant relation between CRD levels and non-financial</w:t>
      </w:r>
    </w:p>
    <w:p w:rsidR="00AE4097" w:rsidRPr="00352DC9" w:rsidRDefault="00AE4097" w:rsidP="00AE4097">
      <w:pPr>
        <w:ind w:left="1701"/>
        <w:jc w:val="both"/>
        <w:rPr>
          <w:sz w:val="20"/>
          <w:szCs w:val="20"/>
          <w:lang w:val="en-US"/>
        </w:rPr>
      </w:pPr>
      <w:proofErr w:type="gramStart"/>
      <w:r w:rsidRPr="00352DC9">
        <w:rPr>
          <w:sz w:val="20"/>
          <w:szCs w:val="20"/>
          <w:lang w:val="en-US"/>
        </w:rPr>
        <w:t>non-financial</w:t>
      </w:r>
      <w:proofErr w:type="gramEnd"/>
      <w:r w:rsidRPr="00352DC9">
        <w:rPr>
          <w:sz w:val="20"/>
          <w:szCs w:val="20"/>
          <w:lang w:val="en-US"/>
        </w:rPr>
        <w:t>.</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proofErr w:type="gramStart"/>
      <w:r w:rsidRPr="00352DC9">
        <w:rPr>
          <w:sz w:val="20"/>
          <w:szCs w:val="20"/>
          <w:lang w:val="en-US"/>
        </w:rPr>
        <w:t>reserves</w:t>
      </w:r>
      <w:proofErr w:type="gramEnd"/>
      <w:r w:rsidRPr="00352DC9">
        <w:rPr>
          <w:sz w:val="20"/>
          <w:szCs w:val="20"/>
          <w:lang w:val="en-US"/>
        </w:rPr>
        <w:t>. They do not disclose a high level of risk information.</w:t>
      </w:r>
    </w:p>
    <w:p w:rsidR="00AE4097" w:rsidRPr="00352DC9" w:rsidRDefault="00AE4097" w:rsidP="00AE4097">
      <w:pPr>
        <w:pBdr>
          <w:bottom w:val="single" w:sz="4" w:space="1" w:color="auto"/>
        </w:pBdr>
        <w:jc w:val="both"/>
        <w:rPr>
          <w:sz w:val="20"/>
          <w:szCs w:val="20"/>
          <w:lang w:val="en-US"/>
        </w:rPr>
      </w:pPr>
      <w:r w:rsidRPr="00352DC9">
        <w:rPr>
          <w:sz w:val="20"/>
          <w:szCs w:val="20"/>
          <w:lang w:val="en-US"/>
        </w:rPr>
        <w:tab/>
      </w:r>
      <w:r w:rsidRPr="00352DC9">
        <w:rPr>
          <w:sz w:val="20"/>
          <w:szCs w:val="20"/>
          <w:lang w:val="en-US"/>
        </w:rPr>
        <w:tab/>
      </w:r>
      <w:r w:rsidRPr="00352DC9">
        <w:rPr>
          <w:sz w:val="20"/>
          <w:szCs w:val="20"/>
          <w:lang w:val="en-US"/>
        </w:rPr>
        <w:tab/>
        <w:t>Period: 2005</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p>
    <w:p w:rsidR="00AE4097" w:rsidRPr="00352DC9" w:rsidRDefault="00AE4097" w:rsidP="00AE4097">
      <w:pPr>
        <w:jc w:val="both"/>
        <w:rPr>
          <w:sz w:val="20"/>
          <w:szCs w:val="20"/>
          <w:lang w:val="en-US"/>
        </w:rPr>
      </w:pPr>
    </w:p>
    <w:p w:rsidR="00AE4097" w:rsidRPr="00352DC9" w:rsidRDefault="00AE4097" w:rsidP="00AE4097">
      <w:pPr>
        <w:jc w:val="both"/>
        <w:rPr>
          <w:sz w:val="20"/>
          <w:szCs w:val="20"/>
          <w:lang w:val="en-US"/>
        </w:rPr>
      </w:pPr>
    </w:p>
    <w:p w:rsidR="00AE4097" w:rsidRPr="00352DC9" w:rsidRDefault="00AE4097" w:rsidP="00AE4097">
      <w:pPr>
        <w:jc w:val="both"/>
        <w:rPr>
          <w:sz w:val="20"/>
          <w:szCs w:val="20"/>
          <w:lang w:val="en-US"/>
        </w:rPr>
      </w:pPr>
    </w:p>
    <w:p w:rsidR="00AE4097" w:rsidRPr="00352DC9" w:rsidRDefault="00AE4097" w:rsidP="00AE4097">
      <w:pPr>
        <w:jc w:val="both"/>
        <w:rPr>
          <w:sz w:val="20"/>
          <w:szCs w:val="20"/>
          <w:lang w:val="en-US"/>
        </w:rPr>
      </w:pPr>
    </w:p>
    <w:p w:rsidR="00AE4097" w:rsidRPr="00352DC9" w:rsidRDefault="00AE4097" w:rsidP="00AE4097">
      <w:pPr>
        <w:pBdr>
          <w:top w:val="single" w:sz="4" w:space="1" w:color="auto"/>
        </w:pBdr>
        <w:ind w:left="1134" w:hanging="1134"/>
        <w:jc w:val="both"/>
        <w:rPr>
          <w:sz w:val="20"/>
          <w:szCs w:val="20"/>
          <w:lang w:val="en-US"/>
        </w:rPr>
      </w:pPr>
      <w:proofErr w:type="gramStart"/>
      <w:r w:rsidRPr="00352DC9">
        <w:rPr>
          <w:sz w:val="20"/>
          <w:szCs w:val="20"/>
          <w:lang w:val="en-US"/>
        </w:rPr>
        <w:lastRenderedPageBreak/>
        <w:t xml:space="preserve">Amran, A., </w:t>
      </w:r>
      <w:r w:rsidRPr="00352DC9">
        <w:rPr>
          <w:sz w:val="20"/>
          <w:szCs w:val="20"/>
          <w:lang w:val="en-US"/>
        </w:rPr>
        <w:tab/>
      </w:r>
      <w:r w:rsidRPr="00352DC9">
        <w:rPr>
          <w:sz w:val="20"/>
          <w:szCs w:val="20"/>
          <w:lang w:val="en-US"/>
        </w:rPr>
        <w:tab/>
        <w:t xml:space="preserve">100 annual reports of  </w:t>
      </w:r>
      <w:r w:rsidRPr="00352DC9">
        <w:rPr>
          <w:sz w:val="20"/>
          <w:szCs w:val="20"/>
          <w:lang w:val="en-US"/>
        </w:rPr>
        <w:tab/>
        <w:t xml:space="preserve">Content analysis and </w:t>
      </w:r>
      <w:r w:rsidRPr="00352DC9">
        <w:rPr>
          <w:sz w:val="20"/>
          <w:szCs w:val="20"/>
          <w:lang w:val="en-US"/>
        </w:rPr>
        <w:tab/>
      </w:r>
      <w:r w:rsidRPr="00352DC9">
        <w:rPr>
          <w:sz w:val="20"/>
          <w:szCs w:val="20"/>
          <w:lang w:val="en-US"/>
        </w:rPr>
        <w:tab/>
        <w:t>1.</w:t>
      </w:r>
      <w:proofErr w:type="gramEnd"/>
      <w:r w:rsidRPr="00352DC9">
        <w:rPr>
          <w:sz w:val="20"/>
          <w:szCs w:val="20"/>
          <w:lang w:val="en-US"/>
        </w:rPr>
        <w:t xml:space="preserve"> Most of the companies disclose their risk information in the chairman’s </w:t>
      </w:r>
    </w:p>
    <w:p w:rsidR="00AE4097" w:rsidRPr="00352DC9" w:rsidRDefault="00AE4097" w:rsidP="00AE4097">
      <w:pPr>
        <w:ind w:left="1134" w:hanging="1134"/>
        <w:jc w:val="both"/>
        <w:rPr>
          <w:sz w:val="20"/>
          <w:szCs w:val="20"/>
          <w:lang w:val="en-US"/>
        </w:rPr>
      </w:pPr>
      <w:r w:rsidRPr="00352DC9">
        <w:rPr>
          <w:sz w:val="20"/>
          <w:szCs w:val="20"/>
          <w:lang w:val="en-US"/>
        </w:rPr>
        <w:t xml:space="preserve">Bin, A. and </w:t>
      </w:r>
      <w:r w:rsidRPr="00352DC9">
        <w:rPr>
          <w:sz w:val="20"/>
          <w:szCs w:val="20"/>
          <w:lang w:val="en-US"/>
        </w:rPr>
        <w:tab/>
      </w:r>
      <w:r w:rsidRPr="00352DC9">
        <w:rPr>
          <w:sz w:val="20"/>
          <w:szCs w:val="20"/>
          <w:lang w:val="en-US"/>
        </w:rPr>
        <w:tab/>
        <w:t xml:space="preserve">listed non-financial </w:t>
      </w:r>
      <w:r w:rsidRPr="00352DC9">
        <w:rPr>
          <w:sz w:val="20"/>
          <w:szCs w:val="20"/>
          <w:lang w:val="en-US"/>
        </w:rPr>
        <w:tab/>
      </w:r>
      <w:r w:rsidRPr="00352DC9">
        <w:rPr>
          <w:sz w:val="20"/>
          <w:szCs w:val="20"/>
          <w:lang w:val="en-US"/>
        </w:rPr>
        <w:tab/>
        <w:t>regression</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statement.</w:t>
      </w:r>
    </w:p>
    <w:p w:rsidR="00AE4097" w:rsidRPr="00352DC9" w:rsidRDefault="00AE4097" w:rsidP="00AE4097">
      <w:pPr>
        <w:ind w:left="1134" w:hanging="1134"/>
        <w:jc w:val="both"/>
        <w:rPr>
          <w:sz w:val="20"/>
          <w:szCs w:val="20"/>
          <w:lang w:val="en-US"/>
        </w:rPr>
      </w:pPr>
      <w:r w:rsidRPr="00352DC9">
        <w:rPr>
          <w:sz w:val="20"/>
          <w:szCs w:val="20"/>
          <w:lang w:val="en-US"/>
        </w:rPr>
        <w:t>B. Hassan</w:t>
      </w:r>
      <w:r w:rsidRPr="00352DC9">
        <w:rPr>
          <w:sz w:val="20"/>
          <w:szCs w:val="20"/>
          <w:lang w:val="en-US"/>
        </w:rPr>
        <w:tab/>
      </w:r>
      <w:r w:rsidRPr="00352DC9">
        <w:rPr>
          <w:sz w:val="20"/>
          <w:szCs w:val="20"/>
          <w:lang w:val="en-US"/>
        </w:rPr>
        <w:tab/>
        <w:t>Malaysian companies</w:t>
      </w:r>
      <w:r w:rsidRPr="00352DC9">
        <w:rPr>
          <w:sz w:val="20"/>
          <w:szCs w:val="20"/>
          <w:lang w:val="en-US"/>
        </w:rPr>
        <w:tab/>
        <w:t>(stakeholder perspective)</w:t>
      </w:r>
      <w:r w:rsidRPr="00352DC9">
        <w:rPr>
          <w:sz w:val="20"/>
          <w:szCs w:val="20"/>
          <w:lang w:val="en-US"/>
        </w:rPr>
        <w:tab/>
      </w:r>
      <w:r w:rsidRPr="00352DC9">
        <w:rPr>
          <w:sz w:val="20"/>
          <w:szCs w:val="20"/>
          <w:lang w:val="en-US"/>
        </w:rPr>
        <w:tab/>
        <w:t>2. Extra effort in providing separate sections to discuss risk management</w:t>
      </w:r>
    </w:p>
    <w:p w:rsidR="00AE4097" w:rsidRPr="00352DC9" w:rsidRDefault="00AE4097" w:rsidP="00AE4097">
      <w:pPr>
        <w:ind w:left="1134" w:hanging="1134"/>
        <w:jc w:val="both"/>
        <w:rPr>
          <w:sz w:val="20"/>
          <w:szCs w:val="20"/>
          <w:lang w:val="en-US"/>
        </w:rPr>
      </w:pPr>
      <w:r w:rsidRPr="00352DC9">
        <w:rPr>
          <w:sz w:val="20"/>
          <w:szCs w:val="20"/>
          <w:lang w:val="en-US"/>
        </w:rPr>
        <w:t>(2009)</w:t>
      </w:r>
      <w:r w:rsidRPr="00352DC9">
        <w:rPr>
          <w:sz w:val="20"/>
          <w:szCs w:val="20"/>
          <w:lang w:val="en-US"/>
        </w:rPr>
        <w:tab/>
      </w:r>
      <w:r w:rsidRPr="00352DC9">
        <w:rPr>
          <w:sz w:val="20"/>
          <w:szCs w:val="20"/>
          <w:lang w:val="en-US"/>
        </w:rPr>
        <w:tab/>
        <w:t>Period: 2005</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 xml:space="preserve">3. Total number of sentences of risk information is less than compared to </w:t>
      </w:r>
    </w:p>
    <w:p w:rsidR="00AE4097" w:rsidRPr="00352DC9" w:rsidRDefault="00AE4097" w:rsidP="00AE4097">
      <w:pPr>
        <w:ind w:left="6237" w:firstLine="567"/>
        <w:jc w:val="both"/>
        <w:rPr>
          <w:sz w:val="20"/>
          <w:szCs w:val="20"/>
          <w:lang w:val="en-US"/>
        </w:rPr>
      </w:pPr>
      <w:r w:rsidRPr="00352DC9">
        <w:rPr>
          <w:sz w:val="20"/>
          <w:szCs w:val="20"/>
          <w:lang w:val="en-US"/>
        </w:rPr>
        <w:t xml:space="preserve">Linsley and Shrives (2006). Disclosure reporting at Malaysian companies is at </w:t>
      </w:r>
    </w:p>
    <w:p w:rsidR="00AE4097" w:rsidRPr="00352DC9" w:rsidRDefault="00AE4097" w:rsidP="00AE4097">
      <w:pPr>
        <w:ind w:left="6804"/>
        <w:jc w:val="both"/>
        <w:rPr>
          <w:sz w:val="20"/>
          <w:szCs w:val="20"/>
          <w:lang w:val="en-US"/>
        </w:rPr>
      </w:pPr>
      <w:proofErr w:type="gramStart"/>
      <w:r w:rsidRPr="00352DC9">
        <w:rPr>
          <w:sz w:val="20"/>
          <w:szCs w:val="20"/>
          <w:lang w:val="en-US"/>
        </w:rPr>
        <w:t>the</w:t>
      </w:r>
      <w:proofErr w:type="gramEnd"/>
      <w:r w:rsidRPr="00352DC9">
        <w:rPr>
          <w:sz w:val="20"/>
          <w:szCs w:val="20"/>
          <w:lang w:val="en-US"/>
        </w:rPr>
        <w:t xml:space="preserve"> beginning stage.</w:t>
      </w:r>
    </w:p>
    <w:p w:rsidR="00AE4097" w:rsidRPr="00352DC9" w:rsidRDefault="00AE4097" w:rsidP="00AE4097">
      <w:pPr>
        <w:pBdr>
          <w:bottom w:val="single" w:sz="4" w:space="1" w:color="auto"/>
        </w:pBdr>
        <w:ind w:left="1134" w:hanging="1134"/>
        <w:jc w:val="both"/>
        <w:rPr>
          <w:sz w:val="20"/>
          <w:szCs w:val="20"/>
          <w:lang w:val="en-US"/>
        </w:rPr>
      </w:pP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 xml:space="preserve">4. Size is proven significant by the regression results. </w:t>
      </w:r>
    </w:p>
    <w:p w:rsidR="00AE4097" w:rsidRPr="00352DC9" w:rsidRDefault="00AE4097" w:rsidP="00AE4097">
      <w:pPr>
        <w:jc w:val="both"/>
        <w:rPr>
          <w:sz w:val="20"/>
          <w:szCs w:val="20"/>
          <w:lang w:val="en-US"/>
        </w:rPr>
      </w:pPr>
      <w:r w:rsidRPr="00352DC9">
        <w:rPr>
          <w:sz w:val="20"/>
          <w:szCs w:val="20"/>
          <w:lang w:val="en-US"/>
        </w:rPr>
        <w:t xml:space="preserve">Broberg, P, </w:t>
      </w:r>
      <w:r w:rsidRPr="00352DC9">
        <w:rPr>
          <w:sz w:val="20"/>
          <w:szCs w:val="20"/>
          <w:lang w:val="en-US"/>
        </w:rPr>
        <w:tab/>
      </w:r>
      <w:r w:rsidRPr="00352DC9">
        <w:rPr>
          <w:sz w:val="20"/>
          <w:szCs w:val="20"/>
          <w:lang w:val="en-US"/>
        </w:rPr>
        <w:tab/>
        <w:t>431 annual reports of</w:t>
      </w:r>
      <w:r w:rsidRPr="00352DC9">
        <w:rPr>
          <w:sz w:val="20"/>
          <w:szCs w:val="20"/>
          <w:lang w:val="en-US"/>
        </w:rPr>
        <w:tab/>
        <w:t>Disclosure index model</w:t>
      </w:r>
      <w:r w:rsidRPr="00352DC9">
        <w:rPr>
          <w:sz w:val="20"/>
          <w:szCs w:val="20"/>
          <w:lang w:val="en-US"/>
        </w:rPr>
        <w:tab/>
      </w:r>
      <w:r w:rsidRPr="00352DC9">
        <w:rPr>
          <w:sz w:val="20"/>
          <w:szCs w:val="20"/>
          <w:lang w:val="en-US"/>
        </w:rPr>
        <w:tab/>
        <w:t>1. There is a positive relation between the debt ratio and voluntary disclosures.</w:t>
      </w:r>
    </w:p>
    <w:p w:rsidR="00AE4097" w:rsidRPr="00352DC9" w:rsidRDefault="00AE4097" w:rsidP="00AE4097">
      <w:pPr>
        <w:jc w:val="both"/>
        <w:rPr>
          <w:sz w:val="20"/>
          <w:szCs w:val="20"/>
          <w:lang w:val="en-US"/>
        </w:rPr>
      </w:pPr>
      <w:r w:rsidRPr="00352DC9">
        <w:rPr>
          <w:sz w:val="20"/>
          <w:szCs w:val="20"/>
          <w:lang w:val="en-US"/>
        </w:rPr>
        <w:t xml:space="preserve">Tagesson, S., </w:t>
      </w:r>
      <w:r w:rsidRPr="00352DC9">
        <w:rPr>
          <w:sz w:val="20"/>
          <w:szCs w:val="20"/>
          <w:lang w:val="en-US"/>
        </w:rPr>
        <w:tab/>
      </w:r>
      <w:r w:rsidR="00352DC9">
        <w:rPr>
          <w:sz w:val="20"/>
          <w:szCs w:val="20"/>
          <w:lang w:val="en-US"/>
        </w:rPr>
        <w:tab/>
      </w:r>
      <w:r w:rsidRPr="00352DC9">
        <w:rPr>
          <w:sz w:val="20"/>
          <w:szCs w:val="20"/>
          <w:lang w:val="en-US"/>
        </w:rPr>
        <w:t>non-financial companies</w:t>
      </w:r>
      <w:r w:rsidRPr="00352DC9">
        <w:rPr>
          <w:sz w:val="20"/>
          <w:szCs w:val="20"/>
          <w:lang w:val="en-US"/>
        </w:rPr>
        <w:tab/>
        <w:t xml:space="preserve">(agency theory and </w:t>
      </w:r>
      <w:r w:rsidRPr="00352DC9">
        <w:rPr>
          <w:sz w:val="20"/>
          <w:szCs w:val="20"/>
          <w:lang w:val="en-US"/>
        </w:rPr>
        <w:tab/>
      </w:r>
      <w:r w:rsidRPr="00352DC9">
        <w:rPr>
          <w:sz w:val="20"/>
          <w:szCs w:val="20"/>
          <w:lang w:val="en-US"/>
        </w:rPr>
        <w:tab/>
      </w:r>
      <w:r w:rsidR="00614248">
        <w:rPr>
          <w:sz w:val="20"/>
          <w:szCs w:val="20"/>
          <w:lang w:val="en-US"/>
        </w:rPr>
        <w:tab/>
      </w:r>
      <w:r w:rsidRPr="00352DC9">
        <w:rPr>
          <w:sz w:val="20"/>
          <w:szCs w:val="20"/>
          <w:lang w:val="en-US"/>
        </w:rPr>
        <w:t xml:space="preserve">2. Corporations where management has a large scale share of ownership disclose </w:t>
      </w:r>
    </w:p>
    <w:p w:rsidR="00AE4097" w:rsidRPr="00352DC9" w:rsidRDefault="00AE4097" w:rsidP="00AE4097">
      <w:pPr>
        <w:jc w:val="both"/>
        <w:rPr>
          <w:sz w:val="20"/>
          <w:szCs w:val="20"/>
          <w:lang w:val="en-US"/>
        </w:rPr>
      </w:pPr>
      <w:proofErr w:type="gramStart"/>
      <w:r w:rsidRPr="00352DC9">
        <w:rPr>
          <w:sz w:val="20"/>
          <w:szCs w:val="20"/>
          <w:lang w:val="en-US"/>
        </w:rPr>
        <w:t>and</w:t>
      </w:r>
      <w:proofErr w:type="gramEnd"/>
      <w:r w:rsidRPr="00352DC9">
        <w:rPr>
          <w:sz w:val="20"/>
          <w:szCs w:val="20"/>
          <w:lang w:val="en-US"/>
        </w:rPr>
        <w:t xml:space="preserve"> Collin, S.</w:t>
      </w:r>
      <w:r w:rsidR="00352DC9">
        <w:rPr>
          <w:sz w:val="20"/>
          <w:szCs w:val="20"/>
          <w:lang w:val="en-US"/>
        </w:rPr>
        <w:tab/>
      </w:r>
      <w:r w:rsidRPr="00352DC9">
        <w:rPr>
          <w:sz w:val="20"/>
          <w:szCs w:val="20"/>
          <w:lang w:val="en-US"/>
        </w:rPr>
        <w:tab/>
      </w:r>
      <w:proofErr w:type="gramStart"/>
      <w:r w:rsidRPr="00352DC9">
        <w:rPr>
          <w:sz w:val="20"/>
          <w:szCs w:val="20"/>
          <w:lang w:val="en-US"/>
        </w:rPr>
        <w:t>listed</w:t>
      </w:r>
      <w:proofErr w:type="gramEnd"/>
      <w:r w:rsidRPr="00352DC9">
        <w:rPr>
          <w:sz w:val="20"/>
          <w:szCs w:val="20"/>
          <w:lang w:val="en-US"/>
        </w:rPr>
        <w:t xml:space="preserve"> on the Stockholm</w:t>
      </w:r>
      <w:r w:rsidRPr="00352DC9">
        <w:rPr>
          <w:sz w:val="20"/>
          <w:szCs w:val="20"/>
          <w:lang w:val="en-US"/>
        </w:rPr>
        <w:tab/>
        <w:t>positive accounting theory)</w:t>
      </w:r>
      <w:r w:rsidRPr="00352DC9">
        <w:rPr>
          <w:sz w:val="20"/>
          <w:szCs w:val="20"/>
          <w:lang w:val="en-US"/>
        </w:rPr>
        <w:tab/>
      </w:r>
      <w:r w:rsidR="00614248">
        <w:rPr>
          <w:sz w:val="20"/>
          <w:szCs w:val="20"/>
          <w:lang w:val="en-US"/>
        </w:rPr>
        <w:tab/>
      </w:r>
      <w:r w:rsidRPr="00352DC9">
        <w:rPr>
          <w:sz w:val="20"/>
          <w:szCs w:val="20"/>
          <w:lang w:val="en-US"/>
        </w:rPr>
        <w:t>less voluntary information in general.</w:t>
      </w:r>
    </w:p>
    <w:p w:rsidR="00AE4097" w:rsidRPr="00352DC9" w:rsidRDefault="00AE4097" w:rsidP="00AE4097">
      <w:pPr>
        <w:pBdr>
          <w:bottom w:val="single" w:sz="4" w:space="1" w:color="auto"/>
        </w:pBdr>
        <w:jc w:val="both"/>
        <w:rPr>
          <w:sz w:val="20"/>
          <w:szCs w:val="20"/>
          <w:lang w:val="en-US"/>
        </w:rPr>
      </w:pPr>
      <w:proofErr w:type="gramStart"/>
      <w:r w:rsidRPr="00352DC9">
        <w:rPr>
          <w:sz w:val="20"/>
          <w:szCs w:val="20"/>
          <w:lang w:val="en-US"/>
        </w:rPr>
        <w:t>(2010)</w:t>
      </w:r>
      <w:r w:rsidRPr="00352DC9">
        <w:rPr>
          <w:sz w:val="20"/>
          <w:szCs w:val="20"/>
          <w:lang w:val="en-US"/>
        </w:rPr>
        <w:tab/>
      </w:r>
      <w:r w:rsidRPr="00352DC9">
        <w:rPr>
          <w:sz w:val="20"/>
          <w:szCs w:val="20"/>
          <w:lang w:val="en-US"/>
        </w:rPr>
        <w:tab/>
      </w:r>
      <w:r w:rsidR="00352DC9">
        <w:rPr>
          <w:sz w:val="20"/>
          <w:szCs w:val="20"/>
          <w:lang w:val="en-US"/>
        </w:rPr>
        <w:tab/>
      </w:r>
      <w:r w:rsidRPr="00352DC9">
        <w:rPr>
          <w:sz w:val="20"/>
          <w:szCs w:val="20"/>
          <w:lang w:val="en-US"/>
        </w:rPr>
        <w:t>Stock Exchange</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3.</w:t>
      </w:r>
      <w:proofErr w:type="gramEnd"/>
      <w:r w:rsidRPr="00352DC9">
        <w:rPr>
          <w:sz w:val="20"/>
          <w:szCs w:val="20"/>
          <w:lang w:val="en-US"/>
        </w:rPr>
        <w:t xml:space="preserve"> There is a positive relationship between foreign ownership and voluntary </w:t>
      </w:r>
    </w:p>
    <w:p w:rsidR="00AE4097" w:rsidRPr="00352DC9" w:rsidRDefault="00AE4097" w:rsidP="00AE4097">
      <w:pPr>
        <w:pBdr>
          <w:bottom w:val="single" w:sz="4" w:space="1" w:color="auto"/>
        </w:pBdr>
        <w:ind w:firstLine="567"/>
        <w:jc w:val="both"/>
        <w:rPr>
          <w:sz w:val="20"/>
          <w:szCs w:val="20"/>
          <w:lang w:val="en-US"/>
        </w:rPr>
      </w:pPr>
      <w:r w:rsidRPr="00352DC9">
        <w:rPr>
          <w:sz w:val="20"/>
          <w:szCs w:val="20"/>
          <w:lang w:val="en-US"/>
        </w:rPr>
        <w:tab/>
      </w:r>
      <w:r w:rsidRPr="00352DC9">
        <w:rPr>
          <w:sz w:val="20"/>
          <w:szCs w:val="20"/>
          <w:lang w:val="en-US"/>
        </w:rPr>
        <w:tab/>
        <w:t>Period: 2002 and 2005</w:t>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r>
      <w:r w:rsidRPr="00352DC9">
        <w:rPr>
          <w:sz w:val="20"/>
          <w:szCs w:val="20"/>
          <w:lang w:val="en-US"/>
        </w:rPr>
        <w:tab/>
        <w:t>disclosure information.</w:t>
      </w:r>
    </w:p>
    <w:p w:rsidR="00AE4097" w:rsidRPr="00352DC9" w:rsidRDefault="00AE4097" w:rsidP="00AE4097">
      <w:pPr>
        <w:pBdr>
          <w:bottom w:val="single" w:sz="4" w:space="1" w:color="auto"/>
        </w:pBdr>
        <w:ind w:firstLine="6243"/>
        <w:jc w:val="both"/>
        <w:rPr>
          <w:sz w:val="20"/>
          <w:szCs w:val="20"/>
          <w:lang w:val="en-US"/>
        </w:rPr>
      </w:pPr>
      <w:r w:rsidRPr="00352DC9">
        <w:rPr>
          <w:sz w:val="20"/>
          <w:szCs w:val="20"/>
          <w:lang w:val="en-US"/>
        </w:rPr>
        <w:tab/>
        <w:t xml:space="preserve">4. Both agency theory and signaling theory supports the idea that corporations </w:t>
      </w:r>
    </w:p>
    <w:p w:rsidR="00AE4097" w:rsidRPr="00352DC9" w:rsidRDefault="00AE4097" w:rsidP="00AE4097">
      <w:pPr>
        <w:pBdr>
          <w:bottom w:val="single" w:sz="4" w:space="1" w:color="auto"/>
        </w:pBdr>
        <w:ind w:firstLine="6243"/>
        <w:jc w:val="both"/>
        <w:rPr>
          <w:sz w:val="20"/>
          <w:szCs w:val="20"/>
          <w:lang w:val="en-US"/>
        </w:rPr>
      </w:pPr>
      <w:r w:rsidRPr="00352DC9">
        <w:rPr>
          <w:sz w:val="20"/>
          <w:szCs w:val="20"/>
          <w:lang w:val="en-US"/>
        </w:rPr>
        <w:tab/>
      </w:r>
      <w:proofErr w:type="gramStart"/>
      <w:r w:rsidRPr="00352DC9">
        <w:rPr>
          <w:sz w:val="20"/>
          <w:szCs w:val="20"/>
          <w:lang w:val="en-US"/>
        </w:rPr>
        <w:t>disclose</w:t>
      </w:r>
      <w:proofErr w:type="gramEnd"/>
      <w:r w:rsidRPr="00352DC9">
        <w:rPr>
          <w:sz w:val="20"/>
          <w:szCs w:val="20"/>
          <w:lang w:val="en-US"/>
        </w:rPr>
        <w:t xml:space="preserve"> more risk information during ‘good times’ than during ‘bad times’.</w:t>
      </w:r>
      <w:r w:rsidRPr="00352DC9">
        <w:rPr>
          <w:sz w:val="20"/>
          <w:szCs w:val="20"/>
          <w:lang w:val="en-US"/>
        </w:rPr>
        <w:tab/>
      </w:r>
    </w:p>
    <w:p w:rsidR="00AE4097" w:rsidRPr="00352DC9" w:rsidRDefault="00AE4097" w:rsidP="00AE4097">
      <w:pPr>
        <w:pBdr>
          <w:bottom w:val="single" w:sz="4" w:space="1" w:color="auto"/>
        </w:pBdr>
        <w:ind w:firstLine="6243"/>
        <w:jc w:val="both"/>
        <w:rPr>
          <w:sz w:val="20"/>
          <w:szCs w:val="20"/>
          <w:lang w:val="en-US"/>
        </w:rPr>
      </w:pPr>
      <w:r w:rsidRPr="00352DC9">
        <w:rPr>
          <w:sz w:val="20"/>
          <w:szCs w:val="20"/>
          <w:lang w:val="en-US"/>
        </w:rPr>
        <w:tab/>
        <w:t>5. Firm size is positively correlated with voluntary disclosure information.</w:t>
      </w:r>
    </w:p>
    <w:p w:rsidR="00AE4097" w:rsidRPr="00352DC9" w:rsidRDefault="00AE4097" w:rsidP="00AE4097">
      <w:pPr>
        <w:pBdr>
          <w:bottom w:val="single" w:sz="4" w:space="1" w:color="auto"/>
        </w:pBdr>
        <w:ind w:firstLine="6243"/>
        <w:jc w:val="both"/>
        <w:rPr>
          <w:sz w:val="20"/>
          <w:szCs w:val="20"/>
          <w:lang w:val="en-US"/>
        </w:rPr>
      </w:pPr>
      <w:r w:rsidRPr="00352DC9">
        <w:rPr>
          <w:sz w:val="20"/>
          <w:szCs w:val="20"/>
          <w:lang w:val="en-US"/>
        </w:rPr>
        <w:tab/>
        <w:t>6. Industry is a variable that affects voluntary disclosure information.</w:t>
      </w:r>
    </w:p>
    <w:p w:rsidR="00AE4097" w:rsidRPr="00352DC9" w:rsidRDefault="00AE4097" w:rsidP="00AE4097">
      <w:pPr>
        <w:pBdr>
          <w:bottom w:val="single" w:sz="4" w:space="1" w:color="auto"/>
        </w:pBdr>
        <w:ind w:firstLine="6243"/>
        <w:jc w:val="both"/>
        <w:rPr>
          <w:sz w:val="20"/>
          <w:szCs w:val="20"/>
          <w:lang w:val="en-US"/>
        </w:rPr>
      </w:pPr>
      <w:r w:rsidRPr="00352DC9">
        <w:rPr>
          <w:sz w:val="20"/>
          <w:szCs w:val="20"/>
          <w:lang w:val="en-US"/>
        </w:rPr>
        <w:tab/>
        <w:t>7. The implementation of IASB standards has had a positive effect in general.</w:t>
      </w:r>
    </w:p>
    <w:p w:rsidR="00AE4097" w:rsidRPr="00352DC9" w:rsidRDefault="00AE4097" w:rsidP="00AE4097">
      <w:pPr>
        <w:pBdr>
          <w:bottom w:val="single" w:sz="4" w:space="1" w:color="auto"/>
        </w:pBdr>
        <w:ind w:firstLine="6243"/>
        <w:jc w:val="both"/>
        <w:rPr>
          <w:sz w:val="20"/>
          <w:szCs w:val="20"/>
          <w:lang w:val="en-US"/>
        </w:rPr>
      </w:pPr>
      <w:r w:rsidRPr="00352DC9">
        <w:rPr>
          <w:sz w:val="20"/>
          <w:szCs w:val="20"/>
          <w:lang w:val="en-US"/>
        </w:rPr>
        <w:tab/>
        <w:t xml:space="preserve">8. Economic theories based on the assumption of self-interest have a strong </w:t>
      </w:r>
    </w:p>
    <w:p w:rsidR="00AE4097" w:rsidRPr="00352DC9" w:rsidRDefault="00AE4097" w:rsidP="00AE4097">
      <w:pPr>
        <w:pBdr>
          <w:bottom w:val="single" w:sz="4" w:space="1" w:color="auto"/>
        </w:pBdr>
        <w:ind w:firstLine="6243"/>
        <w:jc w:val="both"/>
        <w:rPr>
          <w:sz w:val="20"/>
          <w:szCs w:val="20"/>
          <w:lang w:val="en-US"/>
        </w:rPr>
      </w:pPr>
      <w:r w:rsidRPr="00352DC9">
        <w:rPr>
          <w:sz w:val="20"/>
          <w:szCs w:val="20"/>
          <w:lang w:val="en-US"/>
        </w:rPr>
        <w:tab/>
      </w:r>
      <w:proofErr w:type="gramStart"/>
      <w:r w:rsidRPr="00352DC9">
        <w:rPr>
          <w:sz w:val="20"/>
          <w:szCs w:val="20"/>
          <w:lang w:val="en-US"/>
        </w:rPr>
        <w:t>explanatory</w:t>
      </w:r>
      <w:proofErr w:type="gramEnd"/>
      <w:r w:rsidRPr="00352DC9">
        <w:rPr>
          <w:sz w:val="20"/>
          <w:szCs w:val="20"/>
          <w:lang w:val="en-US"/>
        </w:rPr>
        <w:t xml:space="preserve"> power regarding voluntary disclosures. </w:t>
      </w:r>
    </w:p>
    <w:p w:rsidR="00AE4097" w:rsidRPr="00352DC9" w:rsidRDefault="00AE4097" w:rsidP="00AE4097">
      <w:pPr>
        <w:jc w:val="both"/>
        <w:rPr>
          <w:sz w:val="22"/>
          <w:szCs w:val="22"/>
          <w:lang w:val="en-US"/>
        </w:rPr>
      </w:pPr>
    </w:p>
    <w:p w:rsidR="00AE4097" w:rsidRPr="00352DC9" w:rsidRDefault="00AE4097" w:rsidP="00AE4097">
      <w:pPr>
        <w:jc w:val="both"/>
        <w:rPr>
          <w:sz w:val="22"/>
          <w:szCs w:val="22"/>
          <w:lang w:val="en-US"/>
        </w:rPr>
      </w:pPr>
    </w:p>
    <w:p w:rsidR="00AE4097" w:rsidRDefault="00AE4097" w:rsidP="00AE4097">
      <w:pPr>
        <w:jc w:val="both"/>
        <w:rPr>
          <w:sz w:val="22"/>
          <w:szCs w:val="22"/>
          <w:lang w:val="en-US"/>
        </w:rPr>
        <w:sectPr w:rsidR="00AE4097" w:rsidSect="00176384">
          <w:headerReference w:type="first" r:id="rId13"/>
          <w:footerReference w:type="first" r:id="rId14"/>
          <w:pgSz w:w="16838" w:h="11906" w:orient="landscape"/>
          <w:pgMar w:top="1418" w:right="1418" w:bottom="1418" w:left="1418" w:header="709" w:footer="709" w:gutter="0"/>
          <w:cols w:space="720"/>
          <w:titlePg/>
          <w:docGrid w:linePitch="360"/>
        </w:sectPr>
      </w:pPr>
    </w:p>
    <w:p w:rsidR="00AE4097" w:rsidRDefault="00AE4097" w:rsidP="00AE4097">
      <w:pPr>
        <w:spacing w:line="360" w:lineRule="auto"/>
        <w:jc w:val="both"/>
        <w:rPr>
          <w:lang w:val="en-US"/>
        </w:rPr>
      </w:pPr>
      <w:r>
        <w:rPr>
          <w:b/>
          <w:lang w:val="en-US"/>
        </w:rPr>
        <w:lastRenderedPageBreak/>
        <w:t xml:space="preserve">Appendix II </w:t>
      </w:r>
      <w:r w:rsidRPr="00933B58">
        <w:rPr>
          <w:b/>
          <w:lang w:val="en-US"/>
        </w:rPr>
        <w:t>Final sample</w:t>
      </w:r>
    </w:p>
    <w:p w:rsidR="00AE4097" w:rsidRDefault="00AE4097" w:rsidP="00AE4097">
      <w:pPr>
        <w:spacing w:line="360" w:lineRule="auto"/>
        <w:jc w:val="both"/>
        <w:rPr>
          <w:sz w:val="22"/>
          <w:szCs w:val="22"/>
          <w:lang w:val="en-US"/>
        </w:rPr>
      </w:pPr>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503"/>
        <w:gridCol w:w="4536"/>
      </w:tblGrid>
      <w:tr w:rsidR="00AE4097" w:rsidTr="00176384">
        <w:tc>
          <w:tcPr>
            <w:tcW w:w="4503" w:type="dxa"/>
            <w:tcBorders>
              <w:bottom w:val="thinThickSmallGap" w:sz="24" w:space="0" w:color="auto"/>
            </w:tcBorders>
          </w:tcPr>
          <w:p w:rsidR="00AE4097" w:rsidRPr="002A227B" w:rsidRDefault="00AE4097" w:rsidP="00176384">
            <w:pPr>
              <w:spacing w:line="360" w:lineRule="auto"/>
              <w:jc w:val="both"/>
              <w:rPr>
                <w:b/>
                <w:lang w:val="en-US"/>
              </w:rPr>
            </w:pPr>
            <w:r w:rsidRPr="002A227B">
              <w:rPr>
                <w:b/>
                <w:sz w:val="22"/>
                <w:szCs w:val="22"/>
                <w:lang w:val="en-US"/>
              </w:rPr>
              <w:t>AEX-index</w:t>
            </w:r>
          </w:p>
        </w:tc>
        <w:tc>
          <w:tcPr>
            <w:tcW w:w="4536" w:type="dxa"/>
            <w:tcBorders>
              <w:bottom w:val="thinThickSmallGap" w:sz="24" w:space="0" w:color="auto"/>
            </w:tcBorders>
          </w:tcPr>
          <w:p w:rsidR="00AE4097" w:rsidRPr="002A227B" w:rsidRDefault="00AE4097" w:rsidP="00176384">
            <w:pPr>
              <w:spacing w:line="360" w:lineRule="auto"/>
              <w:jc w:val="both"/>
              <w:rPr>
                <w:b/>
                <w:lang w:val="en-US"/>
              </w:rPr>
            </w:pPr>
            <w:r w:rsidRPr="002A227B">
              <w:rPr>
                <w:b/>
                <w:sz w:val="22"/>
                <w:szCs w:val="22"/>
                <w:lang w:val="en-US"/>
              </w:rPr>
              <w:t>Industry</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Ahold</w:t>
            </w:r>
          </w:p>
        </w:tc>
        <w:tc>
          <w:tcPr>
            <w:tcW w:w="4536" w:type="dxa"/>
          </w:tcPr>
          <w:p w:rsidR="00AE4097" w:rsidRPr="002A227B" w:rsidRDefault="00AE4097" w:rsidP="00176384">
            <w:pPr>
              <w:spacing w:line="360" w:lineRule="auto"/>
              <w:jc w:val="both"/>
              <w:rPr>
                <w:lang w:val="en-US"/>
              </w:rPr>
            </w:pPr>
            <w:r w:rsidRPr="002A227B">
              <w:rPr>
                <w:sz w:val="22"/>
                <w:szCs w:val="22"/>
                <w:lang w:val="en-US"/>
              </w:rPr>
              <w:t>Consumer Services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Akzo Nobel</w:t>
            </w:r>
          </w:p>
        </w:tc>
        <w:tc>
          <w:tcPr>
            <w:tcW w:w="4536" w:type="dxa"/>
          </w:tcPr>
          <w:p w:rsidR="00AE4097" w:rsidRPr="002A227B" w:rsidRDefault="00AE4097" w:rsidP="00176384">
            <w:pPr>
              <w:spacing w:line="360" w:lineRule="auto"/>
              <w:jc w:val="both"/>
              <w:rPr>
                <w:lang w:val="en-US"/>
              </w:rPr>
            </w:pPr>
            <w:r w:rsidRPr="002A227B">
              <w:rPr>
                <w:sz w:val="22"/>
                <w:szCs w:val="22"/>
                <w:lang w:val="en-US"/>
              </w:rPr>
              <w:t>Basic Materials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ASML</w:t>
            </w:r>
          </w:p>
        </w:tc>
        <w:tc>
          <w:tcPr>
            <w:tcW w:w="4536" w:type="dxa"/>
          </w:tcPr>
          <w:p w:rsidR="00AE4097" w:rsidRPr="002A227B" w:rsidRDefault="00AE4097" w:rsidP="00176384">
            <w:pPr>
              <w:spacing w:line="360" w:lineRule="auto"/>
              <w:jc w:val="both"/>
              <w:rPr>
                <w:lang w:val="en-US"/>
              </w:rPr>
            </w:pPr>
            <w:r w:rsidRPr="002A227B">
              <w:rPr>
                <w:sz w:val="22"/>
                <w:szCs w:val="22"/>
                <w:lang w:val="en-US"/>
              </w:rPr>
              <w:t>Technology</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 xml:space="preserve">BAM Group </w:t>
            </w:r>
          </w:p>
        </w:tc>
        <w:tc>
          <w:tcPr>
            <w:tcW w:w="4536" w:type="dxa"/>
          </w:tcPr>
          <w:p w:rsidR="00AE4097" w:rsidRPr="002A227B" w:rsidRDefault="00AE4097" w:rsidP="00176384">
            <w:pPr>
              <w:spacing w:line="360" w:lineRule="auto"/>
              <w:jc w:val="both"/>
              <w:rPr>
                <w:lang w:val="en-US"/>
              </w:rPr>
            </w:pPr>
            <w:r w:rsidRPr="002A227B">
              <w:rPr>
                <w:sz w:val="22"/>
                <w:szCs w:val="22"/>
                <w:lang w:val="en-US"/>
              </w:rPr>
              <w:t>Industrials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Boskalis</w:t>
            </w:r>
          </w:p>
        </w:tc>
        <w:tc>
          <w:tcPr>
            <w:tcW w:w="4536" w:type="dxa"/>
          </w:tcPr>
          <w:p w:rsidR="00AE4097" w:rsidRPr="002A227B" w:rsidRDefault="00AE4097" w:rsidP="00176384">
            <w:pPr>
              <w:spacing w:line="360" w:lineRule="auto"/>
              <w:jc w:val="both"/>
              <w:rPr>
                <w:lang w:val="en-US"/>
              </w:rPr>
            </w:pPr>
            <w:r w:rsidRPr="002A227B">
              <w:rPr>
                <w:sz w:val="22"/>
                <w:szCs w:val="22"/>
                <w:lang w:val="en-US"/>
              </w:rPr>
              <w:t>Industrials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DSM</w:t>
            </w:r>
          </w:p>
        </w:tc>
        <w:tc>
          <w:tcPr>
            <w:tcW w:w="4536" w:type="dxa"/>
          </w:tcPr>
          <w:p w:rsidR="00AE4097" w:rsidRPr="002A227B" w:rsidRDefault="00AE4097" w:rsidP="00176384">
            <w:pPr>
              <w:spacing w:line="360" w:lineRule="auto"/>
              <w:jc w:val="both"/>
              <w:rPr>
                <w:lang w:val="en-US"/>
              </w:rPr>
            </w:pPr>
            <w:r w:rsidRPr="002A227B">
              <w:rPr>
                <w:sz w:val="22"/>
                <w:szCs w:val="22"/>
                <w:lang w:val="en-US"/>
              </w:rPr>
              <w:t>Basic Materials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Fugro</w:t>
            </w:r>
          </w:p>
        </w:tc>
        <w:tc>
          <w:tcPr>
            <w:tcW w:w="4536" w:type="dxa"/>
          </w:tcPr>
          <w:p w:rsidR="00AE4097" w:rsidRPr="002A227B" w:rsidRDefault="00AE4097" w:rsidP="00176384">
            <w:pPr>
              <w:spacing w:line="360" w:lineRule="auto"/>
              <w:jc w:val="both"/>
              <w:rPr>
                <w:lang w:val="en-US"/>
              </w:rPr>
            </w:pPr>
            <w:r w:rsidRPr="002A227B">
              <w:rPr>
                <w:sz w:val="22"/>
                <w:szCs w:val="22"/>
                <w:lang w:val="en-US"/>
              </w:rPr>
              <w:t>Oil and Gas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Heineken</w:t>
            </w:r>
          </w:p>
        </w:tc>
        <w:tc>
          <w:tcPr>
            <w:tcW w:w="4536" w:type="dxa"/>
          </w:tcPr>
          <w:p w:rsidR="00AE4097" w:rsidRPr="002A227B" w:rsidRDefault="00AE4097" w:rsidP="00176384">
            <w:pPr>
              <w:spacing w:line="360" w:lineRule="auto"/>
              <w:jc w:val="both"/>
              <w:rPr>
                <w:lang w:val="en-US"/>
              </w:rPr>
            </w:pPr>
            <w:r w:rsidRPr="002A227B">
              <w:rPr>
                <w:sz w:val="22"/>
                <w:szCs w:val="22"/>
                <w:lang w:val="en-US"/>
              </w:rPr>
              <w:t>Consumer Goods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KPN</w:t>
            </w:r>
          </w:p>
        </w:tc>
        <w:tc>
          <w:tcPr>
            <w:tcW w:w="4536" w:type="dxa"/>
          </w:tcPr>
          <w:p w:rsidR="00AE4097" w:rsidRPr="002A227B" w:rsidRDefault="00AE4097" w:rsidP="00176384">
            <w:pPr>
              <w:spacing w:line="360" w:lineRule="auto"/>
              <w:jc w:val="both"/>
              <w:rPr>
                <w:lang w:val="en-US"/>
              </w:rPr>
            </w:pPr>
            <w:r w:rsidRPr="002A227B">
              <w:rPr>
                <w:sz w:val="22"/>
                <w:szCs w:val="22"/>
                <w:lang w:val="en-US"/>
              </w:rPr>
              <w:t>Telecommunications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Philips</w:t>
            </w:r>
          </w:p>
        </w:tc>
        <w:tc>
          <w:tcPr>
            <w:tcW w:w="4536" w:type="dxa"/>
          </w:tcPr>
          <w:p w:rsidR="00AE4097" w:rsidRPr="002A227B" w:rsidRDefault="00AE4097" w:rsidP="00176384">
            <w:pPr>
              <w:spacing w:line="360" w:lineRule="auto"/>
              <w:jc w:val="both"/>
              <w:rPr>
                <w:lang w:val="en-US"/>
              </w:rPr>
            </w:pPr>
            <w:r w:rsidRPr="002A227B">
              <w:rPr>
                <w:sz w:val="22"/>
                <w:szCs w:val="22"/>
                <w:lang w:val="en-US"/>
              </w:rPr>
              <w:t>Consumer Goods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Randstad</w:t>
            </w:r>
          </w:p>
        </w:tc>
        <w:tc>
          <w:tcPr>
            <w:tcW w:w="4536" w:type="dxa"/>
          </w:tcPr>
          <w:p w:rsidR="00AE4097" w:rsidRPr="002A227B" w:rsidRDefault="00AE4097" w:rsidP="00176384">
            <w:pPr>
              <w:spacing w:line="360" w:lineRule="auto"/>
              <w:jc w:val="both"/>
              <w:rPr>
                <w:lang w:val="en-US"/>
              </w:rPr>
            </w:pPr>
            <w:r w:rsidRPr="002A227B">
              <w:rPr>
                <w:sz w:val="22"/>
                <w:szCs w:val="22"/>
                <w:lang w:val="en-US"/>
              </w:rPr>
              <w:t>Industrials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Reed Elsevier</w:t>
            </w:r>
          </w:p>
        </w:tc>
        <w:tc>
          <w:tcPr>
            <w:tcW w:w="4536" w:type="dxa"/>
          </w:tcPr>
          <w:p w:rsidR="00AE4097" w:rsidRPr="002A227B" w:rsidRDefault="00AE4097" w:rsidP="00176384">
            <w:pPr>
              <w:spacing w:line="360" w:lineRule="auto"/>
              <w:jc w:val="both"/>
              <w:rPr>
                <w:lang w:val="en-US"/>
              </w:rPr>
            </w:pPr>
            <w:r w:rsidRPr="002A227B">
              <w:rPr>
                <w:sz w:val="22"/>
                <w:szCs w:val="22"/>
                <w:lang w:val="en-US"/>
              </w:rPr>
              <w:t>Consumer Services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SBM Offshore</w:t>
            </w:r>
          </w:p>
        </w:tc>
        <w:tc>
          <w:tcPr>
            <w:tcW w:w="4536" w:type="dxa"/>
          </w:tcPr>
          <w:p w:rsidR="00AE4097" w:rsidRPr="002A227B" w:rsidRDefault="00AE4097" w:rsidP="00176384">
            <w:pPr>
              <w:spacing w:line="360" w:lineRule="auto"/>
              <w:jc w:val="both"/>
              <w:rPr>
                <w:lang w:val="en-US"/>
              </w:rPr>
            </w:pPr>
            <w:r w:rsidRPr="002A227B">
              <w:rPr>
                <w:sz w:val="22"/>
                <w:szCs w:val="22"/>
                <w:lang w:val="en-US"/>
              </w:rPr>
              <w:t>Oil and Gas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Shell</w:t>
            </w:r>
          </w:p>
        </w:tc>
        <w:tc>
          <w:tcPr>
            <w:tcW w:w="4536" w:type="dxa"/>
          </w:tcPr>
          <w:p w:rsidR="00AE4097" w:rsidRPr="002A227B" w:rsidRDefault="00AE4097" w:rsidP="00176384">
            <w:pPr>
              <w:spacing w:line="360" w:lineRule="auto"/>
              <w:jc w:val="both"/>
              <w:rPr>
                <w:lang w:val="en-US"/>
              </w:rPr>
            </w:pPr>
            <w:r w:rsidRPr="002A227B">
              <w:rPr>
                <w:sz w:val="22"/>
                <w:szCs w:val="22"/>
                <w:lang w:val="en-US"/>
              </w:rPr>
              <w:t>Oil and Gas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TNT</w:t>
            </w:r>
          </w:p>
        </w:tc>
        <w:tc>
          <w:tcPr>
            <w:tcW w:w="4536" w:type="dxa"/>
          </w:tcPr>
          <w:p w:rsidR="00AE4097" w:rsidRPr="002A227B" w:rsidRDefault="00AE4097" w:rsidP="00176384">
            <w:pPr>
              <w:spacing w:line="360" w:lineRule="auto"/>
              <w:jc w:val="both"/>
              <w:rPr>
                <w:lang w:val="en-US"/>
              </w:rPr>
            </w:pPr>
            <w:r w:rsidRPr="002A227B">
              <w:rPr>
                <w:sz w:val="22"/>
                <w:szCs w:val="22"/>
                <w:lang w:val="en-US"/>
              </w:rPr>
              <w:t>Industrials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Tomtom</w:t>
            </w:r>
          </w:p>
        </w:tc>
        <w:tc>
          <w:tcPr>
            <w:tcW w:w="4536" w:type="dxa"/>
          </w:tcPr>
          <w:p w:rsidR="00AE4097" w:rsidRPr="002A227B" w:rsidRDefault="00AE4097" w:rsidP="00176384">
            <w:pPr>
              <w:spacing w:line="360" w:lineRule="auto"/>
              <w:jc w:val="both"/>
              <w:rPr>
                <w:lang w:val="en-US"/>
              </w:rPr>
            </w:pPr>
            <w:r w:rsidRPr="002A227B">
              <w:rPr>
                <w:sz w:val="22"/>
                <w:szCs w:val="22"/>
                <w:lang w:val="en-US"/>
              </w:rPr>
              <w:t>Technology</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Unilever</w:t>
            </w:r>
          </w:p>
        </w:tc>
        <w:tc>
          <w:tcPr>
            <w:tcW w:w="4536" w:type="dxa"/>
          </w:tcPr>
          <w:p w:rsidR="00AE4097" w:rsidRPr="002A227B" w:rsidRDefault="00AE4097" w:rsidP="00176384">
            <w:pPr>
              <w:spacing w:line="360" w:lineRule="auto"/>
              <w:jc w:val="both"/>
              <w:rPr>
                <w:lang w:val="en-US"/>
              </w:rPr>
            </w:pPr>
            <w:r w:rsidRPr="002A227B">
              <w:rPr>
                <w:sz w:val="22"/>
                <w:szCs w:val="22"/>
                <w:lang w:val="en-US"/>
              </w:rPr>
              <w:t>Consumer Goods</w:t>
            </w:r>
          </w:p>
        </w:tc>
      </w:tr>
      <w:tr w:rsidR="00AE4097" w:rsidTr="00176384">
        <w:tc>
          <w:tcPr>
            <w:tcW w:w="4503" w:type="dxa"/>
          </w:tcPr>
          <w:p w:rsidR="00AE4097" w:rsidRPr="002A227B" w:rsidRDefault="00AE4097" w:rsidP="00176384">
            <w:pPr>
              <w:spacing w:line="360" w:lineRule="auto"/>
              <w:jc w:val="both"/>
              <w:rPr>
                <w:lang w:val="en-US"/>
              </w:rPr>
            </w:pPr>
            <w:r w:rsidRPr="002A227B">
              <w:rPr>
                <w:sz w:val="22"/>
                <w:szCs w:val="22"/>
                <w:lang w:val="en-US"/>
              </w:rPr>
              <w:t>Wolters Kluwer</w:t>
            </w:r>
          </w:p>
        </w:tc>
        <w:tc>
          <w:tcPr>
            <w:tcW w:w="4536" w:type="dxa"/>
          </w:tcPr>
          <w:p w:rsidR="00AE4097" w:rsidRPr="002A227B" w:rsidRDefault="00AE4097" w:rsidP="00176384">
            <w:pPr>
              <w:spacing w:line="360" w:lineRule="auto"/>
              <w:jc w:val="both"/>
              <w:rPr>
                <w:lang w:val="en-US"/>
              </w:rPr>
            </w:pPr>
            <w:r w:rsidRPr="002A227B">
              <w:rPr>
                <w:sz w:val="22"/>
                <w:szCs w:val="22"/>
                <w:lang w:val="en-US"/>
              </w:rPr>
              <w:t>Consumer Services</w:t>
            </w:r>
          </w:p>
        </w:tc>
      </w:tr>
    </w:tbl>
    <w:p w:rsidR="00AE4097" w:rsidRPr="002A227B" w:rsidRDefault="00AE4097" w:rsidP="00AE4097">
      <w:pPr>
        <w:autoSpaceDE w:val="0"/>
        <w:autoSpaceDN w:val="0"/>
        <w:adjustRightInd w:val="0"/>
        <w:spacing w:line="360" w:lineRule="auto"/>
        <w:jc w:val="both"/>
        <w:rPr>
          <w:sz w:val="20"/>
          <w:szCs w:val="20"/>
          <w:lang w:val="en-US"/>
        </w:rPr>
      </w:pPr>
      <w:r w:rsidRPr="002A227B">
        <w:rPr>
          <w:sz w:val="20"/>
          <w:szCs w:val="20"/>
          <w:lang w:val="en-US"/>
        </w:rPr>
        <w:t xml:space="preserve">Source: </w:t>
      </w:r>
      <w:hyperlink r:id="rId15" w:history="1">
        <w:r w:rsidRPr="002A227B">
          <w:rPr>
            <w:rStyle w:val="Hyperlink"/>
            <w:sz w:val="20"/>
            <w:szCs w:val="20"/>
            <w:lang w:val="en-US"/>
          </w:rPr>
          <w:t>www.euronext.com</w:t>
        </w:r>
      </w:hyperlink>
      <w:r w:rsidRPr="002A227B">
        <w:rPr>
          <w:sz w:val="20"/>
          <w:szCs w:val="20"/>
          <w:lang w:val="en-US"/>
        </w:rPr>
        <w:t xml:space="preserve"> and ICB </w:t>
      </w:r>
    </w:p>
    <w:p w:rsidR="00AE4097" w:rsidRDefault="00AE4097" w:rsidP="00AE4097">
      <w:pPr>
        <w:spacing w:after="200" w:line="276" w:lineRule="auto"/>
        <w:jc w:val="both"/>
        <w:rPr>
          <w:b/>
          <w:sz w:val="22"/>
          <w:szCs w:val="22"/>
          <w:lang w:val="en-US"/>
        </w:rPr>
      </w:pPr>
    </w:p>
    <w:p w:rsidR="00AE4097" w:rsidRDefault="00AE4097" w:rsidP="00AE4097">
      <w:pPr>
        <w:spacing w:after="200" w:line="276" w:lineRule="auto"/>
        <w:jc w:val="both"/>
        <w:rPr>
          <w:b/>
          <w:sz w:val="22"/>
          <w:szCs w:val="22"/>
          <w:lang w:val="en-US"/>
        </w:rPr>
      </w:pPr>
    </w:p>
    <w:p w:rsidR="00AE4097" w:rsidRDefault="00AE4097" w:rsidP="00AE4097">
      <w:pPr>
        <w:spacing w:after="200" w:line="276" w:lineRule="auto"/>
        <w:jc w:val="both"/>
        <w:rPr>
          <w:b/>
          <w:sz w:val="22"/>
          <w:szCs w:val="22"/>
          <w:lang w:val="en-US"/>
        </w:rPr>
      </w:pPr>
    </w:p>
    <w:p w:rsidR="00AE4097" w:rsidRDefault="00AE4097" w:rsidP="00AE4097">
      <w:pPr>
        <w:spacing w:after="200" w:line="276" w:lineRule="auto"/>
        <w:jc w:val="both"/>
        <w:rPr>
          <w:b/>
          <w:sz w:val="22"/>
          <w:szCs w:val="22"/>
          <w:lang w:val="en-US"/>
        </w:rPr>
      </w:pPr>
    </w:p>
    <w:p w:rsidR="00AE4097" w:rsidRDefault="00AE4097" w:rsidP="00AE4097">
      <w:pPr>
        <w:spacing w:after="200" w:line="276" w:lineRule="auto"/>
        <w:jc w:val="both"/>
        <w:rPr>
          <w:b/>
          <w:sz w:val="22"/>
          <w:szCs w:val="22"/>
          <w:lang w:val="en-US"/>
        </w:rPr>
      </w:pPr>
    </w:p>
    <w:p w:rsidR="00AE4097" w:rsidRDefault="00AE4097" w:rsidP="00AE4097">
      <w:pPr>
        <w:spacing w:after="200" w:line="276" w:lineRule="auto"/>
        <w:jc w:val="both"/>
        <w:rPr>
          <w:b/>
          <w:sz w:val="22"/>
          <w:szCs w:val="22"/>
          <w:lang w:val="en-US"/>
        </w:rPr>
      </w:pPr>
    </w:p>
    <w:p w:rsidR="00AE4097" w:rsidRDefault="00AE4097" w:rsidP="00AE4097">
      <w:pPr>
        <w:spacing w:after="200" w:line="276" w:lineRule="auto"/>
        <w:rPr>
          <w:sz w:val="22"/>
          <w:szCs w:val="22"/>
          <w:lang w:val="en-US"/>
        </w:rPr>
      </w:pPr>
      <w:r>
        <w:rPr>
          <w:b/>
          <w:sz w:val="22"/>
          <w:szCs w:val="22"/>
          <w:lang w:val="en-US"/>
        </w:rPr>
        <w:br w:type="page"/>
      </w:r>
      <w:r>
        <w:rPr>
          <w:b/>
          <w:lang w:val="en-US"/>
        </w:rPr>
        <w:lastRenderedPageBreak/>
        <w:t>Appendix III Decision rules for risk disclosures</w:t>
      </w:r>
    </w:p>
    <w:p w:rsidR="00AE4097" w:rsidRPr="00933B58" w:rsidRDefault="00AE4097" w:rsidP="00AE4097">
      <w:pPr>
        <w:spacing w:after="200" w:line="276" w:lineRule="auto"/>
        <w:rPr>
          <w:sz w:val="22"/>
          <w:szCs w:val="22"/>
          <w:lang w:val="en-US"/>
        </w:rPr>
      </w:pPr>
    </w:p>
    <w:p w:rsidR="00AE4097" w:rsidRPr="002A227B" w:rsidRDefault="00AE4097" w:rsidP="00AE4097">
      <w:pPr>
        <w:spacing w:line="360" w:lineRule="auto"/>
        <w:jc w:val="both"/>
        <w:rPr>
          <w:sz w:val="22"/>
          <w:szCs w:val="22"/>
          <w:lang w:val="en-US"/>
        </w:rPr>
      </w:pPr>
      <w:r w:rsidRPr="002A227B">
        <w:rPr>
          <w:sz w:val="22"/>
          <w:szCs w:val="22"/>
          <w:lang w:val="en-US"/>
        </w:rPr>
        <w:t>The following decision rules are based on the decision rules as described by Linsley and Shrives (2006a):</w:t>
      </w:r>
    </w:p>
    <w:p w:rsidR="00AE4097" w:rsidRPr="002A227B" w:rsidRDefault="00AE4097" w:rsidP="008C2ED0">
      <w:pPr>
        <w:pStyle w:val="ListParagraph"/>
        <w:numPr>
          <w:ilvl w:val="0"/>
          <w:numId w:val="9"/>
        </w:numPr>
        <w:spacing w:line="360" w:lineRule="auto"/>
        <w:ind w:left="567" w:hanging="567"/>
        <w:jc w:val="both"/>
        <w:rPr>
          <w:sz w:val="22"/>
          <w:szCs w:val="22"/>
          <w:lang w:val="en-US"/>
        </w:rPr>
      </w:pPr>
      <w:r w:rsidRPr="002A227B">
        <w:rPr>
          <w:sz w:val="22"/>
          <w:szCs w:val="22"/>
          <w:lang w:val="en-US"/>
        </w:rPr>
        <w:t>In order to identify risk disclosures a broad definition of risk has to be adopted as explained below. This indicates that the word ‘risk’ does not have to be included in the sentence.</w:t>
      </w:r>
    </w:p>
    <w:p w:rsidR="00AE4097" w:rsidRPr="002A227B" w:rsidRDefault="00AE4097" w:rsidP="008C2ED0">
      <w:pPr>
        <w:pStyle w:val="ListParagraph"/>
        <w:numPr>
          <w:ilvl w:val="0"/>
          <w:numId w:val="9"/>
        </w:numPr>
        <w:spacing w:line="360" w:lineRule="auto"/>
        <w:ind w:left="567" w:hanging="567"/>
        <w:jc w:val="both"/>
        <w:rPr>
          <w:sz w:val="22"/>
          <w:szCs w:val="22"/>
          <w:lang w:val="en-US"/>
        </w:rPr>
      </w:pPr>
      <w:r w:rsidRPr="002A227B">
        <w:rPr>
          <w:sz w:val="22"/>
          <w:szCs w:val="22"/>
          <w:lang w:val="en-US"/>
        </w:rPr>
        <w:t xml:space="preserve">Sentences are to be coded as risk disclosures, if the reader is informed of any opportunity or </w:t>
      </w:r>
    </w:p>
    <w:p w:rsidR="00AE4097" w:rsidRPr="002A227B" w:rsidRDefault="00AE4097" w:rsidP="00AE4097">
      <w:pPr>
        <w:spacing w:line="360" w:lineRule="auto"/>
        <w:ind w:left="567"/>
        <w:jc w:val="both"/>
        <w:rPr>
          <w:sz w:val="22"/>
          <w:szCs w:val="22"/>
          <w:lang w:val="en-US"/>
        </w:rPr>
      </w:pPr>
      <w:r w:rsidRPr="002A227B">
        <w:rPr>
          <w:sz w:val="22"/>
          <w:szCs w:val="22"/>
          <w:lang w:val="en-US"/>
        </w:rPr>
        <w:t xml:space="preserve">prospect, or of any hazard, danger, harm or exposure, that has already impacted upon the company or may impact upon the company in the future or of the management of any such opportunity, prospect, hazard, harm, threat or exposure. </w:t>
      </w:r>
    </w:p>
    <w:p w:rsidR="00AE4097" w:rsidRPr="002A227B" w:rsidRDefault="00AE4097" w:rsidP="008C2ED0">
      <w:pPr>
        <w:pStyle w:val="ListParagraph"/>
        <w:numPr>
          <w:ilvl w:val="0"/>
          <w:numId w:val="9"/>
        </w:numPr>
        <w:spacing w:line="360" w:lineRule="auto"/>
        <w:ind w:left="567" w:hanging="567"/>
        <w:jc w:val="both"/>
        <w:rPr>
          <w:sz w:val="22"/>
          <w:szCs w:val="22"/>
          <w:lang w:val="en-US"/>
        </w:rPr>
      </w:pPr>
      <w:r w:rsidRPr="002A227B">
        <w:rPr>
          <w:sz w:val="22"/>
          <w:szCs w:val="22"/>
          <w:lang w:val="en-US"/>
        </w:rPr>
        <w:t>The risk definition just stated shall be interpreted such that ‘good’ and ‘bad’ ‘risks’ and ‘uncertainties’ will be deemed to be contained within the definition.</w:t>
      </w:r>
    </w:p>
    <w:p w:rsidR="00AE4097" w:rsidRPr="002A227B" w:rsidRDefault="00AE4097" w:rsidP="008C2ED0">
      <w:pPr>
        <w:pStyle w:val="ListParagraph"/>
        <w:numPr>
          <w:ilvl w:val="0"/>
          <w:numId w:val="9"/>
        </w:numPr>
        <w:spacing w:line="360" w:lineRule="auto"/>
        <w:ind w:left="567" w:hanging="567"/>
        <w:jc w:val="both"/>
        <w:rPr>
          <w:sz w:val="22"/>
          <w:szCs w:val="22"/>
          <w:lang w:val="en-US"/>
        </w:rPr>
      </w:pPr>
      <w:r w:rsidRPr="002A227B">
        <w:rPr>
          <w:sz w:val="22"/>
          <w:szCs w:val="22"/>
          <w:lang w:val="en-US"/>
        </w:rPr>
        <w:t>Although the definition of risk is broad, disclosures must be specially stated; they cannot be implied, they have to be mentioned explicitly.</w:t>
      </w:r>
    </w:p>
    <w:p w:rsidR="00AE4097" w:rsidRPr="002A227B" w:rsidRDefault="00AE4097" w:rsidP="008C2ED0">
      <w:pPr>
        <w:pStyle w:val="ListParagraph"/>
        <w:numPr>
          <w:ilvl w:val="0"/>
          <w:numId w:val="9"/>
        </w:numPr>
        <w:spacing w:line="360" w:lineRule="auto"/>
        <w:ind w:left="567" w:hanging="567"/>
        <w:jc w:val="both"/>
        <w:rPr>
          <w:sz w:val="22"/>
          <w:szCs w:val="22"/>
          <w:lang w:val="en-US"/>
        </w:rPr>
      </w:pPr>
      <w:r w:rsidRPr="002A227B">
        <w:rPr>
          <w:sz w:val="22"/>
          <w:szCs w:val="22"/>
          <w:lang w:val="en-US"/>
        </w:rPr>
        <w:t>The risk disclosures shall be classified according to the risk categories as mention in Appendix V.</w:t>
      </w:r>
    </w:p>
    <w:p w:rsidR="00AE4097" w:rsidRPr="002A227B" w:rsidRDefault="00AE4097" w:rsidP="008C2ED0">
      <w:pPr>
        <w:pStyle w:val="ListParagraph"/>
        <w:numPr>
          <w:ilvl w:val="0"/>
          <w:numId w:val="9"/>
        </w:numPr>
        <w:spacing w:line="360" w:lineRule="auto"/>
        <w:ind w:left="567" w:hanging="567"/>
        <w:jc w:val="both"/>
        <w:rPr>
          <w:sz w:val="22"/>
          <w:szCs w:val="22"/>
          <w:lang w:val="en-US"/>
        </w:rPr>
      </w:pPr>
      <w:r w:rsidRPr="002A227B">
        <w:rPr>
          <w:sz w:val="22"/>
          <w:szCs w:val="22"/>
          <w:lang w:val="en-US"/>
        </w:rPr>
        <w:t>If a sentence has more than one possible classification, the information will be classified into the category that is most emphasized within the sentence.</w:t>
      </w:r>
    </w:p>
    <w:p w:rsidR="00AE4097" w:rsidRPr="002A227B" w:rsidRDefault="00AE4097" w:rsidP="008C2ED0">
      <w:pPr>
        <w:pStyle w:val="ListParagraph"/>
        <w:numPr>
          <w:ilvl w:val="0"/>
          <w:numId w:val="9"/>
        </w:numPr>
        <w:spacing w:line="360" w:lineRule="auto"/>
        <w:ind w:left="567" w:hanging="567"/>
        <w:jc w:val="both"/>
        <w:rPr>
          <w:sz w:val="22"/>
          <w:szCs w:val="22"/>
          <w:lang w:val="en-US"/>
        </w:rPr>
      </w:pPr>
      <w:r w:rsidRPr="002A227B">
        <w:rPr>
          <w:sz w:val="22"/>
          <w:szCs w:val="22"/>
          <w:lang w:val="en-US"/>
        </w:rPr>
        <w:t>Tables that provide risk information should be interpreted as one line equals one sentence and classified accordingly.</w:t>
      </w:r>
    </w:p>
    <w:p w:rsidR="00AE4097" w:rsidRPr="002A227B" w:rsidRDefault="00AE4097" w:rsidP="008C2ED0">
      <w:pPr>
        <w:pStyle w:val="ListParagraph"/>
        <w:numPr>
          <w:ilvl w:val="0"/>
          <w:numId w:val="9"/>
        </w:numPr>
        <w:spacing w:line="360" w:lineRule="auto"/>
        <w:ind w:left="567" w:hanging="567"/>
        <w:jc w:val="both"/>
        <w:rPr>
          <w:sz w:val="22"/>
          <w:szCs w:val="22"/>
          <w:lang w:val="en-US"/>
        </w:rPr>
      </w:pPr>
      <w:r w:rsidRPr="002A227B">
        <w:rPr>
          <w:sz w:val="22"/>
          <w:szCs w:val="22"/>
          <w:lang w:val="en-US"/>
        </w:rPr>
        <w:t xml:space="preserve">Risk-related items in the financial statements will not be examined. This is done from a practical point of view; the limited time available for this study. </w:t>
      </w:r>
    </w:p>
    <w:p w:rsidR="00AE4097" w:rsidRPr="002A227B" w:rsidRDefault="00AE4097" w:rsidP="008C2ED0">
      <w:pPr>
        <w:pStyle w:val="ListParagraph"/>
        <w:numPr>
          <w:ilvl w:val="0"/>
          <w:numId w:val="9"/>
        </w:numPr>
        <w:spacing w:line="360" w:lineRule="auto"/>
        <w:ind w:left="567" w:hanging="567"/>
        <w:jc w:val="both"/>
        <w:rPr>
          <w:sz w:val="22"/>
          <w:szCs w:val="22"/>
          <w:lang w:val="en-US"/>
        </w:rPr>
      </w:pPr>
      <w:r w:rsidRPr="002A227B">
        <w:rPr>
          <w:sz w:val="22"/>
          <w:szCs w:val="22"/>
          <w:lang w:val="en-US"/>
        </w:rPr>
        <w:t>Any disclosure that is repeated shall be recorded as a risk disclosure sentence each time it is discussed.</w:t>
      </w:r>
    </w:p>
    <w:p w:rsidR="00AE4097" w:rsidRPr="002A227B" w:rsidRDefault="00AE4097" w:rsidP="008C2ED0">
      <w:pPr>
        <w:pStyle w:val="ListParagraph"/>
        <w:numPr>
          <w:ilvl w:val="0"/>
          <w:numId w:val="9"/>
        </w:numPr>
        <w:spacing w:line="360" w:lineRule="auto"/>
        <w:ind w:left="567" w:hanging="567"/>
        <w:jc w:val="both"/>
        <w:rPr>
          <w:sz w:val="22"/>
          <w:szCs w:val="22"/>
          <w:lang w:val="en-US"/>
        </w:rPr>
      </w:pPr>
      <w:r w:rsidRPr="002A227B">
        <w:rPr>
          <w:sz w:val="22"/>
          <w:szCs w:val="22"/>
          <w:lang w:val="en-US"/>
        </w:rPr>
        <w:t>If a disclosure is too vague in its reference to risk, then it shall not be recorded as a risk disclosure.</w:t>
      </w:r>
    </w:p>
    <w:p w:rsidR="00AE4097" w:rsidRDefault="00AE4097" w:rsidP="00AE4097">
      <w:pPr>
        <w:spacing w:after="200" w:line="276" w:lineRule="auto"/>
        <w:jc w:val="both"/>
        <w:rPr>
          <w:b/>
          <w:lang w:val="en-US"/>
        </w:rPr>
      </w:pPr>
    </w:p>
    <w:p w:rsidR="00AE4097" w:rsidRDefault="00AE4097" w:rsidP="00AE4097">
      <w:pPr>
        <w:spacing w:after="200" w:line="276" w:lineRule="auto"/>
        <w:jc w:val="both"/>
        <w:rPr>
          <w:b/>
          <w:lang w:val="en-US"/>
        </w:rPr>
      </w:pPr>
    </w:p>
    <w:p w:rsidR="00AE4097" w:rsidRDefault="00AE4097" w:rsidP="00AE4097">
      <w:pPr>
        <w:spacing w:after="200" w:line="276" w:lineRule="auto"/>
        <w:rPr>
          <w:lang w:val="en-US"/>
        </w:rPr>
      </w:pPr>
      <w:r>
        <w:rPr>
          <w:b/>
          <w:lang w:val="en-US"/>
        </w:rPr>
        <w:br w:type="page"/>
      </w:r>
      <w:r>
        <w:rPr>
          <w:b/>
          <w:lang w:val="en-US"/>
        </w:rPr>
        <w:lastRenderedPageBreak/>
        <w:t>Appendix IV Risk disclosure categories</w:t>
      </w:r>
    </w:p>
    <w:p w:rsidR="00AE4097" w:rsidRDefault="00AE4097" w:rsidP="00AE4097">
      <w:pPr>
        <w:pBdr>
          <w:bottom w:val="single" w:sz="4" w:space="1" w:color="auto"/>
        </w:pBdr>
        <w:autoSpaceDE w:val="0"/>
        <w:autoSpaceDN w:val="0"/>
        <w:adjustRightInd w:val="0"/>
        <w:spacing w:line="360" w:lineRule="auto"/>
        <w:jc w:val="both"/>
        <w:rPr>
          <w:b/>
          <w:sz w:val="22"/>
          <w:szCs w:val="22"/>
          <w:lang w:val="en-US"/>
        </w:rPr>
      </w:pPr>
    </w:p>
    <w:p w:rsidR="00AE4097" w:rsidRDefault="00AE4097" w:rsidP="00AE4097">
      <w:pPr>
        <w:autoSpaceDE w:val="0"/>
        <w:autoSpaceDN w:val="0"/>
        <w:adjustRightInd w:val="0"/>
        <w:jc w:val="both"/>
        <w:rPr>
          <w:sz w:val="20"/>
          <w:szCs w:val="20"/>
          <w:lang w:val="en-US" w:eastAsia="en-US"/>
        </w:rPr>
      </w:pPr>
      <w:r>
        <w:rPr>
          <w:i/>
          <w:sz w:val="20"/>
          <w:szCs w:val="20"/>
          <w:lang w:val="en-US"/>
        </w:rPr>
        <w:t>Financial Risk</w:t>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rPr>
        <w:tab/>
      </w:r>
      <w:r>
        <w:rPr>
          <w:sz w:val="20"/>
          <w:szCs w:val="20"/>
          <w:lang w:val="en-US" w:eastAsia="en-US"/>
        </w:rPr>
        <w:t>Interest rate</w:t>
      </w:r>
    </w:p>
    <w:p w:rsidR="00AE4097" w:rsidRDefault="00AE4097" w:rsidP="00AE4097">
      <w:pPr>
        <w:autoSpaceDE w:val="0"/>
        <w:autoSpaceDN w:val="0"/>
        <w:adjustRightInd w:val="0"/>
        <w:ind w:left="4536" w:firstLine="567"/>
        <w:jc w:val="both"/>
        <w:rPr>
          <w:sz w:val="20"/>
          <w:szCs w:val="20"/>
          <w:lang w:val="en-US" w:eastAsia="en-US"/>
        </w:rPr>
      </w:pPr>
      <w:r>
        <w:rPr>
          <w:sz w:val="20"/>
          <w:szCs w:val="20"/>
          <w:lang w:val="en-US" w:eastAsia="en-US"/>
        </w:rPr>
        <w:t>Exchange rate</w:t>
      </w:r>
    </w:p>
    <w:p w:rsidR="00AE4097" w:rsidRDefault="00AE4097" w:rsidP="00AE4097">
      <w:pPr>
        <w:autoSpaceDE w:val="0"/>
        <w:autoSpaceDN w:val="0"/>
        <w:adjustRightInd w:val="0"/>
        <w:ind w:left="4536" w:firstLine="567"/>
        <w:jc w:val="both"/>
        <w:rPr>
          <w:sz w:val="20"/>
          <w:szCs w:val="20"/>
          <w:lang w:val="en-US" w:eastAsia="en-US"/>
        </w:rPr>
      </w:pPr>
      <w:r>
        <w:rPr>
          <w:sz w:val="20"/>
          <w:szCs w:val="20"/>
          <w:lang w:val="en-US" w:eastAsia="en-US"/>
        </w:rPr>
        <w:t>Commodity</w:t>
      </w:r>
    </w:p>
    <w:p w:rsidR="00AE4097" w:rsidRDefault="00AE4097" w:rsidP="00AE4097">
      <w:pPr>
        <w:autoSpaceDE w:val="0"/>
        <w:autoSpaceDN w:val="0"/>
        <w:adjustRightInd w:val="0"/>
        <w:ind w:left="4536" w:firstLine="567"/>
        <w:jc w:val="both"/>
        <w:rPr>
          <w:sz w:val="20"/>
          <w:szCs w:val="20"/>
          <w:lang w:val="en-US" w:eastAsia="en-US"/>
        </w:rPr>
      </w:pPr>
      <w:r>
        <w:rPr>
          <w:sz w:val="20"/>
          <w:szCs w:val="20"/>
          <w:lang w:val="en-US" w:eastAsia="en-US"/>
        </w:rPr>
        <w:t>Liquidity</w:t>
      </w:r>
    </w:p>
    <w:p w:rsidR="00AE4097" w:rsidRDefault="00AE4097" w:rsidP="00AE4097">
      <w:pPr>
        <w:autoSpaceDE w:val="0"/>
        <w:autoSpaceDN w:val="0"/>
        <w:adjustRightInd w:val="0"/>
        <w:ind w:left="4536" w:firstLine="567"/>
        <w:jc w:val="both"/>
        <w:rPr>
          <w:sz w:val="20"/>
          <w:szCs w:val="20"/>
          <w:lang w:val="en-US" w:eastAsia="en-US"/>
        </w:rPr>
      </w:pPr>
      <w:r>
        <w:rPr>
          <w:sz w:val="20"/>
          <w:szCs w:val="20"/>
          <w:lang w:val="en-US" w:eastAsia="en-US"/>
        </w:rPr>
        <w:t>Credit</w:t>
      </w:r>
    </w:p>
    <w:p w:rsidR="00AE4097" w:rsidRDefault="00AE4097" w:rsidP="00AE4097">
      <w:pPr>
        <w:autoSpaceDE w:val="0"/>
        <w:autoSpaceDN w:val="0"/>
        <w:adjustRightInd w:val="0"/>
        <w:ind w:left="4536" w:firstLine="567"/>
        <w:jc w:val="both"/>
        <w:rPr>
          <w:i/>
          <w:sz w:val="20"/>
          <w:szCs w:val="20"/>
          <w:lang w:val="en-US" w:eastAsia="en-US"/>
        </w:rPr>
      </w:pPr>
    </w:p>
    <w:p w:rsidR="00AE4097" w:rsidRDefault="00AE4097" w:rsidP="00AE4097">
      <w:pPr>
        <w:autoSpaceDE w:val="0"/>
        <w:autoSpaceDN w:val="0"/>
        <w:adjustRightInd w:val="0"/>
        <w:jc w:val="both"/>
        <w:rPr>
          <w:i/>
          <w:sz w:val="20"/>
          <w:szCs w:val="20"/>
          <w:lang w:val="en-US" w:eastAsia="en-US"/>
        </w:rPr>
      </w:pPr>
    </w:p>
    <w:p w:rsidR="00AE4097" w:rsidRDefault="00AE4097" w:rsidP="00AE4097">
      <w:pPr>
        <w:autoSpaceDE w:val="0"/>
        <w:autoSpaceDN w:val="0"/>
        <w:adjustRightInd w:val="0"/>
        <w:jc w:val="both"/>
        <w:rPr>
          <w:sz w:val="20"/>
          <w:szCs w:val="20"/>
          <w:lang w:val="en-US" w:eastAsia="en-US"/>
        </w:rPr>
      </w:pPr>
      <w:r>
        <w:rPr>
          <w:i/>
          <w:sz w:val="20"/>
          <w:szCs w:val="20"/>
          <w:lang w:val="en-US" w:eastAsia="en-US"/>
        </w:rPr>
        <w:t>Operations risk</w:t>
      </w:r>
      <w:r>
        <w:rPr>
          <w:i/>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t>Customer satisfaction</w:t>
      </w:r>
    </w:p>
    <w:p w:rsidR="00AE4097" w:rsidRDefault="00AE4097" w:rsidP="00AE4097">
      <w:pPr>
        <w:autoSpaceDE w:val="0"/>
        <w:autoSpaceDN w:val="0"/>
        <w:adjustRightInd w:val="0"/>
        <w:ind w:left="4536" w:firstLine="567"/>
        <w:jc w:val="both"/>
        <w:rPr>
          <w:sz w:val="20"/>
          <w:szCs w:val="20"/>
          <w:lang w:val="en-US" w:eastAsia="en-US"/>
        </w:rPr>
      </w:pPr>
      <w:r>
        <w:rPr>
          <w:sz w:val="20"/>
          <w:szCs w:val="20"/>
          <w:lang w:val="en-US" w:eastAsia="en-US"/>
        </w:rPr>
        <w:t>Product development</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Efficiency and performance</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Sourcing</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Stock obsolescence and shrinkage</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Product and service failure</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Environment</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Health and safety</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Brand name erosion</w:t>
      </w:r>
    </w:p>
    <w:p w:rsidR="00AE4097" w:rsidRDefault="00AE4097" w:rsidP="00AE4097">
      <w:pPr>
        <w:autoSpaceDE w:val="0"/>
        <w:autoSpaceDN w:val="0"/>
        <w:adjustRightInd w:val="0"/>
        <w:ind w:left="5103"/>
        <w:jc w:val="both"/>
        <w:rPr>
          <w:sz w:val="20"/>
          <w:szCs w:val="20"/>
          <w:lang w:val="en-US" w:eastAsia="en-US"/>
        </w:rPr>
      </w:pPr>
    </w:p>
    <w:p w:rsidR="00AE4097" w:rsidRDefault="00AE4097" w:rsidP="00AE4097">
      <w:pPr>
        <w:autoSpaceDE w:val="0"/>
        <w:autoSpaceDN w:val="0"/>
        <w:adjustRightInd w:val="0"/>
        <w:ind w:left="5103"/>
        <w:jc w:val="both"/>
        <w:rPr>
          <w:sz w:val="20"/>
          <w:szCs w:val="20"/>
          <w:lang w:val="en-US" w:eastAsia="en-US"/>
        </w:rPr>
      </w:pPr>
    </w:p>
    <w:p w:rsidR="00AE4097" w:rsidRDefault="00AE4097" w:rsidP="00AE4097">
      <w:pPr>
        <w:autoSpaceDE w:val="0"/>
        <w:autoSpaceDN w:val="0"/>
        <w:adjustRightInd w:val="0"/>
        <w:jc w:val="both"/>
        <w:rPr>
          <w:sz w:val="20"/>
          <w:szCs w:val="20"/>
          <w:lang w:val="en-US" w:eastAsia="en-US"/>
        </w:rPr>
      </w:pPr>
      <w:r>
        <w:rPr>
          <w:i/>
          <w:sz w:val="20"/>
          <w:szCs w:val="20"/>
          <w:lang w:val="en-US" w:eastAsia="en-US"/>
        </w:rPr>
        <w:t>Empowerment risk</w:t>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t>Leadership and management</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Outsourcing</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Performance incentives</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Change readiness</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Communications</w:t>
      </w:r>
    </w:p>
    <w:p w:rsidR="00AE4097" w:rsidRDefault="00AE4097" w:rsidP="00AE4097">
      <w:pPr>
        <w:autoSpaceDE w:val="0"/>
        <w:autoSpaceDN w:val="0"/>
        <w:adjustRightInd w:val="0"/>
        <w:jc w:val="both"/>
        <w:rPr>
          <w:sz w:val="20"/>
          <w:szCs w:val="20"/>
          <w:lang w:val="en-US" w:eastAsia="en-US"/>
        </w:rPr>
      </w:pPr>
    </w:p>
    <w:p w:rsidR="00AE4097" w:rsidRDefault="00AE4097" w:rsidP="00AE4097">
      <w:pPr>
        <w:autoSpaceDE w:val="0"/>
        <w:autoSpaceDN w:val="0"/>
        <w:adjustRightInd w:val="0"/>
        <w:jc w:val="both"/>
        <w:rPr>
          <w:i/>
          <w:sz w:val="20"/>
          <w:szCs w:val="20"/>
          <w:lang w:val="en-US" w:eastAsia="en-US"/>
        </w:rPr>
      </w:pPr>
    </w:p>
    <w:p w:rsidR="00AE4097" w:rsidRDefault="00AE4097" w:rsidP="00AE4097">
      <w:pPr>
        <w:autoSpaceDE w:val="0"/>
        <w:autoSpaceDN w:val="0"/>
        <w:adjustRightInd w:val="0"/>
        <w:jc w:val="both"/>
        <w:rPr>
          <w:sz w:val="20"/>
          <w:szCs w:val="20"/>
          <w:lang w:val="en-US" w:eastAsia="en-US"/>
        </w:rPr>
      </w:pPr>
      <w:r>
        <w:rPr>
          <w:i/>
          <w:sz w:val="20"/>
          <w:szCs w:val="20"/>
          <w:lang w:val="en-US" w:eastAsia="en-US"/>
        </w:rPr>
        <w:t>Information processing and technology risk</w:t>
      </w:r>
      <w:r>
        <w:rPr>
          <w:i/>
          <w:sz w:val="20"/>
          <w:szCs w:val="20"/>
          <w:lang w:val="en-US" w:eastAsia="en-US"/>
        </w:rPr>
        <w:tab/>
      </w:r>
      <w:r>
        <w:rPr>
          <w:sz w:val="20"/>
          <w:szCs w:val="20"/>
          <w:lang w:val="en-US" w:eastAsia="en-US"/>
        </w:rPr>
        <w:tab/>
      </w:r>
      <w:r>
        <w:rPr>
          <w:sz w:val="20"/>
          <w:szCs w:val="20"/>
          <w:lang w:val="en-US" w:eastAsia="en-US"/>
        </w:rPr>
        <w:tab/>
        <w:t>Integrity</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Access</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Availability</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Infrastructure</w:t>
      </w:r>
    </w:p>
    <w:p w:rsidR="00AE4097" w:rsidRDefault="00AE4097" w:rsidP="00AE4097">
      <w:pPr>
        <w:autoSpaceDE w:val="0"/>
        <w:autoSpaceDN w:val="0"/>
        <w:adjustRightInd w:val="0"/>
        <w:jc w:val="both"/>
        <w:rPr>
          <w:sz w:val="20"/>
          <w:szCs w:val="20"/>
          <w:lang w:val="en-US" w:eastAsia="en-US"/>
        </w:rPr>
      </w:pPr>
    </w:p>
    <w:p w:rsidR="00AE4097" w:rsidRDefault="00AE4097" w:rsidP="00AE4097">
      <w:pPr>
        <w:autoSpaceDE w:val="0"/>
        <w:autoSpaceDN w:val="0"/>
        <w:adjustRightInd w:val="0"/>
        <w:jc w:val="both"/>
        <w:rPr>
          <w:sz w:val="20"/>
          <w:szCs w:val="20"/>
          <w:lang w:val="en-US" w:eastAsia="en-US"/>
        </w:rPr>
      </w:pPr>
    </w:p>
    <w:p w:rsidR="00AE4097" w:rsidRDefault="00AE4097" w:rsidP="00AE4097">
      <w:pPr>
        <w:autoSpaceDE w:val="0"/>
        <w:autoSpaceDN w:val="0"/>
        <w:adjustRightInd w:val="0"/>
        <w:jc w:val="both"/>
        <w:rPr>
          <w:sz w:val="20"/>
          <w:szCs w:val="20"/>
          <w:lang w:val="en-US" w:eastAsia="en-US"/>
        </w:rPr>
      </w:pPr>
      <w:r>
        <w:rPr>
          <w:i/>
          <w:sz w:val="20"/>
          <w:szCs w:val="20"/>
          <w:lang w:val="en-US" w:eastAsia="en-US"/>
        </w:rPr>
        <w:t>Integrity risk</w:t>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t>Management and employee fraud</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Illegal acts</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Reputation</w:t>
      </w:r>
    </w:p>
    <w:p w:rsidR="00AE4097" w:rsidRDefault="00AE4097" w:rsidP="00AE4097">
      <w:pPr>
        <w:autoSpaceDE w:val="0"/>
        <w:autoSpaceDN w:val="0"/>
        <w:adjustRightInd w:val="0"/>
        <w:jc w:val="both"/>
        <w:rPr>
          <w:sz w:val="20"/>
          <w:szCs w:val="20"/>
          <w:lang w:val="en-US" w:eastAsia="en-US"/>
        </w:rPr>
      </w:pPr>
    </w:p>
    <w:p w:rsidR="00AE4097" w:rsidRDefault="00AE4097" w:rsidP="00AE4097">
      <w:pPr>
        <w:autoSpaceDE w:val="0"/>
        <w:autoSpaceDN w:val="0"/>
        <w:adjustRightInd w:val="0"/>
        <w:jc w:val="both"/>
        <w:rPr>
          <w:sz w:val="20"/>
          <w:szCs w:val="20"/>
          <w:lang w:val="en-US" w:eastAsia="en-US"/>
        </w:rPr>
      </w:pPr>
    </w:p>
    <w:p w:rsidR="00AE4097" w:rsidRDefault="00AE4097" w:rsidP="00AE4097">
      <w:pPr>
        <w:autoSpaceDE w:val="0"/>
        <w:autoSpaceDN w:val="0"/>
        <w:adjustRightInd w:val="0"/>
        <w:jc w:val="both"/>
        <w:rPr>
          <w:sz w:val="20"/>
          <w:szCs w:val="20"/>
          <w:lang w:val="en-US" w:eastAsia="en-US"/>
        </w:rPr>
      </w:pPr>
      <w:r>
        <w:rPr>
          <w:i/>
          <w:sz w:val="20"/>
          <w:szCs w:val="20"/>
          <w:lang w:val="en-US" w:eastAsia="en-US"/>
        </w:rPr>
        <w:t>Strategic risk</w:t>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r>
      <w:r>
        <w:rPr>
          <w:sz w:val="20"/>
          <w:szCs w:val="20"/>
          <w:lang w:val="en-US" w:eastAsia="en-US"/>
        </w:rPr>
        <w:tab/>
        <w:t>Environmental scan</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Industry</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Business portfolio</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Competitors</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Pricing</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Valuation</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Planning</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Life cycle</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Performance measurement</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Regulatory</w:t>
      </w:r>
    </w:p>
    <w:p w:rsidR="00AE4097" w:rsidRDefault="00AE4097" w:rsidP="00AE4097">
      <w:pPr>
        <w:autoSpaceDE w:val="0"/>
        <w:autoSpaceDN w:val="0"/>
        <w:adjustRightInd w:val="0"/>
        <w:ind w:left="5103"/>
        <w:jc w:val="both"/>
        <w:rPr>
          <w:sz w:val="20"/>
          <w:szCs w:val="20"/>
          <w:lang w:val="en-US" w:eastAsia="en-US"/>
        </w:rPr>
      </w:pPr>
      <w:r>
        <w:rPr>
          <w:sz w:val="20"/>
          <w:szCs w:val="20"/>
          <w:lang w:val="en-US" w:eastAsia="en-US"/>
        </w:rPr>
        <w:t>Sovereign and political</w:t>
      </w:r>
    </w:p>
    <w:p w:rsidR="00AE4097" w:rsidRDefault="00AE4097" w:rsidP="00AE4097">
      <w:pPr>
        <w:pBdr>
          <w:top w:val="single" w:sz="4" w:space="0" w:color="auto"/>
        </w:pBdr>
        <w:spacing w:line="360" w:lineRule="auto"/>
        <w:jc w:val="both"/>
        <w:rPr>
          <w:sz w:val="20"/>
          <w:szCs w:val="22"/>
          <w:lang w:val="en-US"/>
        </w:rPr>
      </w:pPr>
      <w:r>
        <w:rPr>
          <w:sz w:val="20"/>
          <w:szCs w:val="22"/>
          <w:lang w:val="en-US"/>
        </w:rPr>
        <w:t>Source: Linsley and Shrives (2006a)</w:t>
      </w:r>
    </w:p>
    <w:p w:rsidR="00AE4097" w:rsidRDefault="00AE4097" w:rsidP="00AE4097">
      <w:pPr>
        <w:spacing w:line="360" w:lineRule="auto"/>
        <w:jc w:val="both"/>
        <w:rPr>
          <w:b/>
          <w:sz w:val="22"/>
          <w:szCs w:val="22"/>
          <w:lang w:val="en-US"/>
        </w:rPr>
      </w:pPr>
    </w:p>
    <w:p w:rsidR="00AE4097" w:rsidRDefault="00AE4097" w:rsidP="00AE4097">
      <w:pPr>
        <w:spacing w:after="200" w:line="276" w:lineRule="auto"/>
        <w:rPr>
          <w:b/>
          <w:sz w:val="22"/>
          <w:szCs w:val="22"/>
          <w:lang w:val="en-US" w:eastAsia="en-US"/>
        </w:rPr>
        <w:sectPr w:rsidR="00AE4097">
          <w:type w:val="nextColumn"/>
          <w:pgSz w:w="11906" w:h="16838"/>
          <w:pgMar w:top="1418" w:right="1418" w:bottom="1418" w:left="1418" w:header="709" w:footer="709" w:gutter="0"/>
          <w:cols w:space="720"/>
          <w:titlePg/>
          <w:docGrid w:linePitch="360"/>
        </w:sectPr>
      </w:pPr>
    </w:p>
    <w:p w:rsidR="00AE4097" w:rsidRDefault="00AE4097" w:rsidP="00AE4097">
      <w:pPr>
        <w:tabs>
          <w:tab w:val="left" w:pos="4678"/>
        </w:tabs>
        <w:autoSpaceDE w:val="0"/>
        <w:autoSpaceDN w:val="0"/>
        <w:adjustRightInd w:val="0"/>
        <w:jc w:val="both"/>
        <w:rPr>
          <w:b/>
          <w:lang w:val="en-US" w:eastAsia="en-US"/>
        </w:rPr>
      </w:pPr>
      <w:r>
        <w:rPr>
          <w:b/>
          <w:lang w:val="en-US" w:eastAsia="en-US"/>
        </w:rPr>
        <w:lastRenderedPageBreak/>
        <w:t>Appendix V Risk disclosure index</w:t>
      </w:r>
    </w:p>
    <w:p w:rsidR="00AE4097" w:rsidRDefault="00AE4097" w:rsidP="00AE4097">
      <w:pPr>
        <w:tabs>
          <w:tab w:val="left" w:pos="4678"/>
        </w:tabs>
        <w:autoSpaceDE w:val="0"/>
        <w:autoSpaceDN w:val="0"/>
        <w:adjustRightInd w:val="0"/>
        <w:jc w:val="both"/>
        <w:rPr>
          <w:b/>
          <w:lang w:val="en-US" w:eastAsia="en-US"/>
        </w:rPr>
      </w:pPr>
    </w:p>
    <w:tbl>
      <w:tblPr>
        <w:tblW w:w="13433" w:type="dxa"/>
        <w:tblInd w:w="56" w:type="dxa"/>
        <w:tblCellMar>
          <w:left w:w="70" w:type="dxa"/>
          <w:right w:w="70" w:type="dxa"/>
        </w:tblCellMar>
        <w:tblLook w:val="04A0"/>
      </w:tblPr>
      <w:tblGrid>
        <w:gridCol w:w="2343"/>
        <w:gridCol w:w="3286"/>
        <w:gridCol w:w="250"/>
        <w:gridCol w:w="2572"/>
        <w:gridCol w:w="250"/>
        <w:gridCol w:w="2572"/>
        <w:gridCol w:w="250"/>
        <w:gridCol w:w="1910"/>
      </w:tblGrid>
      <w:tr w:rsidR="00AE4097" w:rsidTr="00176384">
        <w:trPr>
          <w:trHeight w:val="359"/>
        </w:trPr>
        <w:tc>
          <w:tcPr>
            <w:tcW w:w="2343" w:type="dxa"/>
            <w:tcBorders>
              <w:top w:val="nil"/>
              <w:left w:val="nil"/>
              <w:bottom w:val="nil"/>
              <w:right w:val="nil"/>
            </w:tcBorders>
            <w:noWrap/>
            <w:vAlign w:val="bottom"/>
          </w:tcPr>
          <w:p w:rsidR="00AE4097" w:rsidRDefault="00AE4097" w:rsidP="00176384">
            <w:pPr>
              <w:ind w:right="-87"/>
              <w:rPr>
                <w:bCs/>
                <w:color w:val="000000"/>
                <w:lang w:val="en-US"/>
              </w:rPr>
            </w:pPr>
            <w:r>
              <w:rPr>
                <w:bCs/>
                <w:i/>
                <w:color w:val="000000"/>
                <w:sz w:val="22"/>
                <w:szCs w:val="22"/>
                <w:lang w:val="en-US"/>
              </w:rPr>
              <w:t>Company</w:t>
            </w:r>
            <w:r>
              <w:rPr>
                <w:bCs/>
                <w:color w:val="000000"/>
                <w:sz w:val="22"/>
                <w:szCs w:val="22"/>
                <w:lang w:val="en-US"/>
              </w:rPr>
              <w:t>: Ahold</w:t>
            </w:r>
          </w:p>
        </w:tc>
        <w:tc>
          <w:tcPr>
            <w:tcW w:w="3286" w:type="dxa"/>
            <w:tcBorders>
              <w:top w:val="nil"/>
              <w:left w:val="nil"/>
              <w:bottom w:val="nil"/>
              <w:right w:val="nil"/>
            </w:tcBorders>
            <w:noWrap/>
            <w:vAlign w:val="bottom"/>
          </w:tcPr>
          <w:p w:rsidR="00AE4097" w:rsidRDefault="00AE4097" w:rsidP="00176384">
            <w:pP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2572" w:type="dxa"/>
            <w:tcBorders>
              <w:top w:val="nil"/>
              <w:left w:val="nil"/>
              <w:bottom w:val="nil"/>
              <w:right w:val="nil"/>
            </w:tcBorders>
            <w:noWrap/>
            <w:vAlign w:val="bottom"/>
          </w:tcPr>
          <w:p w:rsidR="00AE4097" w:rsidRDefault="00AE4097" w:rsidP="00176384">
            <w:pP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2572" w:type="dxa"/>
            <w:tcBorders>
              <w:top w:val="nil"/>
              <w:left w:val="nil"/>
              <w:bottom w:val="nil"/>
              <w:right w:val="nil"/>
            </w:tcBorders>
            <w:noWrap/>
            <w:vAlign w:val="bottom"/>
          </w:tcPr>
          <w:p w:rsidR="00AE4097" w:rsidRDefault="00AE4097" w:rsidP="00176384">
            <w:pP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1910" w:type="dxa"/>
            <w:tcBorders>
              <w:top w:val="nil"/>
              <w:left w:val="nil"/>
              <w:bottom w:val="nil"/>
              <w:right w:val="nil"/>
            </w:tcBorders>
            <w:noWrap/>
            <w:vAlign w:val="bottom"/>
          </w:tcPr>
          <w:p w:rsidR="00AE4097" w:rsidRDefault="00AE4097" w:rsidP="00176384">
            <w:pPr>
              <w:rPr>
                <w:color w:val="000000"/>
                <w:lang w:val="en-US"/>
              </w:rPr>
            </w:pPr>
          </w:p>
        </w:tc>
      </w:tr>
      <w:tr w:rsidR="00AE4097" w:rsidTr="00176384">
        <w:trPr>
          <w:trHeight w:val="359"/>
        </w:trPr>
        <w:tc>
          <w:tcPr>
            <w:tcW w:w="2343" w:type="dxa"/>
            <w:tcBorders>
              <w:top w:val="nil"/>
              <w:left w:val="nil"/>
              <w:bottom w:val="nil"/>
              <w:right w:val="nil"/>
            </w:tcBorders>
            <w:noWrap/>
            <w:vAlign w:val="bottom"/>
          </w:tcPr>
          <w:p w:rsidR="00AE4097" w:rsidRDefault="00AE4097" w:rsidP="00176384">
            <w:pPr>
              <w:rPr>
                <w:bCs/>
                <w:color w:val="000000"/>
                <w:lang w:val="en-US"/>
              </w:rPr>
            </w:pPr>
            <w:r>
              <w:rPr>
                <w:bCs/>
                <w:i/>
                <w:color w:val="000000"/>
                <w:sz w:val="22"/>
                <w:szCs w:val="22"/>
                <w:lang w:val="en-US"/>
              </w:rPr>
              <w:t>Year</w:t>
            </w:r>
            <w:r>
              <w:rPr>
                <w:bCs/>
                <w:color w:val="000000"/>
                <w:sz w:val="22"/>
                <w:szCs w:val="22"/>
                <w:lang w:val="en-US"/>
              </w:rPr>
              <w:t>:  2006</w:t>
            </w:r>
          </w:p>
        </w:tc>
        <w:tc>
          <w:tcPr>
            <w:tcW w:w="3286" w:type="dxa"/>
            <w:tcBorders>
              <w:top w:val="nil"/>
              <w:left w:val="nil"/>
              <w:bottom w:val="nil"/>
              <w:right w:val="nil"/>
            </w:tcBorders>
            <w:noWrap/>
            <w:vAlign w:val="bottom"/>
          </w:tcPr>
          <w:p w:rsidR="00AE4097" w:rsidRDefault="00AE4097" w:rsidP="00176384">
            <w:pP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2572" w:type="dxa"/>
            <w:tcBorders>
              <w:top w:val="nil"/>
              <w:left w:val="nil"/>
              <w:bottom w:val="nil"/>
              <w:right w:val="nil"/>
            </w:tcBorders>
            <w:noWrap/>
            <w:vAlign w:val="bottom"/>
          </w:tcPr>
          <w:p w:rsidR="00AE4097" w:rsidRDefault="00AE4097" w:rsidP="00176384">
            <w:pP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2572" w:type="dxa"/>
            <w:tcBorders>
              <w:top w:val="nil"/>
              <w:left w:val="nil"/>
              <w:bottom w:val="nil"/>
              <w:right w:val="nil"/>
            </w:tcBorders>
            <w:noWrap/>
            <w:vAlign w:val="bottom"/>
          </w:tcPr>
          <w:p w:rsidR="00AE4097" w:rsidRDefault="00AE4097" w:rsidP="00176384">
            <w:pP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1910" w:type="dxa"/>
            <w:tcBorders>
              <w:top w:val="nil"/>
              <w:left w:val="nil"/>
              <w:bottom w:val="nil"/>
              <w:right w:val="nil"/>
            </w:tcBorders>
            <w:noWrap/>
            <w:vAlign w:val="bottom"/>
          </w:tcPr>
          <w:p w:rsidR="00AE4097" w:rsidRDefault="00AE4097" w:rsidP="00176384">
            <w:pPr>
              <w:rPr>
                <w:color w:val="000000"/>
                <w:lang w:val="en-US"/>
              </w:rPr>
            </w:pPr>
          </w:p>
        </w:tc>
      </w:tr>
      <w:tr w:rsidR="00AE4097" w:rsidTr="00176384">
        <w:trPr>
          <w:trHeight w:val="341"/>
        </w:trPr>
        <w:tc>
          <w:tcPr>
            <w:tcW w:w="2343" w:type="dxa"/>
            <w:tcBorders>
              <w:top w:val="nil"/>
              <w:left w:val="nil"/>
              <w:bottom w:val="nil"/>
              <w:right w:val="nil"/>
            </w:tcBorders>
            <w:noWrap/>
            <w:vAlign w:val="bottom"/>
          </w:tcPr>
          <w:p w:rsidR="00AE4097" w:rsidRDefault="00AE4097" w:rsidP="00176384">
            <w:pPr>
              <w:rPr>
                <w:color w:val="000000"/>
                <w:lang w:val="en-US"/>
              </w:rPr>
            </w:pPr>
          </w:p>
        </w:tc>
        <w:tc>
          <w:tcPr>
            <w:tcW w:w="3286" w:type="dxa"/>
            <w:tcBorders>
              <w:top w:val="nil"/>
              <w:left w:val="nil"/>
              <w:bottom w:val="nil"/>
              <w:right w:val="nil"/>
            </w:tcBorders>
            <w:noWrap/>
            <w:vAlign w:val="bottom"/>
          </w:tcPr>
          <w:p w:rsidR="00AE4097" w:rsidRDefault="00AE4097" w:rsidP="00176384">
            <w:pP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2572" w:type="dxa"/>
            <w:tcBorders>
              <w:top w:val="nil"/>
              <w:left w:val="nil"/>
              <w:bottom w:val="nil"/>
              <w:right w:val="nil"/>
            </w:tcBorders>
            <w:noWrap/>
            <w:vAlign w:val="bottom"/>
          </w:tcPr>
          <w:p w:rsidR="00AE4097" w:rsidRDefault="00AE4097" w:rsidP="00176384">
            <w:pP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2572" w:type="dxa"/>
            <w:tcBorders>
              <w:top w:val="nil"/>
              <w:left w:val="nil"/>
              <w:bottom w:val="nil"/>
              <w:right w:val="nil"/>
            </w:tcBorders>
            <w:noWrap/>
            <w:vAlign w:val="bottom"/>
          </w:tcPr>
          <w:p w:rsidR="00AE4097" w:rsidRDefault="00AE4097" w:rsidP="00176384">
            <w:pP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1910" w:type="dxa"/>
            <w:tcBorders>
              <w:top w:val="nil"/>
              <w:left w:val="nil"/>
              <w:bottom w:val="nil"/>
              <w:right w:val="nil"/>
            </w:tcBorders>
            <w:noWrap/>
            <w:vAlign w:val="bottom"/>
          </w:tcPr>
          <w:p w:rsidR="00AE4097" w:rsidRDefault="00AE4097" w:rsidP="00176384">
            <w:pPr>
              <w:rPr>
                <w:color w:val="000000"/>
                <w:lang w:val="en-US"/>
              </w:rPr>
            </w:pPr>
          </w:p>
        </w:tc>
      </w:tr>
      <w:tr w:rsidR="00AE4097" w:rsidTr="00176384">
        <w:trPr>
          <w:trHeight w:val="341"/>
        </w:trPr>
        <w:tc>
          <w:tcPr>
            <w:tcW w:w="2343" w:type="dxa"/>
            <w:tcBorders>
              <w:top w:val="nil"/>
              <w:left w:val="nil"/>
              <w:bottom w:val="nil"/>
              <w:right w:val="nil"/>
            </w:tcBorders>
            <w:noWrap/>
            <w:vAlign w:val="bottom"/>
          </w:tcPr>
          <w:p w:rsidR="00AE4097" w:rsidRDefault="00AE4097" w:rsidP="00176384">
            <w:pPr>
              <w:rPr>
                <w:color w:val="000000"/>
                <w:lang w:val="en-US"/>
              </w:rPr>
            </w:pPr>
          </w:p>
        </w:tc>
        <w:tc>
          <w:tcPr>
            <w:tcW w:w="3286" w:type="dxa"/>
            <w:tcBorders>
              <w:top w:val="nil"/>
              <w:left w:val="nil"/>
              <w:bottom w:val="nil"/>
              <w:right w:val="nil"/>
            </w:tcBorders>
            <w:noWrap/>
            <w:vAlign w:val="bottom"/>
          </w:tcPr>
          <w:p w:rsidR="00AE4097" w:rsidRDefault="00AE4097" w:rsidP="00176384">
            <w:pP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2572"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rPr>
                <w:b/>
                <w:bCs/>
                <w:color w:val="000000"/>
                <w:lang w:val="en-US"/>
              </w:rPr>
            </w:pPr>
            <w:r>
              <w:rPr>
                <w:b/>
                <w:bCs/>
                <w:color w:val="000000"/>
                <w:sz w:val="22"/>
                <w:szCs w:val="22"/>
                <w:lang w:val="en-US"/>
              </w:rPr>
              <w:t>Risk mentioned:</w:t>
            </w:r>
          </w:p>
        </w:tc>
        <w:tc>
          <w:tcPr>
            <w:tcW w:w="250" w:type="dxa"/>
            <w:tcBorders>
              <w:top w:val="single" w:sz="4" w:space="0" w:color="auto"/>
              <w:left w:val="nil"/>
              <w:bottom w:val="nil"/>
              <w:right w:val="nil"/>
            </w:tcBorders>
            <w:noWrap/>
            <w:vAlign w:val="bottom"/>
          </w:tcPr>
          <w:p w:rsidR="00AE4097" w:rsidRDefault="00AE4097" w:rsidP="00176384">
            <w:pPr>
              <w:rPr>
                <w:b/>
                <w:bCs/>
                <w:color w:val="000000"/>
                <w:lang w:val="en-US"/>
              </w:rPr>
            </w:pPr>
            <w:r>
              <w:rPr>
                <w:b/>
                <w:bCs/>
                <w:color w:val="000000"/>
                <w:sz w:val="22"/>
                <w:szCs w:val="22"/>
                <w:lang w:val="en-US"/>
              </w:rPr>
              <w:t> </w:t>
            </w:r>
          </w:p>
        </w:tc>
        <w:tc>
          <w:tcPr>
            <w:tcW w:w="2572" w:type="dxa"/>
            <w:tcBorders>
              <w:top w:val="single" w:sz="4" w:space="0" w:color="auto"/>
              <w:left w:val="single" w:sz="4" w:space="0" w:color="auto"/>
              <w:bottom w:val="nil"/>
              <w:right w:val="single" w:sz="4" w:space="0" w:color="auto"/>
            </w:tcBorders>
            <w:noWrap/>
            <w:vAlign w:val="bottom"/>
          </w:tcPr>
          <w:p w:rsidR="00AE4097" w:rsidRDefault="00AE4097" w:rsidP="00176384">
            <w:pPr>
              <w:rPr>
                <w:b/>
                <w:bCs/>
                <w:color w:val="000000"/>
                <w:lang w:val="en-US"/>
              </w:rPr>
            </w:pPr>
            <w:r>
              <w:rPr>
                <w:b/>
                <w:bCs/>
                <w:color w:val="000000"/>
                <w:sz w:val="22"/>
                <w:szCs w:val="22"/>
                <w:lang w:val="en-US"/>
              </w:rPr>
              <w:t>Control mentioned:</w:t>
            </w:r>
          </w:p>
        </w:tc>
        <w:tc>
          <w:tcPr>
            <w:tcW w:w="250" w:type="dxa"/>
            <w:tcBorders>
              <w:top w:val="single" w:sz="4" w:space="0" w:color="auto"/>
              <w:left w:val="nil"/>
              <w:bottom w:val="nil"/>
              <w:right w:val="nil"/>
            </w:tcBorders>
            <w:noWrap/>
            <w:vAlign w:val="bottom"/>
          </w:tcPr>
          <w:p w:rsidR="00AE4097" w:rsidRDefault="00AE4097" w:rsidP="00176384">
            <w:pPr>
              <w:rPr>
                <w:b/>
                <w:bCs/>
                <w:color w:val="000000"/>
                <w:lang w:val="en-US"/>
              </w:rPr>
            </w:pPr>
            <w:r>
              <w:rPr>
                <w:b/>
                <w:bCs/>
                <w:color w:val="000000"/>
                <w:sz w:val="22"/>
                <w:szCs w:val="22"/>
                <w:lang w:val="en-US"/>
              </w:rPr>
              <w:t> </w:t>
            </w:r>
          </w:p>
        </w:tc>
        <w:tc>
          <w:tcPr>
            <w:tcW w:w="1910" w:type="dxa"/>
            <w:tcBorders>
              <w:top w:val="single" w:sz="4" w:space="0" w:color="auto"/>
              <w:left w:val="single" w:sz="4" w:space="0" w:color="auto"/>
              <w:bottom w:val="nil"/>
              <w:right w:val="single" w:sz="4" w:space="0" w:color="auto"/>
            </w:tcBorders>
            <w:noWrap/>
            <w:vAlign w:val="bottom"/>
          </w:tcPr>
          <w:p w:rsidR="00AE4097" w:rsidRDefault="00AE4097" w:rsidP="00176384">
            <w:pPr>
              <w:rPr>
                <w:b/>
                <w:bCs/>
                <w:color w:val="000000"/>
                <w:lang w:val="en-US"/>
              </w:rPr>
            </w:pPr>
            <w:r>
              <w:rPr>
                <w:b/>
                <w:bCs/>
                <w:color w:val="000000"/>
                <w:sz w:val="22"/>
                <w:szCs w:val="22"/>
                <w:lang w:val="en-US"/>
              </w:rPr>
              <w:t>Total Score:</w:t>
            </w:r>
          </w:p>
        </w:tc>
      </w:tr>
      <w:tr w:rsidR="00AE4097" w:rsidTr="00176384">
        <w:trPr>
          <w:trHeight w:val="341"/>
        </w:trPr>
        <w:tc>
          <w:tcPr>
            <w:tcW w:w="2343" w:type="dxa"/>
            <w:tcBorders>
              <w:top w:val="nil"/>
              <w:left w:val="nil"/>
              <w:bottom w:val="nil"/>
              <w:right w:val="nil"/>
            </w:tcBorders>
            <w:noWrap/>
            <w:vAlign w:val="bottom"/>
          </w:tcPr>
          <w:p w:rsidR="00AE4097" w:rsidRDefault="00AE4097" w:rsidP="00176384">
            <w:pPr>
              <w:rPr>
                <w:color w:val="000000"/>
                <w:lang w:val="en-US"/>
              </w:rPr>
            </w:pPr>
          </w:p>
        </w:tc>
        <w:tc>
          <w:tcPr>
            <w:tcW w:w="3286"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rPr>
                <w:b/>
                <w:bCs/>
                <w:color w:val="000000"/>
                <w:lang w:val="en-US"/>
              </w:rPr>
            </w:pPr>
            <w:r>
              <w:rPr>
                <w:b/>
                <w:bCs/>
                <w:color w:val="000000"/>
                <w:sz w:val="22"/>
                <w:szCs w:val="22"/>
                <w:lang w:val="en-US"/>
              </w:rPr>
              <w:t>Risk Categories:</w:t>
            </w:r>
          </w:p>
        </w:tc>
        <w:tc>
          <w:tcPr>
            <w:tcW w:w="250" w:type="dxa"/>
            <w:tcBorders>
              <w:top w:val="single" w:sz="4" w:space="0" w:color="auto"/>
              <w:left w:val="nil"/>
              <w:bottom w:val="single" w:sz="4" w:space="0" w:color="auto"/>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2572" w:type="dxa"/>
            <w:tcBorders>
              <w:top w:val="nil"/>
              <w:left w:val="nil"/>
              <w:bottom w:val="single" w:sz="4" w:space="0" w:color="auto"/>
              <w:right w:val="single" w:sz="4" w:space="0" w:color="auto"/>
            </w:tcBorders>
            <w:noWrap/>
            <w:vAlign w:val="bottom"/>
          </w:tcPr>
          <w:p w:rsidR="00AE4097" w:rsidRDefault="00AE4097" w:rsidP="00176384">
            <w:pPr>
              <w:rPr>
                <w:color w:val="000000"/>
                <w:lang w:val="en-US"/>
              </w:rPr>
            </w:pPr>
            <w:r>
              <w:rPr>
                <w:color w:val="000000"/>
                <w:sz w:val="22"/>
                <w:szCs w:val="22"/>
                <w:lang w:val="en-US"/>
              </w:rPr>
              <w:t>(yes=1, no=0)</w:t>
            </w:r>
          </w:p>
        </w:tc>
        <w:tc>
          <w:tcPr>
            <w:tcW w:w="250" w:type="dxa"/>
            <w:tcBorders>
              <w:top w:val="single" w:sz="4" w:space="0" w:color="auto"/>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2572"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rPr>
                <w:color w:val="000000"/>
                <w:lang w:val="en-US"/>
              </w:rPr>
            </w:pPr>
            <w:r>
              <w:rPr>
                <w:color w:val="000000"/>
                <w:sz w:val="22"/>
                <w:szCs w:val="22"/>
                <w:lang w:val="en-US"/>
              </w:rPr>
              <w:t>(yes=1, no=0)</w:t>
            </w:r>
          </w:p>
        </w:tc>
        <w:tc>
          <w:tcPr>
            <w:tcW w:w="250" w:type="dxa"/>
            <w:tcBorders>
              <w:top w:val="single" w:sz="4" w:space="0" w:color="auto"/>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1910"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r>
      <w:tr w:rsidR="00AE4097" w:rsidTr="00176384">
        <w:trPr>
          <w:trHeight w:val="341"/>
        </w:trPr>
        <w:tc>
          <w:tcPr>
            <w:tcW w:w="2343" w:type="dxa"/>
            <w:tcBorders>
              <w:top w:val="nil"/>
              <w:left w:val="nil"/>
              <w:bottom w:val="nil"/>
              <w:right w:val="nil"/>
            </w:tcBorders>
            <w:noWrap/>
            <w:vAlign w:val="bottom"/>
          </w:tcPr>
          <w:p w:rsidR="00AE4097" w:rsidRDefault="00AE4097" w:rsidP="00176384">
            <w:pPr>
              <w:rPr>
                <w:color w:val="000000"/>
                <w:lang w:val="en-US"/>
              </w:rPr>
            </w:pPr>
          </w:p>
        </w:tc>
        <w:tc>
          <w:tcPr>
            <w:tcW w:w="3286" w:type="dxa"/>
            <w:tcBorders>
              <w:top w:val="nil"/>
              <w:left w:val="single" w:sz="4" w:space="0" w:color="auto"/>
              <w:bottom w:val="nil"/>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2572" w:type="dxa"/>
            <w:tcBorders>
              <w:top w:val="nil"/>
              <w:left w:val="single" w:sz="4" w:space="0" w:color="auto"/>
              <w:bottom w:val="nil"/>
              <w:right w:val="single" w:sz="4" w:space="0" w:color="auto"/>
            </w:tcBorders>
            <w:noWrap/>
            <w:vAlign w:val="bottom"/>
          </w:tcPr>
          <w:p w:rsidR="00AE4097" w:rsidRDefault="00AE4097" w:rsidP="00176384">
            <w:pPr>
              <w:jc w:val="cente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2572" w:type="dxa"/>
            <w:tcBorders>
              <w:top w:val="nil"/>
              <w:left w:val="single" w:sz="4" w:space="0" w:color="auto"/>
              <w:bottom w:val="nil"/>
              <w:right w:val="single" w:sz="4" w:space="0" w:color="auto"/>
            </w:tcBorders>
            <w:noWrap/>
            <w:vAlign w:val="bottom"/>
          </w:tcPr>
          <w:p w:rsidR="00AE4097" w:rsidRDefault="00AE4097" w:rsidP="00176384">
            <w:pPr>
              <w:jc w:val="cente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1910" w:type="dxa"/>
            <w:tcBorders>
              <w:top w:val="nil"/>
              <w:left w:val="single" w:sz="4" w:space="0" w:color="auto"/>
              <w:bottom w:val="nil"/>
              <w:right w:val="single" w:sz="4" w:space="0" w:color="auto"/>
            </w:tcBorders>
            <w:noWrap/>
            <w:vAlign w:val="bottom"/>
          </w:tcPr>
          <w:p w:rsidR="00AE4097" w:rsidRDefault="00AE4097" w:rsidP="00176384">
            <w:pPr>
              <w:jc w:val="center"/>
              <w:rPr>
                <w:color w:val="000000"/>
                <w:lang w:val="en-US"/>
              </w:rPr>
            </w:pPr>
            <w:r>
              <w:rPr>
                <w:color w:val="000000"/>
                <w:sz w:val="22"/>
                <w:szCs w:val="22"/>
                <w:lang w:val="en-US"/>
              </w:rPr>
              <w:t> </w:t>
            </w:r>
          </w:p>
        </w:tc>
      </w:tr>
      <w:tr w:rsidR="00AE4097" w:rsidTr="00176384">
        <w:trPr>
          <w:trHeight w:val="341"/>
        </w:trPr>
        <w:tc>
          <w:tcPr>
            <w:tcW w:w="2343" w:type="dxa"/>
            <w:tcBorders>
              <w:top w:val="single" w:sz="4" w:space="0" w:color="auto"/>
              <w:left w:val="single" w:sz="4" w:space="0" w:color="auto"/>
              <w:bottom w:val="nil"/>
              <w:right w:val="single" w:sz="4" w:space="0" w:color="auto"/>
            </w:tcBorders>
            <w:noWrap/>
            <w:vAlign w:val="bottom"/>
          </w:tcPr>
          <w:p w:rsidR="00AE4097" w:rsidRDefault="00AE4097" w:rsidP="00176384">
            <w:pPr>
              <w:rPr>
                <w:u w:val="single"/>
                <w:lang w:val="en-US"/>
              </w:rPr>
            </w:pPr>
            <w:r>
              <w:rPr>
                <w:sz w:val="22"/>
                <w:szCs w:val="22"/>
                <w:u w:val="single"/>
                <w:lang w:val="en-US"/>
              </w:rPr>
              <w:t>Financial risks</w:t>
            </w:r>
          </w:p>
        </w:tc>
        <w:tc>
          <w:tcPr>
            <w:tcW w:w="3286" w:type="dxa"/>
            <w:tcBorders>
              <w:top w:val="single" w:sz="4" w:space="0" w:color="auto"/>
              <w:left w:val="nil"/>
              <w:bottom w:val="single" w:sz="4" w:space="0" w:color="auto"/>
              <w:right w:val="single" w:sz="4" w:space="0" w:color="auto"/>
            </w:tcBorders>
            <w:noWrap/>
            <w:vAlign w:val="bottom"/>
          </w:tcPr>
          <w:p w:rsidR="00AE4097" w:rsidRDefault="00AE4097" w:rsidP="00176384">
            <w:pPr>
              <w:rPr>
                <w:lang w:val="en-US"/>
              </w:rPr>
            </w:pPr>
            <w:r>
              <w:rPr>
                <w:sz w:val="22"/>
                <w:szCs w:val="22"/>
                <w:lang w:val="en-US"/>
              </w:rPr>
              <w:t>Credit risk</w:t>
            </w:r>
          </w:p>
        </w:tc>
        <w:tc>
          <w:tcPr>
            <w:tcW w:w="250" w:type="dxa"/>
            <w:tcBorders>
              <w:top w:val="single" w:sz="4" w:space="0" w:color="auto"/>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2572"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jc w:val="center"/>
              <w:rPr>
                <w:lang w:val="en-US"/>
              </w:rPr>
            </w:pPr>
            <w:r>
              <w:rPr>
                <w:sz w:val="22"/>
                <w:szCs w:val="22"/>
                <w:lang w:val="en-US"/>
              </w:rPr>
              <w:t>1</w:t>
            </w:r>
          </w:p>
        </w:tc>
        <w:tc>
          <w:tcPr>
            <w:tcW w:w="250" w:type="dxa"/>
            <w:tcBorders>
              <w:top w:val="single" w:sz="4" w:space="0" w:color="auto"/>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2572"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jc w:val="center"/>
              <w:rPr>
                <w:lang w:val="en-US"/>
              </w:rPr>
            </w:pPr>
            <w:r>
              <w:rPr>
                <w:sz w:val="22"/>
                <w:szCs w:val="22"/>
                <w:lang w:val="en-US"/>
              </w:rPr>
              <w:t>0</w:t>
            </w:r>
          </w:p>
        </w:tc>
        <w:tc>
          <w:tcPr>
            <w:tcW w:w="250" w:type="dxa"/>
            <w:tcBorders>
              <w:top w:val="single" w:sz="4" w:space="0" w:color="auto"/>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1910"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jc w:val="center"/>
              <w:rPr>
                <w:lang w:val="en-US"/>
              </w:rPr>
            </w:pPr>
            <w:r>
              <w:rPr>
                <w:sz w:val="22"/>
                <w:szCs w:val="22"/>
                <w:lang w:val="en-US"/>
              </w:rPr>
              <w:t>1</w:t>
            </w:r>
          </w:p>
        </w:tc>
      </w:tr>
      <w:tr w:rsidR="00AE4097" w:rsidTr="00176384">
        <w:trPr>
          <w:trHeight w:val="341"/>
        </w:trPr>
        <w:tc>
          <w:tcPr>
            <w:tcW w:w="2343" w:type="dxa"/>
            <w:tcBorders>
              <w:top w:val="nil"/>
              <w:left w:val="single" w:sz="4" w:space="0" w:color="auto"/>
              <w:bottom w:val="nil"/>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3286" w:type="dxa"/>
            <w:tcBorders>
              <w:top w:val="nil"/>
              <w:left w:val="nil"/>
              <w:bottom w:val="single" w:sz="4" w:space="0" w:color="auto"/>
              <w:right w:val="single" w:sz="4" w:space="0" w:color="auto"/>
            </w:tcBorders>
            <w:noWrap/>
            <w:vAlign w:val="bottom"/>
          </w:tcPr>
          <w:p w:rsidR="00AE4097" w:rsidRDefault="00AE4097" w:rsidP="00176384">
            <w:pPr>
              <w:rPr>
                <w:lang w:val="en-US"/>
              </w:rPr>
            </w:pPr>
            <w:r>
              <w:rPr>
                <w:sz w:val="22"/>
                <w:szCs w:val="22"/>
                <w:lang w:val="en-US"/>
              </w:rPr>
              <w:t>Price risk</w:t>
            </w:r>
          </w:p>
        </w:tc>
        <w:tc>
          <w:tcPr>
            <w:tcW w:w="250" w:type="dxa"/>
            <w:tcBorders>
              <w:top w:val="nil"/>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lang w:val="en-US"/>
              </w:rPr>
            </w:pPr>
            <w:r>
              <w:rPr>
                <w:sz w:val="22"/>
                <w:szCs w:val="22"/>
                <w:lang w:val="en-US"/>
              </w:rPr>
              <w:t>1</w:t>
            </w:r>
          </w:p>
        </w:tc>
        <w:tc>
          <w:tcPr>
            <w:tcW w:w="250" w:type="dxa"/>
            <w:tcBorders>
              <w:top w:val="nil"/>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lang w:val="en-US"/>
              </w:rPr>
            </w:pPr>
            <w:r>
              <w:rPr>
                <w:sz w:val="22"/>
                <w:szCs w:val="22"/>
                <w:lang w:val="en-US"/>
              </w:rPr>
              <w:t>0</w:t>
            </w:r>
          </w:p>
        </w:tc>
        <w:tc>
          <w:tcPr>
            <w:tcW w:w="250" w:type="dxa"/>
            <w:tcBorders>
              <w:top w:val="nil"/>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191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lang w:val="en-US"/>
              </w:rPr>
            </w:pPr>
            <w:r>
              <w:rPr>
                <w:sz w:val="22"/>
                <w:szCs w:val="22"/>
                <w:lang w:val="en-US"/>
              </w:rPr>
              <w:t>1</w:t>
            </w:r>
          </w:p>
        </w:tc>
      </w:tr>
      <w:tr w:rsidR="00AE4097" w:rsidTr="00176384">
        <w:trPr>
          <w:trHeight w:val="341"/>
        </w:trPr>
        <w:tc>
          <w:tcPr>
            <w:tcW w:w="2343" w:type="dxa"/>
            <w:tcBorders>
              <w:top w:val="nil"/>
              <w:left w:val="single" w:sz="4" w:space="0" w:color="auto"/>
              <w:bottom w:val="nil"/>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3286" w:type="dxa"/>
            <w:tcBorders>
              <w:top w:val="nil"/>
              <w:left w:val="nil"/>
              <w:bottom w:val="single" w:sz="4" w:space="0" w:color="auto"/>
              <w:right w:val="single" w:sz="4" w:space="0" w:color="auto"/>
            </w:tcBorders>
            <w:noWrap/>
            <w:vAlign w:val="bottom"/>
          </w:tcPr>
          <w:p w:rsidR="00AE4097" w:rsidRDefault="00AE4097" w:rsidP="00176384">
            <w:pPr>
              <w:rPr>
                <w:lang w:val="en-US"/>
              </w:rPr>
            </w:pPr>
            <w:r>
              <w:rPr>
                <w:sz w:val="22"/>
                <w:szCs w:val="22"/>
                <w:lang w:val="en-US"/>
              </w:rPr>
              <w:t>Liquidity risk</w:t>
            </w:r>
          </w:p>
        </w:tc>
        <w:tc>
          <w:tcPr>
            <w:tcW w:w="250" w:type="dxa"/>
            <w:tcBorders>
              <w:top w:val="nil"/>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lang w:val="en-US"/>
              </w:rPr>
            </w:pPr>
            <w:r>
              <w:rPr>
                <w:sz w:val="22"/>
                <w:szCs w:val="22"/>
                <w:lang w:val="en-US"/>
              </w:rPr>
              <w:t>1</w:t>
            </w:r>
          </w:p>
        </w:tc>
        <w:tc>
          <w:tcPr>
            <w:tcW w:w="250" w:type="dxa"/>
            <w:tcBorders>
              <w:top w:val="nil"/>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lang w:val="en-US"/>
              </w:rPr>
            </w:pPr>
            <w:r>
              <w:rPr>
                <w:sz w:val="22"/>
                <w:szCs w:val="22"/>
                <w:lang w:val="en-US"/>
              </w:rPr>
              <w:t>0</w:t>
            </w:r>
          </w:p>
        </w:tc>
        <w:tc>
          <w:tcPr>
            <w:tcW w:w="250" w:type="dxa"/>
            <w:tcBorders>
              <w:top w:val="nil"/>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191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lang w:val="en-US"/>
              </w:rPr>
            </w:pPr>
            <w:r>
              <w:rPr>
                <w:sz w:val="22"/>
                <w:szCs w:val="22"/>
                <w:lang w:val="en-US"/>
              </w:rPr>
              <w:t>1</w:t>
            </w:r>
          </w:p>
        </w:tc>
      </w:tr>
      <w:tr w:rsidR="00AE4097" w:rsidTr="00176384">
        <w:trPr>
          <w:trHeight w:val="341"/>
        </w:trPr>
        <w:tc>
          <w:tcPr>
            <w:tcW w:w="2343" w:type="dxa"/>
            <w:tcBorders>
              <w:top w:val="nil"/>
              <w:left w:val="single" w:sz="4" w:space="0" w:color="auto"/>
              <w:bottom w:val="nil"/>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3286" w:type="dxa"/>
            <w:tcBorders>
              <w:top w:val="nil"/>
              <w:left w:val="nil"/>
              <w:bottom w:val="single" w:sz="4" w:space="0" w:color="auto"/>
              <w:right w:val="single" w:sz="4" w:space="0" w:color="auto"/>
            </w:tcBorders>
            <w:noWrap/>
            <w:vAlign w:val="bottom"/>
          </w:tcPr>
          <w:p w:rsidR="00AE4097" w:rsidRDefault="00AE4097" w:rsidP="00176384">
            <w:pPr>
              <w:rPr>
                <w:lang w:val="en-US"/>
              </w:rPr>
            </w:pPr>
            <w:r>
              <w:rPr>
                <w:sz w:val="22"/>
                <w:szCs w:val="22"/>
                <w:lang w:val="en-US"/>
              </w:rPr>
              <w:t xml:space="preserve">Interest risk </w:t>
            </w:r>
          </w:p>
        </w:tc>
        <w:tc>
          <w:tcPr>
            <w:tcW w:w="250" w:type="dxa"/>
            <w:tcBorders>
              <w:top w:val="nil"/>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lang w:val="en-US"/>
              </w:rPr>
            </w:pPr>
            <w:r>
              <w:rPr>
                <w:sz w:val="22"/>
                <w:szCs w:val="22"/>
                <w:lang w:val="en-US"/>
              </w:rPr>
              <w:t>1</w:t>
            </w:r>
          </w:p>
        </w:tc>
        <w:tc>
          <w:tcPr>
            <w:tcW w:w="250" w:type="dxa"/>
            <w:tcBorders>
              <w:top w:val="nil"/>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lang w:val="en-US"/>
              </w:rPr>
            </w:pPr>
            <w:r>
              <w:rPr>
                <w:sz w:val="22"/>
                <w:szCs w:val="22"/>
                <w:lang w:val="en-US"/>
              </w:rPr>
              <w:t>1</w:t>
            </w:r>
          </w:p>
        </w:tc>
        <w:tc>
          <w:tcPr>
            <w:tcW w:w="250" w:type="dxa"/>
            <w:tcBorders>
              <w:top w:val="nil"/>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191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lang w:val="en-US"/>
              </w:rPr>
            </w:pPr>
            <w:r>
              <w:rPr>
                <w:sz w:val="22"/>
                <w:szCs w:val="22"/>
                <w:lang w:val="en-US"/>
              </w:rPr>
              <w:t>2</w:t>
            </w:r>
          </w:p>
        </w:tc>
      </w:tr>
      <w:tr w:rsidR="00AE4097" w:rsidTr="00176384">
        <w:trPr>
          <w:trHeight w:val="341"/>
        </w:trPr>
        <w:tc>
          <w:tcPr>
            <w:tcW w:w="2343" w:type="dxa"/>
            <w:tcBorders>
              <w:top w:val="nil"/>
              <w:left w:val="single" w:sz="4" w:space="0" w:color="auto"/>
              <w:bottom w:val="nil"/>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3286" w:type="dxa"/>
            <w:tcBorders>
              <w:top w:val="nil"/>
              <w:left w:val="nil"/>
              <w:bottom w:val="single" w:sz="4" w:space="0" w:color="auto"/>
              <w:right w:val="single" w:sz="4" w:space="0" w:color="auto"/>
            </w:tcBorders>
            <w:noWrap/>
            <w:vAlign w:val="bottom"/>
          </w:tcPr>
          <w:p w:rsidR="00AE4097" w:rsidRDefault="00AE4097" w:rsidP="00176384">
            <w:pPr>
              <w:rPr>
                <w:lang w:val="en-US"/>
              </w:rPr>
            </w:pPr>
            <w:r>
              <w:rPr>
                <w:sz w:val="22"/>
                <w:szCs w:val="22"/>
                <w:lang w:val="en-US"/>
              </w:rPr>
              <w:t>Currency risk</w:t>
            </w:r>
          </w:p>
        </w:tc>
        <w:tc>
          <w:tcPr>
            <w:tcW w:w="250" w:type="dxa"/>
            <w:tcBorders>
              <w:top w:val="nil"/>
              <w:left w:val="nil"/>
              <w:bottom w:val="single" w:sz="4" w:space="0" w:color="auto"/>
              <w:right w:val="nil"/>
            </w:tcBorders>
            <w:noWrap/>
            <w:vAlign w:val="bottom"/>
          </w:tcPr>
          <w:p w:rsidR="00AE4097" w:rsidRDefault="00AE4097" w:rsidP="00176384">
            <w:pPr>
              <w:rPr>
                <w:lang w:val="en-US"/>
              </w:rPr>
            </w:pPr>
            <w:r>
              <w:rPr>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lang w:val="fr-FR"/>
              </w:rPr>
            </w:pPr>
            <w:r>
              <w:rPr>
                <w:sz w:val="22"/>
                <w:szCs w:val="22"/>
                <w:lang w:val="fr-FR"/>
              </w:rPr>
              <w:t>1</w:t>
            </w:r>
          </w:p>
        </w:tc>
        <w:tc>
          <w:tcPr>
            <w:tcW w:w="250" w:type="dxa"/>
            <w:tcBorders>
              <w:top w:val="nil"/>
              <w:left w:val="nil"/>
              <w:bottom w:val="single" w:sz="4" w:space="0" w:color="auto"/>
              <w:right w:val="nil"/>
            </w:tcBorders>
            <w:noWrap/>
            <w:vAlign w:val="bottom"/>
          </w:tcPr>
          <w:p w:rsidR="00AE4097" w:rsidRDefault="00AE4097" w:rsidP="00176384">
            <w:pPr>
              <w:rPr>
                <w:lang w:val="fr-FR"/>
              </w:rPr>
            </w:pPr>
            <w:r>
              <w:rPr>
                <w:sz w:val="22"/>
                <w:szCs w:val="22"/>
                <w:lang w:val="fr-FR"/>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lang w:val="fr-FR"/>
              </w:rPr>
            </w:pPr>
            <w:r>
              <w:rPr>
                <w:sz w:val="22"/>
                <w:szCs w:val="22"/>
                <w:lang w:val="fr-FR"/>
              </w:rPr>
              <w:t>1</w:t>
            </w:r>
          </w:p>
        </w:tc>
        <w:tc>
          <w:tcPr>
            <w:tcW w:w="250" w:type="dxa"/>
            <w:tcBorders>
              <w:top w:val="nil"/>
              <w:left w:val="nil"/>
              <w:bottom w:val="single" w:sz="4" w:space="0" w:color="auto"/>
              <w:right w:val="nil"/>
            </w:tcBorders>
            <w:noWrap/>
            <w:vAlign w:val="bottom"/>
          </w:tcPr>
          <w:p w:rsidR="00AE4097" w:rsidRDefault="00AE4097" w:rsidP="00176384">
            <w:pPr>
              <w:rPr>
                <w:lang w:val="fr-FR"/>
              </w:rPr>
            </w:pPr>
            <w:r>
              <w:rPr>
                <w:sz w:val="22"/>
                <w:szCs w:val="22"/>
                <w:lang w:val="fr-FR"/>
              </w:rPr>
              <w:t> </w:t>
            </w:r>
          </w:p>
        </w:tc>
        <w:tc>
          <w:tcPr>
            <w:tcW w:w="191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lang w:val="fr-FR"/>
              </w:rPr>
            </w:pPr>
            <w:r>
              <w:rPr>
                <w:sz w:val="22"/>
                <w:szCs w:val="22"/>
                <w:lang w:val="fr-FR"/>
              </w:rPr>
              <w:t>2</w:t>
            </w:r>
          </w:p>
        </w:tc>
      </w:tr>
      <w:tr w:rsidR="00AE4097" w:rsidTr="00176384">
        <w:trPr>
          <w:trHeight w:val="341"/>
        </w:trPr>
        <w:tc>
          <w:tcPr>
            <w:tcW w:w="2343" w:type="dxa"/>
            <w:tcBorders>
              <w:top w:val="single" w:sz="4" w:space="0" w:color="auto"/>
              <w:left w:val="single" w:sz="4" w:space="0" w:color="auto"/>
              <w:bottom w:val="nil"/>
              <w:right w:val="single" w:sz="4" w:space="0" w:color="auto"/>
            </w:tcBorders>
            <w:noWrap/>
            <w:vAlign w:val="bottom"/>
          </w:tcPr>
          <w:p w:rsidR="00AE4097" w:rsidRDefault="00AE4097" w:rsidP="00176384">
            <w:pPr>
              <w:rPr>
                <w:i/>
                <w:iCs/>
                <w:color w:val="000000"/>
                <w:u w:val="single"/>
                <w:lang w:val="fr-FR"/>
              </w:rPr>
            </w:pPr>
            <w:r>
              <w:rPr>
                <w:i/>
                <w:iCs/>
                <w:color w:val="000000"/>
                <w:sz w:val="22"/>
                <w:szCs w:val="22"/>
                <w:u w:val="single"/>
                <w:lang w:val="fr-FR"/>
              </w:rPr>
              <w:t>Non-</w:t>
            </w:r>
            <w:proofErr w:type="spellStart"/>
            <w:r>
              <w:rPr>
                <w:i/>
                <w:iCs/>
                <w:color w:val="000000"/>
                <w:sz w:val="22"/>
                <w:szCs w:val="22"/>
                <w:u w:val="single"/>
                <w:lang w:val="fr-FR"/>
              </w:rPr>
              <w:t>financial</w:t>
            </w:r>
            <w:proofErr w:type="spellEnd"/>
            <w:r>
              <w:rPr>
                <w:i/>
                <w:iCs/>
                <w:color w:val="000000"/>
                <w:sz w:val="22"/>
                <w:szCs w:val="22"/>
                <w:u w:val="single"/>
                <w:lang w:val="fr-FR"/>
              </w:rPr>
              <w:t xml:space="preserve"> </w:t>
            </w:r>
            <w:proofErr w:type="spellStart"/>
            <w:r>
              <w:rPr>
                <w:i/>
                <w:iCs/>
                <w:color w:val="000000"/>
                <w:sz w:val="22"/>
                <w:szCs w:val="22"/>
                <w:u w:val="single"/>
                <w:lang w:val="fr-FR"/>
              </w:rPr>
              <w:t>risks</w:t>
            </w:r>
            <w:proofErr w:type="spellEnd"/>
          </w:p>
        </w:tc>
        <w:tc>
          <w:tcPr>
            <w:tcW w:w="3286" w:type="dxa"/>
            <w:tcBorders>
              <w:top w:val="nil"/>
              <w:left w:val="nil"/>
              <w:bottom w:val="single" w:sz="4" w:space="0" w:color="auto"/>
              <w:right w:val="single" w:sz="4" w:space="0" w:color="auto"/>
            </w:tcBorders>
            <w:noWrap/>
            <w:vAlign w:val="bottom"/>
          </w:tcPr>
          <w:p w:rsidR="00AE4097" w:rsidRDefault="00AE4097" w:rsidP="00176384">
            <w:pPr>
              <w:rPr>
                <w:i/>
                <w:color w:val="000000"/>
                <w:lang w:val="en-US"/>
              </w:rPr>
            </w:pPr>
            <w:r>
              <w:rPr>
                <w:i/>
                <w:color w:val="000000"/>
                <w:sz w:val="22"/>
                <w:szCs w:val="22"/>
                <w:lang w:val="en-US"/>
              </w:rPr>
              <w:t xml:space="preserve">Operational risk </w:t>
            </w:r>
          </w:p>
        </w:tc>
        <w:tc>
          <w:tcPr>
            <w:tcW w:w="250" w:type="dxa"/>
            <w:tcBorders>
              <w:top w:val="nil"/>
              <w:left w:val="nil"/>
              <w:bottom w:val="single" w:sz="4" w:space="0" w:color="auto"/>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2572" w:type="dxa"/>
            <w:tcBorders>
              <w:top w:val="nil"/>
              <w:left w:val="nil"/>
              <w:bottom w:val="single" w:sz="4" w:space="0" w:color="auto"/>
              <w:right w:val="single" w:sz="4" w:space="0" w:color="auto"/>
            </w:tcBorders>
            <w:noWrap/>
            <w:vAlign w:val="bottom"/>
          </w:tcPr>
          <w:p w:rsidR="00AE4097" w:rsidRDefault="00AE4097" w:rsidP="00176384">
            <w:pPr>
              <w:jc w:val="center"/>
              <w:rPr>
                <w:color w:val="000000"/>
                <w:lang w:val="en-US"/>
              </w:rPr>
            </w:pPr>
            <w:r>
              <w:rPr>
                <w:color w:val="000000"/>
                <w:sz w:val="22"/>
                <w:szCs w:val="22"/>
                <w:lang w:val="en-US"/>
              </w:rPr>
              <w:t>1</w:t>
            </w:r>
          </w:p>
        </w:tc>
        <w:tc>
          <w:tcPr>
            <w:tcW w:w="250" w:type="dxa"/>
            <w:tcBorders>
              <w:top w:val="nil"/>
              <w:left w:val="nil"/>
              <w:bottom w:val="single" w:sz="4" w:space="0" w:color="auto"/>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2572" w:type="dxa"/>
            <w:tcBorders>
              <w:top w:val="nil"/>
              <w:left w:val="nil"/>
              <w:bottom w:val="single" w:sz="4" w:space="0" w:color="auto"/>
              <w:right w:val="single" w:sz="4" w:space="0" w:color="auto"/>
            </w:tcBorders>
            <w:noWrap/>
            <w:vAlign w:val="bottom"/>
          </w:tcPr>
          <w:p w:rsidR="00AE4097" w:rsidRDefault="00AE4097" w:rsidP="00176384">
            <w:pPr>
              <w:jc w:val="center"/>
              <w:rPr>
                <w:color w:val="000000"/>
                <w:lang w:val="en-US"/>
              </w:rPr>
            </w:pPr>
            <w:r>
              <w:rPr>
                <w:color w:val="000000"/>
                <w:sz w:val="22"/>
                <w:szCs w:val="22"/>
                <w:lang w:val="en-US"/>
              </w:rPr>
              <w:t>0</w:t>
            </w:r>
          </w:p>
        </w:tc>
        <w:tc>
          <w:tcPr>
            <w:tcW w:w="250" w:type="dxa"/>
            <w:tcBorders>
              <w:top w:val="nil"/>
              <w:left w:val="nil"/>
              <w:bottom w:val="single" w:sz="4" w:space="0" w:color="auto"/>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1910" w:type="dxa"/>
            <w:tcBorders>
              <w:top w:val="nil"/>
              <w:left w:val="nil"/>
              <w:bottom w:val="single" w:sz="4" w:space="0" w:color="auto"/>
              <w:right w:val="single" w:sz="4" w:space="0" w:color="auto"/>
            </w:tcBorders>
            <w:noWrap/>
            <w:vAlign w:val="bottom"/>
          </w:tcPr>
          <w:p w:rsidR="00AE4097" w:rsidRDefault="00AE4097" w:rsidP="00176384">
            <w:pPr>
              <w:jc w:val="center"/>
              <w:rPr>
                <w:color w:val="000000"/>
                <w:lang w:val="en-US"/>
              </w:rPr>
            </w:pPr>
            <w:r>
              <w:rPr>
                <w:color w:val="000000"/>
                <w:sz w:val="22"/>
                <w:szCs w:val="22"/>
                <w:lang w:val="en-US"/>
              </w:rPr>
              <w:t>1</w:t>
            </w:r>
          </w:p>
        </w:tc>
      </w:tr>
      <w:tr w:rsidR="00AE4097" w:rsidTr="00176384">
        <w:trPr>
          <w:trHeight w:val="341"/>
        </w:trPr>
        <w:tc>
          <w:tcPr>
            <w:tcW w:w="2343" w:type="dxa"/>
            <w:tcBorders>
              <w:top w:val="nil"/>
              <w:left w:val="single" w:sz="4" w:space="0" w:color="auto"/>
              <w:bottom w:val="nil"/>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3286" w:type="dxa"/>
            <w:tcBorders>
              <w:top w:val="nil"/>
              <w:left w:val="nil"/>
              <w:bottom w:val="single" w:sz="4" w:space="0" w:color="auto"/>
              <w:right w:val="single" w:sz="4" w:space="0" w:color="auto"/>
            </w:tcBorders>
            <w:noWrap/>
            <w:vAlign w:val="bottom"/>
          </w:tcPr>
          <w:p w:rsidR="00AE4097" w:rsidRDefault="00AE4097" w:rsidP="00176384">
            <w:pPr>
              <w:rPr>
                <w:i/>
                <w:color w:val="000000"/>
                <w:lang w:val="en-US"/>
              </w:rPr>
            </w:pPr>
            <w:r>
              <w:rPr>
                <w:i/>
                <w:color w:val="000000"/>
                <w:sz w:val="22"/>
                <w:szCs w:val="22"/>
                <w:lang w:val="en-US"/>
              </w:rPr>
              <w:t>Empowerment risk</w:t>
            </w:r>
          </w:p>
        </w:tc>
        <w:tc>
          <w:tcPr>
            <w:tcW w:w="250" w:type="dxa"/>
            <w:tcBorders>
              <w:top w:val="nil"/>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color w:val="000000"/>
                <w:lang w:val="en-US"/>
              </w:rPr>
            </w:pPr>
            <w:r>
              <w:rPr>
                <w:color w:val="000000"/>
                <w:sz w:val="22"/>
                <w:szCs w:val="22"/>
                <w:lang w:val="en-US"/>
              </w:rPr>
              <w:t>1</w:t>
            </w:r>
          </w:p>
        </w:tc>
        <w:tc>
          <w:tcPr>
            <w:tcW w:w="250" w:type="dxa"/>
            <w:tcBorders>
              <w:top w:val="nil"/>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color w:val="000000"/>
                <w:lang w:val="en-US"/>
              </w:rPr>
            </w:pPr>
            <w:r>
              <w:rPr>
                <w:color w:val="000000"/>
                <w:sz w:val="22"/>
                <w:szCs w:val="22"/>
                <w:lang w:val="en-US"/>
              </w:rPr>
              <w:t>0</w:t>
            </w:r>
          </w:p>
        </w:tc>
        <w:tc>
          <w:tcPr>
            <w:tcW w:w="250" w:type="dxa"/>
            <w:tcBorders>
              <w:top w:val="nil"/>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191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iCs/>
                <w:color w:val="000000"/>
                <w:lang w:val="en-US"/>
              </w:rPr>
            </w:pPr>
            <w:r>
              <w:rPr>
                <w:iCs/>
                <w:color w:val="000000"/>
                <w:sz w:val="22"/>
                <w:szCs w:val="22"/>
                <w:lang w:val="en-US"/>
              </w:rPr>
              <w:t>1</w:t>
            </w:r>
          </w:p>
        </w:tc>
      </w:tr>
      <w:tr w:rsidR="00AE4097" w:rsidTr="00176384">
        <w:trPr>
          <w:trHeight w:val="610"/>
        </w:trPr>
        <w:tc>
          <w:tcPr>
            <w:tcW w:w="2343" w:type="dxa"/>
            <w:tcBorders>
              <w:top w:val="nil"/>
              <w:left w:val="single" w:sz="4" w:space="0" w:color="auto"/>
              <w:bottom w:val="nil"/>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3286" w:type="dxa"/>
            <w:tcBorders>
              <w:top w:val="nil"/>
              <w:left w:val="nil"/>
              <w:bottom w:val="single" w:sz="4" w:space="0" w:color="auto"/>
              <w:right w:val="single" w:sz="4" w:space="0" w:color="auto"/>
            </w:tcBorders>
            <w:vAlign w:val="bottom"/>
          </w:tcPr>
          <w:p w:rsidR="00AE4097" w:rsidRDefault="00AE4097" w:rsidP="00176384">
            <w:pPr>
              <w:rPr>
                <w:i/>
                <w:color w:val="000000"/>
                <w:lang w:val="en-US"/>
              </w:rPr>
            </w:pPr>
            <w:r>
              <w:rPr>
                <w:i/>
                <w:color w:val="000000"/>
                <w:sz w:val="22"/>
                <w:szCs w:val="22"/>
                <w:lang w:val="en-US"/>
              </w:rPr>
              <w:t>Information processing and technology risk</w:t>
            </w:r>
          </w:p>
        </w:tc>
        <w:tc>
          <w:tcPr>
            <w:tcW w:w="250" w:type="dxa"/>
            <w:tcBorders>
              <w:top w:val="nil"/>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color w:val="000000"/>
                <w:lang w:val="en-US"/>
              </w:rPr>
            </w:pPr>
            <w:r>
              <w:rPr>
                <w:color w:val="000000"/>
                <w:sz w:val="22"/>
                <w:szCs w:val="22"/>
                <w:lang w:val="en-US"/>
              </w:rPr>
              <w:t>1</w:t>
            </w:r>
          </w:p>
        </w:tc>
        <w:tc>
          <w:tcPr>
            <w:tcW w:w="250" w:type="dxa"/>
            <w:tcBorders>
              <w:top w:val="nil"/>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color w:val="000000"/>
                <w:lang w:val="en-US"/>
              </w:rPr>
            </w:pPr>
            <w:r>
              <w:rPr>
                <w:color w:val="000000"/>
                <w:sz w:val="22"/>
                <w:szCs w:val="22"/>
                <w:lang w:val="en-US"/>
              </w:rPr>
              <w:t>0</w:t>
            </w:r>
          </w:p>
        </w:tc>
        <w:tc>
          <w:tcPr>
            <w:tcW w:w="250" w:type="dxa"/>
            <w:tcBorders>
              <w:top w:val="nil"/>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191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iCs/>
                <w:color w:val="000000"/>
                <w:lang w:val="en-US"/>
              </w:rPr>
            </w:pPr>
            <w:r>
              <w:rPr>
                <w:iCs/>
                <w:color w:val="000000"/>
                <w:sz w:val="22"/>
                <w:szCs w:val="22"/>
                <w:lang w:val="en-US"/>
              </w:rPr>
              <w:t>1</w:t>
            </w:r>
          </w:p>
        </w:tc>
      </w:tr>
      <w:tr w:rsidR="00AE4097" w:rsidTr="00176384">
        <w:trPr>
          <w:trHeight w:val="341"/>
        </w:trPr>
        <w:tc>
          <w:tcPr>
            <w:tcW w:w="2343" w:type="dxa"/>
            <w:tcBorders>
              <w:top w:val="nil"/>
              <w:left w:val="single" w:sz="4" w:space="0" w:color="auto"/>
              <w:bottom w:val="nil"/>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3286" w:type="dxa"/>
            <w:tcBorders>
              <w:top w:val="nil"/>
              <w:left w:val="nil"/>
              <w:bottom w:val="single" w:sz="4" w:space="0" w:color="auto"/>
              <w:right w:val="single" w:sz="4" w:space="0" w:color="auto"/>
            </w:tcBorders>
            <w:noWrap/>
            <w:vAlign w:val="bottom"/>
          </w:tcPr>
          <w:p w:rsidR="00AE4097" w:rsidRDefault="00AE4097" w:rsidP="00176384">
            <w:pPr>
              <w:rPr>
                <w:i/>
                <w:color w:val="000000"/>
                <w:lang w:val="en-US"/>
              </w:rPr>
            </w:pPr>
            <w:r>
              <w:rPr>
                <w:i/>
                <w:color w:val="000000"/>
                <w:sz w:val="22"/>
                <w:szCs w:val="22"/>
                <w:lang w:val="en-US"/>
              </w:rPr>
              <w:t>Integrity risk</w:t>
            </w:r>
          </w:p>
        </w:tc>
        <w:tc>
          <w:tcPr>
            <w:tcW w:w="250" w:type="dxa"/>
            <w:tcBorders>
              <w:top w:val="nil"/>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color w:val="000000"/>
                <w:lang w:val="en-US"/>
              </w:rPr>
            </w:pPr>
            <w:r>
              <w:rPr>
                <w:color w:val="000000"/>
                <w:sz w:val="22"/>
                <w:szCs w:val="22"/>
                <w:lang w:val="en-US"/>
              </w:rPr>
              <w:t>0</w:t>
            </w:r>
          </w:p>
        </w:tc>
        <w:tc>
          <w:tcPr>
            <w:tcW w:w="250" w:type="dxa"/>
            <w:tcBorders>
              <w:top w:val="nil"/>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color w:val="000000"/>
                <w:lang w:val="en-US"/>
              </w:rPr>
            </w:pPr>
            <w:r>
              <w:rPr>
                <w:color w:val="000000"/>
                <w:sz w:val="22"/>
                <w:szCs w:val="22"/>
                <w:lang w:val="en-US"/>
              </w:rPr>
              <w:t>0</w:t>
            </w:r>
          </w:p>
        </w:tc>
        <w:tc>
          <w:tcPr>
            <w:tcW w:w="250" w:type="dxa"/>
            <w:tcBorders>
              <w:top w:val="nil"/>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191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iCs/>
                <w:color w:val="000000"/>
                <w:lang w:val="en-US"/>
              </w:rPr>
            </w:pPr>
            <w:r>
              <w:rPr>
                <w:iCs/>
                <w:color w:val="000000"/>
                <w:sz w:val="22"/>
                <w:szCs w:val="22"/>
                <w:lang w:val="en-US"/>
              </w:rPr>
              <w:t>0</w:t>
            </w:r>
          </w:p>
        </w:tc>
      </w:tr>
      <w:tr w:rsidR="00AE4097" w:rsidTr="00176384">
        <w:trPr>
          <w:trHeight w:val="341"/>
        </w:trPr>
        <w:tc>
          <w:tcPr>
            <w:tcW w:w="2343" w:type="dxa"/>
            <w:tcBorders>
              <w:top w:val="nil"/>
              <w:left w:val="single" w:sz="4" w:space="0" w:color="auto"/>
              <w:bottom w:val="single" w:sz="4" w:space="0" w:color="auto"/>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3286" w:type="dxa"/>
            <w:tcBorders>
              <w:top w:val="nil"/>
              <w:left w:val="nil"/>
              <w:bottom w:val="single" w:sz="4" w:space="0" w:color="auto"/>
              <w:right w:val="single" w:sz="4" w:space="0" w:color="auto"/>
            </w:tcBorders>
            <w:noWrap/>
            <w:vAlign w:val="bottom"/>
          </w:tcPr>
          <w:p w:rsidR="00AE4097" w:rsidRDefault="00AE4097" w:rsidP="00176384">
            <w:pPr>
              <w:rPr>
                <w:i/>
                <w:color w:val="000000"/>
                <w:lang w:val="en-US"/>
              </w:rPr>
            </w:pPr>
            <w:r>
              <w:rPr>
                <w:i/>
                <w:color w:val="000000"/>
                <w:sz w:val="22"/>
                <w:szCs w:val="22"/>
                <w:lang w:val="en-US"/>
              </w:rPr>
              <w:t>Strategic risk</w:t>
            </w:r>
          </w:p>
        </w:tc>
        <w:tc>
          <w:tcPr>
            <w:tcW w:w="250" w:type="dxa"/>
            <w:tcBorders>
              <w:top w:val="nil"/>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color w:val="000000"/>
                <w:lang w:val="en-US"/>
              </w:rPr>
            </w:pPr>
            <w:r>
              <w:rPr>
                <w:color w:val="000000"/>
                <w:sz w:val="22"/>
                <w:szCs w:val="22"/>
                <w:lang w:val="en-US"/>
              </w:rPr>
              <w:t>1</w:t>
            </w:r>
          </w:p>
        </w:tc>
        <w:tc>
          <w:tcPr>
            <w:tcW w:w="250" w:type="dxa"/>
            <w:tcBorders>
              <w:top w:val="nil"/>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2572"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color w:val="000000"/>
                <w:lang w:val="en-US"/>
              </w:rPr>
            </w:pPr>
            <w:r>
              <w:rPr>
                <w:color w:val="000000"/>
                <w:sz w:val="22"/>
                <w:szCs w:val="22"/>
                <w:lang w:val="en-US"/>
              </w:rPr>
              <w:t>0</w:t>
            </w:r>
          </w:p>
        </w:tc>
        <w:tc>
          <w:tcPr>
            <w:tcW w:w="250" w:type="dxa"/>
            <w:tcBorders>
              <w:top w:val="nil"/>
              <w:left w:val="nil"/>
              <w:bottom w:val="single" w:sz="4" w:space="0" w:color="auto"/>
              <w:right w:val="nil"/>
            </w:tcBorders>
            <w:noWrap/>
            <w:vAlign w:val="bottom"/>
          </w:tcPr>
          <w:p w:rsidR="00AE4097" w:rsidRDefault="00AE4097" w:rsidP="00176384">
            <w:pPr>
              <w:rPr>
                <w:color w:val="000000"/>
                <w:lang w:val="en-US"/>
              </w:rPr>
            </w:pPr>
            <w:r>
              <w:rPr>
                <w:color w:val="000000"/>
                <w:sz w:val="22"/>
                <w:szCs w:val="22"/>
                <w:lang w:val="en-US"/>
              </w:rPr>
              <w:t> </w:t>
            </w:r>
          </w:p>
        </w:tc>
        <w:tc>
          <w:tcPr>
            <w:tcW w:w="191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iCs/>
                <w:color w:val="000000"/>
                <w:lang w:val="en-US"/>
              </w:rPr>
            </w:pPr>
            <w:r>
              <w:rPr>
                <w:iCs/>
                <w:color w:val="000000"/>
                <w:sz w:val="22"/>
                <w:szCs w:val="22"/>
                <w:lang w:val="en-US"/>
              </w:rPr>
              <w:t>1</w:t>
            </w:r>
          </w:p>
        </w:tc>
      </w:tr>
      <w:tr w:rsidR="00AE4097" w:rsidTr="00176384">
        <w:trPr>
          <w:trHeight w:val="341"/>
        </w:trPr>
        <w:tc>
          <w:tcPr>
            <w:tcW w:w="2343" w:type="dxa"/>
            <w:tcBorders>
              <w:top w:val="nil"/>
              <w:left w:val="nil"/>
              <w:bottom w:val="nil"/>
              <w:right w:val="nil"/>
            </w:tcBorders>
            <w:noWrap/>
            <w:vAlign w:val="bottom"/>
          </w:tcPr>
          <w:p w:rsidR="00AE4097" w:rsidRDefault="00AE4097" w:rsidP="00176384">
            <w:pPr>
              <w:rPr>
                <w:color w:val="000000"/>
                <w:lang w:val="en-US"/>
              </w:rPr>
            </w:pPr>
          </w:p>
        </w:tc>
        <w:tc>
          <w:tcPr>
            <w:tcW w:w="3286" w:type="dxa"/>
            <w:tcBorders>
              <w:top w:val="nil"/>
              <w:left w:val="single" w:sz="4" w:space="0" w:color="auto"/>
              <w:bottom w:val="single" w:sz="4" w:space="0" w:color="auto"/>
              <w:right w:val="single" w:sz="4" w:space="0" w:color="auto"/>
            </w:tcBorders>
            <w:noWrap/>
            <w:vAlign w:val="bottom"/>
          </w:tcPr>
          <w:p w:rsidR="00AE4097" w:rsidRDefault="00AE4097" w:rsidP="00176384">
            <w:pPr>
              <w:rPr>
                <w:color w:val="000000"/>
                <w:lang w:val="en-US"/>
              </w:rPr>
            </w:pPr>
            <w:r>
              <w:rPr>
                <w:color w:val="000000"/>
                <w:sz w:val="22"/>
                <w:szCs w:val="22"/>
                <w:lang w:val="en-US"/>
              </w:rPr>
              <w:t> </w:t>
            </w: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2572" w:type="dxa"/>
            <w:tcBorders>
              <w:top w:val="nil"/>
              <w:left w:val="single" w:sz="4" w:space="0" w:color="auto"/>
              <w:bottom w:val="nil"/>
              <w:right w:val="single" w:sz="4" w:space="0" w:color="auto"/>
            </w:tcBorders>
            <w:noWrap/>
            <w:vAlign w:val="bottom"/>
          </w:tcPr>
          <w:p w:rsidR="00AE4097" w:rsidRDefault="00AE4097" w:rsidP="00176384">
            <w:pPr>
              <w:jc w:val="cente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2572" w:type="dxa"/>
            <w:tcBorders>
              <w:top w:val="nil"/>
              <w:left w:val="single" w:sz="4" w:space="0" w:color="auto"/>
              <w:bottom w:val="nil"/>
              <w:right w:val="single" w:sz="4" w:space="0" w:color="auto"/>
            </w:tcBorders>
            <w:noWrap/>
            <w:vAlign w:val="bottom"/>
          </w:tcPr>
          <w:p w:rsidR="00AE4097" w:rsidRDefault="00AE4097" w:rsidP="00176384">
            <w:pPr>
              <w:jc w:val="cente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1910" w:type="dxa"/>
            <w:tcBorders>
              <w:top w:val="nil"/>
              <w:left w:val="single" w:sz="4" w:space="0" w:color="auto"/>
              <w:bottom w:val="nil"/>
              <w:right w:val="single" w:sz="4" w:space="0" w:color="auto"/>
            </w:tcBorders>
            <w:noWrap/>
            <w:vAlign w:val="bottom"/>
          </w:tcPr>
          <w:p w:rsidR="00AE4097" w:rsidRDefault="00AE4097" w:rsidP="00176384">
            <w:pPr>
              <w:jc w:val="center"/>
              <w:rPr>
                <w:color w:val="000000"/>
                <w:lang w:val="en-US"/>
              </w:rPr>
            </w:pPr>
          </w:p>
        </w:tc>
      </w:tr>
      <w:tr w:rsidR="00AE4097" w:rsidTr="00176384">
        <w:trPr>
          <w:trHeight w:val="341"/>
        </w:trPr>
        <w:tc>
          <w:tcPr>
            <w:tcW w:w="2343" w:type="dxa"/>
            <w:tcBorders>
              <w:top w:val="nil"/>
              <w:left w:val="nil"/>
              <w:bottom w:val="nil"/>
              <w:right w:val="nil"/>
            </w:tcBorders>
            <w:noWrap/>
            <w:vAlign w:val="bottom"/>
          </w:tcPr>
          <w:p w:rsidR="00AE4097" w:rsidRDefault="00AE4097" w:rsidP="00176384">
            <w:pPr>
              <w:rPr>
                <w:color w:val="000000"/>
                <w:lang w:val="en-US"/>
              </w:rPr>
            </w:pPr>
          </w:p>
        </w:tc>
        <w:tc>
          <w:tcPr>
            <w:tcW w:w="3286" w:type="dxa"/>
            <w:tcBorders>
              <w:top w:val="nil"/>
              <w:left w:val="single" w:sz="4" w:space="0" w:color="auto"/>
              <w:bottom w:val="single" w:sz="4" w:space="0" w:color="auto"/>
              <w:right w:val="single" w:sz="4" w:space="0" w:color="auto"/>
            </w:tcBorders>
            <w:noWrap/>
            <w:vAlign w:val="bottom"/>
          </w:tcPr>
          <w:p w:rsidR="00AE4097" w:rsidRDefault="00AE4097" w:rsidP="00176384">
            <w:pPr>
              <w:rPr>
                <w:i/>
                <w:iCs/>
                <w:color w:val="000000"/>
                <w:lang w:val="en-US"/>
              </w:rPr>
            </w:pPr>
            <w:r>
              <w:rPr>
                <w:i/>
                <w:iCs/>
                <w:color w:val="000000"/>
                <w:sz w:val="22"/>
                <w:szCs w:val="22"/>
                <w:lang w:val="en-US"/>
              </w:rPr>
              <w:t>Total Score:</w:t>
            </w:r>
          </w:p>
        </w:tc>
        <w:tc>
          <w:tcPr>
            <w:tcW w:w="250" w:type="dxa"/>
            <w:tcBorders>
              <w:top w:val="single" w:sz="4" w:space="0" w:color="auto"/>
              <w:left w:val="nil"/>
              <w:bottom w:val="single" w:sz="4" w:space="0" w:color="auto"/>
              <w:right w:val="nil"/>
            </w:tcBorders>
            <w:noWrap/>
            <w:vAlign w:val="bottom"/>
          </w:tcPr>
          <w:p w:rsidR="00AE4097" w:rsidRDefault="00AE4097" w:rsidP="00176384">
            <w:pPr>
              <w:rPr>
                <w:i/>
                <w:iCs/>
                <w:color w:val="000000"/>
                <w:lang w:val="en-US"/>
              </w:rPr>
            </w:pPr>
            <w:r>
              <w:rPr>
                <w:i/>
                <w:iCs/>
                <w:color w:val="000000"/>
                <w:sz w:val="22"/>
                <w:szCs w:val="22"/>
                <w:lang w:val="en-US"/>
              </w:rPr>
              <w:t> </w:t>
            </w:r>
          </w:p>
        </w:tc>
        <w:tc>
          <w:tcPr>
            <w:tcW w:w="2572"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jc w:val="center"/>
              <w:rPr>
                <w:i/>
                <w:iCs/>
                <w:color w:val="000000"/>
                <w:lang w:val="en-US"/>
              </w:rPr>
            </w:pPr>
            <w:r>
              <w:rPr>
                <w:i/>
                <w:iCs/>
                <w:color w:val="000000"/>
                <w:sz w:val="22"/>
                <w:szCs w:val="22"/>
                <w:lang w:val="en-US"/>
              </w:rPr>
              <w:t>9</w:t>
            </w:r>
          </w:p>
        </w:tc>
        <w:tc>
          <w:tcPr>
            <w:tcW w:w="250" w:type="dxa"/>
            <w:tcBorders>
              <w:top w:val="single" w:sz="4" w:space="0" w:color="auto"/>
              <w:left w:val="nil"/>
              <w:bottom w:val="single" w:sz="4" w:space="0" w:color="auto"/>
              <w:right w:val="nil"/>
            </w:tcBorders>
            <w:noWrap/>
            <w:vAlign w:val="bottom"/>
          </w:tcPr>
          <w:p w:rsidR="00AE4097" w:rsidRDefault="00AE4097" w:rsidP="00176384">
            <w:pPr>
              <w:jc w:val="center"/>
              <w:rPr>
                <w:i/>
                <w:iCs/>
                <w:color w:val="000000"/>
                <w:lang w:val="en-US"/>
              </w:rPr>
            </w:pPr>
            <w:r>
              <w:rPr>
                <w:i/>
                <w:iCs/>
                <w:color w:val="000000"/>
                <w:sz w:val="22"/>
                <w:szCs w:val="22"/>
                <w:lang w:val="en-US"/>
              </w:rPr>
              <w:t> </w:t>
            </w:r>
          </w:p>
        </w:tc>
        <w:tc>
          <w:tcPr>
            <w:tcW w:w="2572"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jc w:val="center"/>
              <w:rPr>
                <w:i/>
                <w:iCs/>
                <w:color w:val="000000"/>
                <w:lang w:val="en-US"/>
              </w:rPr>
            </w:pPr>
            <w:r>
              <w:rPr>
                <w:i/>
                <w:iCs/>
                <w:color w:val="000000"/>
                <w:sz w:val="22"/>
                <w:szCs w:val="22"/>
                <w:lang w:val="en-US"/>
              </w:rPr>
              <w:t>2</w:t>
            </w:r>
          </w:p>
        </w:tc>
        <w:tc>
          <w:tcPr>
            <w:tcW w:w="250" w:type="dxa"/>
            <w:tcBorders>
              <w:top w:val="single" w:sz="4" w:space="0" w:color="auto"/>
              <w:left w:val="nil"/>
              <w:bottom w:val="single" w:sz="4" w:space="0" w:color="auto"/>
              <w:right w:val="nil"/>
            </w:tcBorders>
            <w:noWrap/>
            <w:vAlign w:val="bottom"/>
          </w:tcPr>
          <w:p w:rsidR="00AE4097" w:rsidRDefault="00AE4097" w:rsidP="00176384">
            <w:pPr>
              <w:jc w:val="center"/>
              <w:rPr>
                <w:i/>
                <w:iCs/>
                <w:color w:val="000000"/>
                <w:lang w:val="en-US"/>
              </w:rPr>
            </w:pPr>
            <w:r>
              <w:rPr>
                <w:i/>
                <w:iCs/>
                <w:color w:val="000000"/>
                <w:sz w:val="22"/>
                <w:szCs w:val="22"/>
                <w:lang w:val="en-US"/>
              </w:rPr>
              <w:t> </w:t>
            </w:r>
          </w:p>
        </w:tc>
        <w:tc>
          <w:tcPr>
            <w:tcW w:w="1910"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jc w:val="center"/>
              <w:rPr>
                <w:i/>
                <w:iCs/>
                <w:color w:val="000000"/>
                <w:lang w:val="en-US"/>
              </w:rPr>
            </w:pPr>
            <w:r>
              <w:rPr>
                <w:i/>
                <w:iCs/>
                <w:color w:val="000000"/>
                <w:sz w:val="22"/>
                <w:szCs w:val="22"/>
                <w:lang w:val="en-US"/>
              </w:rPr>
              <w:t>11</w:t>
            </w:r>
          </w:p>
        </w:tc>
      </w:tr>
      <w:tr w:rsidR="00AE4097" w:rsidTr="00176384">
        <w:trPr>
          <w:trHeight w:val="341"/>
        </w:trPr>
        <w:tc>
          <w:tcPr>
            <w:tcW w:w="2343" w:type="dxa"/>
            <w:tcBorders>
              <w:top w:val="nil"/>
              <w:left w:val="nil"/>
              <w:bottom w:val="nil"/>
              <w:right w:val="nil"/>
            </w:tcBorders>
            <w:noWrap/>
            <w:vAlign w:val="bottom"/>
          </w:tcPr>
          <w:p w:rsidR="00AE4097" w:rsidRDefault="00AE4097" w:rsidP="00176384">
            <w:pPr>
              <w:rPr>
                <w:rFonts w:ascii="Arial" w:hAnsi="Arial" w:cs="Arial"/>
                <w:color w:val="000000"/>
                <w:sz w:val="20"/>
                <w:szCs w:val="20"/>
                <w:lang w:val="en-US"/>
              </w:rPr>
            </w:pPr>
          </w:p>
        </w:tc>
        <w:tc>
          <w:tcPr>
            <w:tcW w:w="3286"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c>
          <w:tcPr>
            <w:tcW w:w="250"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c>
          <w:tcPr>
            <w:tcW w:w="2572"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c>
          <w:tcPr>
            <w:tcW w:w="250"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c>
          <w:tcPr>
            <w:tcW w:w="2572"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c>
          <w:tcPr>
            <w:tcW w:w="250"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c>
          <w:tcPr>
            <w:tcW w:w="1910"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r>
      <w:tr w:rsidR="00AE4097" w:rsidTr="00176384">
        <w:trPr>
          <w:trHeight w:val="341"/>
        </w:trPr>
        <w:tc>
          <w:tcPr>
            <w:tcW w:w="2343" w:type="dxa"/>
            <w:tcBorders>
              <w:top w:val="nil"/>
              <w:left w:val="nil"/>
              <w:bottom w:val="nil"/>
              <w:right w:val="nil"/>
            </w:tcBorders>
            <w:noWrap/>
            <w:vAlign w:val="bottom"/>
          </w:tcPr>
          <w:p w:rsidR="00AE4097" w:rsidRDefault="00AE4097" w:rsidP="00176384">
            <w:pPr>
              <w:rPr>
                <w:rFonts w:ascii="Arial" w:hAnsi="Arial" w:cs="Arial"/>
                <w:color w:val="000000"/>
                <w:sz w:val="20"/>
                <w:szCs w:val="20"/>
                <w:lang w:val="en-US"/>
              </w:rPr>
            </w:pPr>
          </w:p>
        </w:tc>
        <w:tc>
          <w:tcPr>
            <w:tcW w:w="3286"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c>
          <w:tcPr>
            <w:tcW w:w="250"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c>
          <w:tcPr>
            <w:tcW w:w="2572"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c>
          <w:tcPr>
            <w:tcW w:w="250"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c>
          <w:tcPr>
            <w:tcW w:w="2572"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c>
          <w:tcPr>
            <w:tcW w:w="250"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c>
          <w:tcPr>
            <w:tcW w:w="1910" w:type="dxa"/>
            <w:tcBorders>
              <w:top w:val="nil"/>
              <w:left w:val="nil"/>
              <w:bottom w:val="nil"/>
              <w:right w:val="nil"/>
            </w:tcBorders>
            <w:noWrap/>
            <w:vAlign w:val="bottom"/>
          </w:tcPr>
          <w:p w:rsidR="00AE4097" w:rsidRDefault="00AE4097" w:rsidP="00176384">
            <w:pPr>
              <w:rPr>
                <w:rFonts w:ascii="Arial" w:hAnsi="Arial" w:cs="Arial"/>
                <w:color w:val="000000"/>
                <w:lang w:val="en-US"/>
              </w:rPr>
            </w:pPr>
          </w:p>
        </w:tc>
      </w:tr>
      <w:tr w:rsidR="00AE4097" w:rsidTr="00176384">
        <w:trPr>
          <w:trHeight w:val="341"/>
        </w:trPr>
        <w:tc>
          <w:tcPr>
            <w:tcW w:w="5629" w:type="dxa"/>
            <w:gridSpan w:val="2"/>
            <w:tcBorders>
              <w:top w:val="nil"/>
              <w:left w:val="nil"/>
              <w:bottom w:val="nil"/>
              <w:right w:val="nil"/>
            </w:tcBorders>
            <w:noWrap/>
            <w:vAlign w:val="bottom"/>
          </w:tcPr>
          <w:p w:rsidR="00AE4097" w:rsidRDefault="00AE4097" w:rsidP="00176384">
            <w:pPr>
              <w:rPr>
                <w:b/>
                <w:i/>
                <w:color w:val="000000"/>
                <w:lang w:val="en-US"/>
              </w:rPr>
            </w:pPr>
            <w:r>
              <w:rPr>
                <w:b/>
                <w:i/>
                <w:color w:val="000000"/>
                <w:sz w:val="22"/>
                <w:szCs w:val="22"/>
                <w:lang w:val="en-US"/>
              </w:rPr>
              <w:t>Index = Actual score / Total possible score =  11/ 20 = 0.55</w:t>
            </w:r>
          </w:p>
        </w:tc>
        <w:tc>
          <w:tcPr>
            <w:tcW w:w="250" w:type="dxa"/>
            <w:tcBorders>
              <w:top w:val="nil"/>
              <w:left w:val="nil"/>
              <w:bottom w:val="nil"/>
              <w:right w:val="nil"/>
            </w:tcBorders>
            <w:noWrap/>
            <w:vAlign w:val="bottom"/>
          </w:tcPr>
          <w:p w:rsidR="00AE4097" w:rsidRDefault="00AE4097" w:rsidP="00176384">
            <w:pPr>
              <w:rPr>
                <w:b/>
                <w:i/>
                <w:color w:val="000000"/>
                <w:lang w:val="en-US"/>
              </w:rPr>
            </w:pPr>
          </w:p>
        </w:tc>
        <w:tc>
          <w:tcPr>
            <w:tcW w:w="2572" w:type="dxa"/>
            <w:tcBorders>
              <w:top w:val="nil"/>
              <w:left w:val="nil"/>
              <w:bottom w:val="nil"/>
              <w:right w:val="nil"/>
            </w:tcBorders>
            <w:noWrap/>
            <w:vAlign w:val="bottom"/>
          </w:tcPr>
          <w:p w:rsidR="00AE4097" w:rsidRDefault="00AE4097" w:rsidP="00176384">
            <w:pP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2572" w:type="dxa"/>
            <w:tcBorders>
              <w:top w:val="nil"/>
              <w:left w:val="nil"/>
              <w:bottom w:val="nil"/>
              <w:right w:val="nil"/>
            </w:tcBorders>
            <w:noWrap/>
            <w:vAlign w:val="bottom"/>
          </w:tcPr>
          <w:p w:rsidR="00AE4097" w:rsidRDefault="00AE4097" w:rsidP="00176384">
            <w:pPr>
              <w:rPr>
                <w:color w:val="000000"/>
                <w:lang w:val="en-US"/>
              </w:rPr>
            </w:pPr>
          </w:p>
        </w:tc>
        <w:tc>
          <w:tcPr>
            <w:tcW w:w="250" w:type="dxa"/>
            <w:tcBorders>
              <w:top w:val="nil"/>
              <w:left w:val="nil"/>
              <w:bottom w:val="nil"/>
              <w:right w:val="nil"/>
            </w:tcBorders>
            <w:noWrap/>
            <w:vAlign w:val="bottom"/>
          </w:tcPr>
          <w:p w:rsidR="00AE4097" w:rsidRDefault="00AE4097" w:rsidP="00176384">
            <w:pPr>
              <w:rPr>
                <w:color w:val="000000"/>
                <w:lang w:val="en-US"/>
              </w:rPr>
            </w:pPr>
          </w:p>
        </w:tc>
        <w:tc>
          <w:tcPr>
            <w:tcW w:w="1910" w:type="dxa"/>
            <w:tcBorders>
              <w:top w:val="nil"/>
              <w:left w:val="nil"/>
              <w:bottom w:val="nil"/>
              <w:right w:val="nil"/>
            </w:tcBorders>
            <w:noWrap/>
            <w:vAlign w:val="bottom"/>
          </w:tcPr>
          <w:p w:rsidR="00AE4097" w:rsidRDefault="00AE4097" w:rsidP="00176384">
            <w:pPr>
              <w:rPr>
                <w:color w:val="000000"/>
                <w:lang w:val="en-US"/>
              </w:rPr>
            </w:pPr>
          </w:p>
        </w:tc>
      </w:tr>
    </w:tbl>
    <w:p w:rsidR="00AE4097" w:rsidRDefault="00AE4097" w:rsidP="00AE4097">
      <w:pPr>
        <w:autoSpaceDE w:val="0"/>
        <w:autoSpaceDN w:val="0"/>
        <w:adjustRightInd w:val="0"/>
        <w:jc w:val="both"/>
        <w:rPr>
          <w:sz w:val="22"/>
          <w:szCs w:val="22"/>
          <w:lang w:val="en-US" w:eastAsia="en-US"/>
        </w:rPr>
      </w:pPr>
    </w:p>
    <w:p w:rsidR="00AE4097" w:rsidRDefault="00AE4097" w:rsidP="00AE4097">
      <w:pPr>
        <w:autoSpaceDE w:val="0"/>
        <w:autoSpaceDN w:val="0"/>
        <w:adjustRightInd w:val="0"/>
        <w:jc w:val="both"/>
        <w:rPr>
          <w:b/>
          <w:sz w:val="22"/>
          <w:szCs w:val="22"/>
          <w:lang w:val="en-US" w:eastAsia="en-US"/>
        </w:rPr>
        <w:sectPr w:rsidR="00AE4097">
          <w:type w:val="nextColumn"/>
          <w:pgSz w:w="16838" w:h="11906" w:orient="landscape" w:code="9"/>
          <w:pgMar w:top="1418" w:right="1418" w:bottom="1418" w:left="1418" w:header="709" w:footer="709" w:gutter="0"/>
          <w:cols w:space="720"/>
          <w:titlePg/>
          <w:docGrid w:linePitch="360"/>
        </w:sectPr>
      </w:pPr>
    </w:p>
    <w:p w:rsidR="00AE4097" w:rsidRDefault="00AE4097" w:rsidP="00AE4097">
      <w:pPr>
        <w:autoSpaceDE w:val="0"/>
        <w:autoSpaceDN w:val="0"/>
        <w:adjustRightInd w:val="0"/>
        <w:jc w:val="both"/>
        <w:rPr>
          <w:b/>
          <w:lang w:val="en-US" w:eastAsia="en-US"/>
        </w:rPr>
      </w:pPr>
      <w:r>
        <w:rPr>
          <w:b/>
          <w:lang w:val="en-US" w:eastAsia="en-US"/>
        </w:rPr>
        <w:lastRenderedPageBreak/>
        <w:t>Appendix VI Risk disclosure scores</w:t>
      </w:r>
    </w:p>
    <w:p w:rsidR="00AE4097" w:rsidRDefault="00AE4097" w:rsidP="00AE4097">
      <w:pPr>
        <w:autoSpaceDE w:val="0"/>
        <w:autoSpaceDN w:val="0"/>
        <w:adjustRightInd w:val="0"/>
        <w:jc w:val="both"/>
        <w:rPr>
          <w:b/>
          <w:sz w:val="22"/>
          <w:szCs w:val="22"/>
          <w:lang w:val="en-US" w:eastAsia="en-US"/>
        </w:rPr>
      </w:pPr>
    </w:p>
    <w:p w:rsidR="00AE4097" w:rsidRDefault="00AE4097" w:rsidP="00AE4097">
      <w:pPr>
        <w:autoSpaceDE w:val="0"/>
        <w:autoSpaceDN w:val="0"/>
        <w:adjustRightInd w:val="0"/>
        <w:jc w:val="both"/>
        <w:rPr>
          <w:b/>
          <w:sz w:val="22"/>
          <w:szCs w:val="22"/>
          <w:lang w:val="en-US"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09"/>
        <w:gridCol w:w="1801"/>
        <w:gridCol w:w="1843"/>
        <w:gridCol w:w="1701"/>
        <w:gridCol w:w="1701"/>
      </w:tblGrid>
      <w:tr w:rsidR="00AE4097" w:rsidTr="00176384">
        <w:tc>
          <w:tcPr>
            <w:tcW w:w="1709" w:type="dxa"/>
            <w:vAlign w:val="bottom"/>
          </w:tcPr>
          <w:p w:rsidR="00AE4097" w:rsidRDefault="00AE4097" w:rsidP="00176384">
            <w:pPr>
              <w:rPr>
                <w:b/>
                <w:bCs/>
                <w:color w:val="000000"/>
                <w:lang w:val="en-US"/>
              </w:rPr>
            </w:pPr>
            <w:r>
              <w:rPr>
                <w:b/>
                <w:bCs/>
                <w:color w:val="000000"/>
                <w:sz w:val="22"/>
                <w:szCs w:val="22"/>
                <w:lang w:val="en-US"/>
              </w:rPr>
              <w:t>Company</w:t>
            </w:r>
          </w:p>
        </w:tc>
        <w:tc>
          <w:tcPr>
            <w:tcW w:w="7046" w:type="dxa"/>
            <w:gridSpan w:val="4"/>
            <w:vAlign w:val="bottom"/>
          </w:tcPr>
          <w:p w:rsidR="00AE4097" w:rsidRDefault="00AE4097" w:rsidP="00176384">
            <w:pPr>
              <w:autoSpaceDE w:val="0"/>
              <w:autoSpaceDN w:val="0"/>
              <w:adjustRightInd w:val="0"/>
              <w:jc w:val="both"/>
              <w:rPr>
                <w:b/>
                <w:lang w:val="en-US" w:eastAsia="en-US"/>
              </w:rPr>
            </w:pPr>
            <w:r>
              <w:rPr>
                <w:b/>
                <w:bCs/>
                <w:color w:val="000000"/>
                <w:sz w:val="22"/>
                <w:szCs w:val="22"/>
                <w:lang w:val="en-US"/>
              </w:rPr>
              <w:t>Year</w:t>
            </w:r>
          </w:p>
        </w:tc>
      </w:tr>
      <w:tr w:rsidR="00AE4097" w:rsidTr="00176384">
        <w:tc>
          <w:tcPr>
            <w:tcW w:w="1709" w:type="dxa"/>
          </w:tcPr>
          <w:p w:rsidR="00AE4097" w:rsidRDefault="00AE4097" w:rsidP="00176384">
            <w:pPr>
              <w:autoSpaceDE w:val="0"/>
              <w:autoSpaceDN w:val="0"/>
              <w:adjustRightInd w:val="0"/>
              <w:jc w:val="both"/>
              <w:rPr>
                <w:b/>
                <w:lang w:val="en-US" w:eastAsia="en-US"/>
              </w:rPr>
            </w:pPr>
          </w:p>
        </w:tc>
        <w:tc>
          <w:tcPr>
            <w:tcW w:w="1801" w:type="dxa"/>
            <w:vAlign w:val="bottom"/>
          </w:tcPr>
          <w:p w:rsidR="00AE4097" w:rsidRDefault="00AE4097" w:rsidP="00176384">
            <w:pPr>
              <w:jc w:val="center"/>
              <w:rPr>
                <w:i/>
                <w:iCs/>
                <w:color w:val="000000"/>
                <w:lang w:val="en-US"/>
              </w:rPr>
            </w:pPr>
            <w:r>
              <w:rPr>
                <w:i/>
                <w:iCs/>
                <w:color w:val="000000"/>
                <w:sz w:val="22"/>
                <w:szCs w:val="22"/>
                <w:lang w:val="en-US"/>
              </w:rPr>
              <w:t>2006</w:t>
            </w:r>
          </w:p>
        </w:tc>
        <w:tc>
          <w:tcPr>
            <w:tcW w:w="1843" w:type="dxa"/>
            <w:vAlign w:val="bottom"/>
          </w:tcPr>
          <w:p w:rsidR="00AE4097" w:rsidRDefault="00AE4097" w:rsidP="00176384">
            <w:pPr>
              <w:jc w:val="center"/>
              <w:rPr>
                <w:i/>
                <w:iCs/>
                <w:color w:val="000000"/>
                <w:lang w:val="en-US"/>
              </w:rPr>
            </w:pPr>
            <w:r>
              <w:rPr>
                <w:i/>
                <w:iCs/>
                <w:color w:val="000000"/>
                <w:sz w:val="22"/>
                <w:szCs w:val="22"/>
                <w:lang w:val="en-US"/>
              </w:rPr>
              <w:t>2007</w:t>
            </w:r>
          </w:p>
        </w:tc>
        <w:tc>
          <w:tcPr>
            <w:tcW w:w="1701" w:type="dxa"/>
            <w:vAlign w:val="bottom"/>
          </w:tcPr>
          <w:p w:rsidR="00AE4097" w:rsidRDefault="00AE4097" w:rsidP="00176384">
            <w:pPr>
              <w:jc w:val="center"/>
              <w:rPr>
                <w:i/>
                <w:iCs/>
                <w:color w:val="000000"/>
                <w:lang w:val="en-US"/>
              </w:rPr>
            </w:pPr>
            <w:r>
              <w:rPr>
                <w:i/>
                <w:iCs/>
                <w:color w:val="000000"/>
                <w:sz w:val="22"/>
                <w:szCs w:val="22"/>
                <w:lang w:val="en-US"/>
              </w:rPr>
              <w:t>2008</w:t>
            </w:r>
          </w:p>
        </w:tc>
        <w:tc>
          <w:tcPr>
            <w:tcW w:w="1701" w:type="dxa"/>
            <w:vAlign w:val="bottom"/>
          </w:tcPr>
          <w:p w:rsidR="00AE4097" w:rsidRDefault="00AE4097" w:rsidP="00176384">
            <w:pPr>
              <w:jc w:val="center"/>
              <w:rPr>
                <w:i/>
                <w:iCs/>
                <w:color w:val="000000"/>
                <w:lang w:val="en-US"/>
              </w:rPr>
            </w:pPr>
            <w:r>
              <w:rPr>
                <w:i/>
                <w:iCs/>
                <w:color w:val="000000"/>
                <w:sz w:val="22"/>
                <w:szCs w:val="22"/>
                <w:lang w:val="en-US"/>
              </w:rPr>
              <w:t>2009</w:t>
            </w:r>
          </w:p>
        </w:tc>
      </w:tr>
      <w:tr w:rsidR="00AE4097" w:rsidTr="00176384">
        <w:tc>
          <w:tcPr>
            <w:tcW w:w="1709" w:type="dxa"/>
            <w:vAlign w:val="bottom"/>
          </w:tcPr>
          <w:p w:rsidR="00AE4097" w:rsidRDefault="00AE4097" w:rsidP="00176384">
            <w:pPr>
              <w:rPr>
                <w:color w:val="000000"/>
                <w:lang w:val="en-US"/>
              </w:rPr>
            </w:pPr>
          </w:p>
        </w:tc>
        <w:tc>
          <w:tcPr>
            <w:tcW w:w="1801" w:type="dxa"/>
            <w:vAlign w:val="bottom"/>
          </w:tcPr>
          <w:p w:rsidR="00AE4097" w:rsidRDefault="00AE4097" w:rsidP="00176384">
            <w:pPr>
              <w:jc w:val="center"/>
              <w:rPr>
                <w:color w:val="000000"/>
                <w:lang w:val="en-US"/>
              </w:rPr>
            </w:pPr>
          </w:p>
        </w:tc>
        <w:tc>
          <w:tcPr>
            <w:tcW w:w="1843" w:type="dxa"/>
            <w:vAlign w:val="bottom"/>
          </w:tcPr>
          <w:p w:rsidR="00AE4097" w:rsidRDefault="00AE4097" w:rsidP="00176384">
            <w:pPr>
              <w:jc w:val="center"/>
              <w:rPr>
                <w:color w:val="000000"/>
                <w:lang w:val="en-US"/>
              </w:rPr>
            </w:pPr>
          </w:p>
        </w:tc>
        <w:tc>
          <w:tcPr>
            <w:tcW w:w="1701" w:type="dxa"/>
            <w:vAlign w:val="bottom"/>
          </w:tcPr>
          <w:p w:rsidR="00AE4097" w:rsidRDefault="00AE4097" w:rsidP="00176384">
            <w:pPr>
              <w:jc w:val="center"/>
              <w:rPr>
                <w:color w:val="000000"/>
                <w:lang w:val="en-US"/>
              </w:rPr>
            </w:pPr>
          </w:p>
        </w:tc>
        <w:tc>
          <w:tcPr>
            <w:tcW w:w="1701" w:type="dxa"/>
            <w:vAlign w:val="bottom"/>
          </w:tcPr>
          <w:p w:rsidR="00AE4097" w:rsidRDefault="00AE4097" w:rsidP="00176384">
            <w:pPr>
              <w:jc w:val="center"/>
              <w:rPr>
                <w:color w:val="000000"/>
                <w:lang w:val="en-US"/>
              </w:rPr>
            </w:pP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Ahold</w:t>
            </w:r>
          </w:p>
        </w:tc>
        <w:tc>
          <w:tcPr>
            <w:tcW w:w="1801" w:type="dxa"/>
            <w:vAlign w:val="bottom"/>
          </w:tcPr>
          <w:p w:rsidR="00AE4097" w:rsidRDefault="00AE4097" w:rsidP="00176384">
            <w:pPr>
              <w:jc w:val="center"/>
              <w:rPr>
                <w:color w:val="000000"/>
                <w:lang w:val="en-US"/>
              </w:rPr>
            </w:pPr>
            <w:r>
              <w:rPr>
                <w:color w:val="000000"/>
                <w:sz w:val="22"/>
                <w:szCs w:val="22"/>
                <w:lang w:val="en-US"/>
              </w:rPr>
              <w:t>0.55</w:t>
            </w:r>
          </w:p>
        </w:tc>
        <w:tc>
          <w:tcPr>
            <w:tcW w:w="1843" w:type="dxa"/>
            <w:vAlign w:val="bottom"/>
          </w:tcPr>
          <w:p w:rsidR="00AE4097" w:rsidRDefault="00AE4097" w:rsidP="00176384">
            <w:pPr>
              <w:jc w:val="center"/>
              <w:rPr>
                <w:color w:val="000000"/>
                <w:lang w:val="en-US"/>
              </w:rPr>
            </w:pPr>
            <w:r>
              <w:rPr>
                <w:color w:val="000000"/>
                <w:sz w:val="22"/>
                <w:szCs w:val="22"/>
                <w:lang w:val="en-US"/>
              </w:rPr>
              <w:t>0.55</w:t>
            </w:r>
          </w:p>
        </w:tc>
        <w:tc>
          <w:tcPr>
            <w:tcW w:w="1701" w:type="dxa"/>
            <w:vAlign w:val="bottom"/>
          </w:tcPr>
          <w:p w:rsidR="00AE4097" w:rsidRDefault="00AE4097" w:rsidP="00176384">
            <w:pPr>
              <w:jc w:val="center"/>
              <w:rPr>
                <w:color w:val="000000"/>
                <w:lang w:val="en-US"/>
              </w:rPr>
            </w:pPr>
            <w:r>
              <w:rPr>
                <w:color w:val="000000"/>
                <w:sz w:val="22"/>
                <w:szCs w:val="22"/>
                <w:lang w:val="en-US"/>
              </w:rPr>
              <w:t>0.5</w:t>
            </w:r>
          </w:p>
        </w:tc>
        <w:tc>
          <w:tcPr>
            <w:tcW w:w="1701" w:type="dxa"/>
            <w:vAlign w:val="bottom"/>
          </w:tcPr>
          <w:p w:rsidR="00AE4097" w:rsidRDefault="00AE4097" w:rsidP="00176384">
            <w:pPr>
              <w:jc w:val="center"/>
              <w:rPr>
                <w:color w:val="000000"/>
                <w:lang w:val="en-US"/>
              </w:rPr>
            </w:pPr>
            <w:r>
              <w:rPr>
                <w:color w:val="000000"/>
                <w:sz w:val="22"/>
                <w:szCs w:val="22"/>
                <w:lang w:val="en-US"/>
              </w:rPr>
              <w:t>0.5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Akzo Nobel</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0.65</w:t>
            </w:r>
          </w:p>
        </w:tc>
        <w:tc>
          <w:tcPr>
            <w:tcW w:w="1843" w:type="dxa"/>
          </w:tcPr>
          <w:p w:rsidR="00AE4097" w:rsidRDefault="00AE4097" w:rsidP="00176384">
            <w:pPr>
              <w:autoSpaceDE w:val="0"/>
              <w:autoSpaceDN w:val="0"/>
              <w:adjustRightInd w:val="0"/>
              <w:jc w:val="center"/>
              <w:rPr>
                <w:lang w:val="en-US" w:eastAsia="en-US"/>
              </w:rPr>
            </w:pPr>
            <w:r>
              <w:rPr>
                <w:sz w:val="22"/>
                <w:szCs w:val="22"/>
                <w:lang w:val="en-US" w:eastAsia="en-US"/>
              </w:rPr>
              <w:t>0.75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ASML</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0.4</w:t>
            </w:r>
          </w:p>
        </w:tc>
        <w:tc>
          <w:tcPr>
            <w:tcW w:w="1843" w:type="dxa"/>
          </w:tcPr>
          <w:p w:rsidR="00AE4097" w:rsidRDefault="00AE4097" w:rsidP="00176384">
            <w:pPr>
              <w:autoSpaceDE w:val="0"/>
              <w:autoSpaceDN w:val="0"/>
              <w:adjustRightInd w:val="0"/>
              <w:jc w:val="center"/>
              <w:rPr>
                <w:lang w:val="en-US" w:eastAsia="en-US"/>
              </w:rPr>
            </w:pPr>
            <w:r>
              <w:rPr>
                <w:sz w:val="22"/>
                <w:szCs w:val="22"/>
                <w:lang w:val="en-US" w:eastAsia="en-US"/>
              </w:rPr>
              <w:t>0.4</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0.4</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0.4</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Bam Group</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0.55</w:t>
            </w:r>
          </w:p>
        </w:tc>
        <w:tc>
          <w:tcPr>
            <w:tcW w:w="1843" w:type="dxa"/>
          </w:tcPr>
          <w:p w:rsidR="00AE4097" w:rsidRDefault="00AE4097" w:rsidP="00176384">
            <w:pPr>
              <w:autoSpaceDE w:val="0"/>
              <w:autoSpaceDN w:val="0"/>
              <w:adjustRightInd w:val="0"/>
              <w:jc w:val="center"/>
              <w:rPr>
                <w:lang w:val="en-US" w:eastAsia="en-US"/>
              </w:rPr>
            </w:pPr>
            <w:r>
              <w:rPr>
                <w:sz w:val="22"/>
                <w:szCs w:val="22"/>
                <w:lang w:val="en-US" w:eastAsia="en-US"/>
              </w:rPr>
              <w:t>0.55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Boskalis</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0.55</w:t>
            </w:r>
          </w:p>
        </w:tc>
        <w:tc>
          <w:tcPr>
            <w:tcW w:w="1843" w:type="dxa"/>
          </w:tcPr>
          <w:p w:rsidR="00AE4097" w:rsidRDefault="00AE4097" w:rsidP="00176384">
            <w:pPr>
              <w:autoSpaceDE w:val="0"/>
              <w:autoSpaceDN w:val="0"/>
              <w:adjustRightInd w:val="0"/>
              <w:jc w:val="center"/>
              <w:rPr>
                <w:lang w:val="en-US" w:eastAsia="en-US"/>
              </w:rPr>
            </w:pPr>
            <w:r>
              <w:rPr>
                <w:sz w:val="22"/>
                <w:szCs w:val="22"/>
                <w:lang w:val="en-US" w:eastAsia="en-US"/>
              </w:rPr>
              <w:t>0.55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0.55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0.55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DSM</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0.35</w:t>
            </w:r>
          </w:p>
        </w:tc>
        <w:tc>
          <w:tcPr>
            <w:tcW w:w="1843" w:type="dxa"/>
          </w:tcPr>
          <w:p w:rsidR="00AE4097" w:rsidRDefault="00AE4097" w:rsidP="00176384">
            <w:pPr>
              <w:autoSpaceDE w:val="0"/>
              <w:autoSpaceDN w:val="0"/>
              <w:adjustRightInd w:val="0"/>
              <w:jc w:val="center"/>
              <w:rPr>
                <w:lang w:val="en-US" w:eastAsia="en-US"/>
              </w:rPr>
            </w:pPr>
            <w:r>
              <w:rPr>
                <w:sz w:val="22"/>
                <w:szCs w:val="22"/>
                <w:lang w:val="en-US" w:eastAsia="en-US"/>
              </w:rPr>
              <w:t>0.35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0.35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0.65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Fugro</w:t>
            </w:r>
          </w:p>
        </w:tc>
        <w:tc>
          <w:tcPr>
            <w:tcW w:w="1801" w:type="dxa"/>
          </w:tcPr>
          <w:p w:rsidR="00AE4097" w:rsidRDefault="00AE4097" w:rsidP="00176384">
            <w:pPr>
              <w:autoSpaceDE w:val="0"/>
              <w:autoSpaceDN w:val="0"/>
              <w:adjustRightInd w:val="0"/>
              <w:jc w:val="center"/>
              <w:rPr>
                <w:lang w:eastAsia="en-US"/>
              </w:rPr>
            </w:pPr>
            <w:r>
              <w:rPr>
                <w:color w:val="000000"/>
                <w:sz w:val="22"/>
                <w:szCs w:val="22"/>
              </w:rPr>
              <w:t>0.5</w:t>
            </w:r>
          </w:p>
        </w:tc>
        <w:tc>
          <w:tcPr>
            <w:tcW w:w="1843" w:type="dxa"/>
          </w:tcPr>
          <w:p w:rsidR="00AE4097" w:rsidRDefault="00AE4097" w:rsidP="00176384">
            <w:pPr>
              <w:autoSpaceDE w:val="0"/>
              <w:autoSpaceDN w:val="0"/>
              <w:adjustRightInd w:val="0"/>
              <w:jc w:val="center"/>
              <w:rPr>
                <w:lang w:eastAsia="en-US"/>
              </w:rPr>
            </w:pPr>
            <w:r>
              <w:rPr>
                <w:color w:val="000000"/>
                <w:sz w:val="22"/>
                <w:szCs w:val="22"/>
              </w:rPr>
              <w:t>0.5</w:t>
            </w:r>
          </w:p>
        </w:tc>
        <w:tc>
          <w:tcPr>
            <w:tcW w:w="1701" w:type="dxa"/>
          </w:tcPr>
          <w:p w:rsidR="00AE4097" w:rsidRDefault="00AE4097" w:rsidP="00176384">
            <w:pPr>
              <w:autoSpaceDE w:val="0"/>
              <w:autoSpaceDN w:val="0"/>
              <w:adjustRightInd w:val="0"/>
              <w:jc w:val="center"/>
              <w:rPr>
                <w:lang w:eastAsia="en-US"/>
              </w:rPr>
            </w:pPr>
            <w:r>
              <w:rPr>
                <w:color w:val="000000"/>
                <w:sz w:val="22"/>
                <w:szCs w:val="22"/>
              </w:rPr>
              <w:t>0.5</w:t>
            </w:r>
          </w:p>
        </w:tc>
        <w:tc>
          <w:tcPr>
            <w:tcW w:w="1701" w:type="dxa"/>
          </w:tcPr>
          <w:p w:rsidR="00AE4097" w:rsidRDefault="00AE4097" w:rsidP="00176384">
            <w:pPr>
              <w:autoSpaceDE w:val="0"/>
              <w:autoSpaceDN w:val="0"/>
              <w:adjustRightInd w:val="0"/>
              <w:jc w:val="center"/>
              <w:rPr>
                <w:lang w:eastAsia="en-US"/>
              </w:rPr>
            </w:pPr>
            <w:r>
              <w:rPr>
                <w:color w:val="000000"/>
                <w:sz w:val="22"/>
                <w:szCs w:val="22"/>
              </w:rPr>
              <w:t>0.5</w:t>
            </w:r>
          </w:p>
        </w:tc>
      </w:tr>
      <w:tr w:rsidR="00AE4097" w:rsidTr="00176384">
        <w:tc>
          <w:tcPr>
            <w:tcW w:w="1709" w:type="dxa"/>
            <w:vAlign w:val="bottom"/>
          </w:tcPr>
          <w:p w:rsidR="00AE4097" w:rsidRDefault="00AE4097" w:rsidP="00176384">
            <w:pPr>
              <w:rPr>
                <w:color w:val="000000"/>
              </w:rPr>
            </w:pPr>
            <w:r>
              <w:rPr>
                <w:color w:val="000000"/>
                <w:sz w:val="22"/>
                <w:szCs w:val="22"/>
              </w:rPr>
              <w:t>Heineken</w:t>
            </w:r>
          </w:p>
        </w:tc>
        <w:tc>
          <w:tcPr>
            <w:tcW w:w="1801" w:type="dxa"/>
          </w:tcPr>
          <w:p w:rsidR="00AE4097" w:rsidRDefault="00AE4097" w:rsidP="00176384">
            <w:pPr>
              <w:autoSpaceDE w:val="0"/>
              <w:autoSpaceDN w:val="0"/>
              <w:adjustRightInd w:val="0"/>
              <w:jc w:val="center"/>
              <w:rPr>
                <w:lang w:eastAsia="en-US"/>
              </w:rPr>
            </w:pPr>
            <w:r>
              <w:rPr>
                <w:sz w:val="22"/>
                <w:szCs w:val="22"/>
                <w:lang w:eastAsia="en-US"/>
              </w:rPr>
              <w:t>0.55</w:t>
            </w:r>
          </w:p>
        </w:tc>
        <w:tc>
          <w:tcPr>
            <w:tcW w:w="1843" w:type="dxa"/>
          </w:tcPr>
          <w:p w:rsidR="00AE4097" w:rsidRDefault="00AE4097" w:rsidP="00176384">
            <w:pPr>
              <w:autoSpaceDE w:val="0"/>
              <w:autoSpaceDN w:val="0"/>
              <w:adjustRightInd w:val="0"/>
              <w:jc w:val="center"/>
              <w:rPr>
                <w:lang w:eastAsia="en-US"/>
              </w:rPr>
            </w:pPr>
            <w:r>
              <w:rPr>
                <w:sz w:val="22"/>
                <w:szCs w:val="22"/>
                <w:lang w:eastAsia="en-US"/>
              </w:rPr>
              <w:t>0.55</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0.55</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0.6</w:t>
            </w:r>
          </w:p>
        </w:tc>
      </w:tr>
      <w:tr w:rsidR="00AE4097" w:rsidTr="00176384">
        <w:tc>
          <w:tcPr>
            <w:tcW w:w="1709" w:type="dxa"/>
            <w:vAlign w:val="bottom"/>
          </w:tcPr>
          <w:p w:rsidR="00AE4097" w:rsidRDefault="00AE4097" w:rsidP="00176384">
            <w:pPr>
              <w:rPr>
                <w:color w:val="000000"/>
              </w:rPr>
            </w:pPr>
            <w:r>
              <w:rPr>
                <w:color w:val="000000"/>
                <w:sz w:val="22"/>
                <w:szCs w:val="22"/>
              </w:rPr>
              <w:t>KPN</w:t>
            </w:r>
          </w:p>
        </w:tc>
        <w:tc>
          <w:tcPr>
            <w:tcW w:w="1801" w:type="dxa"/>
          </w:tcPr>
          <w:p w:rsidR="00AE4097" w:rsidRDefault="00AE4097" w:rsidP="00176384">
            <w:pPr>
              <w:autoSpaceDE w:val="0"/>
              <w:autoSpaceDN w:val="0"/>
              <w:adjustRightInd w:val="0"/>
              <w:jc w:val="center"/>
              <w:rPr>
                <w:lang w:eastAsia="en-US"/>
              </w:rPr>
            </w:pPr>
            <w:r>
              <w:rPr>
                <w:sz w:val="22"/>
                <w:szCs w:val="22"/>
                <w:lang w:eastAsia="en-US"/>
              </w:rPr>
              <w:t>0.4</w:t>
            </w:r>
          </w:p>
        </w:tc>
        <w:tc>
          <w:tcPr>
            <w:tcW w:w="1843" w:type="dxa"/>
          </w:tcPr>
          <w:p w:rsidR="00AE4097" w:rsidRDefault="00AE4097" w:rsidP="00176384">
            <w:pPr>
              <w:autoSpaceDE w:val="0"/>
              <w:autoSpaceDN w:val="0"/>
              <w:adjustRightInd w:val="0"/>
              <w:jc w:val="center"/>
              <w:rPr>
                <w:lang w:eastAsia="en-US"/>
              </w:rPr>
            </w:pPr>
            <w:r>
              <w:rPr>
                <w:sz w:val="22"/>
                <w:szCs w:val="22"/>
                <w:lang w:eastAsia="en-US"/>
              </w:rPr>
              <w:t>0.55</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0.75</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0.75</w:t>
            </w:r>
          </w:p>
        </w:tc>
      </w:tr>
      <w:tr w:rsidR="00AE4097" w:rsidTr="00176384">
        <w:tc>
          <w:tcPr>
            <w:tcW w:w="1709" w:type="dxa"/>
            <w:vAlign w:val="bottom"/>
          </w:tcPr>
          <w:p w:rsidR="00AE4097" w:rsidRDefault="00AE4097" w:rsidP="00176384">
            <w:pPr>
              <w:rPr>
                <w:color w:val="000000"/>
              </w:rPr>
            </w:pPr>
            <w:r>
              <w:rPr>
                <w:color w:val="000000"/>
                <w:sz w:val="22"/>
                <w:szCs w:val="22"/>
              </w:rPr>
              <w:t>Philips</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0.85</w:t>
            </w:r>
          </w:p>
        </w:tc>
        <w:tc>
          <w:tcPr>
            <w:tcW w:w="1843" w:type="dxa"/>
          </w:tcPr>
          <w:p w:rsidR="00AE4097" w:rsidRDefault="00AE4097" w:rsidP="00176384">
            <w:pPr>
              <w:autoSpaceDE w:val="0"/>
              <w:autoSpaceDN w:val="0"/>
              <w:adjustRightInd w:val="0"/>
              <w:jc w:val="center"/>
              <w:rPr>
                <w:lang w:val="en-US" w:eastAsia="en-US"/>
              </w:rPr>
            </w:pPr>
            <w:r>
              <w:rPr>
                <w:sz w:val="22"/>
                <w:szCs w:val="22"/>
                <w:lang w:val="en-US" w:eastAsia="en-US"/>
              </w:rPr>
              <w:t>0.85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0.85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0.85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Randstad</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c>
          <w:tcPr>
            <w:tcW w:w="1843"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0.7</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0.7</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Reed Elsevier</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0.25</w:t>
            </w:r>
          </w:p>
        </w:tc>
        <w:tc>
          <w:tcPr>
            <w:tcW w:w="1843" w:type="dxa"/>
          </w:tcPr>
          <w:p w:rsidR="00AE4097" w:rsidRDefault="00AE4097" w:rsidP="00176384">
            <w:pPr>
              <w:autoSpaceDE w:val="0"/>
              <w:autoSpaceDN w:val="0"/>
              <w:adjustRightInd w:val="0"/>
              <w:jc w:val="center"/>
              <w:rPr>
                <w:lang w:val="en-US" w:eastAsia="en-US"/>
              </w:rPr>
            </w:pPr>
            <w:r>
              <w:rPr>
                <w:sz w:val="22"/>
                <w:szCs w:val="22"/>
                <w:lang w:val="en-US" w:eastAsia="en-US"/>
              </w:rPr>
              <w:t>0.3</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0.4</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SBM Offshore</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c>
          <w:tcPr>
            <w:tcW w:w="1843" w:type="dxa"/>
          </w:tcPr>
          <w:p w:rsidR="00AE4097" w:rsidRDefault="00AE4097" w:rsidP="00176384">
            <w:pPr>
              <w:autoSpaceDE w:val="0"/>
              <w:autoSpaceDN w:val="0"/>
              <w:adjustRightInd w:val="0"/>
              <w:jc w:val="center"/>
              <w:rPr>
                <w:lang w:val="en-US" w:eastAsia="en-US"/>
              </w:rPr>
            </w:pPr>
            <w:r>
              <w:rPr>
                <w:sz w:val="22"/>
                <w:szCs w:val="22"/>
                <w:lang w:val="en-US" w:eastAsia="en-US"/>
              </w:rPr>
              <w:t>0.85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0.85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0.85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Shell</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0.4</w:t>
            </w:r>
          </w:p>
        </w:tc>
        <w:tc>
          <w:tcPr>
            <w:tcW w:w="1843" w:type="dxa"/>
          </w:tcPr>
          <w:p w:rsidR="00AE4097" w:rsidRDefault="00AE4097" w:rsidP="00176384">
            <w:pPr>
              <w:autoSpaceDE w:val="0"/>
              <w:autoSpaceDN w:val="0"/>
              <w:adjustRightInd w:val="0"/>
              <w:jc w:val="center"/>
              <w:rPr>
                <w:lang w:val="en-US" w:eastAsia="en-US"/>
              </w:rPr>
            </w:pPr>
            <w:r>
              <w:rPr>
                <w:sz w:val="22"/>
                <w:szCs w:val="22"/>
                <w:lang w:val="en-US" w:eastAsia="en-US"/>
              </w:rPr>
              <w:t>0.4</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TNT</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0.6</w:t>
            </w:r>
          </w:p>
        </w:tc>
        <w:tc>
          <w:tcPr>
            <w:tcW w:w="1843" w:type="dxa"/>
          </w:tcPr>
          <w:p w:rsidR="00AE4097" w:rsidRDefault="00AE4097" w:rsidP="00176384">
            <w:pPr>
              <w:autoSpaceDE w:val="0"/>
              <w:autoSpaceDN w:val="0"/>
              <w:adjustRightInd w:val="0"/>
              <w:jc w:val="center"/>
              <w:rPr>
                <w:lang w:val="en-US" w:eastAsia="en-US"/>
              </w:rPr>
            </w:pPr>
            <w:r>
              <w:rPr>
                <w:sz w:val="22"/>
                <w:szCs w:val="22"/>
                <w:lang w:val="en-US" w:eastAsia="en-US"/>
              </w:rPr>
              <w:t>0.65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0.65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0.65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Tomtom</w:t>
            </w:r>
          </w:p>
        </w:tc>
        <w:tc>
          <w:tcPr>
            <w:tcW w:w="1801" w:type="dxa"/>
          </w:tcPr>
          <w:p w:rsidR="00AE4097" w:rsidRDefault="00AE4097" w:rsidP="00176384">
            <w:pPr>
              <w:autoSpaceDE w:val="0"/>
              <w:autoSpaceDN w:val="0"/>
              <w:adjustRightInd w:val="0"/>
              <w:jc w:val="center"/>
              <w:rPr>
                <w:lang w:eastAsia="en-US"/>
              </w:rPr>
            </w:pPr>
            <w:r>
              <w:rPr>
                <w:sz w:val="22"/>
                <w:szCs w:val="22"/>
                <w:lang w:eastAsia="en-US"/>
              </w:rPr>
              <w:t>0.65</w:t>
            </w:r>
          </w:p>
        </w:tc>
        <w:tc>
          <w:tcPr>
            <w:tcW w:w="1843" w:type="dxa"/>
          </w:tcPr>
          <w:p w:rsidR="00AE4097" w:rsidRDefault="00AE4097" w:rsidP="00176384">
            <w:pPr>
              <w:autoSpaceDE w:val="0"/>
              <w:autoSpaceDN w:val="0"/>
              <w:adjustRightInd w:val="0"/>
              <w:jc w:val="center"/>
              <w:rPr>
                <w:lang w:eastAsia="en-US"/>
              </w:rPr>
            </w:pPr>
            <w:r>
              <w:rPr>
                <w:sz w:val="22"/>
                <w:szCs w:val="22"/>
                <w:lang w:eastAsia="en-US"/>
              </w:rPr>
              <w:t>0.75</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0.75</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0.75</w:t>
            </w:r>
          </w:p>
        </w:tc>
      </w:tr>
      <w:tr w:rsidR="00AE4097" w:rsidTr="00176384">
        <w:tc>
          <w:tcPr>
            <w:tcW w:w="1709" w:type="dxa"/>
            <w:vAlign w:val="bottom"/>
          </w:tcPr>
          <w:p w:rsidR="00AE4097" w:rsidRDefault="00AE4097" w:rsidP="00176384">
            <w:pPr>
              <w:rPr>
                <w:color w:val="000000"/>
              </w:rPr>
            </w:pPr>
            <w:r>
              <w:rPr>
                <w:color w:val="000000"/>
                <w:sz w:val="22"/>
                <w:szCs w:val="22"/>
              </w:rPr>
              <w:t>Unilever</w:t>
            </w:r>
          </w:p>
        </w:tc>
        <w:tc>
          <w:tcPr>
            <w:tcW w:w="1801" w:type="dxa"/>
          </w:tcPr>
          <w:p w:rsidR="00AE4097" w:rsidRDefault="00AE4097" w:rsidP="00176384">
            <w:pPr>
              <w:autoSpaceDE w:val="0"/>
              <w:autoSpaceDN w:val="0"/>
              <w:adjustRightInd w:val="0"/>
              <w:jc w:val="center"/>
              <w:rPr>
                <w:lang w:eastAsia="en-US"/>
              </w:rPr>
            </w:pPr>
            <w:r>
              <w:rPr>
                <w:sz w:val="22"/>
                <w:szCs w:val="22"/>
                <w:lang w:eastAsia="en-US"/>
              </w:rPr>
              <w:t>0.6</w:t>
            </w:r>
          </w:p>
        </w:tc>
        <w:tc>
          <w:tcPr>
            <w:tcW w:w="1843" w:type="dxa"/>
          </w:tcPr>
          <w:p w:rsidR="00AE4097" w:rsidRDefault="00AE4097" w:rsidP="00176384">
            <w:pPr>
              <w:autoSpaceDE w:val="0"/>
              <w:autoSpaceDN w:val="0"/>
              <w:adjustRightInd w:val="0"/>
              <w:jc w:val="center"/>
              <w:rPr>
                <w:lang w:eastAsia="en-US"/>
              </w:rPr>
            </w:pPr>
            <w:r>
              <w:rPr>
                <w:sz w:val="22"/>
                <w:szCs w:val="22"/>
                <w:lang w:eastAsia="en-US"/>
              </w:rPr>
              <w:t>0.65</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0.7</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0.7</w:t>
            </w:r>
          </w:p>
        </w:tc>
      </w:tr>
      <w:tr w:rsidR="00AE4097" w:rsidTr="00176384">
        <w:tc>
          <w:tcPr>
            <w:tcW w:w="1709" w:type="dxa"/>
            <w:vAlign w:val="bottom"/>
          </w:tcPr>
          <w:p w:rsidR="00AE4097" w:rsidRDefault="00AE4097" w:rsidP="00176384">
            <w:pPr>
              <w:rPr>
                <w:color w:val="000000"/>
              </w:rPr>
            </w:pPr>
            <w:r>
              <w:rPr>
                <w:color w:val="000000"/>
                <w:sz w:val="22"/>
                <w:szCs w:val="22"/>
              </w:rPr>
              <w:t>Wolters Kluwer</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c>
          <w:tcPr>
            <w:tcW w:w="1843"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r>
    </w:tbl>
    <w:p w:rsidR="00AE4097" w:rsidRDefault="00AE4097" w:rsidP="00AE4097">
      <w:pPr>
        <w:autoSpaceDE w:val="0"/>
        <w:autoSpaceDN w:val="0"/>
        <w:adjustRightInd w:val="0"/>
        <w:jc w:val="both"/>
        <w:rPr>
          <w:b/>
          <w:sz w:val="22"/>
          <w:szCs w:val="22"/>
          <w:lang w:val="en-US" w:eastAsia="en-US"/>
        </w:rPr>
      </w:pPr>
    </w:p>
    <w:p w:rsidR="00AE4097" w:rsidRDefault="00AE4097" w:rsidP="00AE4097">
      <w:pPr>
        <w:spacing w:line="360" w:lineRule="auto"/>
        <w:jc w:val="both"/>
        <w:rPr>
          <w:sz w:val="22"/>
          <w:szCs w:val="22"/>
          <w:u w:val="single"/>
          <w:lang w:val="en-US"/>
        </w:rPr>
      </w:pPr>
    </w:p>
    <w:p w:rsidR="00AE4097" w:rsidRDefault="00AE4097" w:rsidP="00AE4097">
      <w:pPr>
        <w:spacing w:line="360" w:lineRule="auto"/>
        <w:jc w:val="both"/>
        <w:rPr>
          <w:sz w:val="22"/>
          <w:szCs w:val="22"/>
          <w:u w:val="single"/>
          <w:lang w:val="en-US"/>
        </w:rPr>
      </w:pPr>
    </w:p>
    <w:p w:rsidR="00AE4097" w:rsidRDefault="00AE4097" w:rsidP="00AE4097">
      <w:pPr>
        <w:spacing w:line="360" w:lineRule="auto"/>
        <w:jc w:val="both"/>
        <w:rPr>
          <w:sz w:val="22"/>
          <w:szCs w:val="22"/>
          <w:u w:val="single"/>
          <w:lang w:val="en-US"/>
        </w:rPr>
      </w:pPr>
    </w:p>
    <w:p w:rsidR="00AE4097" w:rsidRDefault="00AE4097" w:rsidP="00AE4097">
      <w:pPr>
        <w:spacing w:line="360" w:lineRule="auto"/>
        <w:jc w:val="both"/>
        <w:rPr>
          <w:sz w:val="22"/>
          <w:szCs w:val="22"/>
          <w:lang w:val="en-US"/>
        </w:rPr>
      </w:pPr>
    </w:p>
    <w:p w:rsidR="00AE4097" w:rsidRDefault="00AE4097" w:rsidP="00AE4097">
      <w:pPr>
        <w:rPr>
          <w:b/>
          <w:lang w:val="en-US" w:eastAsia="en-US"/>
        </w:rPr>
      </w:pPr>
      <w:r>
        <w:rPr>
          <w:b/>
          <w:lang w:val="en-US" w:eastAsia="en-US"/>
        </w:rPr>
        <w:br w:type="page"/>
      </w:r>
      <w:r>
        <w:rPr>
          <w:b/>
          <w:lang w:val="en-US" w:eastAsia="en-US"/>
        </w:rPr>
        <w:lastRenderedPageBreak/>
        <w:t>Appendix VII Relation between number of pages and risk disclosure score</w:t>
      </w:r>
    </w:p>
    <w:p w:rsidR="00AE4097" w:rsidRDefault="00AE4097" w:rsidP="00AE4097">
      <w:pPr>
        <w:autoSpaceDE w:val="0"/>
        <w:autoSpaceDN w:val="0"/>
        <w:adjustRightInd w:val="0"/>
        <w:jc w:val="both"/>
        <w:rPr>
          <w:b/>
          <w:lang w:val="en-US" w:eastAsia="en-US"/>
        </w:rPr>
      </w:pPr>
    </w:p>
    <w:p w:rsidR="00AE4097" w:rsidRPr="00352DC9" w:rsidRDefault="00AE4097" w:rsidP="00AE4097">
      <w:pPr>
        <w:spacing w:line="360" w:lineRule="auto"/>
        <w:jc w:val="both"/>
        <w:rPr>
          <w:b/>
          <w:sz w:val="22"/>
          <w:szCs w:val="22"/>
          <w:lang w:val="en-US"/>
        </w:rPr>
      </w:pPr>
      <w:r w:rsidRPr="00352DC9">
        <w:rPr>
          <w:b/>
          <w:sz w:val="22"/>
          <w:szCs w:val="22"/>
          <w:lang w:val="en-US"/>
        </w:rPr>
        <w:t>Unilever: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42"/>
        <w:gridCol w:w="960"/>
        <w:gridCol w:w="1984"/>
      </w:tblGrid>
      <w:tr w:rsidR="00AE4097" w:rsidRPr="00FB74F1" w:rsidTr="002A227B">
        <w:tc>
          <w:tcPr>
            <w:tcW w:w="1842"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Year</w:t>
            </w:r>
          </w:p>
        </w:tc>
        <w:tc>
          <w:tcPr>
            <w:tcW w:w="960"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 pages</w:t>
            </w:r>
          </w:p>
        </w:tc>
        <w:tc>
          <w:tcPr>
            <w:tcW w:w="1984"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Risk disclosure score</w:t>
            </w:r>
          </w:p>
        </w:tc>
      </w:tr>
      <w:tr w:rsidR="00AE4097" w:rsidRPr="00FB74F1" w:rsidTr="002A227B">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2006</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1¼</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0.6</w:t>
            </w:r>
          </w:p>
        </w:tc>
      </w:tr>
      <w:tr w:rsidR="00AE4097" w:rsidRPr="00FB74F1" w:rsidTr="002A227B">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2007</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1½</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0.65</w:t>
            </w:r>
          </w:p>
        </w:tc>
      </w:tr>
      <w:tr w:rsidR="00AE4097" w:rsidRPr="00FB74F1" w:rsidTr="002A227B">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2008</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3½</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0.7</w:t>
            </w:r>
          </w:p>
        </w:tc>
      </w:tr>
      <w:tr w:rsidR="00AE4097" w:rsidRPr="00FB74F1" w:rsidTr="002A227B">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2009</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6¼</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0.7</w:t>
            </w:r>
          </w:p>
        </w:tc>
      </w:tr>
    </w:tbl>
    <w:p w:rsidR="00AE4097" w:rsidRPr="00FB74F1" w:rsidRDefault="00AE4097" w:rsidP="00AE4097">
      <w:pPr>
        <w:spacing w:line="360" w:lineRule="auto"/>
        <w:jc w:val="both"/>
        <w:rPr>
          <w:i/>
          <w:sz w:val="20"/>
          <w:szCs w:val="20"/>
          <w:lang w:val="en-US"/>
        </w:rPr>
      </w:pPr>
    </w:p>
    <w:p w:rsidR="00AE4097" w:rsidRPr="00FB74F1" w:rsidRDefault="00AE4097" w:rsidP="00AE4097">
      <w:pPr>
        <w:spacing w:line="360" w:lineRule="auto"/>
        <w:jc w:val="both"/>
        <w:rPr>
          <w:b/>
          <w:sz w:val="20"/>
          <w:szCs w:val="20"/>
          <w:lang w:val="en-US"/>
        </w:rPr>
      </w:pPr>
      <w:r w:rsidRPr="00FB74F1">
        <w:rPr>
          <w:b/>
          <w:sz w:val="20"/>
          <w:szCs w:val="20"/>
          <w:lang w:val="en-US"/>
        </w:rPr>
        <w:t>TNT: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42"/>
        <w:gridCol w:w="960"/>
        <w:gridCol w:w="1984"/>
      </w:tblGrid>
      <w:tr w:rsidR="00AE4097" w:rsidRPr="00FB74F1" w:rsidTr="00FB74F1">
        <w:tc>
          <w:tcPr>
            <w:tcW w:w="1842"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Year</w:t>
            </w:r>
          </w:p>
        </w:tc>
        <w:tc>
          <w:tcPr>
            <w:tcW w:w="960"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 pages</w:t>
            </w:r>
          </w:p>
        </w:tc>
        <w:tc>
          <w:tcPr>
            <w:tcW w:w="1984"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Risk disclosure score</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2006</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6</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0.6</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2007</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7</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0.65</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2008</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8</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0.65</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2009</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10¾</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0.65</w:t>
            </w:r>
          </w:p>
        </w:tc>
      </w:tr>
    </w:tbl>
    <w:p w:rsidR="00AE4097" w:rsidRPr="00FB74F1" w:rsidRDefault="00AE4097" w:rsidP="00AE4097">
      <w:pPr>
        <w:spacing w:line="360" w:lineRule="auto"/>
        <w:jc w:val="both"/>
        <w:rPr>
          <w:b/>
          <w:sz w:val="20"/>
          <w:szCs w:val="20"/>
          <w:lang w:val="en-US"/>
        </w:rPr>
      </w:pPr>
    </w:p>
    <w:p w:rsidR="00AE4097" w:rsidRPr="00FB74F1" w:rsidRDefault="00AE4097" w:rsidP="00AE4097">
      <w:pPr>
        <w:spacing w:line="360" w:lineRule="auto"/>
        <w:jc w:val="both"/>
        <w:rPr>
          <w:b/>
          <w:sz w:val="20"/>
          <w:szCs w:val="20"/>
          <w:lang w:val="en-US"/>
        </w:rPr>
      </w:pPr>
      <w:r w:rsidRPr="00FB74F1">
        <w:rPr>
          <w:b/>
          <w:sz w:val="20"/>
          <w:szCs w:val="20"/>
          <w:lang w:val="en-US"/>
        </w:rPr>
        <w:t>Fugro: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42"/>
        <w:gridCol w:w="960"/>
        <w:gridCol w:w="1984"/>
      </w:tblGrid>
      <w:tr w:rsidR="00AE4097" w:rsidRPr="00FB74F1" w:rsidTr="00FB74F1">
        <w:tc>
          <w:tcPr>
            <w:tcW w:w="1842"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Year</w:t>
            </w:r>
          </w:p>
        </w:tc>
        <w:tc>
          <w:tcPr>
            <w:tcW w:w="960"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 pages</w:t>
            </w:r>
          </w:p>
        </w:tc>
        <w:tc>
          <w:tcPr>
            <w:tcW w:w="1984"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Risk disclosure score</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2006</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5¼</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0.5</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2007</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5¼</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0.5</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2008</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6¼</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0.5</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2009</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7</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0.5</w:t>
            </w:r>
          </w:p>
        </w:tc>
      </w:tr>
    </w:tbl>
    <w:p w:rsidR="00AE4097" w:rsidRPr="00FB74F1" w:rsidRDefault="00AE4097" w:rsidP="00AE4097">
      <w:pPr>
        <w:spacing w:line="360" w:lineRule="auto"/>
        <w:jc w:val="both"/>
        <w:rPr>
          <w:sz w:val="20"/>
          <w:szCs w:val="20"/>
          <w:lang w:val="en-US"/>
        </w:rPr>
      </w:pPr>
    </w:p>
    <w:p w:rsidR="00AE4097" w:rsidRPr="00FB74F1" w:rsidRDefault="00AE4097" w:rsidP="00AE4097">
      <w:pPr>
        <w:spacing w:line="360" w:lineRule="auto"/>
        <w:jc w:val="both"/>
        <w:rPr>
          <w:b/>
          <w:sz w:val="20"/>
          <w:szCs w:val="20"/>
          <w:lang w:val="en-US"/>
        </w:rPr>
      </w:pPr>
      <w:r w:rsidRPr="00FB74F1">
        <w:rPr>
          <w:b/>
          <w:sz w:val="20"/>
          <w:szCs w:val="20"/>
          <w:lang w:val="en-US"/>
        </w:rPr>
        <w:t>Randstad:</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42"/>
        <w:gridCol w:w="960"/>
        <w:gridCol w:w="1984"/>
      </w:tblGrid>
      <w:tr w:rsidR="00AE4097" w:rsidRPr="00FB74F1" w:rsidTr="00FB74F1">
        <w:tc>
          <w:tcPr>
            <w:tcW w:w="1842"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Year</w:t>
            </w:r>
          </w:p>
        </w:tc>
        <w:tc>
          <w:tcPr>
            <w:tcW w:w="960"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 pages</w:t>
            </w:r>
          </w:p>
        </w:tc>
        <w:tc>
          <w:tcPr>
            <w:tcW w:w="1984"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Risk disclosure score</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2006</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4½</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0.8</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2007</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4½</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0.8</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2008</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5¾</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0.7</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2009</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6½</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0.7</w:t>
            </w:r>
          </w:p>
        </w:tc>
      </w:tr>
    </w:tbl>
    <w:p w:rsidR="00AE4097" w:rsidRPr="00FB74F1" w:rsidRDefault="00AE4097" w:rsidP="00AE4097">
      <w:pPr>
        <w:spacing w:line="360" w:lineRule="auto"/>
        <w:jc w:val="both"/>
        <w:rPr>
          <w:sz w:val="20"/>
          <w:szCs w:val="20"/>
          <w:lang w:val="en-US"/>
        </w:rPr>
      </w:pPr>
    </w:p>
    <w:p w:rsidR="00AE4097" w:rsidRPr="00FB74F1" w:rsidRDefault="00AE4097" w:rsidP="00AE4097">
      <w:pPr>
        <w:spacing w:line="360" w:lineRule="auto"/>
        <w:jc w:val="both"/>
        <w:rPr>
          <w:b/>
          <w:sz w:val="20"/>
          <w:szCs w:val="20"/>
          <w:lang w:val="en-US"/>
        </w:rPr>
      </w:pPr>
      <w:r w:rsidRPr="00FB74F1">
        <w:rPr>
          <w:b/>
          <w:sz w:val="20"/>
          <w:szCs w:val="20"/>
          <w:lang w:val="en-US"/>
        </w:rPr>
        <w:t>Akzo Nobel:</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42"/>
        <w:gridCol w:w="960"/>
        <w:gridCol w:w="1984"/>
      </w:tblGrid>
      <w:tr w:rsidR="00AE4097" w:rsidRPr="00FB74F1" w:rsidTr="00FB74F1">
        <w:tc>
          <w:tcPr>
            <w:tcW w:w="1842"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Year</w:t>
            </w:r>
          </w:p>
        </w:tc>
        <w:tc>
          <w:tcPr>
            <w:tcW w:w="960"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 pages</w:t>
            </w:r>
          </w:p>
        </w:tc>
        <w:tc>
          <w:tcPr>
            <w:tcW w:w="1984" w:type="dxa"/>
          </w:tcPr>
          <w:p w:rsidR="00AE4097" w:rsidRPr="00FB74F1" w:rsidRDefault="00AE4097" w:rsidP="00176384">
            <w:pPr>
              <w:spacing w:line="360" w:lineRule="auto"/>
              <w:jc w:val="both"/>
              <w:rPr>
                <w:i/>
                <w:sz w:val="20"/>
                <w:szCs w:val="20"/>
                <w:u w:val="single"/>
                <w:lang w:val="en-US"/>
              </w:rPr>
            </w:pPr>
            <w:r w:rsidRPr="00FB74F1">
              <w:rPr>
                <w:i/>
                <w:sz w:val="20"/>
                <w:szCs w:val="20"/>
                <w:u w:val="single"/>
                <w:lang w:val="en-US"/>
              </w:rPr>
              <w:t>Risk disclosure score</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2006</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2</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0.65</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2007</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6</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0.75</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2008</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6</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0.8</w:t>
            </w:r>
          </w:p>
        </w:tc>
      </w:tr>
      <w:tr w:rsidR="00AE4097" w:rsidRPr="00FB74F1" w:rsidTr="00FB74F1">
        <w:tc>
          <w:tcPr>
            <w:tcW w:w="1842" w:type="dxa"/>
          </w:tcPr>
          <w:p w:rsidR="00AE4097" w:rsidRPr="00FB74F1" w:rsidRDefault="00AE4097" w:rsidP="00176384">
            <w:pPr>
              <w:spacing w:line="360" w:lineRule="auto"/>
              <w:jc w:val="both"/>
              <w:rPr>
                <w:sz w:val="20"/>
                <w:szCs w:val="20"/>
                <w:lang w:val="en-US"/>
              </w:rPr>
            </w:pPr>
            <w:r w:rsidRPr="00FB74F1">
              <w:rPr>
                <w:sz w:val="20"/>
                <w:szCs w:val="20"/>
                <w:lang w:val="en-US"/>
              </w:rPr>
              <w:t>2009</w:t>
            </w:r>
          </w:p>
        </w:tc>
        <w:tc>
          <w:tcPr>
            <w:tcW w:w="960" w:type="dxa"/>
          </w:tcPr>
          <w:p w:rsidR="00AE4097" w:rsidRPr="00FB74F1" w:rsidRDefault="00AE4097" w:rsidP="00176384">
            <w:pPr>
              <w:spacing w:line="360" w:lineRule="auto"/>
              <w:jc w:val="both"/>
              <w:rPr>
                <w:sz w:val="20"/>
                <w:szCs w:val="20"/>
                <w:lang w:val="en-US"/>
              </w:rPr>
            </w:pPr>
            <w:r w:rsidRPr="00FB74F1">
              <w:rPr>
                <w:sz w:val="20"/>
                <w:szCs w:val="20"/>
                <w:lang w:val="en-US"/>
              </w:rPr>
              <w:t>5</w:t>
            </w:r>
          </w:p>
        </w:tc>
        <w:tc>
          <w:tcPr>
            <w:tcW w:w="1984" w:type="dxa"/>
          </w:tcPr>
          <w:p w:rsidR="00AE4097" w:rsidRPr="00FB74F1" w:rsidRDefault="00AE4097" w:rsidP="00176384">
            <w:pPr>
              <w:spacing w:line="360" w:lineRule="auto"/>
              <w:jc w:val="both"/>
              <w:rPr>
                <w:sz w:val="20"/>
                <w:szCs w:val="20"/>
                <w:lang w:val="en-US"/>
              </w:rPr>
            </w:pPr>
            <w:r w:rsidRPr="00FB74F1">
              <w:rPr>
                <w:sz w:val="20"/>
                <w:szCs w:val="20"/>
                <w:lang w:val="en-US"/>
              </w:rPr>
              <w:t>0.8</w:t>
            </w:r>
          </w:p>
        </w:tc>
      </w:tr>
    </w:tbl>
    <w:p w:rsidR="00AE4097" w:rsidRDefault="00AE4097" w:rsidP="00AE4097">
      <w:pPr>
        <w:spacing w:after="200" w:line="276" w:lineRule="auto"/>
        <w:rPr>
          <w:b/>
          <w:lang w:val="en-US" w:eastAsia="en-US"/>
        </w:rPr>
      </w:pPr>
      <w:r>
        <w:rPr>
          <w:b/>
          <w:sz w:val="22"/>
          <w:szCs w:val="22"/>
          <w:lang w:val="en-US" w:eastAsia="en-US"/>
        </w:rPr>
        <w:br w:type="page"/>
      </w:r>
      <w:r>
        <w:rPr>
          <w:b/>
          <w:lang w:val="en-US" w:eastAsia="en-US"/>
        </w:rPr>
        <w:lastRenderedPageBreak/>
        <w:t>Appendix VIII Financial risk category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11"/>
        <w:gridCol w:w="843"/>
        <w:gridCol w:w="1405"/>
        <w:gridCol w:w="281"/>
        <w:gridCol w:w="1597"/>
        <w:gridCol w:w="850"/>
        <w:gridCol w:w="1418"/>
      </w:tblGrid>
      <w:tr w:rsidR="00AE4097" w:rsidTr="00176384">
        <w:tc>
          <w:tcPr>
            <w:tcW w:w="1511" w:type="dxa"/>
          </w:tcPr>
          <w:p w:rsidR="00AE4097" w:rsidRDefault="00AE4097" w:rsidP="00176384">
            <w:pPr>
              <w:spacing w:line="360" w:lineRule="auto"/>
              <w:jc w:val="both"/>
              <w:rPr>
                <w:b/>
                <w:sz w:val="20"/>
                <w:szCs w:val="20"/>
                <w:lang w:val="en-US"/>
              </w:rPr>
            </w:pPr>
            <w:r>
              <w:rPr>
                <w:b/>
                <w:sz w:val="20"/>
                <w:szCs w:val="20"/>
                <w:lang w:val="en-US"/>
              </w:rPr>
              <w:t>Company</w:t>
            </w:r>
          </w:p>
        </w:tc>
        <w:tc>
          <w:tcPr>
            <w:tcW w:w="843" w:type="dxa"/>
          </w:tcPr>
          <w:p w:rsidR="00AE4097" w:rsidRDefault="00AE4097" w:rsidP="00176384">
            <w:pPr>
              <w:spacing w:line="360" w:lineRule="auto"/>
              <w:jc w:val="both"/>
              <w:rPr>
                <w:b/>
                <w:sz w:val="20"/>
                <w:szCs w:val="20"/>
                <w:lang w:val="en-US"/>
              </w:rPr>
            </w:pPr>
            <w:r>
              <w:rPr>
                <w:b/>
                <w:sz w:val="20"/>
                <w:szCs w:val="20"/>
                <w:lang w:val="en-US"/>
              </w:rPr>
              <w:t>Year</w:t>
            </w:r>
          </w:p>
        </w:tc>
        <w:tc>
          <w:tcPr>
            <w:tcW w:w="1405" w:type="dxa"/>
          </w:tcPr>
          <w:p w:rsidR="00AE4097" w:rsidRDefault="00AE4097" w:rsidP="00176384">
            <w:pPr>
              <w:spacing w:line="360" w:lineRule="auto"/>
              <w:jc w:val="both"/>
              <w:rPr>
                <w:b/>
                <w:sz w:val="20"/>
                <w:szCs w:val="20"/>
                <w:lang w:val="en-US"/>
              </w:rPr>
            </w:pPr>
            <w:r>
              <w:rPr>
                <w:b/>
                <w:sz w:val="20"/>
                <w:szCs w:val="20"/>
                <w:lang w:val="en-US"/>
              </w:rPr>
              <w:t># sentences</w:t>
            </w:r>
          </w:p>
        </w:tc>
        <w:tc>
          <w:tcPr>
            <w:tcW w:w="281" w:type="dxa"/>
          </w:tcPr>
          <w:p w:rsidR="00AE4097" w:rsidRDefault="00AE4097" w:rsidP="00176384">
            <w:pPr>
              <w:spacing w:line="360" w:lineRule="auto"/>
              <w:jc w:val="both"/>
              <w:rPr>
                <w:b/>
                <w:sz w:val="20"/>
                <w:szCs w:val="20"/>
                <w:lang w:val="en-US"/>
              </w:rPr>
            </w:pPr>
          </w:p>
        </w:tc>
        <w:tc>
          <w:tcPr>
            <w:tcW w:w="1597" w:type="dxa"/>
          </w:tcPr>
          <w:p w:rsidR="00AE4097" w:rsidRDefault="00AE4097" w:rsidP="00176384">
            <w:pPr>
              <w:spacing w:line="360" w:lineRule="auto"/>
              <w:jc w:val="both"/>
              <w:rPr>
                <w:b/>
                <w:sz w:val="20"/>
                <w:szCs w:val="20"/>
                <w:lang w:val="en-US"/>
              </w:rPr>
            </w:pPr>
            <w:r>
              <w:rPr>
                <w:b/>
                <w:sz w:val="20"/>
                <w:szCs w:val="20"/>
                <w:lang w:val="en-US"/>
              </w:rPr>
              <w:t>Company</w:t>
            </w:r>
          </w:p>
        </w:tc>
        <w:tc>
          <w:tcPr>
            <w:tcW w:w="850" w:type="dxa"/>
          </w:tcPr>
          <w:p w:rsidR="00AE4097" w:rsidRDefault="00AE4097" w:rsidP="00176384">
            <w:pPr>
              <w:spacing w:line="360" w:lineRule="auto"/>
              <w:jc w:val="both"/>
              <w:rPr>
                <w:b/>
                <w:sz w:val="20"/>
                <w:szCs w:val="20"/>
                <w:lang w:val="en-US"/>
              </w:rPr>
            </w:pPr>
            <w:r>
              <w:rPr>
                <w:b/>
                <w:sz w:val="20"/>
                <w:szCs w:val="20"/>
                <w:lang w:val="en-US"/>
              </w:rPr>
              <w:t>Year</w:t>
            </w:r>
          </w:p>
        </w:tc>
        <w:tc>
          <w:tcPr>
            <w:tcW w:w="1418" w:type="dxa"/>
          </w:tcPr>
          <w:p w:rsidR="00AE4097" w:rsidRDefault="00AE4097" w:rsidP="00176384">
            <w:pPr>
              <w:spacing w:line="360" w:lineRule="auto"/>
              <w:jc w:val="both"/>
              <w:rPr>
                <w:b/>
                <w:sz w:val="20"/>
                <w:szCs w:val="20"/>
                <w:lang w:val="en-US"/>
              </w:rPr>
            </w:pPr>
            <w:r>
              <w:rPr>
                <w:b/>
                <w:sz w:val="20"/>
                <w:szCs w:val="20"/>
                <w:lang w:val="en-US"/>
              </w:rPr>
              <w:t># sentences</w:t>
            </w:r>
          </w:p>
        </w:tc>
      </w:tr>
      <w:tr w:rsidR="00AE4097" w:rsidTr="00176384">
        <w:tc>
          <w:tcPr>
            <w:tcW w:w="1511" w:type="dxa"/>
          </w:tcPr>
          <w:p w:rsidR="00AE4097" w:rsidRDefault="00AE4097" w:rsidP="00176384">
            <w:pPr>
              <w:spacing w:line="360" w:lineRule="auto"/>
              <w:jc w:val="both"/>
              <w:rPr>
                <w:sz w:val="20"/>
                <w:szCs w:val="20"/>
                <w:lang w:val="en-US"/>
              </w:rPr>
            </w:pPr>
            <w:r>
              <w:rPr>
                <w:sz w:val="20"/>
                <w:szCs w:val="20"/>
                <w:lang w:val="en-US"/>
              </w:rPr>
              <w:t>Ahold</w:t>
            </w:r>
          </w:p>
        </w:tc>
        <w:tc>
          <w:tcPr>
            <w:tcW w:w="843" w:type="dxa"/>
          </w:tcPr>
          <w:p w:rsidR="00AE4097" w:rsidRDefault="00AE4097" w:rsidP="00176384">
            <w:pPr>
              <w:spacing w:line="360" w:lineRule="auto"/>
              <w:jc w:val="both"/>
              <w:rPr>
                <w:sz w:val="20"/>
                <w:szCs w:val="20"/>
                <w:lang w:val="en-US"/>
              </w:rPr>
            </w:pPr>
            <w:r>
              <w:rPr>
                <w:sz w:val="20"/>
                <w:szCs w:val="20"/>
                <w:lang w:val="en-US"/>
              </w:rPr>
              <w:t>2006</w:t>
            </w:r>
          </w:p>
        </w:tc>
        <w:tc>
          <w:tcPr>
            <w:tcW w:w="1405" w:type="dxa"/>
          </w:tcPr>
          <w:p w:rsidR="00AE4097" w:rsidRDefault="00AE4097" w:rsidP="00176384">
            <w:pPr>
              <w:spacing w:line="360" w:lineRule="auto"/>
              <w:jc w:val="center"/>
              <w:rPr>
                <w:sz w:val="20"/>
                <w:szCs w:val="20"/>
                <w:lang w:val="en-US"/>
              </w:rPr>
            </w:pPr>
            <w:r>
              <w:rPr>
                <w:sz w:val="20"/>
                <w:szCs w:val="20"/>
                <w:lang w:val="en-US"/>
              </w:rPr>
              <w:t>58</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r>
              <w:rPr>
                <w:sz w:val="20"/>
                <w:szCs w:val="20"/>
                <w:lang w:val="en-US"/>
              </w:rPr>
              <w:t>Philips</w:t>
            </w:r>
          </w:p>
        </w:tc>
        <w:tc>
          <w:tcPr>
            <w:tcW w:w="850" w:type="dxa"/>
          </w:tcPr>
          <w:p w:rsidR="00AE4097" w:rsidRDefault="00AE4097" w:rsidP="00176384">
            <w:pPr>
              <w:spacing w:line="360" w:lineRule="auto"/>
              <w:jc w:val="both"/>
              <w:rPr>
                <w:sz w:val="20"/>
                <w:szCs w:val="20"/>
                <w:lang w:val="en-US"/>
              </w:rPr>
            </w:pPr>
            <w:r>
              <w:rPr>
                <w:sz w:val="20"/>
                <w:szCs w:val="20"/>
                <w:lang w:val="en-US"/>
              </w:rPr>
              <w:t>2006</w:t>
            </w:r>
          </w:p>
        </w:tc>
        <w:tc>
          <w:tcPr>
            <w:tcW w:w="1418" w:type="dxa"/>
          </w:tcPr>
          <w:p w:rsidR="00AE4097" w:rsidRDefault="00AE4097" w:rsidP="00176384">
            <w:pPr>
              <w:spacing w:line="360" w:lineRule="auto"/>
              <w:jc w:val="center"/>
              <w:rPr>
                <w:sz w:val="20"/>
                <w:szCs w:val="20"/>
                <w:lang w:val="en-US"/>
              </w:rPr>
            </w:pPr>
            <w:r>
              <w:rPr>
                <w:sz w:val="20"/>
                <w:szCs w:val="20"/>
                <w:lang w:val="en-US"/>
              </w:rPr>
              <w:t>199</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2007</w:t>
            </w:r>
          </w:p>
        </w:tc>
        <w:tc>
          <w:tcPr>
            <w:tcW w:w="1405" w:type="dxa"/>
          </w:tcPr>
          <w:p w:rsidR="00AE4097" w:rsidRDefault="00AE4097" w:rsidP="00176384">
            <w:pPr>
              <w:spacing w:line="360" w:lineRule="auto"/>
              <w:jc w:val="center"/>
              <w:rPr>
                <w:sz w:val="20"/>
                <w:szCs w:val="20"/>
                <w:lang w:val="en-US"/>
              </w:rPr>
            </w:pPr>
            <w:r>
              <w:rPr>
                <w:sz w:val="20"/>
                <w:szCs w:val="20"/>
                <w:lang w:val="en-US"/>
              </w:rPr>
              <w:t>26</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2007</w:t>
            </w:r>
          </w:p>
        </w:tc>
        <w:tc>
          <w:tcPr>
            <w:tcW w:w="1418" w:type="dxa"/>
          </w:tcPr>
          <w:p w:rsidR="00AE4097" w:rsidRDefault="00AE4097" w:rsidP="00176384">
            <w:pPr>
              <w:spacing w:line="360" w:lineRule="auto"/>
              <w:jc w:val="center"/>
              <w:rPr>
                <w:sz w:val="20"/>
                <w:szCs w:val="20"/>
                <w:lang w:val="en-US"/>
              </w:rPr>
            </w:pPr>
            <w:r>
              <w:rPr>
                <w:sz w:val="20"/>
                <w:szCs w:val="20"/>
                <w:lang w:val="en-US"/>
              </w:rPr>
              <w:t>204</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2008</w:t>
            </w:r>
          </w:p>
        </w:tc>
        <w:tc>
          <w:tcPr>
            <w:tcW w:w="1405" w:type="dxa"/>
          </w:tcPr>
          <w:p w:rsidR="00AE4097" w:rsidRDefault="00AE4097" w:rsidP="00176384">
            <w:pPr>
              <w:spacing w:line="360" w:lineRule="auto"/>
              <w:jc w:val="center"/>
              <w:rPr>
                <w:sz w:val="20"/>
                <w:szCs w:val="20"/>
                <w:lang w:val="en-US"/>
              </w:rPr>
            </w:pPr>
            <w:r>
              <w:rPr>
                <w:sz w:val="20"/>
                <w:szCs w:val="20"/>
                <w:lang w:val="en-US"/>
              </w:rPr>
              <w:t>33</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2008</w:t>
            </w:r>
          </w:p>
        </w:tc>
        <w:tc>
          <w:tcPr>
            <w:tcW w:w="1418" w:type="dxa"/>
          </w:tcPr>
          <w:p w:rsidR="00AE4097" w:rsidRDefault="00AE4097" w:rsidP="00176384">
            <w:pPr>
              <w:spacing w:line="360" w:lineRule="auto"/>
              <w:jc w:val="center"/>
              <w:rPr>
                <w:sz w:val="20"/>
                <w:szCs w:val="20"/>
                <w:lang w:val="en-US"/>
              </w:rPr>
            </w:pPr>
            <w:r>
              <w:rPr>
                <w:sz w:val="20"/>
                <w:szCs w:val="20"/>
                <w:lang w:val="en-US"/>
              </w:rPr>
              <w:t>204</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2009</w:t>
            </w:r>
          </w:p>
        </w:tc>
        <w:tc>
          <w:tcPr>
            <w:tcW w:w="1405" w:type="dxa"/>
          </w:tcPr>
          <w:p w:rsidR="00AE4097" w:rsidRDefault="00AE4097" w:rsidP="00176384">
            <w:pPr>
              <w:spacing w:line="360" w:lineRule="auto"/>
              <w:jc w:val="center"/>
              <w:rPr>
                <w:sz w:val="20"/>
                <w:szCs w:val="20"/>
                <w:lang w:val="en-US"/>
              </w:rPr>
            </w:pPr>
            <w:r>
              <w:rPr>
                <w:sz w:val="20"/>
                <w:szCs w:val="20"/>
                <w:lang w:val="en-US"/>
              </w:rPr>
              <w:t>25</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2009</w:t>
            </w:r>
          </w:p>
        </w:tc>
        <w:tc>
          <w:tcPr>
            <w:tcW w:w="1418" w:type="dxa"/>
          </w:tcPr>
          <w:p w:rsidR="00AE4097" w:rsidRDefault="00AE4097" w:rsidP="00176384">
            <w:pPr>
              <w:spacing w:line="360" w:lineRule="auto"/>
              <w:jc w:val="center"/>
              <w:rPr>
                <w:sz w:val="20"/>
                <w:szCs w:val="20"/>
                <w:lang w:val="en-US"/>
              </w:rPr>
            </w:pPr>
            <w:r>
              <w:rPr>
                <w:sz w:val="20"/>
                <w:szCs w:val="20"/>
                <w:lang w:val="en-US"/>
              </w:rPr>
              <w:t>215</w:t>
            </w:r>
          </w:p>
        </w:tc>
      </w:tr>
      <w:tr w:rsidR="00AE4097" w:rsidTr="00176384">
        <w:tc>
          <w:tcPr>
            <w:tcW w:w="1511" w:type="dxa"/>
          </w:tcPr>
          <w:p w:rsidR="00AE4097" w:rsidRDefault="00AE4097" w:rsidP="00176384">
            <w:pPr>
              <w:spacing w:line="360" w:lineRule="auto"/>
              <w:jc w:val="both"/>
              <w:rPr>
                <w:sz w:val="20"/>
                <w:szCs w:val="20"/>
                <w:lang w:val="en-US"/>
              </w:rPr>
            </w:pPr>
            <w:r>
              <w:rPr>
                <w:sz w:val="20"/>
                <w:szCs w:val="20"/>
                <w:lang w:val="en-US"/>
              </w:rPr>
              <w:t>Akzo Nobel</w:t>
            </w:r>
          </w:p>
        </w:tc>
        <w:tc>
          <w:tcPr>
            <w:tcW w:w="843" w:type="dxa"/>
          </w:tcPr>
          <w:p w:rsidR="00AE4097" w:rsidRDefault="00AE4097" w:rsidP="00176384">
            <w:pPr>
              <w:spacing w:line="360" w:lineRule="auto"/>
              <w:jc w:val="both"/>
              <w:rPr>
                <w:sz w:val="20"/>
                <w:szCs w:val="20"/>
                <w:lang w:val="en-US"/>
              </w:rPr>
            </w:pPr>
            <w:r>
              <w:rPr>
                <w:sz w:val="20"/>
                <w:szCs w:val="20"/>
                <w:lang w:val="en-US"/>
              </w:rPr>
              <w:t>2006</w:t>
            </w:r>
          </w:p>
        </w:tc>
        <w:tc>
          <w:tcPr>
            <w:tcW w:w="1405" w:type="dxa"/>
          </w:tcPr>
          <w:p w:rsidR="00AE4097" w:rsidRDefault="00AE4097" w:rsidP="00176384">
            <w:pPr>
              <w:spacing w:line="360" w:lineRule="auto"/>
              <w:jc w:val="center"/>
              <w:rPr>
                <w:sz w:val="20"/>
                <w:szCs w:val="20"/>
                <w:lang w:val="en-US"/>
              </w:rPr>
            </w:pPr>
            <w:r>
              <w:rPr>
                <w:sz w:val="20"/>
                <w:szCs w:val="20"/>
                <w:lang w:val="en-US"/>
              </w:rPr>
              <w:t>12</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r>
              <w:rPr>
                <w:sz w:val="20"/>
                <w:szCs w:val="20"/>
                <w:lang w:val="en-US"/>
              </w:rPr>
              <w:t>Randstad</w:t>
            </w:r>
          </w:p>
        </w:tc>
        <w:tc>
          <w:tcPr>
            <w:tcW w:w="850" w:type="dxa"/>
          </w:tcPr>
          <w:p w:rsidR="00AE4097" w:rsidRDefault="00AE4097" w:rsidP="00176384">
            <w:pPr>
              <w:spacing w:line="360" w:lineRule="auto"/>
              <w:jc w:val="both"/>
              <w:rPr>
                <w:sz w:val="20"/>
                <w:szCs w:val="20"/>
                <w:lang w:val="en-US"/>
              </w:rPr>
            </w:pPr>
            <w:r>
              <w:rPr>
                <w:sz w:val="20"/>
                <w:szCs w:val="20"/>
                <w:lang w:val="en-US"/>
              </w:rPr>
              <w:t>2006</w:t>
            </w:r>
          </w:p>
        </w:tc>
        <w:tc>
          <w:tcPr>
            <w:tcW w:w="1418" w:type="dxa"/>
          </w:tcPr>
          <w:p w:rsidR="00AE4097" w:rsidRDefault="00AE4097" w:rsidP="00176384">
            <w:pPr>
              <w:spacing w:line="360" w:lineRule="auto"/>
              <w:jc w:val="center"/>
              <w:rPr>
                <w:sz w:val="20"/>
                <w:szCs w:val="20"/>
                <w:lang w:val="en-US"/>
              </w:rPr>
            </w:pPr>
            <w:r>
              <w:rPr>
                <w:sz w:val="20"/>
                <w:szCs w:val="20"/>
                <w:lang w:val="en-US"/>
              </w:rPr>
              <w:t>22</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2007</w:t>
            </w:r>
          </w:p>
        </w:tc>
        <w:tc>
          <w:tcPr>
            <w:tcW w:w="1405" w:type="dxa"/>
          </w:tcPr>
          <w:p w:rsidR="00AE4097" w:rsidRDefault="00AE4097" w:rsidP="00176384">
            <w:pPr>
              <w:jc w:val="center"/>
              <w:rPr>
                <w:lang w:val="en-US"/>
              </w:rPr>
            </w:pPr>
            <w:r>
              <w:rPr>
                <w:sz w:val="22"/>
                <w:szCs w:val="22"/>
                <w:lang w:val="en-US"/>
              </w:rPr>
              <w:t xml:space="preserve">17 + </w:t>
            </w:r>
            <w:r>
              <w:rPr>
                <w:sz w:val="20"/>
                <w:szCs w:val="20"/>
                <w:lang w:val="en-US"/>
              </w:rPr>
              <w:t>table</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2007</w:t>
            </w:r>
          </w:p>
        </w:tc>
        <w:tc>
          <w:tcPr>
            <w:tcW w:w="1418" w:type="dxa"/>
          </w:tcPr>
          <w:p w:rsidR="00AE4097" w:rsidRDefault="00AE4097" w:rsidP="00176384">
            <w:pPr>
              <w:spacing w:line="360" w:lineRule="auto"/>
              <w:jc w:val="center"/>
              <w:rPr>
                <w:sz w:val="20"/>
                <w:szCs w:val="20"/>
                <w:lang w:val="en-US"/>
              </w:rPr>
            </w:pPr>
            <w:r>
              <w:rPr>
                <w:sz w:val="20"/>
                <w:szCs w:val="20"/>
                <w:lang w:val="en-US"/>
              </w:rPr>
              <w:t>22</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2008</w:t>
            </w:r>
          </w:p>
        </w:tc>
        <w:tc>
          <w:tcPr>
            <w:tcW w:w="1405" w:type="dxa"/>
          </w:tcPr>
          <w:p w:rsidR="00AE4097" w:rsidRDefault="00AE4097" w:rsidP="00176384">
            <w:pPr>
              <w:spacing w:line="360" w:lineRule="auto"/>
              <w:jc w:val="center"/>
              <w:rPr>
                <w:sz w:val="20"/>
                <w:szCs w:val="20"/>
                <w:lang w:val="en-US"/>
              </w:rPr>
            </w:pPr>
            <w:r>
              <w:rPr>
                <w:sz w:val="20"/>
                <w:szCs w:val="20"/>
                <w:lang w:val="en-US"/>
              </w:rPr>
              <w:t xml:space="preserve">24 </w:t>
            </w:r>
            <w:r>
              <w:rPr>
                <w:sz w:val="22"/>
                <w:szCs w:val="22"/>
                <w:lang w:val="en-US"/>
              </w:rPr>
              <w:t xml:space="preserve">+ </w:t>
            </w:r>
            <w:r>
              <w:rPr>
                <w:sz w:val="20"/>
                <w:szCs w:val="20"/>
                <w:lang w:val="en-US"/>
              </w:rPr>
              <w:t>table</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2008</w:t>
            </w:r>
          </w:p>
        </w:tc>
        <w:tc>
          <w:tcPr>
            <w:tcW w:w="1418" w:type="dxa"/>
          </w:tcPr>
          <w:p w:rsidR="00AE4097" w:rsidRDefault="00AE4097" w:rsidP="00176384">
            <w:pPr>
              <w:spacing w:line="360" w:lineRule="auto"/>
              <w:jc w:val="center"/>
              <w:rPr>
                <w:sz w:val="20"/>
                <w:szCs w:val="20"/>
                <w:lang w:val="en-US"/>
              </w:rPr>
            </w:pPr>
            <w:r>
              <w:rPr>
                <w:sz w:val="20"/>
                <w:szCs w:val="20"/>
                <w:lang w:val="en-US"/>
              </w:rPr>
              <w:t>27</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2009</w:t>
            </w:r>
          </w:p>
        </w:tc>
        <w:tc>
          <w:tcPr>
            <w:tcW w:w="1405" w:type="dxa"/>
          </w:tcPr>
          <w:p w:rsidR="00AE4097" w:rsidRDefault="00AE4097" w:rsidP="00176384">
            <w:pPr>
              <w:spacing w:line="360" w:lineRule="auto"/>
              <w:jc w:val="center"/>
              <w:rPr>
                <w:sz w:val="20"/>
                <w:szCs w:val="20"/>
                <w:lang w:val="en-US"/>
              </w:rPr>
            </w:pPr>
            <w:r>
              <w:rPr>
                <w:sz w:val="20"/>
                <w:szCs w:val="20"/>
                <w:lang w:val="en-US"/>
              </w:rPr>
              <w:t xml:space="preserve">22 </w:t>
            </w:r>
            <w:r>
              <w:rPr>
                <w:sz w:val="22"/>
                <w:szCs w:val="22"/>
                <w:lang w:val="en-US"/>
              </w:rPr>
              <w:t xml:space="preserve">+ </w:t>
            </w:r>
            <w:r>
              <w:rPr>
                <w:sz w:val="20"/>
                <w:szCs w:val="20"/>
                <w:lang w:val="en-US"/>
              </w:rPr>
              <w:t>table</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2009</w:t>
            </w:r>
          </w:p>
        </w:tc>
        <w:tc>
          <w:tcPr>
            <w:tcW w:w="1418" w:type="dxa"/>
          </w:tcPr>
          <w:p w:rsidR="00AE4097" w:rsidRDefault="00AE4097" w:rsidP="00176384">
            <w:pPr>
              <w:spacing w:line="360" w:lineRule="auto"/>
              <w:jc w:val="center"/>
              <w:rPr>
                <w:sz w:val="20"/>
                <w:szCs w:val="20"/>
                <w:lang w:val="en-US"/>
              </w:rPr>
            </w:pPr>
            <w:r>
              <w:rPr>
                <w:sz w:val="20"/>
                <w:szCs w:val="20"/>
                <w:lang w:val="en-US"/>
              </w:rPr>
              <w:t>30</w:t>
            </w:r>
          </w:p>
        </w:tc>
      </w:tr>
      <w:tr w:rsidR="00AE4097" w:rsidTr="00176384">
        <w:tc>
          <w:tcPr>
            <w:tcW w:w="1511" w:type="dxa"/>
          </w:tcPr>
          <w:p w:rsidR="00AE4097" w:rsidRDefault="00AE4097" w:rsidP="00176384">
            <w:pPr>
              <w:spacing w:line="360" w:lineRule="auto"/>
              <w:jc w:val="both"/>
              <w:rPr>
                <w:sz w:val="20"/>
                <w:szCs w:val="20"/>
                <w:lang w:val="en-US"/>
              </w:rPr>
            </w:pPr>
            <w:r>
              <w:rPr>
                <w:sz w:val="20"/>
                <w:szCs w:val="20"/>
                <w:lang w:val="en-US"/>
              </w:rPr>
              <w:t>ASML</w:t>
            </w:r>
          </w:p>
        </w:tc>
        <w:tc>
          <w:tcPr>
            <w:tcW w:w="843" w:type="dxa"/>
          </w:tcPr>
          <w:p w:rsidR="00AE4097" w:rsidRDefault="00AE4097" w:rsidP="00176384">
            <w:pPr>
              <w:spacing w:line="360" w:lineRule="auto"/>
              <w:jc w:val="both"/>
              <w:rPr>
                <w:sz w:val="20"/>
                <w:szCs w:val="20"/>
                <w:lang w:val="en-US"/>
              </w:rPr>
            </w:pPr>
            <w:r>
              <w:rPr>
                <w:sz w:val="20"/>
                <w:szCs w:val="20"/>
                <w:lang w:val="en-US"/>
              </w:rPr>
              <w:t>2006</w:t>
            </w:r>
          </w:p>
        </w:tc>
        <w:tc>
          <w:tcPr>
            <w:tcW w:w="1405" w:type="dxa"/>
          </w:tcPr>
          <w:p w:rsidR="00AE4097" w:rsidRDefault="00AE4097" w:rsidP="00176384">
            <w:pPr>
              <w:spacing w:line="360" w:lineRule="auto"/>
              <w:jc w:val="center"/>
              <w:rPr>
                <w:sz w:val="20"/>
                <w:szCs w:val="20"/>
                <w:lang w:val="en-US"/>
              </w:rPr>
            </w:pPr>
            <w:r>
              <w:rPr>
                <w:sz w:val="20"/>
                <w:szCs w:val="20"/>
                <w:lang w:val="en-US"/>
              </w:rPr>
              <w:t>10</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r>
              <w:rPr>
                <w:sz w:val="20"/>
                <w:szCs w:val="20"/>
                <w:lang w:val="en-US"/>
              </w:rPr>
              <w:t>Reed Elsevier</w:t>
            </w:r>
          </w:p>
        </w:tc>
        <w:tc>
          <w:tcPr>
            <w:tcW w:w="850" w:type="dxa"/>
          </w:tcPr>
          <w:p w:rsidR="00AE4097" w:rsidRDefault="00AE4097" w:rsidP="00176384">
            <w:pPr>
              <w:spacing w:line="360" w:lineRule="auto"/>
              <w:jc w:val="both"/>
              <w:rPr>
                <w:sz w:val="20"/>
                <w:szCs w:val="20"/>
                <w:lang w:val="en-US"/>
              </w:rPr>
            </w:pPr>
            <w:r>
              <w:rPr>
                <w:sz w:val="20"/>
                <w:szCs w:val="20"/>
                <w:lang w:val="en-US"/>
              </w:rPr>
              <w:t>2006</w:t>
            </w:r>
          </w:p>
        </w:tc>
        <w:tc>
          <w:tcPr>
            <w:tcW w:w="1418" w:type="dxa"/>
          </w:tcPr>
          <w:p w:rsidR="00AE4097" w:rsidRDefault="00AE4097" w:rsidP="00176384">
            <w:pPr>
              <w:spacing w:line="360" w:lineRule="auto"/>
              <w:jc w:val="center"/>
              <w:rPr>
                <w:sz w:val="20"/>
                <w:szCs w:val="20"/>
                <w:lang w:val="en-US"/>
              </w:rPr>
            </w:pPr>
            <w:r>
              <w:rPr>
                <w:sz w:val="20"/>
                <w:szCs w:val="20"/>
                <w:lang w:val="en-US"/>
              </w:rPr>
              <w:t>4</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2007</w:t>
            </w:r>
          </w:p>
        </w:tc>
        <w:tc>
          <w:tcPr>
            <w:tcW w:w="1405" w:type="dxa"/>
          </w:tcPr>
          <w:p w:rsidR="00AE4097" w:rsidRDefault="00AE4097" w:rsidP="00176384">
            <w:pPr>
              <w:spacing w:line="360" w:lineRule="auto"/>
              <w:jc w:val="center"/>
              <w:rPr>
                <w:sz w:val="20"/>
                <w:szCs w:val="20"/>
                <w:lang w:val="en-US"/>
              </w:rPr>
            </w:pPr>
            <w:r>
              <w:rPr>
                <w:sz w:val="20"/>
                <w:szCs w:val="20"/>
                <w:lang w:val="en-US"/>
              </w:rPr>
              <w:t>10</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2007</w:t>
            </w:r>
          </w:p>
        </w:tc>
        <w:tc>
          <w:tcPr>
            <w:tcW w:w="1418" w:type="dxa"/>
          </w:tcPr>
          <w:p w:rsidR="00AE4097" w:rsidRDefault="00AE4097" w:rsidP="00176384">
            <w:pPr>
              <w:spacing w:line="360" w:lineRule="auto"/>
              <w:jc w:val="center"/>
              <w:rPr>
                <w:sz w:val="20"/>
                <w:szCs w:val="20"/>
                <w:lang w:val="en-US"/>
              </w:rPr>
            </w:pPr>
            <w:r>
              <w:rPr>
                <w:sz w:val="20"/>
                <w:szCs w:val="20"/>
                <w:lang w:val="en-US"/>
              </w:rPr>
              <w:t>6</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2008</w:t>
            </w:r>
          </w:p>
        </w:tc>
        <w:tc>
          <w:tcPr>
            <w:tcW w:w="1405" w:type="dxa"/>
          </w:tcPr>
          <w:p w:rsidR="00AE4097" w:rsidRDefault="00AE4097" w:rsidP="00176384">
            <w:pPr>
              <w:spacing w:line="360" w:lineRule="auto"/>
              <w:jc w:val="center"/>
              <w:rPr>
                <w:sz w:val="20"/>
                <w:szCs w:val="20"/>
                <w:lang w:val="en-US"/>
              </w:rPr>
            </w:pPr>
            <w:r>
              <w:rPr>
                <w:sz w:val="20"/>
                <w:szCs w:val="20"/>
                <w:lang w:val="en-US"/>
              </w:rPr>
              <w:t>10</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2008</w:t>
            </w:r>
          </w:p>
        </w:tc>
        <w:tc>
          <w:tcPr>
            <w:tcW w:w="1418" w:type="dxa"/>
          </w:tcPr>
          <w:p w:rsidR="00AE4097" w:rsidRDefault="00AE4097" w:rsidP="00176384">
            <w:pPr>
              <w:spacing w:line="360" w:lineRule="auto"/>
              <w:jc w:val="center"/>
              <w:rPr>
                <w:sz w:val="20"/>
                <w:szCs w:val="20"/>
                <w:lang w:val="en-US"/>
              </w:rPr>
            </w:pPr>
            <w:r>
              <w:rPr>
                <w:sz w:val="20"/>
                <w:szCs w:val="20"/>
                <w:lang w:val="en-US"/>
              </w:rPr>
              <w:t>6</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2009</w:t>
            </w:r>
          </w:p>
        </w:tc>
        <w:tc>
          <w:tcPr>
            <w:tcW w:w="1405" w:type="dxa"/>
          </w:tcPr>
          <w:p w:rsidR="00AE4097" w:rsidRDefault="00AE4097" w:rsidP="00176384">
            <w:pPr>
              <w:spacing w:line="360" w:lineRule="auto"/>
              <w:jc w:val="center"/>
              <w:rPr>
                <w:sz w:val="20"/>
                <w:szCs w:val="20"/>
                <w:lang w:val="en-US"/>
              </w:rPr>
            </w:pPr>
            <w:r>
              <w:rPr>
                <w:sz w:val="20"/>
                <w:szCs w:val="20"/>
                <w:lang w:val="en-US"/>
              </w:rPr>
              <w:t>11</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2009</w:t>
            </w:r>
          </w:p>
        </w:tc>
        <w:tc>
          <w:tcPr>
            <w:tcW w:w="1418" w:type="dxa"/>
          </w:tcPr>
          <w:p w:rsidR="00AE4097" w:rsidRDefault="00AE4097" w:rsidP="00176384">
            <w:pPr>
              <w:spacing w:line="360" w:lineRule="auto"/>
              <w:jc w:val="center"/>
              <w:rPr>
                <w:sz w:val="20"/>
                <w:szCs w:val="20"/>
                <w:lang w:val="en-US"/>
              </w:rPr>
            </w:pPr>
            <w:r>
              <w:rPr>
                <w:sz w:val="20"/>
                <w:szCs w:val="20"/>
                <w:lang w:val="en-US"/>
              </w:rPr>
              <w:t>9</w:t>
            </w:r>
          </w:p>
        </w:tc>
      </w:tr>
      <w:tr w:rsidR="00AE4097" w:rsidTr="00176384">
        <w:tc>
          <w:tcPr>
            <w:tcW w:w="1511" w:type="dxa"/>
          </w:tcPr>
          <w:p w:rsidR="00AE4097" w:rsidRDefault="00AE4097" w:rsidP="00176384">
            <w:pPr>
              <w:spacing w:line="360" w:lineRule="auto"/>
              <w:jc w:val="both"/>
              <w:rPr>
                <w:sz w:val="20"/>
                <w:szCs w:val="20"/>
                <w:lang w:val="en-US"/>
              </w:rPr>
            </w:pPr>
            <w:r>
              <w:rPr>
                <w:sz w:val="20"/>
                <w:szCs w:val="20"/>
                <w:lang w:val="en-US"/>
              </w:rPr>
              <w:t>BAM Group</w:t>
            </w:r>
          </w:p>
        </w:tc>
        <w:tc>
          <w:tcPr>
            <w:tcW w:w="843" w:type="dxa"/>
          </w:tcPr>
          <w:p w:rsidR="00AE4097" w:rsidRDefault="00AE4097" w:rsidP="00176384">
            <w:pPr>
              <w:spacing w:line="360" w:lineRule="auto"/>
              <w:jc w:val="both"/>
              <w:rPr>
                <w:sz w:val="20"/>
                <w:szCs w:val="20"/>
                <w:lang w:val="en-US"/>
              </w:rPr>
            </w:pPr>
            <w:r>
              <w:rPr>
                <w:sz w:val="20"/>
                <w:szCs w:val="20"/>
                <w:lang w:val="en-US"/>
              </w:rPr>
              <w:t>2006</w:t>
            </w:r>
          </w:p>
        </w:tc>
        <w:tc>
          <w:tcPr>
            <w:tcW w:w="1405" w:type="dxa"/>
          </w:tcPr>
          <w:p w:rsidR="00AE4097" w:rsidRDefault="00AE4097" w:rsidP="00176384">
            <w:pPr>
              <w:spacing w:line="360" w:lineRule="auto"/>
              <w:jc w:val="center"/>
              <w:rPr>
                <w:sz w:val="20"/>
                <w:szCs w:val="20"/>
                <w:lang w:val="en-US"/>
              </w:rPr>
            </w:pPr>
            <w:r>
              <w:rPr>
                <w:sz w:val="20"/>
                <w:szCs w:val="20"/>
                <w:lang w:val="en-US"/>
              </w:rPr>
              <w:t>2</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r>
              <w:rPr>
                <w:sz w:val="20"/>
                <w:szCs w:val="20"/>
                <w:lang w:val="en-US"/>
              </w:rPr>
              <w:t>SBM Offshore</w:t>
            </w:r>
          </w:p>
        </w:tc>
        <w:tc>
          <w:tcPr>
            <w:tcW w:w="850" w:type="dxa"/>
          </w:tcPr>
          <w:p w:rsidR="00AE4097" w:rsidRDefault="00AE4097" w:rsidP="00176384">
            <w:pPr>
              <w:spacing w:line="360" w:lineRule="auto"/>
              <w:jc w:val="both"/>
              <w:rPr>
                <w:sz w:val="20"/>
                <w:szCs w:val="20"/>
                <w:lang w:val="en-US"/>
              </w:rPr>
            </w:pPr>
            <w:r>
              <w:rPr>
                <w:sz w:val="20"/>
                <w:szCs w:val="20"/>
                <w:lang w:val="en-US"/>
              </w:rPr>
              <w:t>2006</w:t>
            </w:r>
          </w:p>
        </w:tc>
        <w:tc>
          <w:tcPr>
            <w:tcW w:w="1418" w:type="dxa"/>
          </w:tcPr>
          <w:p w:rsidR="00AE4097" w:rsidRDefault="00AE4097" w:rsidP="00176384">
            <w:pPr>
              <w:spacing w:line="360" w:lineRule="auto"/>
              <w:jc w:val="center"/>
              <w:rPr>
                <w:sz w:val="20"/>
                <w:szCs w:val="20"/>
                <w:lang w:val="en-US"/>
              </w:rPr>
            </w:pPr>
            <w:r>
              <w:rPr>
                <w:sz w:val="20"/>
                <w:szCs w:val="20"/>
                <w:lang w:val="en-US"/>
              </w:rPr>
              <w:t>34</w:t>
            </w:r>
          </w:p>
        </w:tc>
      </w:tr>
      <w:tr w:rsidR="00AE4097" w:rsidTr="00176384">
        <w:tc>
          <w:tcPr>
            <w:tcW w:w="1511" w:type="dxa"/>
          </w:tcPr>
          <w:p w:rsidR="00AE4097" w:rsidRDefault="00AE4097" w:rsidP="00176384">
            <w:pPr>
              <w:spacing w:line="360" w:lineRule="auto"/>
              <w:jc w:val="both"/>
              <w:rPr>
                <w:sz w:val="20"/>
                <w:szCs w:val="20"/>
                <w:lang w:val="fr-FR"/>
              </w:rPr>
            </w:pPr>
          </w:p>
        </w:tc>
        <w:tc>
          <w:tcPr>
            <w:tcW w:w="843" w:type="dxa"/>
          </w:tcPr>
          <w:p w:rsidR="00AE4097" w:rsidRDefault="00AE4097" w:rsidP="00176384">
            <w:pPr>
              <w:spacing w:line="360" w:lineRule="auto"/>
              <w:jc w:val="both"/>
              <w:rPr>
                <w:sz w:val="20"/>
                <w:szCs w:val="20"/>
                <w:lang w:val="fr-FR"/>
              </w:rPr>
            </w:pPr>
            <w:r>
              <w:rPr>
                <w:sz w:val="20"/>
                <w:szCs w:val="20"/>
                <w:lang w:val="fr-FR"/>
              </w:rPr>
              <w:t>2007</w:t>
            </w:r>
          </w:p>
        </w:tc>
        <w:tc>
          <w:tcPr>
            <w:tcW w:w="1405" w:type="dxa"/>
          </w:tcPr>
          <w:p w:rsidR="00AE4097" w:rsidRDefault="00AE4097" w:rsidP="00176384">
            <w:pPr>
              <w:spacing w:line="360" w:lineRule="auto"/>
              <w:jc w:val="center"/>
              <w:rPr>
                <w:sz w:val="20"/>
                <w:szCs w:val="20"/>
                <w:lang w:val="fr-FR"/>
              </w:rPr>
            </w:pPr>
            <w:r>
              <w:rPr>
                <w:sz w:val="20"/>
                <w:szCs w:val="20"/>
                <w:lang w:val="fr-FR"/>
              </w:rPr>
              <w:t>2</w:t>
            </w:r>
          </w:p>
        </w:tc>
        <w:tc>
          <w:tcPr>
            <w:tcW w:w="281" w:type="dxa"/>
          </w:tcPr>
          <w:p w:rsidR="00AE4097" w:rsidRDefault="00AE4097" w:rsidP="00176384">
            <w:pPr>
              <w:spacing w:line="360" w:lineRule="auto"/>
              <w:jc w:val="both"/>
              <w:rPr>
                <w:sz w:val="20"/>
                <w:szCs w:val="20"/>
                <w:lang w:val="fr-FR"/>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2007</w:t>
            </w:r>
          </w:p>
        </w:tc>
        <w:tc>
          <w:tcPr>
            <w:tcW w:w="1418" w:type="dxa"/>
          </w:tcPr>
          <w:p w:rsidR="00AE4097" w:rsidRDefault="00AE4097" w:rsidP="00176384">
            <w:pPr>
              <w:spacing w:line="360" w:lineRule="auto"/>
              <w:jc w:val="center"/>
              <w:rPr>
                <w:sz w:val="20"/>
                <w:szCs w:val="20"/>
                <w:lang w:val="en-US"/>
              </w:rPr>
            </w:pPr>
            <w:r>
              <w:rPr>
                <w:sz w:val="20"/>
                <w:szCs w:val="20"/>
                <w:lang w:val="en-US"/>
              </w:rPr>
              <w:t>37</w:t>
            </w:r>
          </w:p>
        </w:tc>
      </w:tr>
      <w:tr w:rsidR="00AE4097" w:rsidTr="00176384">
        <w:tc>
          <w:tcPr>
            <w:tcW w:w="1511" w:type="dxa"/>
          </w:tcPr>
          <w:p w:rsidR="00AE4097" w:rsidRDefault="00AE4097" w:rsidP="00176384">
            <w:pPr>
              <w:spacing w:line="360" w:lineRule="auto"/>
              <w:jc w:val="both"/>
              <w:rPr>
                <w:sz w:val="20"/>
                <w:szCs w:val="20"/>
                <w:lang w:val="fr-FR"/>
              </w:rPr>
            </w:pPr>
          </w:p>
        </w:tc>
        <w:tc>
          <w:tcPr>
            <w:tcW w:w="843" w:type="dxa"/>
          </w:tcPr>
          <w:p w:rsidR="00AE4097" w:rsidRDefault="00AE4097" w:rsidP="00176384">
            <w:pPr>
              <w:spacing w:line="360" w:lineRule="auto"/>
              <w:jc w:val="both"/>
              <w:rPr>
                <w:sz w:val="20"/>
                <w:szCs w:val="20"/>
                <w:lang w:val="fr-FR"/>
              </w:rPr>
            </w:pPr>
            <w:r>
              <w:rPr>
                <w:sz w:val="20"/>
                <w:szCs w:val="20"/>
                <w:lang w:val="fr-FR"/>
              </w:rPr>
              <w:t>2008</w:t>
            </w:r>
          </w:p>
        </w:tc>
        <w:tc>
          <w:tcPr>
            <w:tcW w:w="1405" w:type="dxa"/>
          </w:tcPr>
          <w:p w:rsidR="00AE4097" w:rsidRDefault="00AE4097" w:rsidP="00176384">
            <w:pPr>
              <w:spacing w:line="360" w:lineRule="auto"/>
              <w:jc w:val="center"/>
              <w:rPr>
                <w:sz w:val="20"/>
                <w:szCs w:val="20"/>
                <w:lang w:val="fr-FR"/>
              </w:rPr>
            </w:pPr>
            <w:r>
              <w:rPr>
                <w:sz w:val="20"/>
                <w:szCs w:val="20"/>
                <w:lang w:val="fr-FR"/>
              </w:rPr>
              <w:t>2</w:t>
            </w:r>
          </w:p>
        </w:tc>
        <w:tc>
          <w:tcPr>
            <w:tcW w:w="281" w:type="dxa"/>
          </w:tcPr>
          <w:p w:rsidR="00AE4097" w:rsidRDefault="00AE4097" w:rsidP="00176384">
            <w:pPr>
              <w:spacing w:line="360" w:lineRule="auto"/>
              <w:jc w:val="both"/>
              <w:rPr>
                <w:sz w:val="20"/>
                <w:szCs w:val="20"/>
                <w:lang w:val="fr-FR"/>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2008</w:t>
            </w:r>
          </w:p>
        </w:tc>
        <w:tc>
          <w:tcPr>
            <w:tcW w:w="1418" w:type="dxa"/>
          </w:tcPr>
          <w:p w:rsidR="00AE4097" w:rsidRDefault="00AE4097" w:rsidP="00176384">
            <w:pPr>
              <w:spacing w:line="360" w:lineRule="auto"/>
              <w:jc w:val="center"/>
              <w:rPr>
                <w:sz w:val="20"/>
                <w:szCs w:val="20"/>
                <w:lang w:val="en-US"/>
              </w:rPr>
            </w:pPr>
            <w:r>
              <w:rPr>
                <w:sz w:val="20"/>
                <w:szCs w:val="20"/>
                <w:lang w:val="en-US"/>
              </w:rPr>
              <w:t>43</w:t>
            </w:r>
          </w:p>
        </w:tc>
      </w:tr>
      <w:tr w:rsidR="00AE4097" w:rsidTr="00176384">
        <w:tc>
          <w:tcPr>
            <w:tcW w:w="1511" w:type="dxa"/>
          </w:tcPr>
          <w:p w:rsidR="00AE4097" w:rsidRDefault="00AE4097" w:rsidP="00176384">
            <w:pPr>
              <w:spacing w:line="360" w:lineRule="auto"/>
              <w:jc w:val="both"/>
              <w:rPr>
                <w:sz w:val="20"/>
                <w:szCs w:val="20"/>
                <w:lang w:val="fr-FR"/>
              </w:rPr>
            </w:pPr>
          </w:p>
        </w:tc>
        <w:tc>
          <w:tcPr>
            <w:tcW w:w="843" w:type="dxa"/>
          </w:tcPr>
          <w:p w:rsidR="00AE4097" w:rsidRDefault="00AE4097" w:rsidP="00176384">
            <w:pPr>
              <w:spacing w:line="360" w:lineRule="auto"/>
              <w:jc w:val="both"/>
              <w:rPr>
                <w:sz w:val="20"/>
                <w:szCs w:val="20"/>
                <w:lang w:val="fr-FR"/>
              </w:rPr>
            </w:pPr>
            <w:r>
              <w:rPr>
                <w:sz w:val="20"/>
                <w:szCs w:val="20"/>
                <w:lang w:val="fr-FR"/>
              </w:rPr>
              <w:t>2009</w:t>
            </w:r>
          </w:p>
        </w:tc>
        <w:tc>
          <w:tcPr>
            <w:tcW w:w="1405" w:type="dxa"/>
          </w:tcPr>
          <w:p w:rsidR="00AE4097" w:rsidRDefault="00AE4097" w:rsidP="00176384">
            <w:pPr>
              <w:spacing w:line="360" w:lineRule="auto"/>
              <w:jc w:val="center"/>
              <w:rPr>
                <w:sz w:val="20"/>
                <w:szCs w:val="20"/>
                <w:lang w:val="fr-FR"/>
              </w:rPr>
            </w:pPr>
            <w:r>
              <w:rPr>
                <w:sz w:val="20"/>
                <w:szCs w:val="20"/>
                <w:lang w:val="fr-FR"/>
              </w:rPr>
              <w:t>3</w:t>
            </w:r>
          </w:p>
        </w:tc>
        <w:tc>
          <w:tcPr>
            <w:tcW w:w="281" w:type="dxa"/>
          </w:tcPr>
          <w:p w:rsidR="00AE4097" w:rsidRDefault="00AE4097" w:rsidP="00176384">
            <w:pPr>
              <w:spacing w:line="360" w:lineRule="auto"/>
              <w:jc w:val="both"/>
              <w:rPr>
                <w:sz w:val="20"/>
                <w:szCs w:val="20"/>
                <w:lang w:val="fr-FR"/>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2009</w:t>
            </w:r>
          </w:p>
        </w:tc>
        <w:tc>
          <w:tcPr>
            <w:tcW w:w="1418" w:type="dxa"/>
          </w:tcPr>
          <w:p w:rsidR="00AE4097" w:rsidRDefault="00AE4097" w:rsidP="00176384">
            <w:pPr>
              <w:spacing w:line="360" w:lineRule="auto"/>
              <w:jc w:val="center"/>
              <w:rPr>
                <w:sz w:val="20"/>
                <w:szCs w:val="20"/>
                <w:lang w:val="en-US"/>
              </w:rPr>
            </w:pPr>
            <w:r>
              <w:rPr>
                <w:sz w:val="20"/>
                <w:szCs w:val="20"/>
                <w:lang w:val="en-US"/>
              </w:rPr>
              <w:t>51</w:t>
            </w:r>
          </w:p>
        </w:tc>
      </w:tr>
      <w:tr w:rsidR="00AE4097" w:rsidTr="00176384">
        <w:tc>
          <w:tcPr>
            <w:tcW w:w="1511" w:type="dxa"/>
          </w:tcPr>
          <w:p w:rsidR="00AE4097" w:rsidRDefault="00AE4097" w:rsidP="00176384">
            <w:pPr>
              <w:spacing w:line="360" w:lineRule="auto"/>
              <w:jc w:val="both"/>
              <w:rPr>
                <w:sz w:val="20"/>
                <w:szCs w:val="20"/>
                <w:lang w:val="fr-FR"/>
              </w:rPr>
            </w:pPr>
            <w:r>
              <w:rPr>
                <w:sz w:val="20"/>
                <w:szCs w:val="20"/>
                <w:lang w:val="fr-FR"/>
              </w:rPr>
              <w:t>Boskalis</w:t>
            </w:r>
          </w:p>
        </w:tc>
        <w:tc>
          <w:tcPr>
            <w:tcW w:w="843" w:type="dxa"/>
          </w:tcPr>
          <w:p w:rsidR="00AE4097" w:rsidRDefault="00AE4097" w:rsidP="00176384">
            <w:pPr>
              <w:spacing w:line="360" w:lineRule="auto"/>
              <w:jc w:val="both"/>
              <w:rPr>
                <w:sz w:val="20"/>
                <w:szCs w:val="20"/>
                <w:lang w:val="en-US"/>
              </w:rPr>
            </w:pPr>
            <w:r>
              <w:rPr>
                <w:sz w:val="20"/>
                <w:szCs w:val="20"/>
                <w:lang w:val="en-US"/>
              </w:rPr>
              <w:t>2006</w:t>
            </w:r>
          </w:p>
        </w:tc>
        <w:tc>
          <w:tcPr>
            <w:tcW w:w="1405" w:type="dxa"/>
          </w:tcPr>
          <w:p w:rsidR="00AE4097" w:rsidRDefault="00AE4097" w:rsidP="00176384">
            <w:pPr>
              <w:spacing w:line="360" w:lineRule="auto"/>
              <w:jc w:val="center"/>
              <w:rPr>
                <w:sz w:val="20"/>
                <w:szCs w:val="20"/>
                <w:lang w:val="en-US"/>
              </w:rPr>
            </w:pPr>
            <w:r>
              <w:rPr>
                <w:sz w:val="20"/>
                <w:szCs w:val="20"/>
                <w:lang w:val="en-US"/>
              </w:rPr>
              <w:t>21</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r>
              <w:rPr>
                <w:sz w:val="20"/>
                <w:szCs w:val="20"/>
                <w:lang w:val="en-US"/>
              </w:rPr>
              <w:t>Shell</w:t>
            </w:r>
          </w:p>
        </w:tc>
        <w:tc>
          <w:tcPr>
            <w:tcW w:w="850" w:type="dxa"/>
          </w:tcPr>
          <w:p w:rsidR="00AE4097" w:rsidRDefault="00AE4097" w:rsidP="00176384">
            <w:pPr>
              <w:spacing w:line="360" w:lineRule="auto"/>
              <w:jc w:val="both"/>
              <w:rPr>
                <w:sz w:val="20"/>
                <w:szCs w:val="20"/>
                <w:lang w:val="fr-FR"/>
              </w:rPr>
            </w:pPr>
            <w:r>
              <w:rPr>
                <w:sz w:val="20"/>
                <w:szCs w:val="20"/>
                <w:lang w:val="fr-FR"/>
              </w:rPr>
              <w:t>2006</w:t>
            </w:r>
          </w:p>
        </w:tc>
        <w:tc>
          <w:tcPr>
            <w:tcW w:w="1418" w:type="dxa"/>
          </w:tcPr>
          <w:p w:rsidR="00AE4097" w:rsidRDefault="00AE4097" w:rsidP="00176384">
            <w:pPr>
              <w:spacing w:line="360" w:lineRule="auto"/>
              <w:jc w:val="center"/>
              <w:rPr>
                <w:sz w:val="20"/>
                <w:szCs w:val="20"/>
                <w:lang w:val="fr-FR"/>
              </w:rPr>
            </w:pPr>
            <w:r>
              <w:rPr>
                <w:sz w:val="20"/>
                <w:szCs w:val="20"/>
                <w:lang w:val="fr-FR"/>
              </w:rPr>
              <w:t>21</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2007</w:t>
            </w:r>
          </w:p>
        </w:tc>
        <w:tc>
          <w:tcPr>
            <w:tcW w:w="1405" w:type="dxa"/>
          </w:tcPr>
          <w:p w:rsidR="00AE4097" w:rsidRDefault="00AE4097" w:rsidP="00176384">
            <w:pPr>
              <w:spacing w:line="360" w:lineRule="auto"/>
              <w:jc w:val="center"/>
              <w:rPr>
                <w:sz w:val="20"/>
                <w:szCs w:val="20"/>
                <w:lang w:val="en-US"/>
              </w:rPr>
            </w:pPr>
            <w:r>
              <w:rPr>
                <w:sz w:val="20"/>
                <w:szCs w:val="20"/>
                <w:lang w:val="en-US"/>
              </w:rPr>
              <w:t>24</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fr-FR"/>
              </w:rPr>
            </w:pPr>
          </w:p>
        </w:tc>
        <w:tc>
          <w:tcPr>
            <w:tcW w:w="850" w:type="dxa"/>
          </w:tcPr>
          <w:p w:rsidR="00AE4097" w:rsidRDefault="00AE4097" w:rsidP="00176384">
            <w:pPr>
              <w:spacing w:line="360" w:lineRule="auto"/>
              <w:jc w:val="both"/>
              <w:rPr>
                <w:sz w:val="20"/>
                <w:szCs w:val="20"/>
                <w:lang w:val="fr-FR"/>
              </w:rPr>
            </w:pPr>
            <w:r>
              <w:rPr>
                <w:sz w:val="20"/>
                <w:szCs w:val="20"/>
                <w:lang w:val="fr-FR"/>
              </w:rPr>
              <w:t>2007</w:t>
            </w:r>
          </w:p>
        </w:tc>
        <w:tc>
          <w:tcPr>
            <w:tcW w:w="1418" w:type="dxa"/>
          </w:tcPr>
          <w:p w:rsidR="00AE4097" w:rsidRDefault="00AE4097" w:rsidP="00176384">
            <w:pPr>
              <w:spacing w:line="360" w:lineRule="auto"/>
              <w:jc w:val="center"/>
              <w:rPr>
                <w:sz w:val="20"/>
                <w:szCs w:val="20"/>
                <w:lang w:val="fr-FR"/>
              </w:rPr>
            </w:pPr>
            <w:r>
              <w:rPr>
                <w:sz w:val="20"/>
                <w:szCs w:val="20"/>
                <w:lang w:val="fr-FR"/>
              </w:rPr>
              <w:t>10 (notes)</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2008</w:t>
            </w:r>
          </w:p>
        </w:tc>
        <w:tc>
          <w:tcPr>
            <w:tcW w:w="1405" w:type="dxa"/>
          </w:tcPr>
          <w:p w:rsidR="00AE4097" w:rsidRDefault="00AE4097" w:rsidP="00176384">
            <w:pPr>
              <w:spacing w:line="360" w:lineRule="auto"/>
              <w:jc w:val="center"/>
              <w:rPr>
                <w:sz w:val="20"/>
                <w:szCs w:val="20"/>
                <w:lang w:val="en-US"/>
              </w:rPr>
            </w:pPr>
            <w:r>
              <w:rPr>
                <w:sz w:val="20"/>
                <w:szCs w:val="20"/>
                <w:lang w:val="en-US"/>
              </w:rPr>
              <w:t>26</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fr-FR"/>
              </w:rPr>
            </w:pPr>
          </w:p>
        </w:tc>
        <w:tc>
          <w:tcPr>
            <w:tcW w:w="850" w:type="dxa"/>
          </w:tcPr>
          <w:p w:rsidR="00AE4097" w:rsidRDefault="00AE4097" w:rsidP="00176384">
            <w:pPr>
              <w:spacing w:line="360" w:lineRule="auto"/>
              <w:jc w:val="both"/>
              <w:rPr>
                <w:sz w:val="20"/>
                <w:szCs w:val="20"/>
                <w:lang w:val="fr-FR"/>
              </w:rPr>
            </w:pPr>
            <w:r>
              <w:rPr>
                <w:sz w:val="20"/>
                <w:szCs w:val="20"/>
                <w:lang w:val="fr-FR"/>
              </w:rPr>
              <w:t>2008</w:t>
            </w:r>
          </w:p>
        </w:tc>
        <w:tc>
          <w:tcPr>
            <w:tcW w:w="1418" w:type="dxa"/>
          </w:tcPr>
          <w:p w:rsidR="00AE4097" w:rsidRDefault="00AE4097" w:rsidP="00176384">
            <w:pPr>
              <w:spacing w:line="360" w:lineRule="auto"/>
              <w:jc w:val="center"/>
              <w:rPr>
                <w:sz w:val="20"/>
                <w:szCs w:val="20"/>
                <w:lang w:val="fr-FR"/>
              </w:rPr>
            </w:pPr>
            <w:r>
              <w:rPr>
                <w:sz w:val="20"/>
                <w:szCs w:val="20"/>
                <w:lang w:val="fr-FR"/>
              </w:rPr>
              <w:t>34 (notes)</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2009</w:t>
            </w:r>
          </w:p>
        </w:tc>
        <w:tc>
          <w:tcPr>
            <w:tcW w:w="1405" w:type="dxa"/>
          </w:tcPr>
          <w:p w:rsidR="00AE4097" w:rsidRDefault="00AE4097" w:rsidP="00176384">
            <w:pPr>
              <w:spacing w:line="360" w:lineRule="auto"/>
              <w:jc w:val="center"/>
              <w:rPr>
                <w:sz w:val="20"/>
                <w:szCs w:val="20"/>
                <w:lang w:val="en-US"/>
              </w:rPr>
            </w:pPr>
            <w:r>
              <w:rPr>
                <w:sz w:val="20"/>
                <w:szCs w:val="20"/>
                <w:lang w:val="en-US"/>
              </w:rPr>
              <w:t>26</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fr-FR"/>
              </w:rPr>
            </w:pPr>
          </w:p>
        </w:tc>
        <w:tc>
          <w:tcPr>
            <w:tcW w:w="850" w:type="dxa"/>
          </w:tcPr>
          <w:p w:rsidR="00AE4097" w:rsidRDefault="00AE4097" w:rsidP="00176384">
            <w:pPr>
              <w:spacing w:line="360" w:lineRule="auto"/>
              <w:jc w:val="both"/>
              <w:rPr>
                <w:sz w:val="20"/>
                <w:szCs w:val="20"/>
                <w:lang w:val="fr-FR"/>
              </w:rPr>
            </w:pPr>
            <w:r>
              <w:rPr>
                <w:sz w:val="20"/>
                <w:szCs w:val="20"/>
                <w:lang w:val="fr-FR"/>
              </w:rPr>
              <w:t>2009</w:t>
            </w:r>
          </w:p>
        </w:tc>
        <w:tc>
          <w:tcPr>
            <w:tcW w:w="1418" w:type="dxa"/>
          </w:tcPr>
          <w:p w:rsidR="00AE4097" w:rsidRDefault="00AE4097" w:rsidP="00176384">
            <w:pPr>
              <w:spacing w:line="360" w:lineRule="auto"/>
              <w:jc w:val="center"/>
              <w:rPr>
                <w:sz w:val="20"/>
                <w:szCs w:val="20"/>
                <w:lang w:val="fr-FR"/>
              </w:rPr>
            </w:pPr>
            <w:r>
              <w:rPr>
                <w:sz w:val="20"/>
                <w:szCs w:val="20"/>
                <w:lang w:val="fr-FR"/>
              </w:rPr>
              <w:t>23 (notes)</w:t>
            </w:r>
          </w:p>
        </w:tc>
      </w:tr>
      <w:tr w:rsidR="00AE4097" w:rsidTr="00176384">
        <w:tc>
          <w:tcPr>
            <w:tcW w:w="1511" w:type="dxa"/>
          </w:tcPr>
          <w:p w:rsidR="00AE4097" w:rsidRDefault="00AE4097" w:rsidP="00176384">
            <w:pPr>
              <w:spacing w:line="360" w:lineRule="auto"/>
              <w:jc w:val="both"/>
              <w:rPr>
                <w:sz w:val="20"/>
                <w:szCs w:val="20"/>
                <w:lang w:val="en-US"/>
              </w:rPr>
            </w:pPr>
            <w:r>
              <w:rPr>
                <w:sz w:val="20"/>
                <w:szCs w:val="20"/>
                <w:lang w:val="en-US"/>
              </w:rPr>
              <w:t>DSM</w:t>
            </w:r>
          </w:p>
        </w:tc>
        <w:tc>
          <w:tcPr>
            <w:tcW w:w="843" w:type="dxa"/>
          </w:tcPr>
          <w:p w:rsidR="00AE4097" w:rsidRDefault="00AE4097" w:rsidP="00176384">
            <w:pPr>
              <w:spacing w:line="360" w:lineRule="auto"/>
              <w:jc w:val="both"/>
              <w:rPr>
                <w:sz w:val="20"/>
                <w:szCs w:val="20"/>
                <w:lang w:val="en-US"/>
              </w:rPr>
            </w:pPr>
            <w:r>
              <w:rPr>
                <w:sz w:val="20"/>
                <w:szCs w:val="20"/>
                <w:lang w:val="en-US"/>
              </w:rPr>
              <w:t>2006</w:t>
            </w:r>
          </w:p>
        </w:tc>
        <w:tc>
          <w:tcPr>
            <w:tcW w:w="1405" w:type="dxa"/>
          </w:tcPr>
          <w:p w:rsidR="00AE4097" w:rsidRDefault="00AE4097" w:rsidP="00176384">
            <w:pPr>
              <w:spacing w:line="360" w:lineRule="auto"/>
              <w:jc w:val="center"/>
              <w:rPr>
                <w:sz w:val="20"/>
                <w:szCs w:val="20"/>
                <w:lang w:val="en-US"/>
              </w:rPr>
            </w:pPr>
            <w:r>
              <w:rPr>
                <w:sz w:val="20"/>
                <w:szCs w:val="20"/>
                <w:lang w:val="en-US"/>
              </w:rPr>
              <w:t>2</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r>
              <w:rPr>
                <w:sz w:val="20"/>
                <w:szCs w:val="20"/>
                <w:lang w:val="en-US"/>
              </w:rPr>
              <w:t>TNT</w:t>
            </w:r>
          </w:p>
        </w:tc>
        <w:tc>
          <w:tcPr>
            <w:tcW w:w="850" w:type="dxa"/>
          </w:tcPr>
          <w:p w:rsidR="00AE4097" w:rsidRDefault="00AE4097" w:rsidP="00176384">
            <w:pPr>
              <w:spacing w:line="360" w:lineRule="auto"/>
              <w:jc w:val="both"/>
              <w:rPr>
                <w:sz w:val="20"/>
                <w:szCs w:val="20"/>
                <w:lang w:val="en-US"/>
              </w:rPr>
            </w:pPr>
            <w:r>
              <w:rPr>
                <w:sz w:val="20"/>
                <w:szCs w:val="20"/>
                <w:lang w:val="en-US"/>
              </w:rPr>
              <w:t>2006</w:t>
            </w:r>
          </w:p>
        </w:tc>
        <w:tc>
          <w:tcPr>
            <w:tcW w:w="1418" w:type="dxa"/>
          </w:tcPr>
          <w:p w:rsidR="00AE4097" w:rsidRDefault="00AE4097" w:rsidP="00176384">
            <w:pPr>
              <w:spacing w:line="360" w:lineRule="auto"/>
              <w:jc w:val="center"/>
              <w:rPr>
                <w:sz w:val="20"/>
                <w:szCs w:val="20"/>
                <w:lang w:val="en-US"/>
              </w:rPr>
            </w:pPr>
            <w:r>
              <w:rPr>
                <w:sz w:val="20"/>
                <w:szCs w:val="20"/>
                <w:lang w:val="en-US"/>
              </w:rPr>
              <w:t>38</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2007</w:t>
            </w:r>
          </w:p>
        </w:tc>
        <w:tc>
          <w:tcPr>
            <w:tcW w:w="1405" w:type="dxa"/>
          </w:tcPr>
          <w:p w:rsidR="00AE4097" w:rsidRDefault="00AE4097" w:rsidP="00176384">
            <w:pPr>
              <w:spacing w:line="360" w:lineRule="auto"/>
              <w:jc w:val="center"/>
              <w:rPr>
                <w:sz w:val="20"/>
                <w:szCs w:val="20"/>
                <w:lang w:val="en-US"/>
              </w:rPr>
            </w:pPr>
            <w:r>
              <w:rPr>
                <w:sz w:val="20"/>
                <w:szCs w:val="20"/>
                <w:lang w:val="en-US"/>
              </w:rPr>
              <w:t>4</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2007</w:t>
            </w:r>
          </w:p>
        </w:tc>
        <w:tc>
          <w:tcPr>
            <w:tcW w:w="1418" w:type="dxa"/>
          </w:tcPr>
          <w:p w:rsidR="00AE4097" w:rsidRDefault="00AE4097" w:rsidP="00176384">
            <w:pPr>
              <w:spacing w:line="360" w:lineRule="auto"/>
              <w:jc w:val="center"/>
              <w:rPr>
                <w:sz w:val="20"/>
                <w:szCs w:val="20"/>
                <w:lang w:val="en-US"/>
              </w:rPr>
            </w:pPr>
            <w:r>
              <w:rPr>
                <w:sz w:val="20"/>
                <w:szCs w:val="20"/>
                <w:lang w:val="en-US"/>
              </w:rPr>
              <w:t>73</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2008</w:t>
            </w:r>
          </w:p>
        </w:tc>
        <w:tc>
          <w:tcPr>
            <w:tcW w:w="1405" w:type="dxa"/>
          </w:tcPr>
          <w:p w:rsidR="00AE4097" w:rsidRDefault="00AE4097" w:rsidP="00176384">
            <w:pPr>
              <w:spacing w:line="360" w:lineRule="auto"/>
              <w:jc w:val="center"/>
              <w:rPr>
                <w:sz w:val="20"/>
                <w:szCs w:val="20"/>
                <w:lang w:val="en-US"/>
              </w:rPr>
            </w:pPr>
            <w:r>
              <w:rPr>
                <w:sz w:val="20"/>
                <w:szCs w:val="20"/>
                <w:lang w:val="en-US"/>
              </w:rPr>
              <w:t>4</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2008</w:t>
            </w:r>
          </w:p>
        </w:tc>
        <w:tc>
          <w:tcPr>
            <w:tcW w:w="1418" w:type="dxa"/>
          </w:tcPr>
          <w:p w:rsidR="00AE4097" w:rsidRDefault="00AE4097" w:rsidP="00176384">
            <w:pPr>
              <w:spacing w:line="360" w:lineRule="auto"/>
              <w:jc w:val="center"/>
              <w:rPr>
                <w:sz w:val="20"/>
                <w:szCs w:val="20"/>
                <w:lang w:val="en-US"/>
              </w:rPr>
            </w:pPr>
            <w:r>
              <w:rPr>
                <w:sz w:val="20"/>
                <w:szCs w:val="20"/>
                <w:lang w:val="en-US"/>
              </w:rPr>
              <w:t>64</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2009</w:t>
            </w:r>
          </w:p>
        </w:tc>
        <w:tc>
          <w:tcPr>
            <w:tcW w:w="1405" w:type="dxa"/>
          </w:tcPr>
          <w:p w:rsidR="00AE4097" w:rsidRDefault="00AE4097" w:rsidP="00176384">
            <w:pPr>
              <w:spacing w:line="360" w:lineRule="auto"/>
              <w:jc w:val="center"/>
              <w:rPr>
                <w:sz w:val="20"/>
                <w:szCs w:val="20"/>
                <w:lang w:val="en-US"/>
              </w:rPr>
            </w:pPr>
            <w:r>
              <w:rPr>
                <w:sz w:val="20"/>
                <w:szCs w:val="20"/>
                <w:lang w:val="en-US"/>
              </w:rPr>
              <w:t>7</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2009</w:t>
            </w:r>
          </w:p>
        </w:tc>
        <w:tc>
          <w:tcPr>
            <w:tcW w:w="1418" w:type="dxa"/>
          </w:tcPr>
          <w:p w:rsidR="00AE4097" w:rsidRDefault="00AE4097" w:rsidP="00176384">
            <w:pPr>
              <w:spacing w:line="360" w:lineRule="auto"/>
              <w:jc w:val="center"/>
              <w:rPr>
                <w:sz w:val="20"/>
                <w:szCs w:val="20"/>
                <w:lang w:val="en-US"/>
              </w:rPr>
            </w:pPr>
            <w:r>
              <w:rPr>
                <w:sz w:val="20"/>
                <w:szCs w:val="20"/>
                <w:lang w:val="en-US"/>
              </w:rPr>
              <w:t>70</w:t>
            </w:r>
          </w:p>
        </w:tc>
      </w:tr>
      <w:tr w:rsidR="00AE4097" w:rsidTr="00176384">
        <w:tc>
          <w:tcPr>
            <w:tcW w:w="1511" w:type="dxa"/>
          </w:tcPr>
          <w:p w:rsidR="00AE4097" w:rsidRDefault="00AE4097" w:rsidP="00176384">
            <w:pPr>
              <w:spacing w:line="360" w:lineRule="auto"/>
              <w:jc w:val="both"/>
              <w:rPr>
                <w:sz w:val="20"/>
                <w:szCs w:val="20"/>
                <w:lang w:val="en-US"/>
              </w:rPr>
            </w:pPr>
            <w:r>
              <w:rPr>
                <w:sz w:val="20"/>
                <w:szCs w:val="20"/>
                <w:lang w:val="en-US"/>
              </w:rPr>
              <w:t>Fugro</w:t>
            </w:r>
          </w:p>
        </w:tc>
        <w:tc>
          <w:tcPr>
            <w:tcW w:w="843" w:type="dxa"/>
          </w:tcPr>
          <w:p w:rsidR="00AE4097" w:rsidRDefault="00AE4097" w:rsidP="00176384">
            <w:pPr>
              <w:spacing w:line="360" w:lineRule="auto"/>
              <w:jc w:val="both"/>
              <w:rPr>
                <w:sz w:val="20"/>
                <w:szCs w:val="20"/>
                <w:lang w:val="en-US"/>
              </w:rPr>
            </w:pPr>
            <w:r>
              <w:rPr>
                <w:sz w:val="20"/>
                <w:szCs w:val="20"/>
                <w:lang w:val="en-US"/>
              </w:rPr>
              <w:t>2006</w:t>
            </w:r>
          </w:p>
        </w:tc>
        <w:tc>
          <w:tcPr>
            <w:tcW w:w="1405" w:type="dxa"/>
          </w:tcPr>
          <w:p w:rsidR="00AE4097" w:rsidRDefault="00AE4097" w:rsidP="00176384">
            <w:pPr>
              <w:spacing w:line="360" w:lineRule="auto"/>
              <w:jc w:val="center"/>
              <w:rPr>
                <w:sz w:val="20"/>
                <w:szCs w:val="20"/>
                <w:lang w:val="en-US"/>
              </w:rPr>
            </w:pPr>
            <w:r>
              <w:rPr>
                <w:sz w:val="20"/>
                <w:szCs w:val="20"/>
                <w:lang w:val="en-US"/>
              </w:rPr>
              <w:t>35</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r>
              <w:rPr>
                <w:sz w:val="20"/>
                <w:szCs w:val="20"/>
                <w:lang w:val="en-US"/>
              </w:rPr>
              <w:t>Tomtom</w:t>
            </w:r>
          </w:p>
        </w:tc>
        <w:tc>
          <w:tcPr>
            <w:tcW w:w="850" w:type="dxa"/>
          </w:tcPr>
          <w:p w:rsidR="00AE4097" w:rsidRDefault="00AE4097" w:rsidP="00176384">
            <w:pPr>
              <w:spacing w:line="360" w:lineRule="auto"/>
              <w:jc w:val="both"/>
              <w:rPr>
                <w:sz w:val="20"/>
                <w:szCs w:val="20"/>
                <w:lang w:val="en-US"/>
              </w:rPr>
            </w:pPr>
            <w:r>
              <w:rPr>
                <w:sz w:val="20"/>
                <w:szCs w:val="20"/>
                <w:lang w:val="en-US"/>
              </w:rPr>
              <w:t>2006</w:t>
            </w:r>
          </w:p>
        </w:tc>
        <w:tc>
          <w:tcPr>
            <w:tcW w:w="1418" w:type="dxa"/>
          </w:tcPr>
          <w:p w:rsidR="00AE4097" w:rsidRDefault="00AE4097" w:rsidP="00176384">
            <w:pPr>
              <w:spacing w:line="360" w:lineRule="auto"/>
              <w:jc w:val="center"/>
              <w:rPr>
                <w:sz w:val="20"/>
                <w:szCs w:val="20"/>
                <w:lang w:val="en-US"/>
              </w:rPr>
            </w:pPr>
            <w:r>
              <w:rPr>
                <w:sz w:val="20"/>
                <w:szCs w:val="20"/>
                <w:lang w:val="en-US"/>
              </w:rPr>
              <w:t>17</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2007</w:t>
            </w:r>
          </w:p>
        </w:tc>
        <w:tc>
          <w:tcPr>
            <w:tcW w:w="1405" w:type="dxa"/>
          </w:tcPr>
          <w:p w:rsidR="00AE4097" w:rsidRDefault="00AE4097" w:rsidP="00176384">
            <w:pPr>
              <w:spacing w:line="360" w:lineRule="auto"/>
              <w:jc w:val="center"/>
              <w:rPr>
                <w:sz w:val="20"/>
                <w:szCs w:val="20"/>
                <w:lang w:val="en-US"/>
              </w:rPr>
            </w:pPr>
            <w:r>
              <w:rPr>
                <w:sz w:val="20"/>
                <w:szCs w:val="20"/>
                <w:lang w:val="en-US"/>
              </w:rPr>
              <w:t>38</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2007</w:t>
            </w:r>
          </w:p>
        </w:tc>
        <w:tc>
          <w:tcPr>
            <w:tcW w:w="1418" w:type="dxa"/>
          </w:tcPr>
          <w:p w:rsidR="00AE4097" w:rsidRDefault="00AE4097" w:rsidP="00176384">
            <w:pPr>
              <w:spacing w:line="360" w:lineRule="auto"/>
              <w:jc w:val="center"/>
              <w:rPr>
                <w:sz w:val="20"/>
                <w:szCs w:val="20"/>
                <w:lang w:val="en-US"/>
              </w:rPr>
            </w:pPr>
            <w:r>
              <w:rPr>
                <w:sz w:val="20"/>
                <w:szCs w:val="20"/>
                <w:lang w:val="en-US"/>
              </w:rPr>
              <w:t>38 + table</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2008</w:t>
            </w:r>
          </w:p>
        </w:tc>
        <w:tc>
          <w:tcPr>
            <w:tcW w:w="1405" w:type="dxa"/>
          </w:tcPr>
          <w:p w:rsidR="00AE4097" w:rsidRDefault="00AE4097" w:rsidP="00176384">
            <w:pPr>
              <w:spacing w:line="360" w:lineRule="auto"/>
              <w:jc w:val="center"/>
              <w:rPr>
                <w:sz w:val="20"/>
                <w:szCs w:val="20"/>
                <w:lang w:val="en-US"/>
              </w:rPr>
            </w:pPr>
            <w:r>
              <w:rPr>
                <w:sz w:val="20"/>
                <w:szCs w:val="20"/>
                <w:lang w:val="en-US"/>
              </w:rPr>
              <w:t>36</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2008</w:t>
            </w:r>
          </w:p>
        </w:tc>
        <w:tc>
          <w:tcPr>
            <w:tcW w:w="1418" w:type="dxa"/>
          </w:tcPr>
          <w:p w:rsidR="00AE4097" w:rsidRDefault="00AE4097" w:rsidP="00176384">
            <w:pPr>
              <w:spacing w:line="360" w:lineRule="auto"/>
              <w:jc w:val="center"/>
              <w:rPr>
                <w:sz w:val="20"/>
                <w:szCs w:val="20"/>
                <w:lang w:val="en-US"/>
              </w:rPr>
            </w:pPr>
            <w:r>
              <w:rPr>
                <w:sz w:val="20"/>
                <w:szCs w:val="20"/>
                <w:lang w:val="en-US"/>
              </w:rPr>
              <w:t>49 + table</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2009</w:t>
            </w:r>
          </w:p>
        </w:tc>
        <w:tc>
          <w:tcPr>
            <w:tcW w:w="1405" w:type="dxa"/>
          </w:tcPr>
          <w:p w:rsidR="00AE4097" w:rsidRDefault="00AE4097" w:rsidP="00176384">
            <w:pPr>
              <w:spacing w:line="360" w:lineRule="auto"/>
              <w:jc w:val="center"/>
              <w:rPr>
                <w:sz w:val="20"/>
                <w:szCs w:val="20"/>
                <w:lang w:val="en-US"/>
              </w:rPr>
            </w:pPr>
            <w:r>
              <w:rPr>
                <w:sz w:val="20"/>
                <w:szCs w:val="20"/>
                <w:lang w:val="en-US"/>
              </w:rPr>
              <w:t>36</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2009</w:t>
            </w:r>
          </w:p>
        </w:tc>
        <w:tc>
          <w:tcPr>
            <w:tcW w:w="1418" w:type="dxa"/>
          </w:tcPr>
          <w:p w:rsidR="00AE4097" w:rsidRDefault="00AE4097" w:rsidP="00176384">
            <w:pPr>
              <w:spacing w:line="360" w:lineRule="auto"/>
              <w:jc w:val="center"/>
              <w:rPr>
                <w:sz w:val="20"/>
                <w:szCs w:val="20"/>
                <w:lang w:val="en-US"/>
              </w:rPr>
            </w:pPr>
            <w:r>
              <w:rPr>
                <w:sz w:val="20"/>
                <w:szCs w:val="20"/>
                <w:lang w:val="en-US"/>
              </w:rPr>
              <w:t>40 + table</w:t>
            </w:r>
          </w:p>
        </w:tc>
      </w:tr>
      <w:tr w:rsidR="00AE4097" w:rsidTr="00176384">
        <w:tc>
          <w:tcPr>
            <w:tcW w:w="1511" w:type="dxa"/>
          </w:tcPr>
          <w:p w:rsidR="00AE4097" w:rsidRDefault="00AE4097" w:rsidP="00176384">
            <w:pPr>
              <w:spacing w:line="360" w:lineRule="auto"/>
              <w:jc w:val="both"/>
              <w:rPr>
                <w:sz w:val="20"/>
                <w:szCs w:val="20"/>
              </w:rPr>
            </w:pPr>
            <w:r>
              <w:rPr>
                <w:sz w:val="20"/>
                <w:szCs w:val="20"/>
              </w:rPr>
              <w:t>Heineken</w:t>
            </w:r>
          </w:p>
        </w:tc>
        <w:tc>
          <w:tcPr>
            <w:tcW w:w="843" w:type="dxa"/>
          </w:tcPr>
          <w:p w:rsidR="00AE4097" w:rsidRDefault="00AE4097" w:rsidP="00176384">
            <w:pPr>
              <w:spacing w:line="360" w:lineRule="auto"/>
              <w:jc w:val="both"/>
              <w:rPr>
                <w:sz w:val="20"/>
                <w:szCs w:val="20"/>
              </w:rPr>
            </w:pPr>
            <w:r>
              <w:rPr>
                <w:sz w:val="20"/>
                <w:szCs w:val="20"/>
              </w:rPr>
              <w:t>2006</w:t>
            </w:r>
          </w:p>
        </w:tc>
        <w:tc>
          <w:tcPr>
            <w:tcW w:w="1405" w:type="dxa"/>
          </w:tcPr>
          <w:p w:rsidR="00AE4097" w:rsidRDefault="00AE4097" w:rsidP="00176384">
            <w:pPr>
              <w:spacing w:line="360" w:lineRule="auto"/>
              <w:jc w:val="center"/>
              <w:rPr>
                <w:sz w:val="20"/>
                <w:szCs w:val="20"/>
              </w:rPr>
            </w:pPr>
            <w:r>
              <w:rPr>
                <w:sz w:val="20"/>
                <w:szCs w:val="20"/>
              </w:rPr>
              <w:t>9</w:t>
            </w:r>
          </w:p>
        </w:tc>
        <w:tc>
          <w:tcPr>
            <w:tcW w:w="281" w:type="dxa"/>
          </w:tcPr>
          <w:p w:rsidR="00AE4097" w:rsidRDefault="00AE4097" w:rsidP="00176384">
            <w:pPr>
              <w:spacing w:line="360" w:lineRule="auto"/>
              <w:jc w:val="both"/>
              <w:rPr>
                <w:sz w:val="20"/>
                <w:szCs w:val="20"/>
              </w:rPr>
            </w:pPr>
          </w:p>
        </w:tc>
        <w:tc>
          <w:tcPr>
            <w:tcW w:w="1597" w:type="dxa"/>
          </w:tcPr>
          <w:p w:rsidR="00AE4097" w:rsidRDefault="00AE4097" w:rsidP="00176384">
            <w:pPr>
              <w:spacing w:line="360" w:lineRule="auto"/>
              <w:jc w:val="both"/>
              <w:rPr>
                <w:sz w:val="20"/>
                <w:szCs w:val="20"/>
              </w:rPr>
            </w:pPr>
            <w:r>
              <w:rPr>
                <w:sz w:val="20"/>
                <w:szCs w:val="20"/>
              </w:rPr>
              <w:t>Unilever</w:t>
            </w:r>
          </w:p>
        </w:tc>
        <w:tc>
          <w:tcPr>
            <w:tcW w:w="850" w:type="dxa"/>
          </w:tcPr>
          <w:p w:rsidR="00AE4097" w:rsidRDefault="00AE4097" w:rsidP="00176384">
            <w:pPr>
              <w:spacing w:line="360" w:lineRule="auto"/>
              <w:jc w:val="both"/>
              <w:rPr>
                <w:sz w:val="20"/>
                <w:szCs w:val="20"/>
              </w:rPr>
            </w:pPr>
            <w:r>
              <w:rPr>
                <w:sz w:val="20"/>
                <w:szCs w:val="20"/>
              </w:rPr>
              <w:t>2006</w:t>
            </w:r>
          </w:p>
        </w:tc>
        <w:tc>
          <w:tcPr>
            <w:tcW w:w="1418" w:type="dxa"/>
          </w:tcPr>
          <w:p w:rsidR="00AE4097" w:rsidRDefault="00AE4097" w:rsidP="00176384">
            <w:pPr>
              <w:spacing w:line="360" w:lineRule="auto"/>
              <w:jc w:val="center"/>
              <w:rPr>
                <w:sz w:val="20"/>
                <w:szCs w:val="20"/>
              </w:rPr>
            </w:pPr>
            <w:r>
              <w:rPr>
                <w:sz w:val="20"/>
                <w:szCs w:val="20"/>
              </w:rPr>
              <w:t>9</w:t>
            </w:r>
          </w:p>
        </w:tc>
      </w:tr>
      <w:tr w:rsidR="00AE4097" w:rsidTr="00176384">
        <w:tc>
          <w:tcPr>
            <w:tcW w:w="1511" w:type="dxa"/>
          </w:tcPr>
          <w:p w:rsidR="00AE4097" w:rsidRDefault="00AE4097" w:rsidP="00176384">
            <w:pPr>
              <w:spacing w:line="360" w:lineRule="auto"/>
              <w:jc w:val="both"/>
              <w:rPr>
                <w:sz w:val="20"/>
                <w:szCs w:val="20"/>
              </w:rPr>
            </w:pPr>
          </w:p>
        </w:tc>
        <w:tc>
          <w:tcPr>
            <w:tcW w:w="843" w:type="dxa"/>
          </w:tcPr>
          <w:p w:rsidR="00AE4097" w:rsidRDefault="00AE4097" w:rsidP="00176384">
            <w:pPr>
              <w:spacing w:line="360" w:lineRule="auto"/>
              <w:jc w:val="both"/>
              <w:rPr>
                <w:sz w:val="20"/>
                <w:szCs w:val="20"/>
              </w:rPr>
            </w:pPr>
            <w:r>
              <w:rPr>
                <w:sz w:val="20"/>
                <w:szCs w:val="20"/>
              </w:rPr>
              <w:t>2007</w:t>
            </w:r>
          </w:p>
        </w:tc>
        <w:tc>
          <w:tcPr>
            <w:tcW w:w="1405" w:type="dxa"/>
          </w:tcPr>
          <w:p w:rsidR="00AE4097" w:rsidRDefault="00AE4097" w:rsidP="00176384">
            <w:pPr>
              <w:spacing w:line="360" w:lineRule="auto"/>
              <w:jc w:val="center"/>
              <w:rPr>
                <w:sz w:val="20"/>
                <w:szCs w:val="20"/>
              </w:rPr>
            </w:pPr>
            <w:r>
              <w:rPr>
                <w:sz w:val="20"/>
                <w:szCs w:val="20"/>
              </w:rPr>
              <w:t>9</w:t>
            </w:r>
          </w:p>
        </w:tc>
        <w:tc>
          <w:tcPr>
            <w:tcW w:w="281" w:type="dxa"/>
          </w:tcPr>
          <w:p w:rsidR="00AE4097" w:rsidRDefault="00AE4097" w:rsidP="00176384">
            <w:pPr>
              <w:spacing w:line="360" w:lineRule="auto"/>
              <w:jc w:val="both"/>
              <w:rPr>
                <w:sz w:val="20"/>
                <w:szCs w:val="20"/>
              </w:rPr>
            </w:pPr>
          </w:p>
        </w:tc>
        <w:tc>
          <w:tcPr>
            <w:tcW w:w="1597" w:type="dxa"/>
          </w:tcPr>
          <w:p w:rsidR="00AE4097" w:rsidRDefault="00AE4097" w:rsidP="00176384">
            <w:pPr>
              <w:spacing w:line="360" w:lineRule="auto"/>
              <w:jc w:val="both"/>
              <w:rPr>
                <w:sz w:val="20"/>
                <w:szCs w:val="20"/>
              </w:rPr>
            </w:pPr>
          </w:p>
        </w:tc>
        <w:tc>
          <w:tcPr>
            <w:tcW w:w="850" w:type="dxa"/>
          </w:tcPr>
          <w:p w:rsidR="00AE4097" w:rsidRDefault="00AE4097" w:rsidP="00176384">
            <w:pPr>
              <w:spacing w:line="360" w:lineRule="auto"/>
              <w:jc w:val="both"/>
              <w:rPr>
                <w:sz w:val="20"/>
                <w:szCs w:val="20"/>
              </w:rPr>
            </w:pPr>
            <w:r>
              <w:rPr>
                <w:sz w:val="20"/>
                <w:szCs w:val="20"/>
              </w:rPr>
              <w:t>2007</w:t>
            </w:r>
          </w:p>
        </w:tc>
        <w:tc>
          <w:tcPr>
            <w:tcW w:w="1418" w:type="dxa"/>
          </w:tcPr>
          <w:p w:rsidR="00AE4097" w:rsidRDefault="00AE4097" w:rsidP="00176384">
            <w:pPr>
              <w:spacing w:line="360" w:lineRule="auto"/>
              <w:jc w:val="center"/>
              <w:rPr>
                <w:sz w:val="20"/>
                <w:szCs w:val="20"/>
              </w:rPr>
            </w:pPr>
            <w:r>
              <w:rPr>
                <w:sz w:val="20"/>
                <w:szCs w:val="20"/>
              </w:rPr>
              <w:t>9</w:t>
            </w:r>
          </w:p>
        </w:tc>
      </w:tr>
      <w:tr w:rsidR="00AE4097" w:rsidTr="00176384">
        <w:tc>
          <w:tcPr>
            <w:tcW w:w="1511" w:type="dxa"/>
          </w:tcPr>
          <w:p w:rsidR="00AE4097" w:rsidRDefault="00AE4097" w:rsidP="00176384">
            <w:pPr>
              <w:spacing w:line="360" w:lineRule="auto"/>
              <w:jc w:val="both"/>
              <w:rPr>
                <w:sz w:val="20"/>
                <w:szCs w:val="20"/>
              </w:rPr>
            </w:pPr>
          </w:p>
        </w:tc>
        <w:tc>
          <w:tcPr>
            <w:tcW w:w="843" w:type="dxa"/>
          </w:tcPr>
          <w:p w:rsidR="00AE4097" w:rsidRDefault="00AE4097" w:rsidP="00176384">
            <w:pPr>
              <w:spacing w:line="360" w:lineRule="auto"/>
              <w:jc w:val="both"/>
              <w:rPr>
                <w:sz w:val="20"/>
                <w:szCs w:val="20"/>
              </w:rPr>
            </w:pPr>
            <w:r>
              <w:rPr>
                <w:sz w:val="20"/>
                <w:szCs w:val="20"/>
              </w:rPr>
              <w:t>2008</w:t>
            </w:r>
          </w:p>
        </w:tc>
        <w:tc>
          <w:tcPr>
            <w:tcW w:w="1405" w:type="dxa"/>
          </w:tcPr>
          <w:p w:rsidR="00AE4097" w:rsidRDefault="00AE4097" w:rsidP="00176384">
            <w:pPr>
              <w:spacing w:line="360" w:lineRule="auto"/>
              <w:jc w:val="center"/>
              <w:rPr>
                <w:sz w:val="20"/>
                <w:szCs w:val="20"/>
              </w:rPr>
            </w:pPr>
            <w:r>
              <w:rPr>
                <w:sz w:val="20"/>
                <w:szCs w:val="20"/>
              </w:rPr>
              <w:t>15</w:t>
            </w:r>
          </w:p>
        </w:tc>
        <w:tc>
          <w:tcPr>
            <w:tcW w:w="281" w:type="dxa"/>
          </w:tcPr>
          <w:p w:rsidR="00AE4097" w:rsidRDefault="00AE4097" w:rsidP="00176384">
            <w:pPr>
              <w:spacing w:line="360" w:lineRule="auto"/>
              <w:jc w:val="both"/>
              <w:rPr>
                <w:sz w:val="20"/>
                <w:szCs w:val="20"/>
              </w:rPr>
            </w:pPr>
          </w:p>
        </w:tc>
        <w:tc>
          <w:tcPr>
            <w:tcW w:w="1597" w:type="dxa"/>
          </w:tcPr>
          <w:p w:rsidR="00AE4097" w:rsidRDefault="00AE4097" w:rsidP="00176384">
            <w:pPr>
              <w:spacing w:line="360" w:lineRule="auto"/>
              <w:jc w:val="both"/>
              <w:rPr>
                <w:sz w:val="20"/>
                <w:szCs w:val="20"/>
              </w:rPr>
            </w:pPr>
          </w:p>
        </w:tc>
        <w:tc>
          <w:tcPr>
            <w:tcW w:w="850" w:type="dxa"/>
          </w:tcPr>
          <w:p w:rsidR="00AE4097" w:rsidRDefault="00AE4097" w:rsidP="00176384">
            <w:pPr>
              <w:spacing w:line="360" w:lineRule="auto"/>
              <w:jc w:val="both"/>
              <w:rPr>
                <w:sz w:val="20"/>
                <w:szCs w:val="20"/>
              </w:rPr>
            </w:pPr>
            <w:r>
              <w:rPr>
                <w:sz w:val="20"/>
                <w:szCs w:val="20"/>
              </w:rPr>
              <w:t>2008</w:t>
            </w:r>
          </w:p>
        </w:tc>
        <w:tc>
          <w:tcPr>
            <w:tcW w:w="1418" w:type="dxa"/>
          </w:tcPr>
          <w:p w:rsidR="00AE4097" w:rsidRDefault="00AE4097" w:rsidP="00176384">
            <w:pPr>
              <w:spacing w:line="360" w:lineRule="auto"/>
              <w:jc w:val="center"/>
              <w:rPr>
                <w:sz w:val="20"/>
                <w:szCs w:val="20"/>
              </w:rPr>
            </w:pPr>
            <w:r>
              <w:rPr>
                <w:sz w:val="20"/>
                <w:szCs w:val="20"/>
              </w:rPr>
              <w:t>36</w:t>
            </w:r>
          </w:p>
        </w:tc>
      </w:tr>
      <w:tr w:rsidR="00AE4097" w:rsidTr="00176384">
        <w:tc>
          <w:tcPr>
            <w:tcW w:w="1511" w:type="dxa"/>
          </w:tcPr>
          <w:p w:rsidR="00AE4097" w:rsidRDefault="00AE4097" w:rsidP="00176384">
            <w:pPr>
              <w:spacing w:line="360" w:lineRule="auto"/>
              <w:jc w:val="both"/>
              <w:rPr>
                <w:sz w:val="20"/>
                <w:szCs w:val="20"/>
              </w:rPr>
            </w:pPr>
          </w:p>
        </w:tc>
        <w:tc>
          <w:tcPr>
            <w:tcW w:w="843" w:type="dxa"/>
          </w:tcPr>
          <w:p w:rsidR="00AE4097" w:rsidRDefault="00AE4097" w:rsidP="00176384">
            <w:pPr>
              <w:spacing w:line="360" w:lineRule="auto"/>
              <w:jc w:val="both"/>
              <w:rPr>
                <w:sz w:val="20"/>
                <w:szCs w:val="20"/>
              </w:rPr>
            </w:pPr>
            <w:r>
              <w:rPr>
                <w:sz w:val="20"/>
                <w:szCs w:val="20"/>
              </w:rPr>
              <w:t>2009</w:t>
            </w:r>
          </w:p>
        </w:tc>
        <w:tc>
          <w:tcPr>
            <w:tcW w:w="1405" w:type="dxa"/>
          </w:tcPr>
          <w:p w:rsidR="00AE4097" w:rsidRDefault="00AE4097" w:rsidP="00176384">
            <w:pPr>
              <w:spacing w:line="360" w:lineRule="auto"/>
              <w:jc w:val="center"/>
              <w:rPr>
                <w:sz w:val="20"/>
                <w:szCs w:val="20"/>
              </w:rPr>
            </w:pPr>
            <w:r>
              <w:rPr>
                <w:sz w:val="20"/>
                <w:szCs w:val="20"/>
              </w:rPr>
              <w:t>15</w:t>
            </w:r>
          </w:p>
        </w:tc>
        <w:tc>
          <w:tcPr>
            <w:tcW w:w="281" w:type="dxa"/>
          </w:tcPr>
          <w:p w:rsidR="00AE4097" w:rsidRDefault="00AE4097" w:rsidP="00176384">
            <w:pPr>
              <w:spacing w:line="360" w:lineRule="auto"/>
              <w:jc w:val="both"/>
              <w:rPr>
                <w:sz w:val="20"/>
                <w:szCs w:val="20"/>
              </w:rPr>
            </w:pPr>
          </w:p>
        </w:tc>
        <w:tc>
          <w:tcPr>
            <w:tcW w:w="1597" w:type="dxa"/>
          </w:tcPr>
          <w:p w:rsidR="00AE4097" w:rsidRDefault="00AE4097" w:rsidP="00176384">
            <w:pPr>
              <w:spacing w:line="360" w:lineRule="auto"/>
              <w:jc w:val="both"/>
              <w:rPr>
                <w:sz w:val="20"/>
                <w:szCs w:val="20"/>
              </w:rPr>
            </w:pPr>
          </w:p>
        </w:tc>
        <w:tc>
          <w:tcPr>
            <w:tcW w:w="850" w:type="dxa"/>
          </w:tcPr>
          <w:p w:rsidR="00AE4097" w:rsidRDefault="00AE4097" w:rsidP="00176384">
            <w:pPr>
              <w:spacing w:line="360" w:lineRule="auto"/>
              <w:jc w:val="both"/>
              <w:rPr>
                <w:sz w:val="20"/>
                <w:szCs w:val="20"/>
              </w:rPr>
            </w:pPr>
            <w:r>
              <w:rPr>
                <w:sz w:val="20"/>
                <w:szCs w:val="20"/>
              </w:rPr>
              <w:t>2009</w:t>
            </w:r>
          </w:p>
        </w:tc>
        <w:tc>
          <w:tcPr>
            <w:tcW w:w="1418" w:type="dxa"/>
          </w:tcPr>
          <w:p w:rsidR="00AE4097" w:rsidRDefault="00AE4097" w:rsidP="00176384">
            <w:pPr>
              <w:spacing w:line="360" w:lineRule="auto"/>
              <w:jc w:val="center"/>
              <w:rPr>
                <w:sz w:val="20"/>
                <w:szCs w:val="20"/>
              </w:rPr>
            </w:pPr>
            <w:r>
              <w:rPr>
                <w:sz w:val="20"/>
                <w:szCs w:val="20"/>
              </w:rPr>
              <w:t>36</w:t>
            </w:r>
          </w:p>
        </w:tc>
      </w:tr>
      <w:tr w:rsidR="00AE4097" w:rsidTr="00176384">
        <w:tc>
          <w:tcPr>
            <w:tcW w:w="1511" w:type="dxa"/>
          </w:tcPr>
          <w:p w:rsidR="00AE4097" w:rsidRDefault="00AE4097" w:rsidP="00176384">
            <w:pPr>
              <w:spacing w:line="360" w:lineRule="auto"/>
              <w:jc w:val="both"/>
              <w:rPr>
                <w:sz w:val="20"/>
                <w:szCs w:val="20"/>
              </w:rPr>
            </w:pPr>
            <w:r>
              <w:rPr>
                <w:sz w:val="20"/>
                <w:szCs w:val="20"/>
              </w:rPr>
              <w:t>KPN</w:t>
            </w:r>
          </w:p>
        </w:tc>
        <w:tc>
          <w:tcPr>
            <w:tcW w:w="843" w:type="dxa"/>
          </w:tcPr>
          <w:p w:rsidR="00AE4097" w:rsidRDefault="00AE4097" w:rsidP="00176384">
            <w:pPr>
              <w:spacing w:line="360" w:lineRule="auto"/>
              <w:jc w:val="both"/>
              <w:rPr>
                <w:sz w:val="20"/>
                <w:szCs w:val="20"/>
              </w:rPr>
            </w:pPr>
            <w:r>
              <w:rPr>
                <w:sz w:val="20"/>
                <w:szCs w:val="20"/>
              </w:rPr>
              <w:t>2006</w:t>
            </w:r>
          </w:p>
        </w:tc>
        <w:tc>
          <w:tcPr>
            <w:tcW w:w="1405" w:type="dxa"/>
          </w:tcPr>
          <w:p w:rsidR="00AE4097" w:rsidRDefault="00AE4097" w:rsidP="00176384">
            <w:pPr>
              <w:spacing w:line="360" w:lineRule="auto"/>
              <w:jc w:val="center"/>
              <w:rPr>
                <w:sz w:val="20"/>
                <w:szCs w:val="20"/>
              </w:rPr>
            </w:pPr>
            <w:r>
              <w:rPr>
                <w:sz w:val="20"/>
                <w:szCs w:val="20"/>
              </w:rPr>
              <w:t>25</w:t>
            </w:r>
          </w:p>
        </w:tc>
        <w:tc>
          <w:tcPr>
            <w:tcW w:w="281" w:type="dxa"/>
          </w:tcPr>
          <w:p w:rsidR="00AE4097" w:rsidRDefault="00AE4097" w:rsidP="00176384">
            <w:pPr>
              <w:spacing w:line="360" w:lineRule="auto"/>
              <w:jc w:val="both"/>
              <w:rPr>
                <w:sz w:val="20"/>
                <w:szCs w:val="20"/>
              </w:rPr>
            </w:pPr>
          </w:p>
        </w:tc>
        <w:tc>
          <w:tcPr>
            <w:tcW w:w="1597" w:type="dxa"/>
          </w:tcPr>
          <w:p w:rsidR="00AE4097" w:rsidRDefault="00AE4097" w:rsidP="00176384">
            <w:pPr>
              <w:spacing w:line="360" w:lineRule="auto"/>
              <w:jc w:val="both"/>
              <w:rPr>
                <w:sz w:val="20"/>
                <w:szCs w:val="20"/>
              </w:rPr>
            </w:pPr>
            <w:r>
              <w:rPr>
                <w:sz w:val="20"/>
                <w:szCs w:val="20"/>
              </w:rPr>
              <w:t>Wolters Kluwer</w:t>
            </w:r>
          </w:p>
        </w:tc>
        <w:tc>
          <w:tcPr>
            <w:tcW w:w="850" w:type="dxa"/>
          </w:tcPr>
          <w:p w:rsidR="00AE4097" w:rsidRDefault="00AE4097" w:rsidP="00176384">
            <w:pPr>
              <w:spacing w:line="360" w:lineRule="auto"/>
              <w:jc w:val="both"/>
              <w:rPr>
                <w:sz w:val="20"/>
                <w:szCs w:val="20"/>
              </w:rPr>
            </w:pPr>
            <w:r>
              <w:rPr>
                <w:sz w:val="20"/>
                <w:szCs w:val="20"/>
              </w:rPr>
              <w:t>2006</w:t>
            </w:r>
          </w:p>
        </w:tc>
        <w:tc>
          <w:tcPr>
            <w:tcW w:w="1418" w:type="dxa"/>
          </w:tcPr>
          <w:p w:rsidR="00AE4097" w:rsidRDefault="00AE4097" w:rsidP="00176384">
            <w:pPr>
              <w:spacing w:line="360" w:lineRule="auto"/>
              <w:jc w:val="center"/>
              <w:rPr>
                <w:sz w:val="20"/>
                <w:szCs w:val="20"/>
              </w:rPr>
            </w:pPr>
            <w:r>
              <w:rPr>
                <w:sz w:val="20"/>
                <w:szCs w:val="20"/>
              </w:rPr>
              <w:t>69</w:t>
            </w:r>
          </w:p>
        </w:tc>
      </w:tr>
      <w:tr w:rsidR="00AE4097" w:rsidTr="00176384">
        <w:tc>
          <w:tcPr>
            <w:tcW w:w="1511" w:type="dxa"/>
          </w:tcPr>
          <w:p w:rsidR="00AE4097" w:rsidRDefault="00AE4097" w:rsidP="00176384">
            <w:pPr>
              <w:spacing w:line="360" w:lineRule="auto"/>
              <w:jc w:val="both"/>
              <w:rPr>
                <w:sz w:val="20"/>
                <w:szCs w:val="20"/>
              </w:rPr>
            </w:pPr>
          </w:p>
        </w:tc>
        <w:tc>
          <w:tcPr>
            <w:tcW w:w="843" w:type="dxa"/>
          </w:tcPr>
          <w:p w:rsidR="00AE4097" w:rsidRDefault="00AE4097" w:rsidP="00176384">
            <w:pPr>
              <w:spacing w:line="360" w:lineRule="auto"/>
              <w:jc w:val="both"/>
              <w:rPr>
                <w:sz w:val="20"/>
                <w:szCs w:val="20"/>
              </w:rPr>
            </w:pPr>
            <w:r>
              <w:rPr>
                <w:sz w:val="20"/>
                <w:szCs w:val="20"/>
              </w:rPr>
              <w:t>2007</w:t>
            </w:r>
          </w:p>
        </w:tc>
        <w:tc>
          <w:tcPr>
            <w:tcW w:w="1405" w:type="dxa"/>
          </w:tcPr>
          <w:p w:rsidR="00AE4097" w:rsidRDefault="00AE4097" w:rsidP="00176384">
            <w:pPr>
              <w:spacing w:line="360" w:lineRule="auto"/>
              <w:jc w:val="center"/>
              <w:rPr>
                <w:sz w:val="20"/>
                <w:szCs w:val="20"/>
              </w:rPr>
            </w:pPr>
            <w:r>
              <w:rPr>
                <w:sz w:val="20"/>
                <w:szCs w:val="20"/>
              </w:rPr>
              <w:t>51</w:t>
            </w:r>
          </w:p>
        </w:tc>
        <w:tc>
          <w:tcPr>
            <w:tcW w:w="281" w:type="dxa"/>
          </w:tcPr>
          <w:p w:rsidR="00AE4097" w:rsidRDefault="00AE4097" w:rsidP="00176384">
            <w:pPr>
              <w:spacing w:line="360" w:lineRule="auto"/>
              <w:jc w:val="both"/>
              <w:rPr>
                <w:sz w:val="20"/>
                <w:szCs w:val="20"/>
              </w:rPr>
            </w:pPr>
          </w:p>
        </w:tc>
        <w:tc>
          <w:tcPr>
            <w:tcW w:w="1597" w:type="dxa"/>
          </w:tcPr>
          <w:p w:rsidR="00AE4097" w:rsidRDefault="00AE4097" w:rsidP="00176384">
            <w:pPr>
              <w:spacing w:line="360" w:lineRule="auto"/>
              <w:jc w:val="both"/>
              <w:rPr>
                <w:sz w:val="20"/>
                <w:szCs w:val="20"/>
              </w:rPr>
            </w:pPr>
          </w:p>
        </w:tc>
        <w:tc>
          <w:tcPr>
            <w:tcW w:w="850" w:type="dxa"/>
          </w:tcPr>
          <w:p w:rsidR="00AE4097" w:rsidRDefault="00AE4097" w:rsidP="00176384">
            <w:pPr>
              <w:spacing w:line="360" w:lineRule="auto"/>
              <w:jc w:val="both"/>
              <w:rPr>
                <w:sz w:val="20"/>
                <w:szCs w:val="20"/>
              </w:rPr>
            </w:pPr>
            <w:r>
              <w:rPr>
                <w:sz w:val="20"/>
                <w:szCs w:val="20"/>
              </w:rPr>
              <w:t>2007</w:t>
            </w:r>
          </w:p>
        </w:tc>
        <w:tc>
          <w:tcPr>
            <w:tcW w:w="1418" w:type="dxa"/>
          </w:tcPr>
          <w:p w:rsidR="00AE4097" w:rsidRDefault="00AE4097" w:rsidP="00176384">
            <w:pPr>
              <w:spacing w:line="360" w:lineRule="auto"/>
              <w:jc w:val="center"/>
              <w:rPr>
                <w:sz w:val="20"/>
                <w:szCs w:val="20"/>
              </w:rPr>
            </w:pPr>
            <w:r>
              <w:rPr>
                <w:sz w:val="20"/>
                <w:szCs w:val="20"/>
              </w:rPr>
              <w:t>27 (</w:t>
            </w:r>
            <w:proofErr w:type="spellStart"/>
            <w:r>
              <w:rPr>
                <w:sz w:val="20"/>
                <w:szCs w:val="20"/>
              </w:rPr>
              <w:t>notes</w:t>
            </w:r>
            <w:proofErr w:type="spellEnd"/>
            <w:r>
              <w:rPr>
                <w:sz w:val="20"/>
                <w:szCs w:val="20"/>
              </w:rPr>
              <w:t>)</w:t>
            </w:r>
          </w:p>
        </w:tc>
      </w:tr>
      <w:tr w:rsidR="00AE4097" w:rsidTr="00176384">
        <w:tc>
          <w:tcPr>
            <w:tcW w:w="1511" w:type="dxa"/>
          </w:tcPr>
          <w:p w:rsidR="00AE4097" w:rsidRDefault="00AE4097" w:rsidP="00176384">
            <w:pPr>
              <w:spacing w:line="360" w:lineRule="auto"/>
              <w:jc w:val="both"/>
              <w:rPr>
                <w:sz w:val="20"/>
                <w:szCs w:val="20"/>
              </w:rPr>
            </w:pPr>
          </w:p>
        </w:tc>
        <w:tc>
          <w:tcPr>
            <w:tcW w:w="843" w:type="dxa"/>
          </w:tcPr>
          <w:p w:rsidR="00AE4097" w:rsidRDefault="00AE4097" w:rsidP="00176384">
            <w:pPr>
              <w:spacing w:line="360" w:lineRule="auto"/>
              <w:jc w:val="both"/>
              <w:rPr>
                <w:sz w:val="20"/>
                <w:szCs w:val="20"/>
                <w:lang w:val="en-US"/>
              </w:rPr>
            </w:pPr>
            <w:r>
              <w:rPr>
                <w:sz w:val="20"/>
                <w:szCs w:val="20"/>
                <w:lang w:val="en-US"/>
              </w:rPr>
              <w:t>2008</w:t>
            </w:r>
          </w:p>
        </w:tc>
        <w:tc>
          <w:tcPr>
            <w:tcW w:w="1405" w:type="dxa"/>
          </w:tcPr>
          <w:p w:rsidR="00AE4097" w:rsidRDefault="00AE4097" w:rsidP="00176384">
            <w:pPr>
              <w:spacing w:line="360" w:lineRule="auto"/>
              <w:jc w:val="center"/>
              <w:rPr>
                <w:sz w:val="20"/>
                <w:szCs w:val="20"/>
                <w:lang w:val="en-US"/>
              </w:rPr>
            </w:pPr>
            <w:r>
              <w:rPr>
                <w:sz w:val="20"/>
                <w:szCs w:val="20"/>
                <w:lang w:val="en-US"/>
              </w:rPr>
              <w:t>20 (notes)</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2008</w:t>
            </w:r>
          </w:p>
        </w:tc>
        <w:tc>
          <w:tcPr>
            <w:tcW w:w="1418" w:type="dxa"/>
          </w:tcPr>
          <w:p w:rsidR="00AE4097" w:rsidRDefault="00AE4097" w:rsidP="00176384">
            <w:pPr>
              <w:spacing w:line="360" w:lineRule="auto"/>
              <w:jc w:val="center"/>
              <w:rPr>
                <w:sz w:val="20"/>
                <w:szCs w:val="20"/>
                <w:lang w:val="en-US"/>
              </w:rPr>
            </w:pPr>
            <w:r>
              <w:rPr>
                <w:sz w:val="20"/>
                <w:szCs w:val="20"/>
                <w:lang w:val="en-US"/>
              </w:rPr>
              <w:t>23 (notes)</w:t>
            </w:r>
          </w:p>
        </w:tc>
      </w:tr>
      <w:tr w:rsidR="00AE4097" w:rsidTr="00176384">
        <w:tc>
          <w:tcPr>
            <w:tcW w:w="1511" w:type="dxa"/>
          </w:tcPr>
          <w:p w:rsidR="00AE4097" w:rsidRDefault="00AE4097" w:rsidP="00176384">
            <w:pPr>
              <w:spacing w:line="360" w:lineRule="auto"/>
              <w:jc w:val="both"/>
              <w:rPr>
                <w:sz w:val="20"/>
                <w:szCs w:val="20"/>
                <w:lang w:val="en-US"/>
              </w:rPr>
            </w:pPr>
          </w:p>
        </w:tc>
        <w:tc>
          <w:tcPr>
            <w:tcW w:w="843" w:type="dxa"/>
          </w:tcPr>
          <w:p w:rsidR="00AE4097" w:rsidRDefault="00AE4097" w:rsidP="00176384">
            <w:pPr>
              <w:spacing w:line="360" w:lineRule="auto"/>
              <w:jc w:val="both"/>
              <w:rPr>
                <w:sz w:val="20"/>
                <w:szCs w:val="20"/>
                <w:lang w:val="en-US"/>
              </w:rPr>
            </w:pPr>
            <w:r>
              <w:rPr>
                <w:sz w:val="20"/>
                <w:szCs w:val="20"/>
                <w:lang w:val="en-US"/>
              </w:rPr>
              <w:t>2009</w:t>
            </w:r>
          </w:p>
        </w:tc>
        <w:tc>
          <w:tcPr>
            <w:tcW w:w="1405" w:type="dxa"/>
          </w:tcPr>
          <w:p w:rsidR="00AE4097" w:rsidRDefault="00AE4097" w:rsidP="00176384">
            <w:pPr>
              <w:spacing w:line="360" w:lineRule="auto"/>
              <w:jc w:val="center"/>
              <w:rPr>
                <w:sz w:val="20"/>
                <w:szCs w:val="20"/>
                <w:lang w:val="en-US"/>
              </w:rPr>
            </w:pPr>
            <w:r>
              <w:rPr>
                <w:sz w:val="20"/>
                <w:szCs w:val="20"/>
                <w:lang w:val="en-US"/>
              </w:rPr>
              <w:t>12 (notes)</w:t>
            </w:r>
          </w:p>
        </w:tc>
        <w:tc>
          <w:tcPr>
            <w:tcW w:w="281" w:type="dxa"/>
          </w:tcPr>
          <w:p w:rsidR="00AE4097" w:rsidRDefault="00AE4097" w:rsidP="00176384">
            <w:pPr>
              <w:spacing w:line="360" w:lineRule="auto"/>
              <w:jc w:val="both"/>
              <w:rPr>
                <w:sz w:val="20"/>
                <w:szCs w:val="20"/>
                <w:lang w:val="en-US"/>
              </w:rPr>
            </w:pPr>
          </w:p>
        </w:tc>
        <w:tc>
          <w:tcPr>
            <w:tcW w:w="1597" w:type="dxa"/>
          </w:tcPr>
          <w:p w:rsidR="00AE4097" w:rsidRDefault="00AE4097" w:rsidP="00176384">
            <w:pPr>
              <w:spacing w:line="360" w:lineRule="auto"/>
              <w:jc w:val="both"/>
              <w:rPr>
                <w:sz w:val="20"/>
                <w:szCs w:val="20"/>
                <w:lang w:val="en-US"/>
              </w:rPr>
            </w:pPr>
          </w:p>
        </w:tc>
        <w:tc>
          <w:tcPr>
            <w:tcW w:w="850" w:type="dxa"/>
          </w:tcPr>
          <w:p w:rsidR="00AE4097" w:rsidRDefault="00AE4097" w:rsidP="00176384">
            <w:pPr>
              <w:spacing w:line="360" w:lineRule="auto"/>
              <w:jc w:val="both"/>
              <w:rPr>
                <w:sz w:val="20"/>
                <w:szCs w:val="20"/>
                <w:lang w:val="en-US"/>
              </w:rPr>
            </w:pPr>
            <w:r>
              <w:rPr>
                <w:sz w:val="20"/>
                <w:szCs w:val="20"/>
                <w:lang w:val="en-US"/>
              </w:rPr>
              <w:t>2009</w:t>
            </w:r>
          </w:p>
        </w:tc>
        <w:tc>
          <w:tcPr>
            <w:tcW w:w="1418" w:type="dxa"/>
          </w:tcPr>
          <w:p w:rsidR="00AE4097" w:rsidRDefault="00AE4097" w:rsidP="00176384">
            <w:pPr>
              <w:spacing w:line="360" w:lineRule="auto"/>
              <w:jc w:val="center"/>
              <w:rPr>
                <w:sz w:val="20"/>
                <w:szCs w:val="20"/>
                <w:lang w:val="en-US"/>
              </w:rPr>
            </w:pPr>
            <w:r>
              <w:rPr>
                <w:sz w:val="20"/>
                <w:szCs w:val="20"/>
                <w:lang w:val="en-US"/>
              </w:rPr>
              <w:t>32 (notes)</w:t>
            </w:r>
          </w:p>
        </w:tc>
      </w:tr>
    </w:tbl>
    <w:p w:rsidR="00AE4097" w:rsidRDefault="00AE4097" w:rsidP="00AE4097">
      <w:pPr>
        <w:spacing w:after="200" w:line="276" w:lineRule="auto"/>
        <w:rPr>
          <w:b/>
          <w:lang w:val="en-US" w:eastAsia="en-US"/>
        </w:rPr>
      </w:pPr>
      <w:r>
        <w:rPr>
          <w:b/>
          <w:lang w:val="en-US" w:eastAsia="en-US"/>
        </w:rPr>
        <w:lastRenderedPageBreak/>
        <w:t>Appendix IX Risk management and internal control system</w:t>
      </w:r>
    </w:p>
    <w:tbl>
      <w:tblPr>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708"/>
        <w:gridCol w:w="1779"/>
        <w:gridCol w:w="1200"/>
        <w:gridCol w:w="1080"/>
        <w:gridCol w:w="720"/>
        <w:gridCol w:w="1742"/>
        <w:gridCol w:w="1138"/>
      </w:tblGrid>
      <w:tr w:rsidR="00AE4097" w:rsidTr="00176384">
        <w:tc>
          <w:tcPr>
            <w:tcW w:w="1101" w:type="dxa"/>
          </w:tcPr>
          <w:p w:rsidR="00AE4097" w:rsidRDefault="00AE4097" w:rsidP="00176384">
            <w:pPr>
              <w:spacing w:line="360" w:lineRule="auto"/>
              <w:jc w:val="both"/>
              <w:rPr>
                <w:b/>
                <w:sz w:val="20"/>
                <w:szCs w:val="20"/>
                <w:lang w:val="en-US"/>
              </w:rPr>
            </w:pPr>
            <w:r>
              <w:rPr>
                <w:b/>
                <w:sz w:val="20"/>
                <w:szCs w:val="20"/>
                <w:lang w:val="en-US"/>
              </w:rPr>
              <w:t>Company</w:t>
            </w:r>
          </w:p>
        </w:tc>
        <w:tc>
          <w:tcPr>
            <w:tcW w:w="708" w:type="dxa"/>
          </w:tcPr>
          <w:p w:rsidR="00AE4097" w:rsidRDefault="00AE4097" w:rsidP="00176384">
            <w:pPr>
              <w:spacing w:line="360" w:lineRule="auto"/>
              <w:jc w:val="both"/>
              <w:rPr>
                <w:b/>
                <w:sz w:val="20"/>
                <w:szCs w:val="20"/>
                <w:lang w:val="en-US"/>
              </w:rPr>
            </w:pPr>
            <w:r>
              <w:rPr>
                <w:b/>
                <w:sz w:val="20"/>
                <w:szCs w:val="20"/>
                <w:lang w:val="en-US"/>
              </w:rPr>
              <w:t>Year</w:t>
            </w:r>
          </w:p>
        </w:tc>
        <w:tc>
          <w:tcPr>
            <w:tcW w:w="1779" w:type="dxa"/>
          </w:tcPr>
          <w:p w:rsidR="00AE4097" w:rsidRDefault="00AE4097" w:rsidP="00176384">
            <w:pPr>
              <w:spacing w:line="360" w:lineRule="auto"/>
              <w:jc w:val="center"/>
              <w:rPr>
                <w:b/>
                <w:sz w:val="20"/>
                <w:szCs w:val="20"/>
                <w:lang w:val="en-US"/>
              </w:rPr>
            </w:pPr>
            <w:r>
              <w:rPr>
                <w:b/>
                <w:sz w:val="20"/>
                <w:szCs w:val="20"/>
                <w:lang w:val="en-US"/>
              </w:rPr>
              <w:t>Risk man. system</w:t>
            </w:r>
          </w:p>
        </w:tc>
        <w:tc>
          <w:tcPr>
            <w:tcW w:w="1200" w:type="dxa"/>
          </w:tcPr>
          <w:p w:rsidR="00AE4097" w:rsidRDefault="00AE4097" w:rsidP="00176384">
            <w:pPr>
              <w:spacing w:line="360" w:lineRule="auto"/>
              <w:jc w:val="both"/>
              <w:rPr>
                <w:b/>
                <w:sz w:val="20"/>
                <w:szCs w:val="20"/>
                <w:lang w:val="en-US"/>
              </w:rPr>
            </w:pPr>
            <w:r>
              <w:rPr>
                <w:b/>
                <w:sz w:val="20"/>
                <w:szCs w:val="20"/>
                <w:lang w:val="en-US"/>
              </w:rPr>
              <w:t>In-control</w:t>
            </w:r>
          </w:p>
        </w:tc>
        <w:tc>
          <w:tcPr>
            <w:tcW w:w="1080" w:type="dxa"/>
          </w:tcPr>
          <w:p w:rsidR="00AE4097" w:rsidRDefault="00AE4097" w:rsidP="00176384">
            <w:pPr>
              <w:spacing w:line="360" w:lineRule="auto"/>
              <w:jc w:val="both"/>
              <w:rPr>
                <w:b/>
                <w:sz w:val="20"/>
                <w:szCs w:val="20"/>
                <w:lang w:val="en-US"/>
              </w:rPr>
            </w:pPr>
            <w:r>
              <w:rPr>
                <w:b/>
                <w:sz w:val="20"/>
                <w:szCs w:val="20"/>
                <w:lang w:val="en-US"/>
              </w:rPr>
              <w:t>Company</w:t>
            </w:r>
          </w:p>
        </w:tc>
        <w:tc>
          <w:tcPr>
            <w:tcW w:w="720" w:type="dxa"/>
          </w:tcPr>
          <w:p w:rsidR="00AE4097" w:rsidRDefault="00AE4097" w:rsidP="00176384">
            <w:pPr>
              <w:spacing w:line="360" w:lineRule="auto"/>
              <w:jc w:val="both"/>
              <w:rPr>
                <w:b/>
                <w:sz w:val="20"/>
                <w:szCs w:val="20"/>
                <w:lang w:val="en-US"/>
              </w:rPr>
            </w:pPr>
            <w:r>
              <w:rPr>
                <w:b/>
                <w:sz w:val="20"/>
                <w:szCs w:val="20"/>
                <w:lang w:val="en-US"/>
              </w:rPr>
              <w:t>Year</w:t>
            </w:r>
          </w:p>
        </w:tc>
        <w:tc>
          <w:tcPr>
            <w:tcW w:w="1742" w:type="dxa"/>
          </w:tcPr>
          <w:p w:rsidR="00AE4097" w:rsidRDefault="00AE4097" w:rsidP="00176384">
            <w:pPr>
              <w:spacing w:line="360" w:lineRule="auto"/>
              <w:jc w:val="center"/>
              <w:rPr>
                <w:b/>
                <w:sz w:val="20"/>
                <w:szCs w:val="20"/>
                <w:lang w:val="en-US"/>
              </w:rPr>
            </w:pPr>
            <w:r>
              <w:rPr>
                <w:b/>
                <w:sz w:val="20"/>
                <w:szCs w:val="20"/>
                <w:lang w:val="en-US"/>
              </w:rPr>
              <w:t>Risk man. system</w:t>
            </w:r>
          </w:p>
        </w:tc>
        <w:tc>
          <w:tcPr>
            <w:tcW w:w="1138" w:type="dxa"/>
          </w:tcPr>
          <w:p w:rsidR="00AE4097" w:rsidRDefault="00AE4097" w:rsidP="00176384">
            <w:pPr>
              <w:spacing w:line="360" w:lineRule="auto"/>
              <w:jc w:val="both"/>
              <w:rPr>
                <w:b/>
                <w:sz w:val="20"/>
                <w:szCs w:val="20"/>
                <w:lang w:val="en-US"/>
              </w:rPr>
            </w:pPr>
            <w:r>
              <w:rPr>
                <w:b/>
                <w:sz w:val="20"/>
                <w:szCs w:val="20"/>
                <w:lang w:val="en-US"/>
              </w:rPr>
              <w:t xml:space="preserve">In-control </w:t>
            </w:r>
          </w:p>
        </w:tc>
      </w:tr>
      <w:tr w:rsidR="00AE4097" w:rsidTr="00176384">
        <w:trPr>
          <w:trHeight w:val="246"/>
        </w:trPr>
        <w:tc>
          <w:tcPr>
            <w:tcW w:w="1101" w:type="dxa"/>
          </w:tcPr>
          <w:p w:rsidR="00AE4097" w:rsidRDefault="00AE4097" w:rsidP="00176384">
            <w:pPr>
              <w:spacing w:line="360" w:lineRule="auto"/>
              <w:jc w:val="both"/>
              <w:rPr>
                <w:sz w:val="20"/>
                <w:szCs w:val="20"/>
                <w:lang w:val="en-US"/>
              </w:rPr>
            </w:pPr>
            <w:r>
              <w:rPr>
                <w:sz w:val="20"/>
                <w:szCs w:val="20"/>
                <w:lang w:val="en-US"/>
              </w:rPr>
              <w:t>Ahold</w:t>
            </w:r>
          </w:p>
        </w:tc>
        <w:tc>
          <w:tcPr>
            <w:tcW w:w="708" w:type="dxa"/>
          </w:tcPr>
          <w:p w:rsidR="00AE4097" w:rsidRDefault="00AE4097" w:rsidP="00176384">
            <w:pPr>
              <w:spacing w:line="360" w:lineRule="auto"/>
              <w:jc w:val="both"/>
              <w:rPr>
                <w:sz w:val="20"/>
                <w:szCs w:val="20"/>
                <w:lang w:val="en-US"/>
              </w:rPr>
            </w:pPr>
            <w:r>
              <w:rPr>
                <w:sz w:val="20"/>
                <w:szCs w:val="20"/>
                <w:lang w:val="en-US"/>
              </w:rPr>
              <w:t>2006</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Pr>
          <w:p w:rsidR="00AE4097" w:rsidRDefault="00AE4097" w:rsidP="00176384">
            <w:pPr>
              <w:spacing w:line="360" w:lineRule="auto"/>
              <w:jc w:val="both"/>
              <w:rPr>
                <w:sz w:val="20"/>
                <w:szCs w:val="20"/>
                <w:lang w:val="en-US"/>
              </w:rPr>
            </w:pPr>
            <w:r>
              <w:rPr>
                <w:sz w:val="20"/>
                <w:szCs w:val="20"/>
                <w:lang w:val="en-US"/>
              </w:rPr>
              <w:t>Philips</w:t>
            </w:r>
          </w:p>
        </w:tc>
        <w:tc>
          <w:tcPr>
            <w:tcW w:w="720" w:type="dxa"/>
          </w:tcPr>
          <w:p w:rsidR="00AE4097" w:rsidRDefault="00AE4097" w:rsidP="00176384">
            <w:pPr>
              <w:spacing w:line="360" w:lineRule="auto"/>
              <w:jc w:val="both"/>
              <w:rPr>
                <w:sz w:val="20"/>
                <w:szCs w:val="20"/>
                <w:lang w:val="en-US"/>
              </w:rPr>
            </w:pPr>
            <w:r>
              <w:rPr>
                <w:sz w:val="20"/>
                <w:szCs w:val="20"/>
                <w:lang w:val="en-US"/>
              </w:rPr>
              <w:t>2006</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rPr>
          <w:trHeight w:val="255"/>
        </w:trPr>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2007</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2007</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2008</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2008</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Borders>
              <w:bottom w:val="single" w:sz="4" w:space="0" w:color="000000"/>
            </w:tcBorders>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2009</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rPr>
            </w:pPr>
            <w:r>
              <w:rPr>
                <w:sz w:val="20"/>
                <w:szCs w:val="20"/>
              </w:rPr>
              <w:t>2009</w:t>
            </w:r>
          </w:p>
        </w:tc>
        <w:tc>
          <w:tcPr>
            <w:tcW w:w="1742" w:type="dxa"/>
          </w:tcPr>
          <w:p w:rsidR="00AE4097" w:rsidRDefault="00AE4097" w:rsidP="00176384">
            <w:pPr>
              <w:spacing w:line="360" w:lineRule="auto"/>
              <w:jc w:val="center"/>
              <w:rPr>
                <w:sz w:val="20"/>
                <w:szCs w:val="20"/>
              </w:rPr>
            </w:pPr>
            <w:r>
              <w:rPr>
                <w:sz w:val="20"/>
                <w:szCs w:val="20"/>
              </w:rPr>
              <w:t>X</w:t>
            </w:r>
          </w:p>
        </w:tc>
        <w:tc>
          <w:tcPr>
            <w:tcW w:w="1138" w:type="dxa"/>
          </w:tcPr>
          <w:p w:rsidR="00AE4097" w:rsidRDefault="00AE4097" w:rsidP="00176384">
            <w:pPr>
              <w:spacing w:line="360" w:lineRule="auto"/>
              <w:jc w:val="center"/>
              <w:rPr>
                <w:sz w:val="20"/>
                <w:szCs w:val="20"/>
              </w:rPr>
            </w:pPr>
            <w:r>
              <w:rPr>
                <w:sz w:val="20"/>
                <w:szCs w:val="20"/>
              </w:rPr>
              <w:t>X</w:t>
            </w:r>
          </w:p>
        </w:tc>
      </w:tr>
      <w:tr w:rsidR="00AE4097" w:rsidTr="00176384">
        <w:tc>
          <w:tcPr>
            <w:tcW w:w="1101" w:type="dxa"/>
            <w:tcBorders>
              <w:bottom w:val="nil"/>
            </w:tcBorders>
          </w:tcPr>
          <w:p w:rsidR="00AE4097" w:rsidRDefault="00AE4097" w:rsidP="00176384">
            <w:pPr>
              <w:spacing w:line="360" w:lineRule="auto"/>
              <w:jc w:val="both"/>
              <w:rPr>
                <w:sz w:val="20"/>
                <w:szCs w:val="20"/>
              </w:rPr>
            </w:pPr>
            <w:r>
              <w:rPr>
                <w:sz w:val="20"/>
                <w:szCs w:val="20"/>
              </w:rPr>
              <w:t xml:space="preserve">Akzo </w:t>
            </w:r>
          </w:p>
        </w:tc>
        <w:tc>
          <w:tcPr>
            <w:tcW w:w="708" w:type="dxa"/>
          </w:tcPr>
          <w:p w:rsidR="00AE4097" w:rsidRDefault="00AE4097" w:rsidP="00176384">
            <w:pPr>
              <w:spacing w:line="360" w:lineRule="auto"/>
              <w:jc w:val="both"/>
              <w:rPr>
                <w:sz w:val="20"/>
                <w:szCs w:val="20"/>
              </w:rPr>
            </w:pPr>
            <w:r>
              <w:rPr>
                <w:sz w:val="20"/>
                <w:szCs w:val="20"/>
              </w:rPr>
              <w:t>2006</w:t>
            </w:r>
          </w:p>
        </w:tc>
        <w:tc>
          <w:tcPr>
            <w:tcW w:w="1779" w:type="dxa"/>
          </w:tcPr>
          <w:p w:rsidR="00AE4097" w:rsidRDefault="00AE4097" w:rsidP="00176384">
            <w:pPr>
              <w:spacing w:line="360" w:lineRule="auto"/>
              <w:jc w:val="center"/>
              <w:rPr>
                <w:sz w:val="20"/>
                <w:szCs w:val="20"/>
              </w:rPr>
            </w:pPr>
            <w:r>
              <w:rPr>
                <w:sz w:val="20"/>
                <w:szCs w:val="20"/>
              </w:rPr>
              <w:t>X</w:t>
            </w:r>
          </w:p>
        </w:tc>
        <w:tc>
          <w:tcPr>
            <w:tcW w:w="1200" w:type="dxa"/>
          </w:tcPr>
          <w:p w:rsidR="00AE4097" w:rsidRDefault="00AE4097" w:rsidP="00176384">
            <w:pPr>
              <w:spacing w:line="360" w:lineRule="auto"/>
              <w:jc w:val="center"/>
              <w:rPr>
                <w:sz w:val="20"/>
                <w:szCs w:val="20"/>
              </w:rPr>
            </w:pPr>
            <w:r>
              <w:rPr>
                <w:sz w:val="20"/>
                <w:szCs w:val="20"/>
              </w:rPr>
              <w:t>-</w:t>
            </w:r>
          </w:p>
        </w:tc>
        <w:tc>
          <w:tcPr>
            <w:tcW w:w="1080" w:type="dxa"/>
          </w:tcPr>
          <w:p w:rsidR="00AE4097" w:rsidRDefault="00AE4097" w:rsidP="00176384">
            <w:pPr>
              <w:spacing w:line="360" w:lineRule="auto"/>
              <w:jc w:val="both"/>
              <w:rPr>
                <w:sz w:val="20"/>
                <w:szCs w:val="20"/>
              </w:rPr>
            </w:pPr>
            <w:r>
              <w:rPr>
                <w:sz w:val="20"/>
                <w:szCs w:val="20"/>
              </w:rPr>
              <w:t>Randstad</w:t>
            </w:r>
          </w:p>
        </w:tc>
        <w:tc>
          <w:tcPr>
            <w:tcW w:w="720" w:type="dxa"/>
          </w:tcPr>
          <w:p w:rsidR="00AE4097" w:rsidRDefault="00AE4097" w:rsidP="00176384">
            <w:pPr>
              <w:spacing w:line="360" w:lineRule="auto"/>
              <w:jc w:val="both"/>
              <w:rPr>
                <w:sz w:val="20"/>
                <w:szCs w:val="20"/>
              </w:rPr>
            </w:pPr>
            <w:r>
              <w:rPr>
                <w:sz w:val="20"/>
                <w:szCs w:val="20"/>
              </w:rPr>
              <w:t>2006</w:t>
            </w:r>
          </w:p>
        </w:tc>
        <w:tc>
          <w:tcPr>
            <w:tcW w:w="1742" w:type="dxa"/>
          </w:tcPr>
          <w:p w:rsidR="00AE4097" w:rsidRDefault="00AE4097" w:rsidP="00176384">
            <w:pPr>
              <w:spacing w:line="360" w:lineRule="auto"/>
              <w:jc w:val="center"/>
              <w:rPr>
                <w:sz w:val="20"/>
                <w:szCs w:val="20"/>
              </w:rPr>
            </w:pPr>
            <w:r>
              <w:rPr>
                <w:sz w:val="20"/>
                <w:szCs w:val="20"/>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Borders>
              <w:top w:val="nil"/>
            </w:tcBorders>
          </w:tcPr>
          <w:p w:rsidR="00AE4097" w:rsidRDefault="00AE4097" w:rsidP="00176384">
            <w:pPr>
              <w:spacing w:line="360" w:lineRule="auto"/>
              <w:jc w:val="both"/>
              <w:rPr>
                <w:sz w:val="20"/>
                <w:szCs w:val="20"/>
                <w:lang w:val="en-US"/>
              </w:rPr>
            </w:pPr>
            <w:r>
              <w:rPr>
                <w:sz w:val="20"/>
                <w:szCs w:val="20"/>
                <w:lang w:val="en-US"/>
              </w:rPr>
              <w:t>Nobel</w:t>
            </w:r>
          </w:p>
        </w:tc>
        <w:tc>
          <w:tcPr>
            <w:tcW w:w="708" w:type="dxa"/>
          </w:tcPr>
          <w:p w:rsidR="00AE4097" w:rsidRDefault="00AE4097" w:rsidP="00176384">
            <w:pPr>
              <w:spacing w:line="360" w:lineRule="auto"/>
              <w:jc w:val="both"/>
              <w:rPr>
                <w:sz w:val="20"/>
                <w:szCs w:val="20"/>
                <w:lang w:val="en-US"/>
              </w:rPr>
            </w:pPr>
            <w:r>
              <w:rPr>
                <w:sz w:val="20"/>
                <w:szCs w:val="20"/>
                <w:lang w:val="en-US"/>
              </w:rPr>
              <w:t>2007</w:t>
            </w:r>
          </w:p>
        </w:tc>
        <w:tc>
          <w:tcPr>
            <w:tcW w:w="1779" w:type="dxa"/>
          </w:tcPr>
          <w:p w:rsidR="00AE4097" w:rsidRDefault="00AE4097" w:rsidP="00176384">
            <w:pPr>
              <w:jc w:val="center"/>
              <w:rPr>
                <w:lang w:val="en-US"/>
              </w:rPr>
            </w:pPr>
            <w:r>
              <w:rPr>
                <w:sz w:val="22"/>
                <w:szCs w:val="22"/>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w:t>
            </w:r>
          </w:p>
        </w:tc>
        <w:tc>
          <w:tcPr>
            <w:tcW w:w="1080" w:type="dxa"/>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2007</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2008</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w:t>
            </w:r>
          </w:p>
        </w:tc>
        <w:tc>
          <w:tcPr>
            <w:tcW w:w="1080" w:type="dxa"/>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2008</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2009</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w:t>
            </w:r>
          </w:p>
        </w:tc>
        <w:tc>
          <w:tcPr>
            <w:tcW w:w="1080" w:type="dxa"/>
            <w:tcBorders>
              <w:bottom w:val="single" w:sz="4" w:space="0" w:color="000000"/>
            </w:tcBorders>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2009</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r>
              <w:rPr>
                <w:sz w:val="20"/>
                <w:szCs w:val="20"/>
                <w:lang w:val="en-US"/>
              </w:rPr>
              <w:t>ASML</w:t>
            </w:r>
          </w:p>
        </w:tc>
        <w:tc>
          <w:tcPr>
            <w:tcW w:w="708" w:type="dxa"/>
          </w:tcPr>
          <w:p w:rsidR="00AE4097" w:rsidRDefault="00AE4097" w:rsidP="00176384">
            <w:pPr>
              <w:spacing w:line="360" w:lineRule="auto"/>
              <w:jc w:val="both"/>
              <w:rPr>
                <w:sz w:val="20"/>
                <w:szCs w:val="20"/>
                <w:lang w:val="en-US"/>
              </w:rPr>
            </w:pPr>
            <w:r>
              <w:rPr>
                <w:sz w:val="20"/>
                <w:szCs w:val="20"/>
                <w:lang w:val="en-US"/>
              </w:rPr>
              <w:t>2006</w:t>
            </w:r>
          </w:p>
        </w:tc>
        <w:tc>
          <w:tcPr>
            <w:tcW w:w="1779" w:type="dxa"/>
          </w:tcPr>
          <w:p w:rsidR="00AE4097" w:rsidRDefault="00AE4097" w:rsidP="00176384">
            <w:pPr>
              <w:spacing w:line="360" w:lineRule="auto"/>
              <w:jc w:val="center"/>
              <w:rPr>
                <w:sz w:val="20"/>
                <w:szCs w:val="20"/>
                <w:lang w:val="en-US"/>
              </w:rPr>
            </w:pPr>
            <w:r>
              <w:rPr>
                <w:sz w:val="20"/>
                <w:szCs w:val="20"/>
                <w:lang w:val="en-US"/>
              </w:rPr>
              <w:t>-</w:t>
            </w:r>
          </w:p>
        </w:tc>
        <w:tc>
          <w:tcPr>
            <w:tcW w:w="1200" w:type="dxa"/>
          </w:tcPr>
          <w:p w:rsidR="00AE4097" w:rsidRDefault="00AE4097" w:rsidP="00176384">
            <w:pPr>
              <w:spacing w:line="360" w:lineRule="auto"/>
              <w:jc w:val="center"/>
              <w:rPr>
                <w:sz w:val="20"/>
                <w:szCs w:val="20"/>
                <w:lang w:val="en-US"/>
              </w:rPr>
            </w:pPr>
            <w:r>
              <w:rPr>
                <w:sz w:val="20"/>
                <w:szCs w:val="20"/>
                <w:lang w:val="en-US"/>
              </w:rPr>
              <w:t>-</w:t>
            </w:r>
          </w:p>
        </w:tc>
        <w:tc>
          <w:tcPr>
            <w:tcW w:w="1080" w:type="dxa"/>
            <w:tcBorders>
              <w:bottom w:val="nil"/>
            </w:tcBorders>
          </w:tcPr>
          <w:p w:rsidR="00AE4097" w:rsidRDefault="00AE4097" w:rsidP="00176384">
            <w:pPr>
              <w:spacing w:line="360" w:lineRule="auto"/>
              <w:jc w:val="both"/>
              <w:rPr>
                <w:sz w:val="20"/>
                <w:szCs w:val="20"/>
                <w:lang w:val="en-US"/>
              </w:rPr>
            </w:pPr>
            <w:r>
              <w:rPr>
                <w:sz w:val="20"/>
                <w:szCs w:val="20"/>
                <w:lang w:val="en-US"/>
              </w:rPr>
              <w:t xml:space="preserve">Reed </w:t>
            </w:r>
          </w:p>
        </w:tc>
        <w:tc>
          <w:tcPr>
            <w:tcW w:w="720" w:type="dxa"/>
          </w:tcPr>
          <w:p w:rsidR="00AE4097" w:rsidRDefault="00AE4097" w:rsidP="00176384">
            <w:pPr>
              <w:spacing w:line="360" w:lineRule="auto"/>
              <w:jc w:val="both"/>
              <w:rPr>
                <w:sz w:val="20"/>
                <w:szCs w:val="20"/>
                <w:lang w:val="en-US"/>
              </w:rPr>
            </w:pPr>
            <w:r>
              <w:rPr>
                <w:sz w:val="20"/>
                <w:szCs w:val="20"/>
                <w:lang w:val="en-US"/>
              </w:rPr>
              <w:t>2006</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2007</w:t>
            </w:r>
          </w:p>
        </w:tc>
        <w:tc>
          <w:tcPr>
            <w:tcW w:w="1779" w:type="dxa"/>
          </w:tcPr>
          <w:p w:rsidR="00AE4097" w:rsidRDefault="00AE4097" w:rsidP="00176384">
            <w:pPr>
              <w:spacing w:line="360" w:lineRule="auto"/>
              <w:jc w:val="center"/>
              <w:rPr>
                <w:sz w:val="20"/>
                <w:szCs w:val="20"/>
                <w:lang w:val="en-US"/>
              </w:rPr>
            </w:pPr>
            <w:r>
              <w:rPr>
                <w:sz w:val="20"/>
                <w:szCs w:val="20"/>
                <w:lang w:val="en-US"/>
              </w:rPr>
              <w:t>-</w:t>
            </w:r>
          </w:p>
        </w:tc>
        <w:tc>
          <w:tcPr>
            <w:tcW w:w="1200" w:type="dxa"/>
          </w:tcPr>
          <w:p w:rsidR="00AE4097" w:rsidRDefault="00AE4097" w:rsidP="00176384">
            <w:pPr>
              <w:spacing w:line="360" w:lineRule="auto"/>
              <w:jc w:val="center"/>
              <w:rPr>
                <w:sz w:val="20"/>
                <w:szCs w:val="20"/>
                <w:lang w:val="en-US"/>
              </w:rPr>
            </w:pPr>
            <w:r>
              <w:rPr>
                <w:sz w:val="20"/>
                <w:szCs w:val="20"/>
                <w:lang w:val="en-US"/>
              </w:rPr>
              <w:t>-</w:t>
            </w:r>
          </w:p>
        </w:tc>
        <w:tc>
          <w:tcPr>
            <w:tcW w:w="1080" w:type="dxa"/>
            <w:tcBorders>
              <w:top w:val="nil"/>
            </w:tcBorders>
          </w:tcPr>
          <w:p w:rsidR="00AE4097" w:rsidRDefault="00AE4097" w:rsidP="00176384">
            <w:pPr>
              <w:spacing w:line="360" w:lineRule="auto"/>
              <w:jc w:val="both"/>
              <w:rPr>
                <w:sz w:val="20"/>
                <w:szCs w:val="20"/>
                <w:lang w:val="en-US"/>
              </w:rPr>
            </w:pPr>
            <w:r>
              <w:rPr>
                <w:sz w:val="20"/>
                <w:szCs w:val="20"/>
                <w:lang w:val="en-US"/>
              </w:rPr>
              <w:t>Elsevier</w:t>
            </w:r>
          </w:p>
        </w:tc>
        <w:tc>
          <w:tcPr>
            <w:tcW w:w="720" w:type="dxa"/>
          </w:tcPr>
          <w:p w:rsidR="00AE4097" w:rsidRDefault="00AE4097" w:rsidP="00176384">
            <w:pPr>
              <w:spacing w:line="360" w:lineRule="auto"/>
              <w:jc w:val="both"/>
              <w:rPr>
                <w:sz w:val="20"/>
                <w:szCs w:val="20"/>
                <w:lang w:val="en-US"/>
              </w:rPr>
            </w:pPr>
            <w:r>
              <w:rPr>
                <w:sz w:val="20"/>
                <w:szCs w:val="20"/>
                <w:lang w:val="en-US"/>
              </w:rPr>
              <w:t>2007</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2008</w:t>
            </w:r>
          </w:p>
        </w:tc>
        <w:tc>
          <w:tcPr>
            <w:tcW w:w="1779" w:type="dxa"/>
          </w:tcPr>
          <w:p w:rsidR="00AE4097" w:rsidRDefault="00AE4097" w:rsidP="00176384">
            <w:pPr>
              <w:spacing w:line="360" w:lineRule="auto"/>
              <w:jc w:val="center"/>
              <w:rPr>
                <w:sz w:val="20"/>
                <w:szCs w:val="20"/>
                <w:lang w:val="en-US"/>
              </w:rPr>
            </w:pPr>
            <w:r>
              <w:rPr>
                <w:sz w:val="20"/>
                <w:szCs w:val="20"/>
                <w:lang w:val="en-US"/>
              </w:rPr>
              <w:t>-</w:t>
            </w:r>
          </w:p>
        </w:tc>
        <w:tc>
          <w:tcPr>
            <w:tcW w:w="1200" w:type="dxa"/>
          </w:tcPr>
          <w:p w:rsidR="00AE4097" w:rsidRDefault="00AE4097" w:rsidP="00176384">
            <w:pPr>
              <w:spacing w:line="360" w:lineRule="auto"/>
              <w:jc w:val="center"/>
              <w:rPr>
                <w:sz w:val="20"/>
                <w:szCs w:val="20"/>
                <w:lang w:val="en-US"/>
              </w:rPr>
            </w:pPr>
            <w:r>
              <w:rPr>
                <w:sz w:val="20"/>
                <w:szCs w:val="20"/>
                <w:lang w:val="en-US"/>
              </w:rPr>
              <w:t>-</w:t>
            </w:r>
          </w:p>
        </w:tc>
        <w:tc>
          <w:tcPr>
            <w:tcW w:w="1080" w:type="dxa"/>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2008</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Borders>
              <w:bottom w:val="single" w:sz="4" w:space="0" w:color="000000"/>
            </w:tcBorders>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2009</w:t>
            </w:r>
          </w:p>
        </w:tc>
        <w:tc>
          <w:tcPr>
            <w:tcW w:w="1779" w:type="dxa"/>
          </w:tcPr>
          <w:p w:rsidR="00AE4097" w:rsidRDefault="00AE4097" w:rsidP="00176384">
            <w:pPr>
              <w:spacing w:line="360" w:lineRule="auto"/>
              <w:jc w:val="center"/>
              <w:rPr>
                <w:sz w:val="20"/>
                <w:szCs w:val="20"/>
                <w:lang w:val="en-US"/>
              </w:rPr>
            </w:pPr>
            <w:r>
              <w:rPr>
                <w:sz w:val="20"/>
                <w:szCs w:val="20"/>
                <w:lang w:val="en-US"/>
              </w:rPr>
              <w:t>-</w:t>
            </w:r>
          </w:p>
        </w:tc>
        <w:tc>
          <w:tcPr>
            <w:tcW w:w="1200" w:type="dxa"/>
          </w:tcPr>
          <w:p w:rsidR="00AE4097" w:rsidRDefault="00AE4097" w:rsidP="00176384">
            <w:pPr>
              <w:spacing w:line="360" w:lineRule="auto"/>
              <w:jc w:val="center"/>
              <w:rPr>
                <w:sz w:val="20"/>
                <w:szCs w:val="20"/>
                <w:lang w:val="en-US"/>
              </w:rPr>
            </w:pPr>
            <w:r>
              <w:rPr>
                <w:sz w:val="20"/>
                <w:szCs w:val="20"/>
                <w:lang w:val="en-US"/>
              </w:rPr>
              <w:t>-</w:t>
            </w:r>
          </w:p>
        </w:tc>
        <w:tc>
          <w:tcPr>
            <w:tcW w:w="1080" w:type="dxa"/>
            <w:tcBorders>
              <w:bottom w:val="single" w:sz="4" w:space="0" w:color="000000"/>
            </w:tcBorders>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2009</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Borders>
              <w:bottom w:val="nil"/>
            </w:tcBorders>
          </w:tcPr>
          <w:p w:rsidR="00AE4097" w:rsidRDefault="00AE4097" w:rsidP="00176384">
            <w:pPr>
              <w:spacing w:line="360" w:lineRule="auto"/>
              <w:jc w:val="both"/>
              <w:rPr>
                <w:sz w:val="20"/>
                <w:szCs w:val="20"/>
                <w:lang w:val="en-US"/>
              </w:rPr>
            </w:pPr>
            <w:r>
              <w:rPr>
                <w:sz w:val="20"/>
                <w:szCs w:val="20"/>
                <w:lang w:val="en-US"/>
              </w:rPr>
              <w:t xml:space="preserve">BAM </w:t>
            </w:r>
          </w:p>
        </w:tc>
        <w:tc>
          <w:tcPr>
            <w:tcW w:w="708" w:type="dxa"/>
          </w:tcPr>
          <w:p w:rsidR="00AE4097" w:rsidRDefault="00AE4097" w:rsidP="00176384">
            <w:pPr>
              <w:spacing w:line="360" w:lineRule="auto"/>
              <w:jc w:val="both"/>
              <w:rPr>
                <w:sz w:val="20"/>
                <w:szCs w:val="20"/>
                <w:lang w:val="en-US"/>
              </w:rPr>
            </w:pPr>
            <w:r>
              <w:rPr>
                <w:sz w:val="20"/>
                <w:szCs w:val="20"/>
                <w:lang w:val="en-US"/>
              </w:rPr>
              <w:t>2006</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w:t>
            </w:r>
          </w:p>
        </w:tc>
        <w:tc>
          <w:tcPr>
            <w:tcW w:w="1080" w:type="dxa"/>
            <w:tcBorders>
              <w:bottom w:val="nil"/>
            </w:tcBorders>
          </w:tcPr>
          <w:p w:rsidR="00AE4097" w:rsidRDefault="00AE4097" w:rsidP="00176384">
            <w:pPr>
              <w:spacing w:line="360" w:lineRule="auto"/>
              <w:jc w:val="both"/>
              <w:rPr>
                <w:sz w:val="20"/>
                <w:szCs w:val="20"/>
                <w:lang w:val="en-US"/>
              </w:rPr>
            </w:pPr>
            <w:r>
              <w:rPr>
                <w:sz w:val="20"/>
                <w:szCs w:val="20"/>
                <w:lang w:val="en-US"/>
              </w:rPr>
              <w:t xml:space="preserve">SBM </w:t>
            </w:r>
          </w:p>
        </w:tc>
        <w:tc>
          <w:tcPr>
            <w:tcW w:w="720" w:type="dxa"/>
          </w:tcPr>
          <w:p w:rsidR="00AE4097" w:rsidRDefault="00AE4097" w:rsidP="00176384">
            <w:pPr>
              <w:spacing w:line="360" w:lineRule="auto"/>
              <w:jc w:val="both"/>
              <w:rPr>
                <w:sz w:val="20"/>
                <w:szCs w:val="20"/>
                <w:lang w:val="en-US"/>
              </w:rPr>
            </w:pPr>
            <w:r>
              <w:rPr>
                <w:sz w:val="20"/>
                <w:szCs w:val="20"/>
                <w:lang w:val="en-US"/>
              </w:rPr>
              <w:t>2006</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Borders>
              <w:top w:val="nil"/>
            </w:tcBorders>
          </w:tcPr>
          <w:p w:rsidR="00AE4097" w:rsidRDefault="00AE4097" w:rsidP="00176384">
            <w:pPr>
              <w:spacing w:line="360" w:lineRule="auto"/>
              <w:jc w:val="both"/>
              <w:rPr>
                <w:sz w:val="20"/>
                <w:szCs w:val="20"/>
                <w:lang w:val="en-US"/>
              </w:rPr>
            </w:pPr>
            <w:r>
              <w:rPr>
                <w:sz w:val="20"/>
                <w:szCs w:val="20"/>
                <w:lang w:val="en-US"/>
              </w:rPr>
              <w:t>Group</w:t>
            </w:r>
          </w:p>
        </w:tc>
        <w:tc>
          <w:tcPr>
            <w:tcW w:w="708" w:type="dxa"/>
          </w:tcPr>
          <w:p w:rsidR="00AE4097" w:rsidRDefault="00AE4097" w:rsidP="00176384">
            <w:pPr>
              <w:spacing w:line="360" w:lineRule="auto"/>
              <w:jc w:val="both"/>
              <w:rPr>
                <w:sz w:val="20"/>
                <w:szCs w:val="20"/>
                <w:lang w:val="en-US"/>
              </w:rPr>
            </w:pPr>
            <w:r>
              <w:rPr>
                <w:sz w:val="20"/>
                <w:szCs w:val="20"/>
                <w:lang w:val="en-US"/>
              </w:rPr>
              <w:t>2007</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w:t>
            </w:r>
          </w:p>
        </w:tc>
        <w:tc>
          <w:tcPr>
            <w:tcW w:w="1080" w:type="dxa"/>
            <w:tcBorders>
              <w:top w:val="nil"/>
            </w:tcBorders>
          </w:tcPr>
          <w:p w:rsidR="00AE4097" w:rsidRDefault="00AE4097" w:rsidP="00176384">
            <w:pPr>
              <w:spacing w:line="360" w:lineRule="auto"/>
              <w:jc w:val="both"/>
              <w:rPr>
                <w:sz w:val="20"/>
                <w:szCs w:val="20"/>
                <w:lang w:val="en-US"/>
              </w:rPr>
            </w:pPr>
            <w:r>
              <w:rPr>
                <w:sz w:val="20"/>
                <w:szCs w:val="20"/>
                <w:lang w:val="en-US"/>
              </w:rPr>
              <w:t>Offshore</w:t>
            </w:r>
          </w:p>
        </w:tc>
        <w:tc>
          <w:tcPr>
            <w:tcW w:w="720" w:type="dxa"/>
          </w:tcPr>
          <w:p w:rsidR="00AE4097" w:rsidRDefault="00AE4097" w:rsidP="00176384">
            <w:pPr>
              <w:spacing w:line="360" w:lineRule="auto"/>
              <w:jc w:val="both"/>
              <w:rPr>
                <w:sz w:val="20"/>
                <w:szCs w:val="20"/>
                <w:lang w:val="en-US"/>
              </w:rPr>
            </w:pPr>
            <w:r>
              <w:rPr>
                <w:sz w:val="20"/>
                <w:szCs w:val="20"/>
                <w:lang w:val="en-US"/>
              </w:rPr>
              <w:t>2007</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2008</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rPr>
            </w:pPr>
            <w:r>
              <w:rPr>
                <w:sz w:val="20"/>
                <w:szCs w:val="20"/>
              </w:rPr>
              <w:t>-</w:t>
            </w:r>
          </w:p>
        </w:tc>
        <w:tc>
          <w:tcPr>
            <w:tcW w:w="1080" w:type="dxa"/>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2008</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rPr>
            </w:pPr>
          </w:p>
        </w:tc>
        <w:tc>
          <w:tcPr>
            <w:tcW w:w="708" w:type="dxa"/>
          </w:tcPr>
          <w:p w:rsidR="00AE4097" w:rsidRDefault="00AE4097" w:rsidP="00176384">
            <w:pPr>
              <w:spacing w:line="360" w:lineRule="auto"/>
              <w:jc w:val="both"/>
              <w:rPr>
                <w:sz w:val="20"/>
                <w:szCs w:val="20"/>
              </w:rPr>
            </w:pPr>
            <w:r>
              <w:rPr>
                <w:sz w:val="20"/>
                <w:szCs w:val="20"/>
              </w:rPr>
              <w:t>2009</w:t>
            </w:r>
          </w:p>
        </w:tc>
        <w:tc>
          <w:tcPr>
            <w:tcW w:w="1779" w:type="dxa"/>
          </w:tcPr>
          <w:p w:rsidR="00AE4097" w:rsidRDefault="00AE4097" w:rsidP="00176384">
            <w:pPr>
              <w:spacing w:line="360" w:lineRule="auto"/>
              <w:jc w:val="center"/>
              <w:rPr>
                <w:sz w:val="20"/>
                <w:szCs w:val="20"/>
              </w:rPr>
            </w:pPr>
            <w:r>
              <w:rPr>
                <w:sz w:val="20"/>
                <w:szCs w:val="20"/>
              </w:rPr>
              <w:t>X</w:t>
            </w:r>
          </w:p>
        </w:tc>
        <w:tc>
          <w:tcPr>
            <w:tcW w:w="1200" w:type="dxa"/>
          </w:tcPr>
          <w:p w:rsidR="00AE4097" w:rsidRDefault="00AE4097" w:rsidP="00176384">
            <w:pPr>
              <w:spacing w:line="360" w:lineRule="auto"/>
              <w:jc w:val="center"/>
              <w:rPr>
                <w:sz w:val="20"/>
                <w:szCs w:val="20"/>
              </w:rPr>
            </w:pPr>
            <w:r>
              <w:rPr>
                <w:sz w:val="20"/>
                <w:szCs w:val="20"/>
              </w:rPr>
              <w:t>-</w:t>
            </w:r>
          </w:p>
        </w:tc>
        <w:tc>
          <w:tcPr>
            <w:tcW w:w="1080" w:type="dxa"/>
            <w:tcBorders>
              <w:bottom w:val="single" w:sz="4" w:space="0" w:color="000000"/>
            </w:tcBorders>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rPr>
            </w:pPr>
            <w:r>
              <w:rPr>
                <w:sz w:val="20"/>
                <w:szCs w:val="20"/>
              </w:rPr>
              <w:t>2009</w:t>
            </w:r>
          </w:p>
        </w:tc>
        <w:tc>
          <w:tcPr>
            <w:tcW w:w="1742" w:type="dxa"/>
          </w:tcPr>
          <w:p w:rsidR="00AE4097" w:rsidRDefault="00AE4097" w:rsidP="00176384">
            <w:pPr>
              <w:spacing w:line="360" w:lineRule="auto"/>
              <w:jc w:val="center"/>
              <w:rPr>
                <w:sz w:val="20"/>
                <w:szCs w:val="20"/>
              </w:rPr>
            </w:pPr>
            <w:r>
              <w:rPr>
                <w:sz w:val="20"/>
                <w:szCs w:val="20"/>
              </w:rPr>
              <w:t>X</w:t>
            </w:r>
          </w:p>
        </w:tc>
        <w:tc>
          <w:tcPr>
            <w:tcW w:w="1138" w:type="dxa"/>
          </w:tcPr>
          <w:p w:rsidR="00AE4097" w:rsidRDefault="00AE4097" w:rsidP="00176384">
            <w:pPr>
              <w:spacing w:line="360" w:lineRule="auto"/>
              <w:jc w:val="center"/>
              <w:rPr>
                <w:sz w:val="20"/>
                <w:szCs w:val="20"/>
              </w:rPr>
            </w:pPr>
            <w:r>
              <w:rPr>
                <w:sz w:val="20"/>
                <w:szCs w:val="20"/>
              </w:rPr>
              <w:t>X</w:t>
            </w:r>
          </w:p>
        </w:tc>
      </w:tr>
      <w:tr w:rsidR="00AE4097" w:rsidTr="00176384">
        <w:tc>
          <w:tcPr>
            <w:tcW w:w="1101" w:type="dxa"/>
          </w:tcPr>
          <w:p w:rsidR="00AE4097" w:rsidRDefault="00AE4097" w:rsidP="00176384">
            <w:pPr>
              <w:spacing w:line="360" w:lineRule="auto"/>
              <w:jc w:val="both"/>
              <w:rPr>
                <w:sz w:val="20"/>
                <w:szCs w:val="20"/>
              </w:rPr>
            </w:pPr>
            <w:r>
              <w:rPr>
                <w:sz w:val="20"/>
                <w:szCs w:val="20"/>
              </w:rPr>
              <w:t>Boskalis</w:t>
            </w:r>
          </w:p>
        </w:tc>
        <w:tc>
          <w:tcPr>
            <w:tcW w:w="708" w:type="dxa"/>
          </w:tcPr>
          <w:p w:rsidR="00AE4097" w:rsidRDefault="00AE4097" w:rsidP="00176384">
            <w:pPr>
              <w:spacing w:line="360" w:lineRule="auto"/>
              <w:jc w:val="both"/>
              <w:rPr>
                <w:sz w:val="20"/>
                <w:szCs w:val="20"/>
              </w:rPr>
            </w:pPr>
            <w:r>
              <w:rPr>
                <w:sz w:val="20"/>
                <w:szCs w:val="20"/>
              </w:rPr>
              <w:t>2006</w:t>
            </w:r>
          </w:p>
        </w:tc>
        <w:tc>
          <w:tcPr>
            <w:tcW w:w="1779" w:type="dxa"/>
          </w:tcPr>
          <w:p w:rsidR="00AE4097" w:rsidRDefault="00AE4097" w:rsidP="00176384">
            <w:pPr>
              <w:spacing w:line="360" w:lineRule="auto"/>
              <w:jc w:val="center"/>
              <w:rPr>
                <w:sz w:val="20"/>
                <w:szCs w:val="20"/>
              </w:rPr>
            </w:pPr>
            <w:r>
              <w:rPr>
                <w:sz w:val="20"/>
                <w:szCs w:val="20"/>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Borders>
              <w:bottom w:val="single" w:sz="4" w:space="0" w:color="auto"/>
            </w:tcBorders>
          </w:tcPr>
          <w:p w:rsidR="00AE4097" w:rsidRDefault="00AE4097" w:rsidP="00176384">
            <w:pPr>
              <w:spacing w:line="360" w:lineRule="auto"/>
              <w:jc w:val="both"/>
              <w:rPr>
                <w:sz w:val="20"/>
                <w:szCs w:val="20"/>
                <w:lang w:val="en-US"/>
              </w:rPr>
            </w:pPr>
            <w:r>
              <w:rPr>
                <w:sz w:val="20"/>
                <w:szCs w:val="20"/>
                <w:lang w:val="en-US"/>
              </w:rPr>
              <w:t>Shell</w:t>
            </w:r>
          </w:p>
        </w:tc>
        <w:tc>
          <w:tcPr>
            <w:tcW w:w="720" w:type="dxa"/>
          </w:tcPr>
          <w:p w:rsidR="00AE4097" w:rsidRDefault="00AE4097" w:rsidP="00176384">
            <w:pPr>
              <w:spacing w:line="360" w:lineRule="auto"/>
              <w:jc w:val="both"/>
              <w:rPr>
                <w:sz w:val="20"/>
                <w:szCs w:val="20"/>
                <w:lang w:val="en-US"/>
              </w:rPr>
            </w:pPr>
            <w:r>
              <w:rPr>
                <w:sz w:val="20"/>
                <w:szCs w:val="20"/>
                <w:lang w:val="en-US"/>
              </w:rPr>
              <w:t>2006</w:t>
            </w:r>
          </w:p>
        </w:tc>
        <w:tc>
          <w:tcPr>
            <w:tcW w:w="1742" w:type="dxa"/>
          </w:tcPr>
          <w:p w:rsidR="00AE4097" w:rsidRDefault="00AE4097" w:rsidP="00176384">
            <w:pPr>
              <w:spacing w:line="360" w:lineRule="auto"/>
              <w:jc w:val="center"/>
              <w:rPr>
                <w:sz w:val="20"/>
                <w:szCs w:val="20"/>
                <w:lang w:val="en-US"/>
              </w:rPr>
            </w:pPr>
            <w:r>
              <w:rPr>
                <w:sz w:val="20"/>
                <w:szCs w:val="20"/>
                <w:lang w:val="en-US"/>
              </w:rPr>
              <w:t>-</w:t>
            </w:r>
          </w:p>
        </w:tc>
        <w:tc>
          <w:tcPr>
            <w:tcW w:w="1138" w:type="dxa"/>
          </w:tcPr>
          <w:p w:rsidR="00AE4097" w:rsidRDefault="00AE4097" w:rsidP="00176384">
            <w:pPr>
              <w:spacing w:line="360" w:lineRule="auto"/>
              <w:jc w:val="center"/>
              <w:rPr>
                <w:sz w:val="20"/>
                <w:szCs w:val="20"/>
                <w:lang w:val="en-US"/>
              </w:rPr>
            </w:pPr>
            <w:r>
              <w:rPr>
                <w:sz w:val="20"/>
                <w:szCs w:val="20"/>
                <w:lang w:val="en-US"/>
              </w:rPr>
              <w:t>-</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2007</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Borders>
              <w:top w:val="single" w:sz="4" w:space="0" w:color="auto"/>
            </w:tcBorders>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2007</w:t>
            </w:r>
          </w:p>
        </w:tc>
        <w:tc>
          <w:tcPr>
            <w:tcW w:w="1742" w:type="dxa"/>
          </w:tcPr>
          <w:p w:rsidR="00AE4097" w:rsidRDefault="00AE4097" w:rsidP="00176384">
            <w:pPr>
              <w:spacing w:line="360" w:lineRule="auto"/>
              <w:jc w:val="center"/>
              <w:rPr>
                <w:sz w:val="20"/>
                <w:szCs w:val="20"/>
                <w:lang w:val="en-US"/>
              </w:rPr>
            </w:pPr>
            <w:r>
              <w:rPr>
                <w:sz w:val="20"/>
                <w:szCs w:val="20"/>
                <w:lang w:val="en-US"/>
              </w:rPr>
              <w:t>-</w:t>
            </w:r>
          </w:p>
        </w:tc>
        <w:tc>
          <w:tcPr>
            <w:tcW w:w="1138" w:type="dxa"/>
          </w:tcPr>
          <w:p w:rsidR="00AE4097" w:rsidRDefault="00AE4097" w:rsidP="00176384">
            <w:pPr>
              <w:spacing w:line="360" w:lineRule="auto"/>
              <w:jc w:val="center"/>
              <w:rPr>
                <w:sz w:val="20"/>
                <w:szCs w:val="20"/>
                <w:lang w:val="en-US"/>
              </w:rPr>
            </w:pPr>
            <w:r>
              <w:rPr>
                <w:sz w:val="20"/>
                <w:szCs w:val="20"/>
                <w:lang w:val="en-US"/>
              </w:rPr>
              <w:t>-</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2008</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Pr>
          <w:p w:rsidR="00AE4097" w:rsidRDefault="00AE4097" w:rsidP="00176384">
            <w:pPr>
              <w:spacing w:line="360" w:lineRule="auto"/>
              <w:jc w:val="both"/>
              <w:rPr>
                <w:sz w:val="20"/>
                <w:szCs w:val="20"/>
              </w:rPr>
            </w:pPr>
          </w:p>
        </w:tc>
        <w:tc>
          <w:tcPr>
            <w:tcW w:w="720" w:type="dxa"/>
          </w:tcPr>
          <w:p w:rsidR="00AE4097" w:rsidRDefault="00AE4097" w:rsidP="00176384">
            <w:pPr>
              <w:spacing w:line="360" w:lineRule="auto"/>
              <w:jc w:val="both"/>
              <w:rPr>
                <w:sz w:val="20"/>
                <w:szCs w:val="20"/>
              </w:rPr>
            </w:pPr>
            <w:r>
              <w:rPr>
                <w:sz w:val="20"/>
                <w:szCs w:val="20"/>
              </w:rPr>
              <w:t>2008</w:t>
            </w:r>
          </w:p>
        </w:tc>
        <w:tc>
          <w:tcPr>
            <w:tcW w:w="1742" w:type="dxa"/>
          </w:tcPr>
          <w:p w:rsidR="00AE4097" w:rsidRDefault="00AE4097" w:rsidP="00176384">
            <w:pPr>
              <w:spacing w:line="360" w:lineRule="auto"/>
              <w:jc w:val="center"/>
              <w:rPr>
                <w:sz w:val="20"/>
                <w:szCs w:val="20"/>
              </w:rPr>
            </w:pPr>
            <w:r>
              <w:rPr>
                <w:sz w:val="20"/>
                <w:szCs w:val="20"/>
              </w:rPr>
              <w:t>-</w:t>
            </w:r>
          </w:p>
        </w:tc>
        <w:tc>
          <w:tcPr>
            <w:tcW w:w="1138" w:type="dxa"/>
          </w:tcPr>
          <w:p w:rsidR="00AE4097" w:rsidRDefault="00AE4097" w:rsidP="00176384">
            <w:pPr>
              <w:spacing w:line="360" w:lineRule="auto"/>
              <w:jc w:val="center"/>
              <w:rPr>
                <w:sz w:val="20"/>
                <w:szCs w:val="20"/>
              </w:rPr>
            </w:pPr>
            <w:r>
              <w:rPr>
                <w:sz w:val="20"/>
                <w:szCs w:val="20"/>
              </w:rPr>
              <w:t>-</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2009</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Pr>
          <w:p w:rsidR="00AE4097" w:rsidRDefault="00AE4097" w:rsidP="00176384">
            <w:pPr>
              <w:spacing w:line="360" w:lineRule="auto"/>
              <w:jc w:val="both"/>
              <w:rPr>
                <w:sz w:val="20"/>
                <w:szCs w:val="20"/>
              </w:rPr>
            </w:pPr>
          </w:p>
        </w:tc>
        <w:tc>
          <w:tcPr>
            <w:tcW w:w="720" w:type="dxa"/>
          </w:tcPr>
          <w:p w:rsidR="00AE4097" w:rsidRDefault="00AE4097" w:rsidP="00176384">
            <w:pPr>
              <w:spacing w:line="360" w:lineRule="auto"/>
              <w:jc w:val="both"/>
              <w:rPr>
                <w:sz w:val="20"/>
                <w:szCs w:val="20"/>
              </w:rPr>
            </w:pPr>
            <w:r>
              <w:rPr>
                <w:sz w:val="20"/>
                <w:szCs w:val="20"/>
              </w:rPr>
              <w:t>2009</w:t>
            </w:r>
          </w:p>
        </w:tc>
        <w:tc>
          <w:tcPr>
            <w:tcW w:w="1742" w:type="dxa"/>
          </w:tcPr>
          <w:p w:rsidR="00AE4097" w:rsidRDefault="00AE4097" w:rsidP="00176384">
            <w:pPr>
              <w:spacing w:line="360" w:lineRule="auto"/>
              <w:jc w:val="center"/>
              <w:rPr>
                <w:sz w:val="20"/>
                <w:szCs w:val="20"/>
              </w:rPr>
            </w:pPr>
            <w:r>
              <w:rPr>
                <w:sz w:val="20"/>
                <w:szCs w:val="20"/>
              </w:rPr>
              <w:t>-</w:t>
            </w:r>
          </w:p>
        </w:tc>
        <w:tc>
          <w:tcPr>
            <w:tcW w:w="1138" w:type="dxa"/>
          </w:tcPr>
          <w:p w:rsidR="00AE4097" w:rsidRDefault="00AE4097" w:rsidP="00176384">
            <w:pPr>
              <w:spacing w:line="360" w:lineRule="auto"/>
              <w:jc w:val="center"/>
              <w:rPr>
                <w:sz w:val="20"/>
                <w:szCs w:val="20"/>
              </w:rPr>
            </w:pPr>
            <w:r>
              <w:rPr>
                <w:sz w:val="20"/>
                <w:szCs w:val="20"/>
              </w:rPr>
              <w:t>-</w:t>
            </w:r>
          </w:p>
        </w:tc>
      </w:tr>
      <w:tr w:rsidR="00AE4097" w:rsidTr="00176384">
        <w:tc>
          <w:tcPr>
            <w:tcW w:w="1101" w:type="dxa"/>
          </w:tcPr>
          <w:p w:rsidR="00AE4097" w:rsidRDefault="00AE4097" w:rsidP="00176384">
            <w:pPr>
              <w:spacing w:line="360" w:lineRule="auto"/>
              <w:jc w:val="both"/>
              <w:rPr>
                <w:sz w:val="20"/>
                <w:szCs w:val="20"/>
              </w:rPr>
            </w:pPr>
            <w:r>
              <w:rPr>
                <w:sz w:val="20"/>
                <w:szCs w:val="20"/>
              </w:rPr>
              <w:t>DSM</w:t>
            </w:r>
          </w:p>
        </w:tc>
        <w:tc>
          <w:tcPr>
            <w:tcW w:w="708" w:type="dxa"/>
          </w:tcPr>
          <w:p w:rsidR="00AE4097" w:rsidRDefault="00AE4097" w:rsidP="00176384">
            <w:pPr>
              <w:spacing w:line="360" w:lineRule="auto"/>
              <w:jc w:val="both"/>
              <w:rPr>
                <w:sz w:val="20"/>
                <w:szCs w:val="20"/>
                <w:lang w:val="en-US"/>
              </w:rPr>
            </w:pPr>
            <w:r>
              <w:rPr>
                <w:sz w:val="20"/>
                <w:szCs w:val="20"/>
                <w:lang w:val="en-US"/>
              </w:rPr>
              <w:t>2006</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Borders>
              <w:bottom w:val="single" w:sz="4" w:space="0" w:color="000000"/>
            </w:tcBorders>
          </w:tcPr>
          <w:p w:rsidR="00AE4097" w:rsidRDefault="00AE4097" w:rsidP="00176384">
            <w:pPr>
              <w:spacing w:line="360" w:lineRule="auto"/>
              <w:jc w:val="both"/>
              <w:rPr>
                <w:sz w:val="20"/>
                <w:szCs w:val="20"/>
                <w:lang w:val="en-US"/>
              </w:rPr>
            </w:pPr>
            <w:r>
              <w:rPr>
                <w:sz w:val="20"/>
                <w:szCs w:val="20"/>
                <w:lang w:val="en-US"/>
              </w:rPr>
              <w:t>TNT</w:t>
            </w:r>
          </w:p>
        </w:tc>
        <w:tc>
          <w:tcPr>
            <w:tcW w:w="720" w:type="dxa"/>
          </w:tcPr>
          <w:p w:rsidR="00AE4097" w:rsidRDefault="00AE4097" w:rsidP="00176384">
            <w:pPr>
              <w:spacing w:line="360" w:lineRule="auto"/>
              <w:jc w:val="both"/>
              <w:rPr>
                <w:sz w:val="20"/>
                <w:szCs w:val="20"/>
                <w:lang w:val="en-US"/>
              </w:rPr>
            </w:pPr>
            <w:r>
              <w:rPr>
                <w:sz w:val="20"/>
                <w:szCs w:val="20"/>
                <w:lang w:val="en-US"/>
              </w:rPr>
              <w:t>2006</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2007</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Borders>
              <w:bottom w:val="single" w:sz="4" w:space="0" w:color="auto"/>
            </w:tcBorders>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2007</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2008</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Borders>
              <w:top w:val="single" w:sz="4" w:space="0" w:color="auto"/>
              <w:bottom w:val="single" w:sz="4" w:space="0" w:color="auto"/>
            </w:tcBorders>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2008</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2009</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Borders>
              <w:top w:val="single" w:sz="4" w:space="0" w:color="auto"/>
            </w:tcBorders>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2009</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r>
              <w:rPr>
                <w:sz w:val="20"/>
                <w:szCs w:val="20"/>
                <w:lang w:val="en-US"/>
              </w:rPr>
              <w:t>Fugro</w:t>
            </w:r>
          </w:p>
        </w:tc>
        <w:tc>
          <w:tcPr>
            <w:tcW w:w="708" w:type="dxa"/>
          </w:tcPr>
          <w:p w:rsidR="00AE4097" w:rsidRDefault="00AE4097" w:rsidP="00176384">
            <w:pPr>
              <w:spacing w:line="360" w:lineRule="auto"/>
              <w:jc w:val="both"/>
              <w:rPr>
                <w:sz w:val="20"/>
                <w:szCs w:val="20"/>
                <w:lang w:val="en-US"/>
              </w:rPr>
            </w:pPr>
            <w:r>
              <w:rPr>
                <w:sz w:val="20"/>
                <w:szCs w:val="20"/>
                <w:lang w:val="en-US"/>
              </w:rPr>
              <w:t>2006</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Pr>
          <w:p w:rsidR="00AE4097" w:rsidRDefault="00AE4097" w:rsidP="00176384">
            <w:pPr>
              <w:spacing w:line="360" w:lineRule="auto"/>
              <w:jc w:val="both"/>
              <w:rPr>
                <w:sz w:val="20"/>
                <w:szCs w:val="20"/>
                <w:lang w:val="en-US"/>
              </w:rPr>
            </w:pPr>
            <w:r>
              <w:rPr>
                <w:sz w:val="20"/>
                <w:szCs w:val="20"/>
                <w:lang w:val="en-US"/>
              </w:rPr>
              <w:t>Tomtom</w:t>
            </w:r>
          </w:p>
        </w:tc>
        <w:tc>
          <w:tcPr>
            <w:tcW w:w="720" w:type="dxa"/>
          </w:tcPr>
          <w:p w:rsidR="00AE4097" w:rsidRDefault="00AE4097" w:rsidP="00176384">
            <w:pPr>
              <w:spacing w:line="360" w:lineRule="auto"/>
              <w:jc w:val="both"/>
              <w:rPr>
                <w:sz w:val="20"/>
                <w:szCs w:val="20"/>
                <w:lang w:val="en-US"/>
              </w:rPr>
            </w:pPr>
            <w:r>
              <w:rPr>
                <w:sz w:val="20"/>
                <w:szCs w:val="20"/>
                <w:lang w:val="en-US"/>
              </w:rPr>
              <w:t>2006</w:t>
            </w:r>
          </w:p>
        </w:tc>
        <w:tc>
          <w:tcPr>
            <w:tcW w:w="1742" w:type="dxa"/>
          </w:tcPr>
          <w:p w:rsidR="00AE4097" w:rsidRDefault="00AE4097" w:rsidP="00176384">
            <w:pPr>
              <w:spacing w:line="360" w:lineRule="auto"/>
              <w:jc w:val="center"/>
              <w:rPr>
                <w:sz w:val="20"/>
                <w:szCs w:val="20"/>
                <w:lang w:val="en-US"/>
              </w:rPr>
            </w:pPr>
            <w:r>
              <w:rPr>
                <w:sz w:val="20"/>
                <w:szCs w:val="20"/>
                <w:lang w:val="en-US"/>
              </w:rPr>
              <w:t>-</w:t>
            </w:r>
          </w:p>
        </w:tc>
        <w:tc>
          <w:tcPr>
            <w:tcW w:w="1138" w:type="dxa"/>
          </w:tcPr>
          <w:p w:rsidR="00AE4097" w:rsidRDefault="00AE4097" w:rsidP="00176384">
            <w:pPr>
              <w:spacing w:line="360" w:lineRule="auto"/>
              <w:jc w:val="center"/>
              <w:rPr>
                <w:sz w:val="20"/>
                <w:szCs w:val="20"/>
                <w:lang w:val="en-US"/>
              </w:rPr>
            </w:pPr>
            <w:r>
              <w:rPr>
                <w:sz w:val="20"/>
                <w:szCs w:val="20"/>
                <w:lang w:val="en-US"/>
              </w:rPr>
              <w:t>-</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2007</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2007</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2008</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2008</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2009</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Pr>
          <w:p w:rsidR="00AE4097" w:rsidRDefault="00AE4097" w:rsidP="00176384">
            <w:pPr>
              <w:spacing w:line="360" w:lineRule="auto"/>
              <w:jc w:val="both"/>
              <w:rPr>
                <w:sz w:val="20"/>
                <w:szCs w:val="20"/>
                <w:lang w:val="en-US"/>
              </w:rPr>
            </w:pPr>
          </w:p>
        </w:tc>
        <w:tc>
          <w:tcPr>
            <w:tcW w:w="720" w:type="dxa"/>
          </w:tcPr>
          <w:p w:rsidR="00AE4097" w:rsidRDefault="00AE4097" w:rsidP="00176384">
            <w:pPr>
              <w:spacing w:line="360" w:lineRule="auto"/>
              <w:jc w:val="both"/>
              <w:rPr>
                <w:sz w:val="20"/>
                <w:szCs w:val="20"/>
                <w:lang w:val="en-US"/>
              </w:rPr>
            </w:pPr>
            <w:r>
              <w:rPr>
                <w:sz w:val="20"/>
                <w:szCs w:val="20"/>
                <w:lang w:val="en-US"/>
              </w:rPr>
              <w:t>2009</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rPr>
            </w:pPr>
            <w:r>
              <w:rPr>
                <w:sz w:val="20"/>
                <w:szCs w:val="20"/>
              </w:rPr>
              <w:t>X</w:t>
            </w:r>
          </w:p>
        </w:tc>
      </w:tr>
      <w:tr w:rsidR="00AE4097" w:rsidTr="00176384">
        <w:tc>
          <w:tcPr>
            <w:tcW w:w="1101" w:type="dxa"/>
          </w:tcPr>
          <w:p w:rsidR="00AE4097" w:rsidRDefault="00AE4097" w:rsidP="00176384">
            <w:pPr>
              <w:spacing w:line="360" w:lineRule="auto"/>
              <w:jc w:val="both"/>
              <w:rPr>
                <w:sz w:val="20"/>
                <w:szCs w:val="20"/>
              </w:rPr>
            </w:pPr>
            <w:r>
              <w:rPr>
                <w:sz w:val="20"/>
                <w:szCs w:val="20"/>
              </w:rPr>
              <w:t>Heineken</w:t>
            </w:r>
          </w:p>
        </w:tc>
        <w:tc>
          <w:tcPr>
            <w:tcW w:w="708" w:type="dxa"/>
          </w:tcPr>
          <w:p w:rsidR="00AE4097" w:rsidRDefault="00AE4097" w:rsidP="00176384">
            <w:pPr>
              <w:spacing w:line="360" w:lineRule="auto"/>
              <w:jc w:val="both"/>
              <w:rPr>
                <w:sz w:val="20"/>
                <w:szCs w:val="20"/>
              </w:rPr>
            </w:pPr>
            <w:r>
              <w:rPr>
                <w:sz w:val="20"/>
                <w:szCs w:val="20"/>
              </w:rPr>
              <w:t>2006</w:t>
            </w:r>
          </w:p>
        </w:tc>
        <w:tc>
          <w:tcPr>
            <w:tcW w:w="1779" w:type="dxa"/>
          </w:tcPr>
          <w:p w:rsidR="00AE4097" w:rsidRDefault="00AE4097" w:rsidP="00176384">
            <w:pPr>
              <w:spacing w:line="360" w:lineRule="auto"/>
              <w:jc w:val="center"/>
              <w:rPr>
                <w:sz w:val="20"/>
                <w:szCs w:val="20"/>
              </w:rPr>
            </w:pPr>
            <w:r>
              <w:rPr>
                <w:sz w:val="20"/>
                <w:szCs w:val="20"/>
              </w:rPr>
              <w:t>X</w:t>
            </w:r>
          </w:p>
        </w:tc>
        <w:tc>
          <w:tcPr>
            <w:tcW w:w="1200" w:type="dxa"/>
          </w:tcPr>
          <w:p w:rsidR="00AE4097" w:rsidRDefault="00AE4097" w:rsidP="00176384">
            <w:pPr>
              <w:spacing w:line="360" w:lineRule="auto"/>
              <w:jc w:val="center"/>
              <w:rPr>
                <w:sz w:val="20"/>
                <w:szCs w:val="20"/>
              </w:rPr>
            </w:pPr>
            <w:r>
              <w:rPr>
                <w:sz w:val="20"/>
                <w:szCs w:val="20"/>
              </w:rPr>
              <w:t>X</w:t>
            </w:r>
          </w:p>
        </w:tc>
        <w:tc>
          <w:tcPr>
            <w:tcW w:w="1080" w:type="dxa"/>
          </w:tcPr>
          <w:p w:rsidR="00AE4097" w:rsidRDefault="00AE4097" w:rsidP="00176384">
            <w:pPr>
              <w:spacing w:line="360" w:lineRule="auto"/>
              <w:jc w:val="both"/>
              <w:rPr>
                <w:sz w:val="20"/>
                <w:szCs w:val="20"/>
              </w:rPr>
            </w:pPr>
            <w:r>
              <w:rPr>
                <w:sz w:val="20"/>
                <w:szCs w:val="20"/>
              </w:rPr>
              <w:t>Unilever</w:t>
            </w:r>
          </w:p>
        </w:tc>
        <w:tc>
          <w:tcPr>
            <w:tcW w:w="720" w:type="dxa"/>
          </w:tcPr>
          <w:p w:rsidR="00AE4097" w:rsidRDefault="00AE4097" w:rsidP="00176384">
            <w:pPr>
              <w:spacing w:line="360" w:lineRule="auto"/>
              <w:jc w:val="both"/>
              <w:rPr>
                <w:sz w:val="20"/>
                <w:szCs w:val="20"/>
              </w:rPr>
            </w:pPr>
            <w:r>
              <w:rPr>
                <w:sz w:val="20"/>
                <w:szCs w:val="20"/>
              </w:rPr>
              <w:t>2006</w:t>
            </w:r>
          </w:p>
        </w:tc>
        <w:tc>
          <w:tcPr>
            <w:tcW w:w="1742" w:type="dxa"/>
          </w:tcPr>
          <w:p w:rsidR="00AE4097" w:rsidRDefault="00AE4097" w:rsidP="00176384">
            <w:pPr>
              <w:spacing w:line="360" w:lineRule="auto"/>
              <w:jc w:val="center"/>
              <w:rPr>
                <w:sz w:val="20"/>
                <w:szCs w:val="20"/>
              </w:rPr>
            </w:pPr>
            <w:r>
              <w:rPr>
                <w:sz w:val="20"/>
                <w:szCs w:val="20"/>
              </w:rPr>
              <w:t>X</w:t>
            </w:r>
          </w:p>
        </w:tc>
        <w:tc>
          <w:tcPr>
            <w:tcW w:w="1138" w:type="dxa"/>
          </w:tcPr>
          <w:p w:rsidR="00AE4097" w:rsidRDefault="00AE4097" w:rsidP="00176384">
            <w:pPr>
              <w:spacing w:line="360" w:lineRule="auto"/>
              <w:jc w:val="center"/>
              <w:rPr>
                <w:sz w:val="20"/>
                <w:szCs w:val="20"/>
              </w:rPr>
            </w:pPr>
            <w:r>
              <w:rPr>
                <w:sz w:val="20"/>
                <w:szCs w:val="20"/>
              </w:rPr>
              <w:t>X</w:t>
            </w:r>
          </w:p>
        </w:tc>
      </w:tr>
      <w:tr w:rsidR="00AE4097" w:rsidTr="00176384">
        <w:tc>
          <w:tcPr>
            <w:tcW w:w="1101" w:type="dxa"/>
          </w:tcPr>
          <w:p w:rsidR="00AE4097" w:rsidRDefault="00AE4097" w:rsidP="00176384">
            <w:pPr>
              <w:spacing w:line="360" w:lineRule="auto"/>
              <w:jc w:val="both"/>
              <w:rPr>
                <w:sz w:val="20"/>
                <w:szCs w:val="20"/>
              </w:rPr>
            </w:pPr>
          </w:p>
        </w:tc>
        <w:tc>
          <w:tcPr>
            <w:tcW w:w="708" w:type="dxa"/>
          </w:tcPr>
          <w:p w:rsidR="00AE4097" w:rsidRDefault="00AE4097" w:rsidP="00176384">
            <w:pPr>
              <w:spacing w:line="360" w:lineRule="auto"/>
              <w:jc w:val="both"/>
              <w:rPr>
                <w:sz w:val="20"/>
                <w:szCs w:val="20"/>
              </w:rPr>
            </w:pPr>
            <w:r>
              <w:rPr>
                <w:sz w:val="20"/>
                <w:szCs w:val="20"/>
              </w:rPr>
              <w:t>2007</w:t>
            </w:r>
          </w:p>
        </w:tc>
        <w:tc>
          <w:tcPr>
            <w:tcW w:w="1779" w:type="dxa"/>
          </w:tcPr>
          <w:p w:rsidR="00AE4097" w:rsidRDefault="00AE4097" w:rsidP="00176384">
            <w:pPr>
              <w:spacing w:line="360" w:lineRule="auto"/>
              <w:jc w:val="center"/>
              <w:rPr>
                <w:sz w:val="20"/>
                <w:szCs w:val="20"/>
              </w:rPr>
            </w:pPr>
            <w:r>
              <w:rPr>
                <w:sz w:val="20"/>
                <w:szCs w:val="20"/>
              </w:rPr>
              <w:t>X</w:t>
            </w:r>
          </w:p>
        </w:tc>
        <w:tc>
          <w:tcPr>
            <w:tcW w:w="1200" w:type="dxa"/>
          </w:tcPr>
          <w:p w:rsidR="00AE4097" w:rsidRDefault="00AE4097" w:rsidP="00176384">
            <w:pPr>
              <w:spacing w:line="360" w:lineRule="auto"/>
              <w:jc w:val="center"/>
              <w:rPr>
                <w:sz w:val="20"/>
                <w:szCs w:val="20"/>
              </w:rPr>
            </w:pPr>
            <w:r>
              <w:rPr>
                <w:sz w:val="20"/>
                <w:szCs w:val="20"/>
              </w:rPr>
              <w:t>X</w:t>
            </w:r>
          </w:p>
        </w:tc>
        <w:tc>
          <w:tcPr>
            <w:tcW w:w="1080" w:type="dxa"/>
          </w:tcPr>
          <w:p w:rsidR="00AE4097" w:rsidRDefault="00AE4097" w:rsidP="00176384">
            <w:pPr>
              <w:spacing w:line="360" w:lineRule="auto"/>
              <w:jc w:val="both"/>
              <w:rPr>
                <w:sz w:val="20"/>
                <w:szCs w:val="20"/>
              </w:rPr>
            </w:pPr>
          </w:p>
        </w:tc>
        <w:tc>
          <w:tcPr>
            <w:tcW w:w="720" w:type="dxa"/>
          </w:tcPr>
          <w:p w:rsidR="00AE4097" w:rsidRDefault="00AE4097" w:rsidP="00176384">
            <w:pPr>
              <w:spacing w:line="360" w:lineRule="auto"/>
              <w:jc w:val="both"/>
              <w:rPr>
                <w:sz w:val="20"/>
                <w:szCs w:val="20"/>
              </w:rPr>
            </w:pPr>
            <w:r>
              <w:rPr>
                <w:sz w:val="20"/>
                <w:szCs w:val="20"/>
              </w:rPr>
              <w:t>2007</w:t>
            </w:r>
          </w:p>
        </w:tc>
        <w:tc>
          <w:tcPr>
            <w:tcW w:w="1742" w:type="dxa"/>
          </w:tcPr>
          <w:p w:rsidR="00AE4097" w:rsidRDefault="00AE4097" w:rsidP="00176384">
            <w:pPr>
              <w:spacing w:line="360" w:lineRule="auto"/>
              <w:jc w:val="center"/>
              <w:rPr>
                <w:sz w:val="20"/>
                <w:szCs w:val="20"/>
              </w:rPr>
            </w:pPr>
            <w:r>
              <w:rPr>
                <w:sz w:val="20"/>
                <w:szCs w:val="20"/>
              </w:rPr>
              <w:t>X</w:t>
            </w:r>
          </w:p>
        </w:tc>
        <w:tc>
          <w:tcPr>
            <w:tcW w:w="1138" w:type="dxa"/>
          </w:tcPr>
          <w:p w:rsidR="00AE4097" w:rsidRDefault="00AE4097" w:rsidP="00176384">
            <w:pPr>
              <w:spacing w:line="360" w:lineRule="auto"/>
              <w:jc w:val="center"/>
              <w:rPr>
                <w:sz w:val="20"/>
                <w:szCs w:val="20"/>
              </w:rPr>
            </w:pPr>
            <w:r>
              <w:rPr>
                <w:sz w:val="20"/>
                <w:szCs w:val="20"/>
              </w:rPr>
              <w:t>X</w:t>
            </w:r>
          </w:p>
        </w:tc>
      </w:tr>
      <w:tr w:rsidR="00AE4097" w:rsidTr="00176384">
        <w:tc>
          <w:tcPr>
            <w:tcW w:w="1101" w:type="dxa"/>
          </w:tcPr>
          <w:p w:rsidR="00AE4097" w:rsidRDefault="00AE4097" w:rsidP="00176384">
            <w:pPr>
              <w:spacing w:line="360" w:lineRule="auto"/>
              <w:jc w:val="both"/>
              <w:rPr>
                <w:sz w:val="20"/>
                <w:szCs w:val="20"/>
              </w:rPr>
            </w:pPr>
          </w:p>
        </w:tc>
        <w:tc>
          <w:tcPr>
            <w:tcW w:w="708" w:type="dxa"/>
          </w:tcPr>
          <w:p w:rsidR="00AE4097" w:rsidRDefault="00AE4097" w:rsidP="00176384">
            <w:pPr>
              <w:spacing w:line="360" w:lineRule="auto"/>
              <w:jc w:val="both"/>
              <w:rPr>
                <w:sz w:val="20"/>
                <w:szCs w:val="20"/>
              </w:rPr>
            </w:pPr>
            <w:r>
              <w:rPr>
                <w:sz w:val="20"/>
                <w:szCs w:val="20"/>
              </w:rPr>
              <w:t>2008</w:t>
            </w:r>
          </w:p>
        </w:tc>
        <w:tc>
          <w:tcPr>
            <w:tcW w:w="1779" w:type="dxa"/>
          </w:tcPr>
          <w:p w:rsidR="00AE4097" w:rsidRDefault="00AE4097" w:rsidP="00176384">
            <w:pPr>
              <w:spacing w:line="360" w:lineRule="auto"/>
              <w:jc w:val="center"/>
              <w:rPr>
                <w:sz w:val="20"/>
                <w:szCs w:val="20"/>
              </w:rPr>
            </w:pPr>
            <w:r>
              <w:rPr>
                <w:sz w:val="20"/>
                <w:szCs w:val="20"/>
              </w:rPr>
              <w:t>X</w:t>
            </w:r>
          </w:p>
        </w:tc>
        <w:tc>
          <w:tcPr>
            <w:tcW w:w="1200" w:type="dxa"/>
          </w:tcPr>
          <w:p w:rsidR="00AE4097" w:rsidRDefault="00AE4097" w:rsidP="00176384">
            <w:pPr>
              <w:spacing w:line="360" w:lineRule="auto"/>
              <w:jc w:val="center"/>
              <w:rPr>
                <w:sz w:val="20"/>
                <w:szCs w:val="20"/>
              </w:rPr>
            </w:pPr>
            <w:r>
              <w:rPr>
                <w:sz w:val="20"/>
                <w:szCs w:val="20"/>
              </w:rPr>
              <w:t>X</w:t>
            </w:r>
          </w:p>
        </w:tc>
        <w:tc>
          <w:tcPr>
            <w:tcW w:w="1080" w:type="dxa"/>
          </w:tcPr>
          <w:p w:rsidR="00AE4097" w:rsidRDefault="00AE4097" w:rsidP="00176384">
            <w:pPr>
              <w:spacing w:line="360" w:lineRule="auto"/>
              <w:jc w:val="both"/>
              <w:rPr>
                <w:sz w:val="20"/>
                <w:szCs w:val="20"/>
              </w:rPr>
            </w:pPr>
          </w:p>
        </w:tc>
        <w:tc>
          <w:tcPr>
            <w:tcW w:w="720" w:type="dxa"/>
          </w:tcPr>
          <w:p w:rsidR="00AE4097" w:rsidRDefault="00AE4097" w:rsidP="00176384">
            <w:pPr>
              <w:spacing w:line="360" w:lineRule="auto"/>
              <w:jc w:val="both"/>
              <w:rPr>
                <w:sz w:val="20"/>
                <w:szCs w:val="20"/>
              </w:rPr>
            </w:pPr>
            <w:r>
              <w:rPr>
                <w:sz w:val="20"/>
                <w:szCs w:val="20"/>
              </w:rPr>
              <w:t>2008</w:t>
            </w:r>
          </w:p>
        </w:tc>
        <w:tc>
          <w:tcPr>
            <w:tcW w:w="1742" w:type="dxa"/>
          </w:tcPr>
          <w:p w:rsidR="00AE4097" w:rsidRDefault="00AE4097" w:rsidP="00176384">
            <w:pPr>
              <w:spacing w:line="360" w:lineRule="auto"/>
              <w:jc w:val="center"/>
              <w:rPr>
                <w:sz w:val="20"/>
                <w:szCs w:val="20"/>
              </w:rPr>
            </w:pPr>
            <w:r>
              <w:rPr>
                <w:sz w:val="20"/>
                <w:szCs w:val="20"/>
              </w:rPr>
              <w:t>X</w:t>
            </w:r>
          </w:p>
        </w:tc>
        <w:tc>
          <w:tcPr>
            <w:tcW w:w="1138" w:type="dxa"/>
          </w:tcPr>
          <w:p w:rsidR="00AE4097" w:rsidRDefault="00AE4097" w:rsidP="00176384">
            <w:pPr>
              <w:spacing w:line="360" w:lineRule="auto"/>
              <w:jc w:val="center"/>
              <w:rPr>
                <w:sz w:val="20"/>
                <w:szCs w:val="20"/>
              </w:rPr>
            </w:pPr>
            <w:r>
              <w:rPr>
                <w:sz w:val="20"/>
                <w:szCs w:val="20"/>
              </w:rPr>
              <w:t>X</w:t>
            </w:r>
          </w:p>
        </w:tc>
      </w:tr>
      <w:tr w:rsidR="00AE4097" w:rsidTr="00176384">
        <w:tc>
          <w:tcPr>
            <w:tcW w:w="1101" w:type="dxa"/>
          </w:tcPr>
          <w:p w:rsidR="00AE4097" w:rsidRDefault="00AE4097" w:rsidP="00176384">
            <w:pPr>
              <w:spacing w:line="360" w:lineRule="auto"/>
              <w:jc w:val="both"/>
              <w:rPr>
                <w:sz w:val="20"/>
                <w:szCs w:val="20"/>
              </w:rPr>
            </w:pPr>
          </w:p>
        </w:tc>
        <w:tc>
          <w:tcPr>
            <w:tcW w:w="708" w:type="dxa"/>
          </w:tcPr>
          <w:p w:rsidR="00AE4097" w:rsidRDefault="00AE4097" w:rsidP="00176384">
            <w:pPr>
              <w:spacing w:line="360" w:lineRule="auto"/>
              <w:jc w:val="both"/>
              <w:rPr>
                <w:sz w:val="20"/>
                <w:szCs w:val="20"/>
              </w:rPr>
            </w:pPr>
            <w:r>
              <w:rPr>
                <w:sz w:val="20"/>
                <w:szCs w:val="20"/>
              </w:rPr>
              <w:t>2009</w:t>
            </w:r>
          </w:p>
        </w:tc>
        <w:tc>
          <w:tcPr>
            <w:tcW w:w="1779" w:type="dxa"/>
          </w:tcPr>
          <w:p w:rsidR="00AE4097" w:rsidRDefault="00AE4097" w:rsidP="00176384">
            <w:pPr>
              <w:spacing w:line="360" w:lineRule="auto"/>
              <w:jc w:val="center"/>
              <w:rPr>
                <w:sz w:val="20"/>
                <w:szCs w:val="20"/>
              </w:rPr>
            </w:pPr>
            <w:r>
              <w:rPr>
                <w:sz w:val="20"/>
                <w:szCs w:val="20"/>
              </w:rPr>
              <w:t>X</w:t>
            </w:r>
          </w:p>
        </w:tc>
        <w:tc>
          <w:tcPr>
            <w:tcW w:w="1200" w:type="dxa"/>
          </w:tcPr>
          <w:p w:rsidR="00AE4097" w:rsidRDefault="00AE4097" w:rsidP="00176384">
            <w:pPr>
              <w:spacing w:line="360" w:lineRule="auto"/>
              <w:jc w:val="center"/>
              <w:rPr>
                <w:sz w:val="20"/>
                <w:szCs w:val="20"/>
              </w:rPr>
            </w:pPr>
            <w:r>
              <w:rPr>
                <w:sz w:val="20"/>
                <w:szCs w:val="20"/>
              </w:rPr>
              <w:t>X</w:t>
            </w:r>
          </w:p>
        </w:tc>
        <w:tc>
          <w:tcPr>
            <w:tcW w:w="1080" w:type="dxa"/>
            <w:tcBorders>
              <w:bottom w:val="single" w:sz="4" w:space="0" w:color="000000"/>
            </w:tcBorders>
          </w:tcPr>
          <w:p w:rsidR="00AE4097" w:rsidRDefault="00AE4097" w:rsidP="00176384">
            <w:pPr>
              <w:spacing w:line="360" w:lineRule="auto"/>
              <w:jc w:val="both"/>
              <w:rPr>
                <w:sz w:val="20"/>
                <w:szCs w:val="20"/>
              </w:rPr>
            </w:pPr>
          </w:p>
        </w:tc>
        <w:tc>
          <w:tcPr>
            <w:tcW w:w="720" w:type="dxa"/>
          </w:tcPr>
          <w:p w:rsidR="00AE4097" w:rsidRDefault="00AE4097" w:rsidP="00176384">
            <w:pPr>
              <w:spacing w:line="360" w:lineRule="auto"/>
              <w:jc w:val="both"/>
              <w:rPr>
                <w:sz w:val="20"/>
                <w:szCs w:val="20"/>
              </w:rPr>
            </w:pPr>
            <w:r>
              <w:rPr>
                <w:sz w:val="20"/>
                <w:szCs w:val="20"/>
              </w:rPr>
              <w:t>2009</w:t>
            </w:r>
          </w:p>
        </w:tc>
        <w:tc>
          <w:tcPr>
            <w:tcW w:w="1742" w:type="dxa"/>
          </w:tcPr>
          <w:p w:rsidR="00AE4097" w:rsidRDefault="00AE4097" w:rsidP="00176384">
            <w:pPr>
              <w:spacing w:line="360" w:lineRule="auto"/>
              <w:jc w:val="center"/>
              <w:rPr>
                <w:sz w:val="20"/>
                <w:szCs w:val="20"/>
              </w:rPr>
            </w:pPr>
            <w:r>
              <w:rPr>
                <w:sz w:val="20"/>
                <w:szCs w:val="20"/>
              </w:rPr>
              <w:t>X</w:t>
            </w:r>
          </w:p>
        </w:tc>
        <w:tc>
          <w:tcPr>
            <w:tcW w:w="1138" w:type="dxa"/>
          </w:tcPr>
          <w:p w:rsidR="00AE4097" w:rsidRDefault="00AE4097" w:rsidP="00176384">
            <w:pPr>
              <w:spacing w:line="360" w:lineRule="auto"/>
              <w:jc w:val="center"/>
              <w:rPr>
                <w:sz w:val="20"/>
                <w:szCs w:val="20"/>
              </w:rPr>
            </w:pPr>
            <w:r>
              <w:rPr>
                <w:sz w:val="20"/>
                <w:szCs w:val="20"/>
              </w:rPr>
              <w:t>X</w:t>
            </w:r>
          </w:p>
        </w:tc>
      </w:tr>
      <w:tr w:rsidR="00AE4097" w:rsidTr="00176384">
        <w:tc>
          <w:tcPr>
            <w:tcW w:w="1101" w:type="dxa"/>
          </w:tcPr>
          <w:p w:rsidR="00AE4097" w:rsidRDefault="00AE4097" w:rsidP="00176384">
            <w:pPr>
              <w:spacing w:line="360" w:lineRule="auto"/>
              <w:jc w:val="both"/>
              <w:rPr>
                <w:sz w:val="20"/>
                <w:szCs w:val="20"/>
              </w:rPr>
            </w:pPr>
            <w:r>
              <w:rPr>
                <w:sz w:val="20"/>
                <w:szCs w:val="20"/>
              </w:rPr>
              <w:t>KPN</w:t>
            </w:r>
          </w:p>
        </w:tc>
        <w:tc>
          <w:tcPr>
            <w:tcW w:w="708" w:type="dxa"/>
          </w:tcPr>
          <w:p w:rsidR="00AE4097" w:rsidRDefault="00AE4097" w:rsidP="00176384">
            <w:pPr>
              <w:spacing w:line="360" w:lineRule="auto"/>
              <w:jc w:val="both"/>
              <w:rPr>
                <w:sz w:val="20"/>
                <w:szCs w:val="20"/>
                <w:lang w:val="en-US"/>
              </w:rPr>
            </w:pPr>
            <w:r>
              <w:rPr>
                <w:sz w:val="20"/>
                <w:szCs w:val="20"/>
                <w:lang w:val="en-US"/>
              </w:rPr>
              <w:t>2006</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lang w:val="en-US"/>
              </w:rPr>
            </w:pPr>
            <w:r>
              <w:rPr>
                <w:sz w:val="20"/>
                <w:szCs w:val="20"/>
                <w:lang w:val="en-US"/>
              </w:rPr>
              <w:t>X</w:t>
            </w:r>
          </w:p>
        </w:tc>
        <w:tc>
          <w:tcPr>
            <w:tcW w:w="1080" w:type="dxa"/>
            <w:tcBorders>
              <w:bottom w:val="nil"/>
            </w:tcBorders>
          </w:tcPr>
          <w:p w:rsidR="00AE4097" w:rsidRDefault="00AE4097" w:rsidP="00176384">
            <w:pPr>
              <w:spacing w:line="360" w:lineRule="auto"/>
              <w:jc w:val="both"/>
              <w:rPr>
                <w:sz w:val="20"/>
                <w:szCs w:val="20"/>
                <w:lang w:val="en-US"/>
              </w:rPr>
            </w:pPr>
            <w:r>
              <w:rPr>
                <w:sz w:val="20"/>
                <w:szCs w:val="20"/>
                <w:lang w:val="en-US"/>
              </w:rPr>
              <w:t xml:space="preserve">Wolters </w:t>
            </w:r>
          </w:p>
        </w:tc>
        <w:tc>
          <w:tcPr>
            <w:tcW w:w="720" w:type="dxa"/>
          </w:tcPr>
          <w:p w:rsidR="00AE4097" w:rsidRDefault="00AE4097" w:rsidP="00176384">
            <w:pPr>
              <w:spacing w:line="360" w:lineRule="auto"/>
              <w:jc w:val="both"/>
              <w:rPr>
                <w:sz w:val="20"/>
                <w:szCs w:val="20"/>
                <w:lang w:val="en-US"/>
              </w:rPr>
            </w:pPr>
            <w:r>
              <w:rPr>
                <w:sz w:val="20"/>
                <w:szCs w:val="20"/>
                <w:lang w:val="en-US"/>
              </w:rPr>
              <w:t>2006</w:t>
            </w:r>
          </w:p>
        </w:tc>
        <w:tc>
          <w:tcPr>
            <w:tcW w:w="1742" w:type="dxa"/>
          </w:tcPr>
          <w:p w:rsidR="00AE4097" w:rsidRDefault="00AE4097" w:rsidP="00176384">
            <w:pPr>
              <w:spacing w:line="360" w:lineRule="auto"/>
              <w:jc w:val="center"/>
              <w:rPr>
                <w:sz w:val="20"/>
                <w:szCs w:val="20"/>
                <w:lang w:val="en-US"/>
              </w:rPr>
            </w:pPr>
            <w:r>
              <w:rPr>
                <w:sz w:val="20"/>
                <w:szCs w:val="20"/>
                <w:lang w:val="en-US"/>
              </w:rPr>
              <w:t>X</w:t>
            </w:r>
          </w:p>
        </w:tc>
        <w:tc>
          <w:tcPr>
            <w:tcW w:w="1138" w:type="dxa"/>
          </w:tcPr>
          <w:p w:rsidR="00AE4097" w:rsidRDefault="00AE4097" w:rsidP="00176384">
            <w:pPr>
              <w:spacing w:line="360" w:lineRule="auto"/>
              <w:jc w:val="center"/>
              <w:rPr>
                <w:sz w:val="20"/>
                <w:szCs w:val="20"/>
                <w:lang w:val="en-US"/>
              </w:rPr>
            </w:pPr>
            <w:r>
              <w:rPr>
                <w:sz w:val="20"/>
                <w:szCs w:val="20"/>
                <w:lang w:val="en-US"/>
              </w:rPr>
              <w:t>X</w:t>
            </w:r>
          </w:p>
        </w:tc>
      </w:tr>
      <w:tr w:rsidR="00AE4097" w:rsidTr="00176384">
        <w:tc>
          <w:tcPr>
            <w:tcW w:w="1101" w:type="dxa"/>
          </w:tcPr>
          <w:p w:rsidR="00AE4097" w:rsidRDefault="00AE4097" w:rsidP="00176384">
            <w:pPr>
              <w:spacing w:line="360" w:lineRule="auto"/>
              <w:jc w:val="both"/>
              <w:rPr>
                <w:sz w:val="20"/>
                <w:szCs w:val="20"/>
                <w:lang w:val="en-US"/>
              </w:rPr>
            </w:pPr>
          </w:p>
        </w:tc>
        <w:tc>
          <w:tcPr>
            <w:tcW w:w="708" w:type="dxa"/>
          </w:tcPr>
          <w:p w:rsidR="00AE4097" w:rsidRDefault="00AE4097" w:rsidP="00176384">
            <w:pPr>
              <w:spacing w:line="360" w:lineRule="auto"/>
              <w:jc w:val="both"/>
              <w:rPr>
                <w:sz w:val="20"/>
                <w:szCs w:val="20"/>
                <w:lang w:val="en-US"/>
              </w:rPr>
            </w:pPr>
            <w:r>
              <w:rPr>
                <w:sz w:val="20"/>
                <w:szCs w:val="20"/>
                <w:lang w:val="en-US"/>
              </w:rPr>
              <w:t>2007</w:t>
            </w:r>
          </w:p>
        </w:tc>
        <w:tc>
          <w:tcPr>
            <w:tcW w:w="1779" w:type="dxa"/>
          </w:tcPr>
          <w:p w:rsidR="00AE4097" w:rsidRDefault="00AE4097" w:rsidP="00176384">
            <w:pPr>
              <w:spacing w:line="360" w:lineRule="auto"/>
              <w:jc w:val="center"/>
              <w:rPr>
                <w:sz w:val="20"/>
                <w:szCs w:val="20"/>
                <w:lang w:val="en-US"/>
              </w:rPr>
            </w:pPr>
            <w:r>
              <w:rPr>
                <w:sz w:val="20"/>
                <w:szCs w:val="20"/>
                <w:lang w:val="en-US"/>
              </w:rPr>
              <w:t>X</w:t>
            </w:r>
          </w:p>
        </w:tc>
        <w:tc>
          <w:tcPr>
            <w:tcW w:w="1200" w:type="dxa"/>
          </w:tcPr>
          <w:p w:rsidR="00AE4097" w:rsidRDefault="00AE4097" w:rsidP="00176384">
            <w:pPr>
              <w:spacing w:line="360" w:lineRule="auto"/>
              <w:jc w:val="center"/>
              <w:rPr>
                <w:sz w:val="20"/>
                <w:szCs w:val="20"/>
              </w:rPr>
            </w:pPr>
            <w:r>
              <w:rPr>
                <w:sz w:val="20"/>
                <w:szCs w:val="20"/>
              </w:rPr>
              <w:t>X</w:t>
            </w:r>
          </w:p>
        </w:tc>
        <w:tc>
          <w:tcPr>
            <w:tcW w:w="1080" w:type="dxa"/>
            <w:tcBorders>
              <w:top w:val="nil"/>
            </w:tcBorders>
          </w:tcPr>
          <w:p w:rsidR="00AE4097" w:rsidRDefault="00AE4097" w:rsidP="00176384">
            <w:pPr>
              <w:spacing w:line="360" w:lineRule="auto"/>
              <w:jc w:val="both"/>
              <w:rPr>
                <w:sz w:val="20"/>
                <w:szCs w:val="20"/>
              </w:rPr>
            </w:pPr>
            <w:r>
              <w:rPr>
                <w:sz w:val="20"/>
                <w:szCs w:val="20"/>
              </w:rPr>
              <w:t>Kluwer</w:t>
            </w:r>
          </w:p>
        </w:tc>
        <w:tc>
          <w:tcPr>
            <w:tcW w:w="720" w:type="dxa"/>
          </w:tcPr>
          <w:p w:rsidR="00AE4097" w:rsidRDefault="00AE4097" w:rsidP="00176384">
            <w:pPr>
              <w:spacing w:line="360" w:lineRule="auto"/>
              <w:jc w:val="both"/>
              <w:rPr>
                <w:sz w:val="20"/>
                <w:szCs w:val="20"/>
              </w:rPr>
            </w:pPr>
            <w:r>
              <w:rPr>
                <w:sz w:val="20"/>
                <w:szCs w:val="20"/>
              </w:rPr>
              <w:t>2007</w:t>
            </w:r>
          </w:p>
        </w:tc>
        <w:tc>
          <w:tcPr>
            <w:tcW w:w="1742" w:type="dxa"/>
          </w:tcPr>
          <w:p w:rsidR="00AE4097" w:rsidRDefault="00AE4097" w:rsidP="00176384">
            <w:pPr>
              <w:spacing w:line="360" w:lineRule="auto"/>
              <w:jc w:val="center"/>
              <w:rPr>
                <w:sz w:val="20"/>
                <w:szCs w:val="20"/>
              </w:rPr>
            </w:pPr>
            <w:r>
              <w:rPr>
                <w:sz w:val="20"/>
                <w:szCs w:val="20"/>
              </w:rPr>
              <w:t>X</w:t>
            </w:r>
          </w:p>
        </w:tc>
        <w:tc>
          <w:tcPr>
            <w:tcW w:w="1138" w:type="dxa"/>
          </w:tcPr>
          <w:p w:rsidR="00AE4097" w:rsidRDefault="00AE4097" w:rsidP="00176384">
            <w:pPr>
              <w:spacing w:line="360" w:lineRule="auto"/>
              <w:jc w:val="center"/>
              <w:rPr>
                <w:sz w:val="20"/>
                <w:szCs w:val="20"/>
              </w:rPr>
            </w:pPr>
            <w:r>
              <w:rPr>
                <w:sz w:val="20"/>
                <w:szCs w:val="20"/>
              </w:rPr>
              <w:t>X</w:t>
            </w:r>
          </w:p>
        </w:tc>
      </w:tr>
      <w:tr w:rsidR="00AE4097" w:rsidTr="00176384">
        <w:tc>
          <w:tcPr>
            <w:tcW w:w="1101" w:type="dxa"/>
          </w:tcPr>
          <w:p w:rsidR="00AE4097" w:rsidRDefault="00AE4097" w:rsidP="00176384">
            <w:pPr>
              <w:spacing w:line="360" w:lineRule="auto"/>
              <w:jc w:val="both"/>
              <w:rPr>
                <w:sz w:val="20"/>
                <w:szCs w:val="20"/>
              </w:rPr>
            </w:pPr>
          </w:p>
        </w:tc>
        <w:tc>
          <w:tcPr>
            <w:tcW w:w="708" w:type="dxa"/>
          </w:tcPr>
          <w:p w:rsidR="00AE4097" w:rsidRDefault="00AE4097" w:rsidP="00176384">
            <w:pPr>
              <w:spacing w:line="360" w:lineRule="auto"/>
              <w:jc w:val="both"/>
              <w:rPr>
                <w:sz w:val="20"/>
                <w:szCs w:val="20"/>
              </w:rPr>
            </w:pPr>
            <w:r>
              <w:rPr>
                <w:sz w:val="20"/>
                <w:szCs w:val="20"/>
              </w:rPr>
              <w:t>2008</w:t>
            </w:r>
          </w:p>
        </w:tc>
        <w:tc>
          <w:tcPr>
            <w:tcW w:w="1779" w:type="dxa"/>
          </w:tcPr>
          <w:p w:rsidR="00AE4097" w:rsidRDefault="00AE4097" w:rsidP="00176384">
            <w:pPr>
              <w:spacing w:line="360" w:lineRule="auto"/>
              <w:jc w:val="center"/>
              <w:rPr>
                <w:sz w:val="20"/>
                <w:szCs w:val="20"/>
              </w:rPr>
            </w:pPr>
            <w:r>
              <w:rPr>
                <w:sz w:val="20"/>
                <w:szCs w:val="20"/>
              </w:rPr>
              <w:t>X</w:t>
            </w:r>
          </w:p>
        </w:tc>
        <w:tc>
          <w:tcPr>
            <w:tcW w:w="1200" w:type="dxa"/>
          </w:tcPr>
          <w:p w:rsidR="00AE4097" w:rsidRDefault="00AE4097" w:rsidP="00176384">
            <w:pPr>
              <w:spacing w:line="360" w:lineRule="auto"/>
              <w:jc w:val="center"/>
              <w:rPr>
                <w:sz w:val="20"/>
                <w:szCs w:val="20"/>
              </w:rPr>
            </w:pPr>
            <w:r>
              <w:rPr>
                <w:sz w:val="20"/>
                <w:szCs w:val="20"/>
              </w:rPr>
              <w:t>X</w:t>
            </w:r>
          </w:p>
        </w:tc>
        <w:tc>
          <w:tcPr>
            <w:tcW w:w="1080" w:type="dxa"/>
          </w:tcPr>
          <w:p w:rsidR="00AE4097" w:rsidRDefault="00AE4097" w:rsidP="00176384">
            <w:pPr>
              <w:spacing w:line="360" w:lineRule="auto"/>
              <w:jc w:val="both"/>
              <w:rPr>
                <w:sz w:val="20"/>
                <w:szCs w:val="20"/>
              </w:rPr>
            </w:pPr>
          </w:p>
        </w:tc>
        <w:tc>
          <w:tcPr>
            <w:tcW w:w="720" w:type="dxa"/>
          </w:tcPr>
          <w:p w:rsidR="00AE4097" w:rsidRDefault="00AE4097" w:rsidP="00176384">
            <w:pPr>
              <w:spacing w:line="360" w:lineRule="auto"/>
              <w:jc w:val="both"/>
              <w:rPr>
                <w:sz w:val="20"/>
                <w:szCs w:val="20"/>
              </w:rPr>
            </w:pPr>
            <w:r>
              <w:rPr>
                <w:sz w:val="20"/>
                <w:szCs w:val="20"/>
              </w:rPr>
              <w:t>2008</w:t>
            </w:r>
          </w:p>
        </w:tc>
        <w:tc>
          <w:tcPr>
            <w:tcW w:w="1742" w:type="dxa"/>
          </w:tcPr>
          <w:p w:rsidR="00AE4097" w:rsidRDefault="00AE4097" w:rsidP="00176384">
            <w:pPr>
              <w:spacing w:line="360" w:lineRule="auto"/>
              <w:jc w:val="center"/>
              <w:rPr>
                <w:sz w:val="20"/>
                <w:szCs w:val="20"/>
              </w:rPr>
            </w:pPr>
            <w:r>
              <w:rPr>
                <w:sz w:val="20"/>
                <w:szCs w:val="20"/>
              </w:rPr>
              <w:t>X</w:t>
            </w:r>
          </w:p>
        </w:tc>
        <w:tc>
          <w:tcPr>
            <w:tcW w:w="1138" w:type="dxa"/>
          </w:tcPr>
          <w:p w:rsidR="00AE4097" w:rsidRDefault="00AE4097" w:rsidP="00176384">
            <w:pPr>
              <w:spacing w:line="360" w:lineRule="auto"/>
              <w:jc w:val="center"/>
              <w:rPr>
                <w:sz w:val="20"/>
                <w:szCs w:val="20"/>
              </w:rPr>
            </w:pPr>
            <w:r>
              <w:rPr>
                <w:sz w:val="20"/>
                <w:szCs w:val="20"/>
              </w:rPr>
              <w:t>X</w:t>
            </w:r>
          </w:p>
        </w:tc>
      </w:tr>
      <w:tr w:rsidR="00AE4097" w:rsidTr="00176384">
        <w:tc>
          <w:tcPr>
            <w:tcW w:w="1101" w:type="dxa"/>
          </w:tcPr>
          <w:p w:rsidR="00AE4097" w:rsidRDefault="00AE4097" w:rsidP="00176384">
            <w:pPr>
              <w:spacing w:line="360" w:lineRule="auto"/>
              <w:jc w:val="both"/>
              <w:rPr>
                <w:sz w:val="20"/>
                <w:szCs w:val="20"/>
              </w:rPr>
            </w:pPr>
          </w:p>
        </w:tc>
        <w:tc>
          <w:tcPr>
            <w:tcW w:w="708" w:type="dxa"/>
          </w:tcPr>
          <w:p w:rsidR="00AE4097" w:rsidRDefault="00AE4097" w:rsidP="00176384">
            <w:pPr>
              <w:spacing w:line="360" w:lineRule="auto"/>
              <w:jc w:val="both"/>
              <w:rPr>
                <w:sz w:val="20"/>
                <w:szCs w:val="20"/>
              </w:rPr>
            </w:pPr>
            <w:r>
              <w:rPr>
                <w:sz w:val="20"/>
                <w:szCs w:val="20"/>
              </w:rPr>
              <w:t>2009</w:t>
            </w:r>
          </w:p>
        </w:tc>
        <w:tc>
          <w:tcPr>
            <w:tcW w:w="1779" w:type="dxa"/>
          </w:tcPr>
          <w:p w:rsidR="00AE4097" w:rsidRDefault="00AE4097" w:rsidP="00176384">
            <w:pPr>
              <w:spacing w:line="360" w:lineRule="auto"/>
              <w:jc w:val="center"/>
              <w:rPr>
                <w:sz w:val="20"/>
                <w:szCs w:val="20"/>
              </w:rPr>
            </w:pPr>
            <w:r>
              <w:rPr>
                <w:sz w:val="20"/>
                <w:szCs w:val="20"/>
              </w:rPr>
              <w:t>X</w:t>
            </w:r>
          </w:p>
        </w:tc>
        <w:tc>
          <w:tcPr>
            <w:tcW w:w="1200" w:type="dxa"/>
          </w:tcPr>
          <w:p w:rsidR="00AE4097" w:rsidRDefault="00AE4097" w:rsidP="00176384">
            <w:pPr>
              <w:spacing w:line="360" w:lineRule="auto"/>
              <w:jc w:val="center"/>
              <w:rPr>
                <w:sz w:val="20"/>
                <w:szCs w:val="20"/>
              </w:rPr>
            </w:pPr>
            <w:r>
              <w:rPr>
                <w:sz w:val="20"/>
                <w:szCs w:val="20"/>
              </w:rPr>
              <w:t>X</w:t>
            </w:r>
          </w:p>
        </w:tc>
        <w:tc>
          <w:tcPr>
            <w:tcW w:w="1080" w:type="dxa"/>
          </w:tcPr>
          <w:p w:rsidR="00AE4097" w:rsidRDefault="00AE4097" w:rsidP="00176384">
            <w:pPr>
              <w:spacing w:line="360" w:lineRule="auto"/>
              <w:jc w:val="both"/>
              <w:rPr>
                <w:sz w:val="20"/>
                <w:szCs w:val="20"/>
              </w:rPr>
            </w:pPr>
          </w:p>
        </w:tc>
        <w:tc>
          <w:tcPr>
            <w:tcW w:w="720" w:type="dxa"/>
          </w:tcPr>
          <w:p w:rsidR="00AE4097" w:rsidRDefault="00AE4097" w:rsidP="00176384">
            <w:pPr>
              <w:spacing w:line="360" w:lineRule="auto"/>
              <w:jc w:val="both"/>
              <w:rPr>
                <w:sz w:val="20"/>
                <w:szCs w:val="20"/>
              </w:rPr>
            </w:pPr>
            <w:r>
              <w:rPr>
                <w:sz w:val="20"/>
                <w:szCs w:val="20"/>
              </w:rPr>
              <w:t>2009</w:t>
            </w:r>
          </w:p>
        </w:tc>
        <w:tc>
          <w:tcPr>
            <w:tcW w:w="1742" w:type="dxa"/>
          </w:tcPr>
          <w:p w:rsidR="00AE4097" w:rsidRDefault="00AE4097" w:rsidP="00176384">
            <w:pPr>
              <w:spacing w:line="360" w:lineRule="auto"/>
              <w:jc w:val="center"/>
              <w:rPr>
                <w:sz w:val="20"/>
                <w:szCs w:val="20"/>
              </w:rPr>
            </w:pPr>
            <w:r>
              <w:rPr>
                <w:sz w:val="20"/>
                <w:szCs w:val="20"/>
              </w:rPr>
              <w:t>X</w:t>
            </w:r>
          </w:p>
        </w:tc>
        <w:tc>
          <w:tcPr>
            <w:tcW w:w="1138" w:type="dxa"/>
          </w:tcPr>
          <w:p w:rsidR="00AE4097" w:rsidRDefault="00AE4097" w:rsidP="00176384">
            <w:pPr>
              <w:spacing w:line="360" w:lineRule="auto"/>
              <w:jc w:val="center"/>
              <w:rPr>
                <w:sz w:val="20"/>
                <w:szCs w:val="20"/>
              </w:rPr>
            </w:pPr>
            <w:r>
              <w:rPr>
                <w:sz w:val="20"/>
                <w:szCs w:val="20"/>
              </w:rPr>
              <w:t>X</w:t>
            </w:r>
          </w:p>
        </w:tc>
      </w:tr>
    </w:tbl>
    <w:p w:rsidR="00AE4097" w:rsidRDefault="00AE4097" w:rsidP="00AE4097">
      <w:pPr>
        <w:spacing w:after="200" w:line="276" w:lineRule="auto"/>
        <w:rPr>
          <w:b/>
          <w:lang w:val="en-US" w:eastAsia="en-US"/>
        </w:rPr>
      </w:pPr>
      <w:r>
        <w:rPr>
          <w:b/>
          <w:lang w:val="en-US" w:eastAsia="en-US"/>
        </w:rPr>
        <w:lastRenderedPageBreak/>
        <w:t>Appendix X Dataset statistical analysis</w:t>
      </w:r>
    </w:p>
    <w:p w:rsidR="00AE4097" w:rsidRDefault="00AE4097" w:rsidP="008C2ED0">
      <w:pPr>
        <w:pStyle w:val="ListParagraph"/>
        <w:numPr>
          <w:ilvl w:val="0"/>
          <w:numId w:val="11"/>
        </w:numPr>
        <w:spacing w:after="200" w:line="276" w:lineRule="auto"/>
        <w:ind w:left="0" w:firstLine="0"/>
        <w:rPr>
          <w:i/>
          <w:sz w:val="22"/>
          <w:szCs w:val="22"/>
          <w:u w:val="single"/>
          <w:lang w:val="en-US" w:eastAsia="en-US"/>
        </w:rPr>
      </w:pPr>
      <w:r>
        <w:rPr>
          <w:i/>
          <w:sz w:val="22"/>
          <w:szCs w:val="22"/>
          <w:u w:val="single"/>
          <w:lang w:val="en-US" w:eastAsia="en-US"/>
        </w:rPr>
        <w:t>Average risk disclosure scores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09"/>
        <w:gridCol w:w="1801"/>
        <w:gridCol w:w="1701"/>
      </w:tblGrid>
      <w:tr w:rsidR="00AE4097" w:rsidTr="00176384">
        <w:tc>
          <w:tcPr>
            <w:tcW w:w="1709" w:type="dxa"/>
          </w:tcPr>
          <w:p w:rsidR="00AE4097" w:rsidRDefault="00AE4097" w:rsidP="00176384">
            <w:pPr>
              <w:autoSpaceDE w:val="0"/>
              <w:autoSpaceDN w:val="0"/>
              <w:adjustRightInd w:val="0"/>
              <w:jc w:val="both"/>
              <w:rPr>
                <w:b/>
                <w:lang w:val="fr-FR" w:eastAsia="en-US"/>
              </w:rPr>
            </w:pPr>
            <w:proofErr w:type="spellStart"/>
            <w:r>
              <w:rPr>
                <w:b/>
                <w:sz w:val="22"/>
                <w:szCs w:val="22"/>
                <w:lang w:val="fr-FR" w:eastAsia="en-US"/>
              </w:rPr>
              <w:t>Company</w:t>
            </w:r>
            <w:proofErr w:type="spellEnd"/>
          </w:p>
        </w:tc>
        <w:tc>
          <w:tcPr>
            <w:tcW w:w="1801" w:type="dxa"/>
            <w:vAlign w:val="bottom"/>
          </w:tcPr>
          <w:p w:rsidR="00AE4097" w:rsidRDefault="00AE4097" w:rsidP="00176384">
            <w:pPr>
              <w:jc w:val="center"/>
              <w:rPr>
                <w:b/>
                <w:iCs/>
                <w:color w:val="000000"/>
                <w:lang w:val="fr-FR"/>
              </w:rPr>
            </w:pPr>
            <w:r>
              <w:rPr>
                <w:b/>
                <w:iCs/>
                <w:color w:val="000000"/>
                <w:sz w:val="22"/>
                <w:szCs w:val="22"/>
                <w:lang w:val="fr-FR"/>
              </w:rPr>
              <w:t>Y2006-Y2007</w:t>
            </w:r>
          </w:p>
        </w:tc>
        <w:tc>
          <w:tcPr>
            <w:tcW w:w="1701" w:type="dxa"/>
            <w:vAlign w:val="bottom"/>
          </w:tcPr>
          <w:p w:rsidR="00AE4097" w:rsidRDefault="00AE4097" w:rsidP="00176384">
            <w:pPr>
              <w:jc w:val="center"/>
              <w:rPr>
                <w:b/>
                <w:iCs/>
                <w:color w:val="000000"/>
                <w:lang w:val="fr-FR"/>
              </w:rPr>
            </w:pPr>
            <w:r>
              <w:rPr>
                <w:b/>
                <w:iCs/>
                <w:color w:val="000000"/>
                <w:sz w:val="22"/>
                <w:szCs w:val="22"/>
                <w:lang w:val="fr-FR"/>
              </w:rPr>
              <w:t>Y2008-Y2009</w:t>
            </w:r>
          </w:p>
        </w:tc>
      </w:tr>
      <w:tr w:rsidR="00AE4097" w:rsidTr="00176384">
        <w:tc>
          <w:tcPr>
            <w:tcW w:w="1709" w:type="dxa"/>
            <w:vAlign w:val="bottom"/>
          </w:tcPr>
          <w:p w:rsidR="00AE4097" w:rsidRDefault="00AE4097" w:rsidP="00176384">
            <w:pPr>
              <w:rPr>
                <w:color w:val="000000"/>
                <w:lang w:val="fr-FR"/>
              </w:rPr>
            </w:pPr>
          </w:p>
        </w:tc>
        <w:tc>
          <w:tcPr>
            <w:tcW w:w="1801" w:type="dxa"/>
            <w:vAlign w:val="bottom"/>
          </w:tcPr>
          <w:p w:rsidR="00AE4097" w:rsidRDefault="00AE4097" w:rsidP="00176384">
            <w:pPr>
              <w:jc w:val="center"/>
              <w:rPr>
                <w:color w:val="000000"/>
                <w:lang w:val="fr-FR"/>
              </w:rPr>
            </w:pPr>
          </w:p>
        </w:tc>
        <w:tc>
          <w:tcPr>
            <w:tcW w:w="1701" w:type="dxa"/>
            <w:vAlign w:val="bottom"/>
          </w:tcPr>
          <w:p w:rsidR="00AE4097" w:rsidRDefault="00AE4097" w:rsidP="00176384">
            <w:pPr>
              <w:jc w:val="center"/>
              <w:rPr>
                <w:color w:val="000000"/>
                <w:lang w:val="fr-FR"/>
              </w:rPr>
            </w:pPr>
          </w:p>
        </w:tc>
      </w:tr>
      <w:tr w:rsidR="00AE4097" w:rsidTr="00176384">
        <w:tc>
          <w:tcPr>
            <w:tcW w:w="1709" w:type="dxa"/>
            <w:vAlign w:val="bottom"/>
          </w:tcPr>
          <w:p w:rsidR="00AE4097" w:rsidRDefault="00AE4097" w:rsidP="00176384">
            <w:pPr>
              <w:rPr>
                <w:color w:val="000000"/>
                <w:lang w:val="fr-FR"/>
              </w:rPr>
            </w:pPr>
            <w:r>
              <w:rPr>
                <w:color w:val="000000"/>
                <w:sz w:val="22"/>
                <w:szCs w:val="22"/>
                <w:lang w:val="fr-FR"/>
              </w:rPr>
              <w:t>Ahold</w:t>
            </w:r>
          </w:p>
        </w:tc>
        <w:tc>
          <w:tcPr>
            <w:tcW w:w="1801" w:type="dxa"/>
            <w:vAlign w:val="bottom"/>
          </w:tcPr>
          <w:p w:rsidR="00AE4097" w:rsidRDefault="00AE4097" w:rsidP="00176384">
            <w:pPr>
              <w:jc w:val="center"/>
              <w:rPr>
                <w:color w:val="000000"/>
                <w:lang w:val="en-US"/>
              </w:rPr>
            </w:pPr>
            <w:r>
              <w:rPr>
                <w:color w:val="000000"/>
                <w:sz w:val="22"/>
                <w:szCs w:val="22"/>
                <w:lang w:val="en-US"/>
              </w:rPr>
              <w:t>0.55</w:t>
            </w:r>
          </w:p>
        </w:tc>
        <w:tc>
          <w:tcPr>
            <w:tcW w:w="1701" w:type="dxa"/>
            <w:vAlign w:val="bottom"/>
          </w:tcPr>
          <w:p w:rsidR="00AE4097" w:rsidRDefault="00AE4097" w:rsidP="00176384">
            <w:pPr>
              <w:jc w:val="center"/>
              <w:rPr>
                <w:color w:val="000000"/>
                <w:lang w:val="en-US"/>
              </w:rPr>
            </w:pPr>
            <w:r>
              <w:rPr>
                <w:color w:val="000000"/>
                <w:sz w:val="22"/>
                <w:szCs w:val="22"/>
                <w:lang w:val="en-US"/>
              </w:rPr>
              <w:t>0.5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Akzo Nobel</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0.6</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ASML</w:t>
            </w:r>
          </w:p>
        </w:tc>
        <w:tc>
          <w:tcPr>
            <w:tcW w:w="1801" w:type="dxa"/>
          </w:tcPr>
          <w:p w:rsidR="00AE4097" w:rsidRDefault="00AE4097" w:rsidP="00176384">
            <w:pPr>
              <w:autoSpaceDE w:val="0"/>
              <w:autoSpaceDN w:val="0"/>
              <w:adjustRightInd w:val="0"/>
              <w:jc w:val="center"/>
              <w:rPr>
                <w:lang w:eastAsia="en-US"/>
              </w:rPr>
            </w:pPr>
            <w:r>
              <w:rPr>
                <w:sz w:val="22"/>
                <w:szCs w:val="22"/>
                <w:lang w:eastAsia="en-US"/>
              </w:rPr>
              <w:t>0.4</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0.4</w:t>
            </w:r>
          </w:p>
        </w:tc>
      </w:tr>
      <w:tr w:rsidR="00AE4097" w:rsidTr="00176384">
        <w:tc>
          <w:tcPr>
            <w:tcW w:w="1709" w:type="dxa"/>
            <w:vAlign w:val="bottom"/>
          </w:tcPr>
          <w:p w:rsidR="00AE4097" w:rsidRDefault="00AE4097" w:rsidP="00176384">
            <w:pPr>
              <w:rPr>
                <w:color w:val="000000"/>
              </w:rPr>
            </w:pPr>
            <w:proofErr w:type="spellStart"/>
            <w:r>
              <w:rPr>
                <w:color w:val="000000"/>
                <w:sz w:val="22"/>
                <w:szCs w:val="22"/>
              </w:rPr>
              <w:t>Bam</w:t>
            </w:r>
            <w:proofErr w:type="spellEnd"/>
            <w:r>
              <w:rPr>
                <w:color w:val="000000"/>
                <w:sz w:val="22"/>
                <w:szCs w:val="22"/>
              </w:rPr>
              <w:t xml:space="preserve"> Groep</w:t>
            </w:r>
          </w:p>
        </w:tc>
        <w:tc>
          <w:tcPr>
            <w:tcW w:w="1801" w:type="dxa"/>
          </w:tcPr>
          <w:p w:rsidR="00AE4097" w:rsidRDefault="00AE4097" w:rsidP="00176384">
            <w:pPr>
              <w:autoSpaceDE w:val="0"/>
              <w:autoSpaceDN w:val="0"/>
              <w:adjustRightInd w:val="0"/>
              <w:jc w:val="center"/>
              <w:rPr>
                <w:lang w:eastAsia="en-US"/>
              </w:rPr>
            </w:pPr>
            <w:r>
              <w:rPr>
                <w:sz w:val="22"/>
                <w:szCs w:val="22"/>
                <w:lang w:eastAsia="en-US"/>
              </w:rPr>
              <w:t>0.55</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0.5</w:t>
            </w:r>
          </w:p>
        </w:tc>
      </w:tr>
      <w:tr w:rsidR="00AE4097" w:rsidTr="00176384">
        <w:tc>
          <w:tcPr>
            <w:tcW w:w="1709" w:type="dxa"/>
            <w:vAlign w:val="bottom"/>
          </w:tcPr>
          <w:p w:rsidR="00AE4097" w:rsidRDefault="00AE4097" w:rsidP="00176384">
            <w:pPr>
              <w:rPr>
                <w:color w:val="000000"/>
              </w:rPr>
            </w:pPr>
            <w:r>
              <w:rPr>
                <w:color w:val="000000"/>
                <w:sz w:val="22"/>
                <w:szCs w:val="22"/>
              </w:rPr>
              <w:t>Boskalis</w:t>
            </w:r>
          </w:p>
        </w:tc>
        <w:tc>
          <w:tcPr>
            <w:tcW w:w="1801" w:type="dxa"/>
          </w:tcPr>
          <w:p w:rsidR="00AE4097" w:rsidRDefault="00AE4097" w:rsidP="00176384">
            <w:pPr>
              <w:autoSpaceDE w:val="0"/>
              <w:autoSpaceDN w:val="0"/>
              <w:adjustRightInd w:val="0"/>
              <w:jc w:val="center"/>
              <w:rPr>
                <w:lang w:eastAsia="en-US"/>
              </w:rPr>
            </w:pPr>
            <w:r>
              <w:rPr>
                <w:sz w:val="22"/>
                <w:szCs w:val="22"/>
                <w:lang w:eastAsia="en-US"/>
              </w:rPr>
              <w:t>0.55</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0.55</w:t>
            </w:r>
          </w:p>
        </w:tc>
      </w:tr>
      <w:tr w:rsidR="00AE4097" w:rsidTr="00176384">
        <w:tc>
          <w:tcPr>
            <w:tcW w:w="1709" w:type="dxa"/>
            <w:vAlign w:val="bottom"/>
          </w:tcPr>
          <w:p w:rsidR="00AE4097" w:rsidRDefault="00AE4097" w:rsidP="00176384">
            <w:pPr>
              <w:rPr>
                <w:color w:val="000000"/>
              </w:rPr>
            </w:pPr>
            <w:r>
              <w:rPr>
                <w:color w:val="000000"/>
                <w:sz w:val="22"/>
                <w:szCs w:val="22"/>
              </w:rPr>
              <w:t>DSM</w:t>
            </w:r>
          </w:p>
        </w:tc>
        <w:tc>
          <w:tcPr>
            <w:tcW w:w="1801" w:type="dxa"/>
          </w:tcPr>
          <w:p w:rsidR="00AE4097" w:rsidRDefault="00AE4097" w:rsidP="00176384">
            <w:pPr>
              <w:autoSpaceDE w:val="0"/>
              <w:autoSpaceDN w:val="0"/>
              <w:adjustRightInd w:val="0"/>
              <w:jc w:val="center"/>
              <w:rPr>
                <w:lang w:eastAsia="en-US"/>
              </w:rPr>
            </w:pPr>
            <w:r>
              <w:rPr>
                <w:sz w:val="22"/>
                <w:szCs w:val="22"/>
                <w:lang w:eastAsia="en-US"/>
              </w:rPr>
              <w:t>0.35</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0.5</w:t>
            </w:r>
          </w:p>
        </w:tc>
      </w:tr>
      <w:tr w:rsidR="00AE4097" w:rsidTr="00176384">
        <w:tc>
          <w:tcPr>
            <w:tcW w:w="1709" w:type="dxa"/>
            <w:vAlign w:val="bottom"/>
          </w:tcPr>
          <w:p w:rsidR="00AE4097" w:rsidRDefault="00AE4097" w:rsidP="00176384">
            <w:pPr>
              <w:rPr>
                <w:color w:val="000000"/>
              </w:rPr>
            </w:pPr>
            <w:r>
              <w:rPr>
                <w:color w:val="000000"/>
                <w:sz w:val="22"/>
                <w:szCs w:val="22"/>
              </w:rPr>
              <w:t>Fugro</w:t>
            </w:r>
          </w:p>
        </w:tc>
        <w:tc>
          <w:tcPr>
            <w:tcW w:w="1801" w:type="dxa"/>
          </w:tcPr>
          <w:p w:rsidR="00AE4097" w:rsidRDefault="00AE4097" w:rsidP="00176384">
            <w:pPr>
              <w:autoSpaceDE w:val="0"/>
              <w:autoSpaceDN w:val="0"/>
              <w:adjustRightInd w:val="0"/>
              <w:jc w:val="center"/>
              <w:rPr>
                <w:lang w:eastAsia="en-US"/>
              </w:rPr>
            </w:pPr>
            <w:r>
              <w:rPr>
                <w:sz w:val="22"/>
                <w:szCs w:val="22"/>
                <w:lang w:eastAsia="en-US"/>
              </w:rPr>
              <w:t>0.5</w:t>
            </w:r>
          </w:p>
        </w:tc>
        <w:tc>
          <w:tcPr>
            <w:tcW w:w="1701" w:type="dxa"/>
          </w:tcPr>
          <w:p w:rsidR="00AE4097" w:rsidRDefault="00AE4097" w:rsidP="00176384">
            <w:pPr>
              <w:autoSpaceDE w:val="0"/>
              <w:autoSpaceDN w:val="0"/>
              <w:adjustRightInd w:val="0"/>
              <w:jc w:val="center"/>
              <w:rPr>
                <w:lang w:eastAsia="en-US"/>
              </w:rPr>
            </w:pPr>
            <w:r>
              <w:rPr>
                <w:sz w:val="22"/>
                <w:szCs w:val="22"/>
                <w:lang w:eastAsia="en-US"/>
              </w:rPr>
              <w:t>0.5</w:t>
            </w:r>
          </w:p>
        </w:tc>
      </w:tr>
      <w:tr w:rsidR="00AE4097" w:rsidTr="00176384">
        <w:tc>
          <w:tcPr>
            <w:tcW w:w="1709" w:type="dxa"/>
            <w:vAlign w:val="bottom"/>
          </w:tcPr>
          <w:p w:rsidR="00AE4097" w:rsidRDefault="00AE4097" w:rsidP="00176384">
            <w:pPr>
              <w:rPr>
                <w:color w:val="000000"/>
              </w:rPr>
            </w:pPr>
            <w:r>
              <w:rPr>
                <w:color w:val="000000"/>
                <w:sz w:val="22"/>
                <w:szCs w:val="22"/>
              </w:rPr>
              <w:t>Heineken</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0.55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0.58</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KPN</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0.48</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0.75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Philips</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0.85</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0.85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Randstad</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0.7</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Reed Elsevier</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0.28</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0.45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SBM Offshore</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0.83</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0.85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Shell</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0.4</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TNT</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0.63</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0.65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Tomtom</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0.7</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0.75</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Unilever</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0.63</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0.7</w:t>
            </w:r>
          </w:p>
        </w:tc>
      </w:tr>
      <w:tr w:rsidR="00AE4097" w:rsidTr="00176384">
        <w:tc>
          <w:tcPr>
            <w:tcW w:w="1709" w:type="dxa"/>
            <w:vAlign w:val="bottom"/>
          </w:tcPr>
          <w:p w:rsidR="00AE4097" w:rsidRDefault="00AE4097" w:rsidP="00176384">
            <w:pPr>
              <w:rPr>
                <w:color w:val="000000"/>
                <w:lang w:val="en-US"/>
              </w:rPr>
            </w:pPr>
            <w:r>
              <w:rPr>
                <w:color w:val="000000"/>
                <w:sz w:val="22"/>
                <w:szCs w:val="22"/>
                <w:lang w:val="en-US"/>
              </w:rPr>
              <w:t>Wolters Kluwer</w:t>
            </w:r>
          </w:p>
        </w:tc>
        <w:tc>
          <w:tcPr>
            <w:tcW w:w="1801"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c>
          <w:tcPr>
            <w:tcW w:w="1701" w:type="dxa"/>
          </w:tcPr>
          <w:p w:rsidR="00AE4097" w:rsidRDefault="00AE4097" w:rsidP="00176384">
            <w:pPr>
              <w:autoSpaceDE w:val="0"/>
              <w:autoSpaceDN w:val="0"/>
              <w:adjustRightInd w:val="0"/>
              <w:jc w:val="center"/>
              <w:rPr>
                <w:lang w:val="en-US" w:eastAsia="en-US"/>
              </w:rPr>
            </w:pPr>
            <w:r>
              <w:rPr>
                <w:sz w:val="22"/>
                <w:szCs w:val="22"/>
                <w:lang w:val="en-US" w:eastAsia="en-US"/>
              </w:rPr>
              <w:t>0.8</w:t>
            </w:r>
          </w:p>
        </w:tc>
      </w:tr>
    </w:tbl>
    <w:p w:rsidR="00AE4097" w:rsidRDefault="00AE4097" w:rsidP="00AE4097">
      <w:pPr>
        <w:autoSpaceDE w:val="0"/>
        <w:autoSpaceDN w:val="0"/>
        <w:adjustRightInd w:val="0"/>
        <w:jc w:val="both"/>
        <w:rPr>
          <w:b/>
          <w:sz w:val="22"/>
          <w:szCs w:val="22"/>
          <w:lang w:val="en-US" w:eastAsia="en-US"/>
        </w:rPr>
      </w:pPr>
    </w:p>
    <w:p w:rsidR="00AE4097" w:rsidRDefault="00AE4097" w:rsidP="00AE4097">
      <w:pPr>
        <w:autoSpaceDE w:val="0"/>
        <w:autoSpaceDN w:val="0"/>
        <w:adjustRightInd w:val="0"/>
        <w:jc w:val="both"/>
        <w:rPr>
          <w:b/>
          <w:sz w:val="22"/>
          <w:szCs w:val="22"/>
          <w:lang w:val="en-US" w:eastAsia="en-US"/>
        </w:rPr>
      </w:pPr>
    </w:p>
    <w:p w:rsidR="00AE4097" w:rsidRDefault="00AE4097" w:rsidP="008C2ED0">
      <w:pPr>
        <w:pStyle w:val="ListParagraph"/>
        <w:numPr>
          <w:ilvl w:val="0"/>
          <w:numId w:val="11"/>
        </w:numPr>
        <w:autoSpaceDE w:val="0"/>
        <w:autoSpaceDN w:val="0"/>
        <w:adjustRightInd w:val="0"/>
        <w:ind w:left="0" w:firstLine="0"/>
        <w:jc w:val="both"/>
        <w:rPr>
          <w:i/>
          <w:sz w:val="22"/>
          <w:szCs w:val="22"/>
          <w:u w:val="single"/>
          <w:lang w:val="en-US" w:eastAsia="en-US"/>
        </w:rPr>
      </w:pPr>
      <w:r>
        <w:rPr>
          <w:i/>
          <w:sz w:val="22"/>
          <w:szCs w:val="22"/>
          <w:u w:val="single"/>
          <w:lang w:val="en-US" w:eastAsia="en-US"/>
        </w:rPr>
        <w:t>ROA (x 1 million):</w:t>
      </w:r>
    </w:p>
    <w:p w:rsidR="00AE4097" w:rsidRDefault="00AE4097" w:rsidP="00AE4097">
      <w:pPr>
        <w:autoSpaceDE w:val="0"/>
        <w:autoSpaceDN w:val="0"/>
        <w:adjustRightInd w:val="0"/>
        <w:jc w:val="both"/>
        <w:rPr>
          <w:b/>
          <w:sz w:val="22"/>
          <w:szCs w:val="22"/>
          <w:lang w:val="en-US" w:eastAsia="en-US"/>
        </w:rPr>
      </w:pPr>
    </w:p>
    <w:tbl>
      <w:tblPr>
        <w:tblW w:w="9734" w:type="dxa"/>
        <w:tblInd w:w="94" w:type="dxa"/>
        <w:tblLayout w:type="fixed"/>
        <w:tblLook w:val="0000"/>
      </w:tblPr>
      <w:tblGrid>
        <w:gridCol w:w="3254"/>
        <w:gridCol w:w="960"/>
        <w:gridCol w:w="960"/>
        <w:gridCol w:w="960"/>
        <w:gridCol w:w="960"/>
        <w:gridCol w:w="1320"/>
        <w:gridCol w:w="1320"/>
      </w:tblGrid>
      <w:tr w:rsidR="00AE4097" w:rsidTr="00176384">
        <w:trPr>
          <w:trHeight w:val="510"/>
        </w:trPr>
        <w:tc>
          <w:tcPr>
            <w:tcW w:w="3254"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rPr>
                <w:b/>
                <w:bCs/>
                <w:szCs w:val="20"/>
                <w:lang w:val="en-US" w:eastAsia="en-US"/>
              </w:rPr>
            </w:pPr>
            <w:r>
              <w:rPr>
                <w:b/>
                <w:bCs/>
                <w:sz w:val="22"/>
                <w:szCs w:val="20"/>
                <w:lang w:val="en-US" w:eastAsia="en-US"/>
              </w:rPr>
              <w:t>Company</w:t>
            </w:r>
          </w:p>
        </w:tc>
        <w:tc>
          <w:tcPr>
            <w:tcW w:w="960"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jc w:val="center"/>
              <w:rPr>
                <w:b/>
                <w:bCs/>
                <w:szCs w:val="20"/>
                <w:lang w:val="fr-FR" w:eastAsia="en-US"/>
              </w:rPr>
            </w:pPr>
            <w:r>
              <w:rPr>
                <w:b/>
                <w:bCs/>
                <w:sz w:val="22"/>
                <w:szCs w:val="20"/>
                <w:lang w:val="fr-FR" w:eastAsia="en-US"/>
              </w:rPr>
              <w:t>Y2006</w:t>
            </w:r>
          </w:p>
        </w:tc>
        <w:tc>
          <w:tcPr>
            <w:tcW w:w="960"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jc w:val="center"/>
              <w:rPr>
                <w:b/>
                <w:bCs/>
                <w:szCs w:val="20"/>
                <w:lang w:val="fr-FR" w:eastAsia="en-US"/>
              </w:rPr>
            </w:pPr>
            <w:r>
              <w:rPr>
                <w:b/>
                <w:bCs/>
                <w:sz w:val="22"/>
                <w:szCs w:val="20"/>
                <w:lang w:val="fr-FR" w:eastAsia="en-US"/>
              </w:rPr>
              <w:t>Y2007</w:t>
            </w:r>
          </w:p>
        </w:tc>
        <w:tc>
          <w:tcPr>
            <w:tcW w:w="960"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jc w:val="center"/>
              <w:rPr>
                <w:b/>
                <w:bCs/>
                <w:szCs w:val="20"/>
                <w:lang w:val="fr-FR" w:eastAsia="en-US"/>
              </w:rPr>
            </w:pPr>
            <w:r>
              <w:rPr>
                <w:b/>
                <w:bCs/>
                <w:sz w:val="22"/>
                <w:szCs w:val="20"/>
                <w:lang w:val="fr-FR" w:eastAsia="en-US"/>
              </w:rPr>
              <w:t>Y2008</w:t>
            </w:r>
          </w:p>
        </w:tc>
        <w:tc>
          <w:tcPr>
            <w:tcW w:w="960" w:type="dxa"/>
            <w:tcBorders>
              <w:top w:val="single" w:sz="4" w:space="0" w:color="auto"/>
              <w:left w:val="single" w:sz="4" w:space="0" w:color="auto"/>
              <w:bottom w:val="single" w:sz="4" w:space="0" w:color="auto"/>
              <w:right w:val="single" w:sz="4" w:space="0" w:color="auto"/>
            </w:tcBorders>
            <w:noWrap/>
            <w:vAlign w:val="bottom"/>
          </w:tcPr>
          <w:p w:rsidR="00AE4097" w:rsidRDefault="00AE4097" w:rsidP="00176384">
            <w:pPr>
              <w:jc w:val="center"/>
              <w:rPr>
                <w:b/>
                <w:bCs/>
                <w:szCs w:val="20"/>
                <w:lang w:val="fr-FR" w:eastAsia="en-US"/>
              </w:rPr>
            </w:pPr>
            <w:r>
              <w:rPr>
                <w:b/>
                <w:bCs/>
                <w:sz w:val="22"/>
                <w:szCs w:val="20"/>
                <w:lang w:val="fr-FR" w:eastAsia="en-US"/>
              </w:rPr>
              <w:t>Y2009</w:t>
            </w:r>
          </w:p>
        </w:tc>
        <w:tc>
          <w:tcPr>
            <w:tcW w:w="1320" w:type="dxa"/>
            <w:tcBorders>
              <w:top w:val="single" w:sz="4" w:space="0" w:color="auto"/>
              <w:left w:val="single" w:sz="4" w:space="0" w:color="auto"/>
              <w:bottom w:val="single" w:sz="4" w:space="0" w:color="auto"/>
              <w:right w:val="single" w:sz="4" w:space="0" w:color="auto"/>
            </w:tcBorders>
            <w:noWrap/>
            <w:vAlign w:val="bottom"/>
          </w:tcPr>
          <w:p w:rsidR="00AE4097" w:rsidRPr="00FF393F" w:rsidRDefault="00AE4097" w:rsidP="00176384">
            <w:pPr>
              <w:jc w:val="center"/>
              <w:rPr>
                <w:b/>
                <w:bCs/>
                <w:szCs w:val="20"/>
                <w:lang w:val="en-US" w:eastAsia="en-US"/>
              </w:rPr>
            </w:pPr>
            <w:r w:rsidRPr="00FF393F">
              <w:rPr>
                <w:b/>
                <w:bCs/>
                <w:sz w:val="22"/>
                <w:szCs w:val="20"/>
                <w:lang w:val="en-US" w:eastAsia="en-US"/>
              </w:rPr>
              <w:t>Average Y20062007</w:t>
            </w:r>
          </w:p>
        </w:tc>
        <w:tc>
          <w:tcPr>
            <w:tcW w:w="1320" w:type="dxa"/>
            <w:tcBorders>
              <w:top w:val="single" w:sz="4" w:space="0" w:color="auto"/>
              <w:left w:val="single" w:sz="4" w:space="0" w:color="auto"/>
              <w:bottom w:val="single" w:sz="4" w:space="0" w:color="auto"/>
              <w:right w:val="single" w:sz="4" w:space="0" w:color="auto"/>
            </w:tcBorders>
            <w:noWrap/>
            <w:vAlign w:val="bottom"/>
          </w:tcPr>
          <w:p w:rsidR="00AE4097" w:rsidRPr="00FF393F" w:rsidRDefault="00AE4097" w:rsidP="00176384">
            <w:pPr>
              <w:jc w:val="center"/>
              <w:rPr>
                <w:b/>
                <w:bCs/>
                <w:szCs w:val="20"/>
                <w:lang w:val="en-US" w:eastAsia="en-US"/>
              </w:rPr>
            </w:pPr>
            <w:r w:rsidRPr="00FF393F">
              <w:rPr>
                <w:b/>
                <w:bCs/>
                <w:sz w:val="22"/>
                <w:szCs w:val="20"/>
                <w:lang w:val="en-US" w:eastAsia="en-US"/>
              </w:rPr>
              <w:t>Average Y20082009</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lang w:val="en-US"/>
              </w:rPr>
            </w:pPr>
            <w:r>
              <w:rPr>
                <w:sz w:val="22"/>
                <w:szCs w:val="20"/>
                <w:lang w:val="en-US"/>
              </w:rPr>
              <w:t>Ahold</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7.578</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20.841</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9.992</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8.702</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14.209455</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9.347155</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pStyle w:val="102"/>
              <w:tabs>
                <w:tab w:val="clear" w:pos="8980"/>
              </w:tabs>
              <w:spacing w:after="0"/>
              <w:rPr>
                <w:sz w:val="22"/>
                <w:szCs w:val="20"/>
                <w:lang w:val="en-US"/>
              </w:rPr>
            </w:pPr>
            <w:r>
              <w:rPr>
                <w:sz w:val="22"/>
                <w:szCs w:val="20"/>
                <w:lang w:val="en-US"/>
              </w:rPr>
              <w:t>Akzo Nobel</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11.424</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62.350</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-4.164</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2.531</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36.88705</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-0.816195</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rPr>
            </w:pPr>
            <w:r>
              <w:rPr>
                <w:sz w:val="22"/>
                <w:szCs w:val="20"/>
              </w:rPr>
              <w:t>ASML</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18.109</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18.852</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9.640</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-2.752</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18.48016</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3.444065</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rPr>
            </w:pPr>
            <w:r>
              <w:rPr>
                <w:sz w:val="22"/>
                <w:szCs w:val="20"/>
              </w:rPr>
              <w:t>BAM Group</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3.233</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6.152</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2.874</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0.905</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4.692575</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1.889855</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rPr>
            </w:pPr>
            <w:r>
              <w:rPr>
                <w:sz w:val="22"/>
                <w:szCs w:val="20"/>
              </w:rPr>
              <w:t>Boskalis</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8.234</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11.131</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10.844</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8.762</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9.68264</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9.802955</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rPr>
            </w:pPr>
            <w:r>
              <w:rPr>
                <w:sz w:val="22"/>
                <w:szCs w:val="20"/>
              </w:rPr>
              <w:t>DSM</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6.358</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5.136</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6.854</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4.668</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5.74687</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5.760715</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rPr>
            </w:pPr>
            <w:r>
              <w:rPr>
                <w:sz w:val="22"/>
                <w:szCs w:val="20"/>
              </w:rPr>
              <w:t>Fugro</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12.609</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15.509</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16.295</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12.316</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14.05923</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14.305125</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rPr>
            </w:pPr>
            <w:r>
              <w:rPr>
                <w:sz w:val="22"/>
                <w:szCs w:val="20"/>
              </w:rPr>
              <w:t>Heineken</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11.236</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7.313</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3.200</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7.574</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9.27446</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5.387075</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lang w:val="en-US"/>
              </w:rPr>
            </w:pPr>
            <w:r>
              <w:rPr>
                <w:sz w:val="22"/>
                <w:szCs w:val="20"/>
                <w:lang w:val="en-US"/>
              </w:rPr>
              <w:t>KPN</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9.842</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14.916</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8.017</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13.110</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12.37911</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10.56341</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lang w:val="en-US"/>
              </w:rPr>
            </w:pPr>
            <w:r>
              <w:rPr>
                <w:sz w:val="22"/>
                <w:szCs w:val="20"/>
                <w:lang w:val="en-US"/>
              </w:rPr>
              <w:t>Philips</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16.312</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12.122</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0.177</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2.126</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14.21664</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1.151675</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lang w:val="en-US"/>
              </w:rPr>
            </w:pPr>
            <w:r>
              <w:rPr>
                <w:sz w:val="22"/>
                <w:szCs w:val="20"/>
                <w:lang w:val="en-US"/>
              </w:rPr>
              <w:t>Randstad</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17.887</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14.981</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2.587</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1.846</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16.43372</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2.2166</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lang w:val="en-US"/>
              </w:rPr>
            </w:pPr>
            <w:r>
              <w:rPr>
                <w:sz w:val="22"/>
                <w:szCs w:val="20"/>
                <w:lang w:val="en-US"/>
              </w:rPr>
              <w:t>Reed Elsevier</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30.062</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47.159</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22.139</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27.324</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38.61088</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24.73116</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lang w:val="en-US"/>
              </w:rPr>
            </w:pPr>
            <w:r>
              <w:rPr>
                <w:sz w:val="22"/>
                <w:szCs w:val="20"/>
                <w:lang w:val="en-US"/>
              </w:rPr>
              <w:t>SBM Offshore</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9.605</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9.360</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6.881</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6.592</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9.4826</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6.736555</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lang w:val="en-US"/>
              </w:rPr>
            </w:pPr>
            <w:r>
              <w:rPr>
                <w:sz w:val="22"/>
                <w:szCs w:val="20"/>
                <w:lang w:val="en-US"/>
              </w:rPr>
              <w:t>Shell</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11.364</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12.816</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9.439</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4.435</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12.08995</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6.936685</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lang w:val="en-US"/>
              </w:rPr>
            </w:pPr>
            <w:r>
              <w:rPr>
                <w:sz w:val="22"/>
                <w:szCs w:val="20"/>
                <w:lang w:val="en-US"/>
              </w:rPr>
              <w:t>TNT NV</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10.967</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17.201</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10.090</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5.294</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14.08382</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7.691935</w:t>
            </w:r>
          </w:p>
        </w:tc>
      </w:tr>
      <w:tr w:rsidR="00AE4097" w:rsidTr="00176384">
        <w:trPr>
          <w:trHeight w:val="255"/>
        </w:trPr>
        <w:tc>
          <w:tcPr>
            <w:tcW w:w="3254" w:type="dxa"/>
            <w:tcBorders>
              <w:top w:val="nil"/>
              <w:left w:val="single" w:sz="4" w:space="0" w:color="auto"/>
              <w:bottom w:val="nil"/>
              <w:right w:val="single" w:sz="4" w:space="0" w:color="auto"/>
            </w:tcBorders>
            <w:noWrap/>
            <w:vAlign w:val="bottom"/>
          </w:tcPr>
          <w:p w:rsidR="00AE4097" w:rsidRDefault="00AE4097" w:rsidP="00176384">
            <w:pPr>
              <w:rPr>
                <w:szCs w:val="20"/>
                <w:lang w:val="en-US"/>
              </w:rPr>
            </w:pPr>
            <w:r>
              <w:rPr>
                <w:sz w:val="22"/>
                <w:szCs w:val="20"/>
                <w:lang w:val="en-US"/>
              </w:rPr>
              <w:t>Tomtom</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32.682</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22.264</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-34.412</w:t>
            </w:r>
          </w:p>
        </w:tc>
        <w:tc>
          <w:tcPr>
            <w:tcW w:w="96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5.336</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27.472945</w:t>
            </w:r>
          </w:p>
        </w:tc>
        <w:tc>
          <w:tcPr>
            <w:tcW w:w="1320" w:type="dxa"/>
            <w:tcBorders>
              <w:top w:val="nil"/>
              <w:left w:val="single" w:sz="4" w:space="0" w:color="auto"/>
              <w:bottom w:val="nil"/>
              <w:right w:val="single" w:sz="4" w:space="0" w:color="auto"/>
            </w:tcBorders>
            <w:noWrap/>
            <w:vAlign w:val="bottom"/>
          </w:tcPr>
          <w:p w:rsidR="00AE4097" w:rsidRDefault="00AE4097" w:rsidP="00176384">
            <w:pPr>
              <w:jc w:val="center"/>
              <w:rPr>
                <w:szCs w:val="20"/>
                <w:lang w:eastAsia="en-US"/>
              </w:rPr>
            </w:pPr>
            <w:r>
              <w:rPr>
                <w:sz w:val="22"/>
                <w:szCs w:val="20"/>
                <w:lang w:eastAsia="en-US"/>
              </w:rPr>
              <w:t>-14.53784</w:t>
            </w:r>
          </w:p>
        </w:tc>
      </w:tr>
      <w:tr w:rsidR="00AE4097" w:rsidTr="00176384">
        <w:trPr>
          <w:trHeight w:val="255"/>
        </w:trPr>
        <w:tc>
          <w:tcPr>
            <w:tcW w:w="3254" w:type="dxa"/>
            <w:tcBorders>
              <w:top w:val="nil"/>
              <w:left w:val="single" w:sz="4" w:space="0" w:color="auto"/>
              <w:right w:val="single" w:sz="4" w:space="0" w:color="auto"/>
            </w:tcBorders>
            <w:noWrap/>
            <w:vAlign w:val="bottom"/>
          </w:tcPr>
          <w:p w:rsidR="00AE4097" w:rsidRDefault="00AE4097" w:rsidP="00176384">
            <w:pPr>
              <w:rPr>
                <w:szCs w:val="20"/>
              </w:rPr>
            </w:pPr>
            <w:r>
              <w:rPr>
                <w:sz w:val="22"/>
                <w:szCs w:val="20"/>
              </w:rPr>
              <w:t xml:space="preserve">Unilever </w:t>
            </w:r>
          </w:p>
        </w:tc>
        <w:tc>
          <w:tcPr>
            <w:tcW w:w="960" w:type="dxa"/>
            <w:tcBorders>
              <w:top w:val="nil"/>
              <w:left w:val="single" w:sz="4" w:space="0" w:color="auto"/>
              <w:right w:val="single" w:sz="4" w:space="0" w:color="auto"/>
            </w:tcBorders>
            <w:noWrap/>
            <w:vAlign w:val="bottom"/>
          </w:tcPr>
          <w:p w:rsidR="00AE4097" w:rsidRDefault="00AE4097" w:rsidP="00176384">
            <w:pPr>
              <w:jc w:val="center"/>
              <w:rPr>
                <w:szCs w:val="20"/>
                <w:lang w:eastAsia="en-US"/>
              </w:rPr>
            </w:pPr>
            <w:r>
              <w:rPr>
                <w:sz w:val="22"/>
                <w:szCs w:val="20"/>
                <w:lang w:eastAsia="en-US"/>
              </w:rPr>
              <w:t>13.929</w:t>
            </w:r>
          </w:p>
        </w:tc>
        <w:tc>
          <w:tcPr>
            <w:tcW w:w="960" w:type="dxa"/>
            <w:tcBorders>
              <w:top w:val="nil"/>
              <w:left w:val="single" w:sz="4" w:space="0" w:color="auto"/>
              <w:right w:val="single" w:sz="4" w:space="0" w:color="auto"/>
            </w:tcBorders>
            <w:noWrap/>
            <w:vAlign w:val="bottom"/>
          </w:tcPr>
          <w:p w:rsidR="00AE4097" w:rsidRDefault="00AE4097" w:rsidP="00176384">
            <w:pPr>
              <w:jc w:val="center"/>
              <w:rPr>
                <w:szCs w:val="20"/>
                <w:lang w:eastAsia="en-US"/>
              </w:rPr>
            </w:pPr>
            <w:r>
              <w:rPr>
                <w:sz w:val="22"/>
                <w:szCs w:val="20"/>
                <w:lang w:eastAsia="en-US"/>
              </w:rPr>
              <w:t>11.782</w:t>
            </w:r>
          </w:p>
        </w:tc>
        <w:tc>
          <w:tcPr>
            <w:tcW w:w="960" w:type="dxa"/>
            <w:tcBorders>
              <w:top w:val="nil"/>
              <w:left w:val="single" w:sz="4" w:space="0" w:color="auto"/>
              <w:right w:val="single" w:sz="4" w:space="0" w:color="auto"/>
            </w:tcBorders>
            <w:noWrap/>
            <w:vAlign w:val="bottom"/>
          </w:tcPr>
          <w:p w:rsidR="00AE4097" w:rsidRDefault="00AE4097" w:rsidP="00176384">
            <w:pPr>
              <w:jc w:val="center"/>
              <w:rPr>
                <w:szCs w:val="20"/>
                <w:lang w:eastAsia="en-US"/>
              </w:rPr>
            </w:pPr>
            <w:r>
              <w:rPr>
                <w:sz w:val="22"/>
                <w:szCs w:val="20"/>
                <w:lang w:eastAsia="en-US"/>
              </w:rPr>
              <w:t>14.964</w:t>
            </w:r>
          </w:p>
        </w:tc>
        <w:tc>
          <w:tcPr>
            <w:tcW w:w="960" w:type="dxa"/>
            <w:tcBorders>
              <w:top w:val="nil"/>
              <w:left w:val="single" w:sz="4" w:space="0" w:color="auto"/>
              <w:right w:val="single" w:sz="4" w:space="0" w:color="auto"/>
            </w:tcBorders>
            <w:noWrap/>
            <w:vAlign w:val="bottom"/>
          </w:tcPr>
          <w:p w:rsidR="00AE4097" w:rsidRDefault="00AE4097" w:rsidP="00176384">
            <w:pPr>
              <w:jc w:val="center"/>
              <w:rPr>
                <w:szCs w:val="20"/>
                <w:lang w:eastAsia="en-US"/>
              </w:rPr>
            </w:pPr>
            <w:r>
              <w:rPr>
                <w:sz w:val="22"/>
                <w:szCs w:val="20"/>
                <w:lang w:eastAsia="en-US"/>
              </w:rPr>
              <w:t>10.355</w:t>
            </w:r>
          </w:p>
        </w:tc>
        <w:tc>
          <w:tcPr>
            <w:tcW w:w="1320" w:type="dxa"/>
            <w:tcBorders>
              <w:top w:val="nil"/>
              <w:left w:val="single" w:sz="4" w:space="0" w:color="auto"/>
              <w:right w:val="single" w:sz="4" w:space="0" w:color="auto"/>
            </w:tcBorders>
            <w:noWrap/>
            <w:vAlign w:val="bottom"/>
          </w:tcPr>
          <w:p w:rsidR="00AE4097" w:rsidRDefault="00AE4097" w:rsidP="00176384">
            <w:pPr>
              <w:jc w:val="center"/>
              <w:rPr>
                <w:szCs w:val="20"/>
                <w:lang w:eastAsia="en-US"/>
              </w:rPr>
            </w:pPr>
            <w:r>
              <w:rPr>
                <w:sz w:val="22"/>
                <w:szCs w:val="20"/>
                <w:lang w:eastAsia="en-US"/>
              </w:rPr>
              <w:t>12.85563</w:t>
            </w:r>
          </w:p>
        </w:tc>
        <w:tc>
          <w:tcPr>
            <w:tcW w:w="1320" w:type="dxa"/>
            <w:tcBorders>
              <w:top w:val="nil"/>
              <w:left w:val="single" w:sz="4" w:space="0" w:color="auto"/>
              <w:right w:val="single" w:sz="4" w:space="0" w:color="auto"/>
            </w:tcBorders>
            <w:noWrap/>
            <w:vAlign w:val="bottom"/>
          </w:tcPr>
          <w:p w:rsidR="00AE4097" w:rsidRDefault="00AE4097" w:rsidP="00176384">
            <w:pPr>
              <w:jc w:val="center"/>
              <w:rPr>
                <w:szCs w:val="20"/>
                <w:lang w:eastAsia="en-US"/>
              </w:rPr>
            </w:pPr>
            <w:r>
              <w:rPr>
                <w:sz w:val="22"/>
                <w:szCs w:val="20"/>
                <w:lang w:eastAsia="en-US"/>
              </w:rPr>
              <w:t>12.659615</w:t>
            </w:r>
          </w:p>
        </w:tc>
      </w:tr>
      <w:tr w:rsidR="00AE4097" w:rsidTr="00176384">
        <w:trPr>
          <w:trHeight w:val="255"/>
        </w:trPr>
        <w:tc>
          <w:tcPr>
            <w:tcW w:w="3254" w:type="dxa"/>
            <w:tcBorders>
              <w:top w:val="nil"/>
              <w:left w:val="single" w:sz="4" w:space="0" w:color="auto"/>
              <w:bottom w:val="single" w:sz="4" w:space="0" w:color="auto"/>
              <w:right w:val="single" w:sz="4" w:space="0" w:color="auto"/>
            </w:tcBorders>
            <w:noWrap/>
            <w:vAlign w:val="bottom"/>
          </w:tcPr>
          <w:p w:rsidR="00AE4097" w:rsidRDefault="00AE4097" w:rsidP="00176384">
            <w:pPr>
              <w:rPr>
                <w:szCs w:val="20"/>
              </w:rPr>
            </w:pPr>
            <w:r>
              <w:rPr>
                <w:sz w:val="22"/>
                <w:szCs w:val="20"/>
              </w:rPr>
              <w:t>Wolters Kluwer</w:t>
            </w:r>
          </w:p>
        </w:tc>
        <w:tc>
          <w:tcPr>
            <w:tcW w:w="96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7.516</w:t>
            </w:r>
          </w:p>
        </w:tc>
        <w:tc>
          <w:tcPr>
            <w:tcW w:w="96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18.522</w:t>
            </w:r>
          </w:p>
        </w:tc>
        <w:tc>
          <w:tcPr>
            <w:tcW w:w="96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7.038</w:t>
            </w:r>
          </w:p>
        </w:tc>
        <w:tc>
          <w:tcPr>
            <w:tcW w:w="96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3.804</w:t>
            </w:r>
          </w:p>
        </w:tc>
        <w:tc>
          <w:tcPr>
            <w:tcW w:w="132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13.01883</w:t>
            </w:r>
          </w:p>
        </w:tc>
        <w:tc>
          <w:tcPr>
            <w:tcW w:w="1320" w:type="dxa"/>
            <w:tcBorders>
              <w:top w:val="nil"/>
              <w:left w:val="single" w:sz="4" w:space="0" w:color="auto"/>
              <w:bottom w:val="single" w:sz="4" w:space="0" w:color="auto"/>
              <w:right w:val="single" w:sz="4" w:space="0" w:color="auto"/>
            </w:tcBorders>
            <w:noWrap/>
            <w:vAlign w:val="bottom"/>
          </w:tcPr>
          <w:p w:rsidR="00AE4097" w:rsidRDefault="00AE4097" w:rsidP="00176384">
            <w:pPr>
              <w:jc w:val="center"/>
              <w:rPr>
                <w:szCs w:val="20"/>
                <w:lang w:val="en-US" w:eastAsia="en-US"/>
              </w:rPr>
            </w:pPr>
            <w:r>
              <w:rPr>
                <w:sz w:val="22"/>
                <w:szCs w:val="20"/>
                <w:lang w:val="en-US" w:eastAsia="en-US"/>
              </w:rPr>
              <w:t>5.42095</w:t>
            </w:r>
          </w:p>
        </w:tc>
      </w:tr>
    </w:tbl>
    <w:p w:rsidR="00AE4097" w:rsidRDefault="00AE4097" w:rsidP="00AE4097">
      <w:pPr>
        <w:jc w:val="both"/>
        <w:rPr>
          <w:sz w:val="20"/>
          <w:szCs w:val="20"/>
          <w:lang w:val="en-US"/>
        </w:rPr>
      </w:pPr>
      <w:r>
        <w:rPr>
          <w:sz w:val="20"/>
          <w:szCs w:val="20"/>
          <w:lang w:val="en-US"/>
        </w:rPr>
        <w:t>Source: ThomsonOneBanker</w:t>
      </w:r>
    </w:p>
    <w:p w:rsidR="00AE4097" w:rsidRDefault="00AE4097" w:rsidP="00AE4097">
      <w:pPr>
        <w:spacing w:after="200" w:line="276" w:lineRule="auto"/>
        <w:rPr>
          <w:i/>
          <w:iCs/>
          <w:sz w:val="22"/>
          <w:szCs w:val="20"/>
          <w:lang w:val="en-US"/>
        </w:rPr>
      </w:pPr>
    </w:p>
    <w:p w:rsidR="00AE4097" w:rsidRDefault="00AE4097" w:rsidP="00AE4097">
      <w:pPr>
        <w:spacing w:after="200" w:line="276" w:lineRule="auto"/>
        <w:rPr>
          <w:i/>
          <w:iCs/>
          <w:sz w:val="22"/>
          <w:szCs w:val="20"/>
          <w:lang w:val="en-US"/>
        </w:rPr>
      </w:pPr>
    </w:p>
    <w:p w:rsidR="00AE4097" w:rsidRDefault="00AE4097" w:rsidP="008C2ED0">
      <w:pPr>
        <w:pStyle w:val="034"/>
        <w:numPr>
          <w:ilvl w:val="0"/>
          <w:numId w:val="11"/>
        </w:numPr>
        <w:spacing w:after="200" w:line="276" w:lineRule="auto"/>
        <w:ind w:left="0" w:firstLine="0"/>
        <w:rPr>
          <w:b w:val="0"/>
          <w:i/>
          <w:caps w:val="0"/>
          <w:sz w:val="22"/>
          <w:u w:val="single"/>
          <w:lang w:val="en-US" w:eastAsia="en-US"/>
        </w:rPr>
      </w:pPr>
      <w:r>
        <w:rPr>
          <w:b w:val="0"/>
          <w:i/>
          <w:caps w:val="0"/>
          <w:sz w:val="22"/>
          <w:u w:val="single"/>
          <w:lang w:val="en-US" w:eastAsia="en-US"/>
        </w:rPr>
        <w:lastRenderedPageBreak/>
        <w:t xml:space="preserve">Debt/equity ratio (x 1 million): </w:t>
      </w:r>
    </w:p>
    <w:tbl>
      <w:tblPr>
        <w:tblW w:w="9740" w:type="dxa"/>
        <w:tblCellMar>
          <w:left w:w="0" w:type="dxa"/>
          <w:right w:w="0" w:type="dxa"/>
        </w:tblCellMar>
        <w:tblLook w:val="0000"/>
      </w:tblPr>
      <w:tblGrid>
        <w:gridCol w:w="3220"/>
        <w:gridCol w:w="1080"/>
        <w:gridCol w:w="1060"/>
        <w:gridCol w:w="1040"/>
        <w:gridCol w:w="1060"/>
        <w:gridCol w:w="1120"/>
        <w:gridCol w:w="1160"/>
      </w:tblGrid>
      <w:tr w:rsidR="00AE4097" w:rsidTr="00176384">
        <w:trPr>
          <w:trHeight w:val="255"/>
        </w:trPr>
        <w:tc>
          <w:tcPr>
            <w:tcW w:w="3220" w:type="dxa"/>
            <w:tcBorders>
              <w:top w:val="single" w:sz="4" w:space="0" w:color="auto"/>
              <w:left w:val="single" w:sz="4" w:space="0" w:color="auto"/>
              <w:bottom w:val="single" w:sz="4" w:space="0" w:color="auto"/>
              <w:right w:val="single" w:sz="4" w:space="0" w:color="auto"/>
            </w:tcBorders>
            <w:noWrap/>
            <w:tcMar>
              <w:top w:w="14" w:type="dxa"/>
              <w:left w:w="14" w:type="dxa"/>
              <w:bottom w:w="0" w:type="dxa"/>
              <w:right w:w="14" w:type="dxa"/>
            </w:tcMar>
            <w:vAlign w:val="bottom"/>
          </w:tcPr>
          <w:p w:rsidR="00AE4097" w:rsidRPr="00FF393F" w:rsidRDefault="00AE4097" w:rsidP="00176384">
            <w:pPr>
              <w:rPr>
                <w:b/>
                <w:bCs/>
                <w:szCs w:val="20"/>
                <w:lang w:val="en-US"/>
              </w:rPr>
            </w:pPr>
            <w:r w:rsidRPr="00FF393F">
              <w:rPr>
                <w:b/>
                <w:bCs/>
                <w:sz w:val="22"/>
                <w:szCs w:val="20"/>
                <w:lang w:val="en-US"/>
              </w:rPr>
              <w:t>Company</w:t>
            </w:r>
          </w:p>
        </w:tc>
        <w:tc>
          <w:tcPr>
            <w:tcW w:w="1080" w:type="dxa"/>
            <w:tcBorders>
              <w:top w:val="single" w:sz="4" w:space="0" w:color="auto"/>
              <w:left w:val="nil"/>
              <w:bottom w:val="single" w:sz="4" w:space="0" w:color="auto"/>
              <w:right w:val="single" w:sz="4" w:space="0" w:color="auto"/>
            </w:tcBorders>
            <w:noWrap/>
            <w:tcMar>
              <w:top w:w="14" w:type="dxa"/>
              <w:left w:w="14" w:type="dxa"/>
              <w:bottom w:w="0" w:type="dxa"/>
              <w:right w:w="14" w:type="dxa"/>
            </w:tcMar>
            <w:vAlign w:val="bottom"/>
          </w:tcPr>
          <w:p w:rsidR="00AE4097" w:rsidRPr="00FF393F" w:rsidRDefault="00AE4097" w:rsidP="00176384">
            <w:pPr>
              <w:jc w:val="center"/>
              <w:rPr>
                <w:b/>
                <w:bCs/>
                <w:szCs w:val="20"/>
                <w:lang w:val="en-US"/>
              </w:rPr>
            </w:pPr>
            <w:r w:rsidRPr="00FF393F">
              <w:rPr>
                <w:b/>
                <w:bCs/>
                <w:sz w:val="22"/>
                <w:szCs w:val="20"/>
                <w:lang w:val="en-US"/>
              </w:rPr>
              <w:t>Y2006</w:t>
            </w:r>
          </w:p>
        </w:tc>
        <w:tc>
          <w:tcPr>
            <w:tcW w:w="1060" w:type="dxa"/>
            <w:tcBorders>
              <w:top w:val="single" w:sz="4" w:space="0" w:color="auto"/>
              <w:left w:val="nil"/>
              <w:bottom w:val="single" w:sz="4" w:space="0" w:color="auto"/>
              <w:right w:val="single" w:sz="4" w:space="0" w:color="auto"/>
            </w:tcBorders>
            <w:noWrap/>
            <w:tcMar>
              <w:top w:w="14" w:type="dxa"/>
              <w:left w:w="14" w:type="dxa"/>
              <w:bottom w:w="0" w:type="dxa"/>
              <w:right w:w="14" w:type="dxa"/>
            </w:tcMar>
            <w:vAlign w:val="bottom"/>
          </w:tcPr>
          <w:p w:rsidR="00AE4097" w:rsidRPr="00FF393F" w:rsidRDefault="00AE4097" w:rsidP="00176384">
            <w:pPr>
              <w:jc w:val="center"/>
              <w:rPr>
                <w:b/>
                <w:bCs/>
                <w:szCs w:val="20"/>
                <w:lang w:val="en-US"/>
              </w:rPr>
            </w:pPr>
            <w:r w:rsidRPr="00FF393F">
              <w:rPr>
                <w:b/>
                <w:bCs/>
                <w:sz w:val="22"/>
                <w:szCs w:val="20"/>
                <w:lang w:val="en-US"/>
              </w:rPr>
              <w:t>Y2007</w:t>
            </w:r>
          </w:p>
        </w:tc>
        <w:tc>
          <w:tcPr>
            <w:tcW w:w="1040" w:type="dxa"/>
            <w:tcBorders>
              <w:top w:val="single" w:sz="4" w:space="0" w:color="auto"/>
              <w:left w:val="nil"/>
              <w:bottom w:val="single" w:sz="4" w:space="0" w:color="auto"/>
              <w:right w:val="single" w:sz="4" w:space="0" w:color="auto"/>
            </w:tcBorders>
            <w:noWrap/>
            <w:tcMar>
              <w:top w:w="14" w:type="dxa"/>
              <w:left w:w="14" w:type="dxa"/>
              <w:bottom w:w="0" w:type="dxa"/>
              <w:right w:w="14" w:type="dxa"/>
            </w:tcMar>
            <w:vAlign w:val="bottom"/>
          </w:tcPr>
          <w:p w:rsidR="00AE4097" w:rsidRPr="00FF393F" w:rsidRDefault="00AE4097" w:rsidP="00176384">
            <w:pPr>
              <w:jc w:val="center"/>
              <w:rPr>
                <w:b/>
                <w:bCs/>
                <w:szCs w:val="20"/>
                <w:lang w:val="en-US"/>
              </w:rPr>
            </w:pPr>
            <w:r w:rsidRPr="00FF393F">
              <w:rPr>
                <w:b/>
                <w:bCs/>
                <w:sz w:val="22"/>
                <w:szCs w:val="20"/>
                <w:lang w:val="en-US"/>
              </w:rPr>
              <w:t>Y2008</w:t>
            </w:r>
          </w:p>
        </w:tc>
        <w:tc>
          <w:tcPr>
            <w:tcW w:w="1060" w:type="dxa"/>
            <w:tcBorders>
              <w:top w:val="single" w:sz="4" w:space="0" w:color="auto"/>
              <w:left w:val="nil"/>
              <w:bottom w:val="single" w:sz="4" w:space="0" w:color="auto"/>
              <w:right w:val="single" w:sz="4" w:space="0" w:color="auto"/>
            </w:tcBorders>
            <w:noWrap/>
            <w:tcMar>
              <w:top w:w="14" w:type="dxa"/>
              <w:left w:w="14" w:type="dxa"/>
              <w:bottom w:w="0" w:type="dxa"/>
              <w:right w:w="14" w:type="dxa"/>
            </w:tcMar>
            <w:vAlign w:val="bottom"/>
          </w:tcPr>
          <w:p w:rsidR="00AE4097" w:rsidRPr="00FF393F" w:rsidRDefault="00AE4097" w:rsidP="00176384">
            <w:pPr>
              <w:jc w:val="center"/>
              <w:rPr>
                <w:b/>
                <w:bCs/>
                <w:szCs w:val="20"/>
                <w:lang w:val="en-US"/>
              </w:rPr>
            </w:pPr>
            <w:r w:rsidRPr="00FF393F">
              <w:rPr>
                <w:b/>
                <w:bCs/>
                <w:sz w:val="22"/>
                <w:szCs w:val="20"/>
                <w:lang w:val="en-US"/>
              </w:rPr>
              <w:t>Y2009</w:t>
            </w:r>
          </w:p>
        </w:tc>
        <w:tc>
          <w:tcPr>
            <w:tcW w:w="1120" w:type="dxa"/>
            <w:tcBorders>
              <w:top w:val="single" w:sz="4" w:space="0" w:color="auto"/>
              <w:left w:val="nil"/>
              <w:bottom w:val="single" w:sz="4" w:space="0" w:color="auto"/>
              <w:right w:val="single" w:sz="4" w:space="0" w:color="auto"/>
            </w:tcBorders>
            <w:noWrap/>
            <w:tcMar>
              <w:top w:w="14" w:type="dxa"/>
              <w:left w:w="14" w:type="dxa"/>
              <w:bottom w:w="0" w:type="dxa"/>
              <w:right w:w="14" w:type="dxa"/>
            </w:tcMar>
            <w:vAlign w:val="bottom"/>
          </w:tcPr>
          <w:p w:rsidR="00AE4097" w:rsidRPr="00FF393F" w:rsidRDefault="00AE4097" w:rsidP="00176384">
            <w:pPr>
              <w:jc w:val="center"/>
              <w:rPr>
                <w:b/>
                <w:bCs/>
                <w:szCs w:val="20"/>
                <w:lang w:val="en-US"/>
              </w:rPr>
            </w:pPr>
            <w:r w:rsidRPr="00FF393F">
              <w:rPr>
                <w:b/>
                <w:bCs/>
                <w:sz w:val="22"/>
                <w:szCs w:val="20"/>
                <w:lang w:val="en-US"/>
              </w:rPr>
              <w:t>Average Y20062007</w:t>
            </w:r>
          </w:p>
        </w:tc>
        <w:tc>
          <w:tcPr>
            <w:tcW w:w="1160" w:type="dxa"/>
            <w:tcBorders>
              <w:top w:val="single" w:sz="4" w:space="0" w:color="auto"/>
              <w:left w:val="nil"/>
              <w:bottom w:val="single" w:sz="4" w:space="0" w:color="auto"/>
              <w:right w:val="single" w:sz="4" w:space="0" w:color="auto"/>
            </w:tcBorders>
            <w:noWrap/>
            <w:tcMar>
              <w:top w:w="14" w:type="dxa"/>
              <w:left w:w="14" w:type="dxa"/>
              <w:bottom w:w="0" w:type="dxa"/>
              <w:right w:w="14" w:type="dxa"/>
            </w:tcMar>
            <w:vAlign w:val="bottom"/>
          </w:tcPr>
          <w:p w:rsidR="00AE4097" w:rsidRPr="00FF393F" w:rsidRDefault="00AE4097" w:rsidP="00176384">
            <w:pPr>
              <w:jc w:val="center"/>
              <w:rPr>
                <w:b/>
                <w:bCs/>
                <w:szCs w:val="20"/>
                <w:lang w:val="en-US"/>
              </w:rPr>
            </w:pPr>
            <w:r w:rsidRPr="00FF393F">
              <w:rPr>
                <w:b/>
                <w:bCs/>
                <w:sz w:val="22"/>
                <w:szCs w:val="20"/>
                <w:lang w:val="en-US"/>
              </w:rPr>
              <w:t>Average Y20082009</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lang w:val="en-US"/>
              </w:rPr>
            </w:pPr>
            <w:r>
              <w:rPr>
                <w:sz w:val="22"/>
                <w:szCs w:val="20"/>
                <w:lang w:val="en-US"/>
              </w:rPr>
              <w:t>Ahold</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1,1894632</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1,2813648</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0,8006843</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0,5887868</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1,235414</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0,69473555</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pStyle w:val="102"/>
              <w:tabs>
                <w:tab w:val="clear" w:pos="8980"/>
              </w:tabs>
              <w:spacing w:after="0"/>
              <w:rPr>
                <w:sz w:val="22"/>
                <w:szCs w:val="20"/>
                <w:lang w:val="en-US"/>
              </w:rPr>
            </w:pPr>
            <w:r>
              <w:rPr>
                <w:sz w:val="22"/>
                <w:szCs w:val="20"/>
                <w:lang w:val="en-US"/>
              </w:rPr>
              <w:t>Akzo Nobel</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0,714527</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0,3253263</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0,4929653</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0,4980064</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0,51992665</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0,49548585</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rPr>
            </w:pPr>
            <w:r>
              <w:rPr>
                <w:sz w:val="22"/>
                <w:szCs w:val="20"/>
              </w:rPr>
              <w:t>ASML</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0,180314</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0,3162176</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0,325352</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0,3736274</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0,2482658</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0,3494897</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rPr>
            </w:pPr>
            <w:r>
              <w:rPr>
                <w:sz w:val="22"/>
                <w:szCs w:val="20"/>
              </w:rPr>
              <w:t>BAM Group</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2,6698282</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2,1898956</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2,5118327</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2,4060793</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2,4298619</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2,458956</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rPr>
            </w:pPr>
            <w:r>
              <w:rPr>
                <w:sz w:val="22"/>
                <w:szCs w:val="20"/>
              </w:rPr>
              <w:t>Boskalis</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0,1154168</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0,1133793</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0,3710654</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0,0628431</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0,11439805</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0,21695425</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rPr>
            </w:pPr>
            <w:r>
              <w:rPr>
                <w:sz w:val="22"/>
                <w:szCs w:val="20"/>
              </w:rPr>
              <w:t>DSM</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0,2647779</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0,3340961</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0,5020801</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0,4513619</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0,299437</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0,476721</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rPr>
            </w:pPr>
            <w:r>
              <w:rPr>
                <w:sz w:val="22"/>
                <w:szCs w:val="20"/>
              </w:rPr>
              <w:t>Fugro</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0,785691</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0,7640977</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0,6629831</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0,5343979</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0,77489435</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0,5986905</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rPr>
            </w:pPr>
            <w:r>
              <w:rPr>
                <w:sz w:val="22"/>
                <w:szCs w:val="20"/>
              </w:rPr>
              <w:t>Heineken</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0,6586145</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0,4914878</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2,2484903</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1,5397122</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0,57505115</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1,89410125</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lang w:val="en-US"/>
              </w:rPr>
            </w:pPr>
            <w:r>
              <w:rPr>
                <w:sz w:val="22"/>
                <w:szCs w:val="20"/>
                <w:lang w:val="en-US"/>
              </w:rPr>
              <w:t>KPN</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2,161621</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2,6180401</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3,2281501</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3,4838458</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2,38983055</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3,35599795</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lang w:val="en-US"/>
              </w:rPr>
            </w:pPr>
            <w:r>
              <w:rPr>
                <w:sz w:val="22"/>
                <w:szCs w:val="20"/>
                <w:lang w:val="en-US"/>
              </w:rPr>
              <w:t>Philips</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0,1682394</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0,164038</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0,2559872</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0,2923604</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0,1661387</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0,2741738</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lang w:val="en-US"/>
              </w:rPr>
            </w:pPr>
            <w:r>
              <w:rPr>
                <w:sz w:val="22"/>
                <w:szCs w:val="20"/>
                <w:lang w:val="en-US"/>
              </w:rPr>
              <w:t>Randstad</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0,1217259</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0,51713</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1,0981298</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0,5525546</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0,31942795</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0,8253422</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lang w:val="en-US"/>
              </w:rPr>
            </w:pPr>
            <w:r>
              <w:rPr>
                <w:sz w:val="22"/>
                <w:szCs w:val="20"/>
                <w:lang w:val="en-US"/>
              </w:rPr>
              <w:t>Reed Elsevier</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lang w:val="en-US"/>
              </w:rPr>
            </w:pPr>
            <w:r>
              <w:rPr>
                <w:sz w:val="22"/>
                <w:szCs w:val="20"/>
                <w:lang w:val="en-US"/>
              </w:rPr>
              <w:t>SBM Offshore</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0,8332287</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0,8664624</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1,3721961</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0,8798713</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0,84984555</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1,1260337</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lang w:val="en-US"/>
              </w:rPr>
            </w:pPr>
            <w:r>
              <w:rPr>
                <w:sz w:val="22"/>
                <w:szCs w:val="20"/>
                <w:lang w:val="en-US"/>
              </w:rPr>
              <w:t>Shell</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0,1491875</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0,1460068</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0,1828102</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0,2567818</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0,14759715</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0,219796</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lang w:val="en-US"/>
              </w:rPr>
            </w:pPr>
            <w:r>
              <w:rPr>
                <w:sz w:val="22"/>
                <w:szCs w:val="20"/>
                <w:lang w:val="en-US"/>
              </w:rPr>
              <w:t>TNT NV</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0,7897126</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1,0797514</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1,2931333</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0,9786408</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0,934732</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1,13588705</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lang w:val="en-US"/>
              </w:rPr>
            </w:pPr>
            <w:r>
              <w:rPr>
                <w:sz w:val="22"/>
                <w:szCs w:val="20"/>
                <w:lang w:val="en-US"/>
              </w:rPr>
              <w:t>Tomtom</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2,7310453</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0,7797992</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1,75542225</w:t>
            </w:r>
          </w:p>
        </w:tc>
      </w:tr>
      <w:tr w:rsidR="00AE4097" w:rsidTr="00176384">
        <w:trPr>
          <w:trHeight w:val="255"/>
        </w:trPr>
        <w:tc>
          <w:tcPr>
            <w:tcW w:w="0" w:type="auto"/>
            <w:tcBorders>
              <w:top w:val="nil"/>
              <w:left w:val="single" w:sz="4" w:space="0" w:color="auto"/>
              <w:bottom w:val="nil"/>
              <w:right w:val="single" w:sz="4" w:space="0" w:color="auto"/>
            </w:tcBorders>
            <w:noWrap/>
            <w:tcMar>
              <w:top w:w="14" w:type="dxa"/>
              <w:left w:w="14" w:type="dxa"/>
              <w:bottom w:w="0" w:type="dxa"/>
              <w:right w:w="14" w:type="dxa"/>
            </w:tcMar>
            <w:vAlign w:val="bottom"/>
          </w:tcPr>
          <w:p w:rsidR="00AE4097" w:rsidRDefault="00AE4097" w:rsidP="00176384">
            <w:pPr>
              <w:rPr>
                <w:szCs w:val="20"/>
              </w:rPr>
            </w:pPr>
            <w:r>
              <w:rPr>
                <w:sz w:val="22"/>
                <w:szCs w:val="20"/>
              </w:rPr>
              <w:t xml:space="preserve">Unilever </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0,7715049</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0,7689513</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1,1138922</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0,815085</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0,7702281</w:t>
            </w:r>
          </w:p>
        </w:tc>
        <w:tc>
          <w:tcPr>
            <w:tcW w:w="0" w:type="auto"/>
            <w:tcBorders>
              <w:top w:val="nil"/>
              <w:left w:val="nil"/>
              <w:bottom w:val="nil"/>
              <w:right w:val="single" w:sz="4" w:space="0" w:color="auto"/>
            </w:tcBorders>
            <w:noWrap/>
            <w:tcMar>
              <w:top w:w="14" w:type="dxa"/>
              <w:left w:w="14" w:type="dxa"/>
              <w:bottom w:w="0" w:type="dxa"/>
              <w:right w:w="14" w:type="dxa"/>
            </w:tcMar>
            <w:vAlign w:val="bottom"/>
          </w:tcPr>
          <w:p w:rsidR="00AE4097" w:rsidRDefault="00AE4097" w:rsidP="00176384">
            <w:pPr>
              <w:jc w:val="center"/>
              <w:rPr>
                <w:szCs w:val="20"/>
              </w:rPr>
            </w:pPr>
            <w:r>
              <w:rPr>
                <w:sz w:val="22"/>
                <w:szCs w:val="20"/>
              </w:rPr>
              <w:t>0,9644886</w:t>
            </w:r>
          </w:p>
        </w:tc>
      </w:tr>
      <w:tr w:rsidR="00AE4097" w:rsidTr="00176384">
        <w:trPr>
          <w:trHeight w:val="89"/>
        </w:trPr>
        <w:tc>
          <w:tcPr>
            <w:tcW w:w="0" w:type="auto"/>
            <w:tcBorders>
              <w:top w:val="nil"/>
              <w:left w:val="single" w:sz="4" w:space="0" w:color="auto"/>
              <w:bottom w:val="single" w:sz="4" w:space="0" w:color="auto"/>
              <w:right w:val="single" w:sz="4" w:space="0" w:color="auto"/>
            </w:tcBorders>
            <w:noWrap/>
            <w:tcMar>
              <w:top w:w="14" w:type="dxa"/>
              <w:left w:w="14" w:type="dxa"/>
              <w:bottom w:w="0" w:type="dxa"/>
              <w:right w:w="14" w:type="dxa"/>
            </w:tcMar>
            <w:vAlign w:val="bottom"/>
          </w:tcPr>
          <w:p w:rsidR="00AE4097" w:rsidRDefault="00AE4097" w:rsidP="00176384">
            <w:pPr>
              <w:rPr>
                <w:szCs w:val="20"/>
              </w:rPr>
            </w:pPr>
            <w:r>
              <w:rPr>
                <w:sz w:val="22"/>
                <w:szCs w:val="20"/>
              </w:rPr>
              <w:t>Wolters Kluwer</w:t>
            </w:r>
          </w:p>
        </w:tc>
        <w:tc>
          <w:tcPr>
            <w:tcW w:w="0" w:type="auto"/>
            <w:tcBorders>
              <w:top w:val="nil"/>
              <w:left w:val="nil"/>
              <w:bottom w:val="single" w:sz="4" w:space="0" w:color="auto"/>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1,821608</w:t>
            </w:r>
          </w:p>
        </w:tc>
        <w:tc>
          <w:tcPr>
            <w:tcW w:w="0" w:type="auto"/>
            <w:tcBorders>
              <w:top w:val="nil"/>
              <w:left w:val="nil"/>
              <w:bottom w:val="single" w:sz="4" w:space="0" w:color="auto"/>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1,6587436</w:t>
            </w:r>
          </w:p>
        </w:tc>
        <w:tc>
          <w:tcPr>
            <w:tcW w:w="0" w:type="auto"/>
            <w:tcBorders>
              <w:top w:val="nil"/>
              <w:left w:val="nil"/>
              <w:bottom w:val="single" w:sz="4" w:space="0" w:color="auto"/>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1,8366337</w:t>
            </w:r>
          </w:p>
        </w:tc>
        <w:tc>
          <w:tcPr>
            <w:tcW w:w="0" w:type="auto"/>
            <w:tcBorders>
              <w:top w:val="nil"/>
              <w:left w:val="nil"/>
              <w:bottom w:val="single" w:sz="4" w:space="0" w:color="auto"/>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1,8148426</w:t>
            </w:r>
          </w:p>
        </w:tc>
        <w:tc>
          <w:tcPr>
            <w:tcW w:w="0" w:type="auto"/>
            <w:tcBorders>
              <w:top w:val="nil"/>
              <w:left w:val="nil"/>
              <w:bottom w:val="single" w:sz="4" w:space="0" w:color="auto"/>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1,7401758</w:t>
            </w:r>
          </w:p>
        </w:tc>
        <w:tc>
          <w:tcPr>
            <w:tcW w:w="0" w:type="auto"/>
            <w:tcBorders>
              <w:top w:val="nil"/>
              <w:left w:val="nil"/>
              <w:bottom w:val="single" w:sz="4" w:space="0" w:color="auto"/>
              <w:right w:val="single" w:sz="4" w:space="0" w:color="auto"/>
            </w:tcBorders>
            <w:noWrap/>
            <w:tcMar>
              <w:top w:w="14" w:type="dxa"/>
              <w:left w:w="14" w:type="dxa"/>
              <w:bottom w:w="0" w:type="dxa"/>
              <w:right w:w="14" w:type="dxa"/>
            </w:tcMar>
            <w:vAlign w:val="bottom"/>
          </w:tcPr>
          <w:p w:rsidR="00AE4097" w:rsidRDefault="00AE4097" w:rsidP="00176384">
            <w:pPr>
              <w:jc w:val="center"/>
              <w:rPr>
                <w:szCs w:val="20"/>
                <w:lang w:val="en-US"/>
              </w:rPr>
            </w:pPr>
            <w:r>
              <w:rPr>
                <w:sz w:val="22"/>
                <w:szCs w:val="20"/>
                <w:lang w:val="en-US"/>
              </w:rPr>
              <w:t>1,82573815</w:t>
            </w:r>
          </w:p>
        </w:tc>
      </w:tr>
    </w:tbl>
    <w:p w:rsidR="00AE4097" w:rsidRDefault="00AE4097" w:rsidP="00AE4097">
      <w:pPr>
        <w:rPr>
          <w:lang w:val="en-US" w:eastAsia="en-US"/>
        </w:rPr>
      </w:pPr>
      <w:r>
        <w:rPr>
          <w:sz w:val="20"/>
          <w:szCs w:val="20"/>
          <w:lang w:val="en-US"/>
        </w:rPr>
        <w:t>Source: ThomsonOneBanker</w:t>
      </w:r>
    </w:p>
    <w:p w:rsidR="00AE4097" w:rsidRDefault="00AE4097" w:rsidP="00AE4097">
      <w:pPr>
        <w:rPr>
          <w:rFonts w:ascii="Times" w:hAnsi="Times"/>
          <w:color w:val="000000"/>
          <w:sz w:val="19"/>
          <w:szCs w:val="19"/>
          <w:lang w:val="en-US"/>
        </w:rPr>
      </w:pPr>
    </w:p>
    <w:p w:rsidR="00AE4097" w:rsidRDefault="00AE4097" w:rsidP="00AE4097">
      <w:pPr>
        <w:spacing w:line="326" w:lineRule="atLeast"/>
        <w:rPr>
          <w:rFonts w:ascii="Times" w:hAnsi="Times"/>
          <w:color w:val="000000"/>
          <w:sz w:val="19"/>
          <w:szCs w:val="19"/>
          <w:lang w:val="en-US"/>
        </w:rPr>
      </w:pPr>
    </w:p>
    <w:p w:rsidR="00AE4097" w:rsidRDefault="00AE4097" w:rsidP="008C2ED0">
      <w:pPr>
        <w:pStyle w:val="034"/>
        <w:numPr>
          <w:ilvl w:val="0"/>
          <w:numId w:val="11"/>
        </w:numPr>
        <w:spacing w:after="200" w:line="276" w:lineRule="auto"/>
        <w:ind w:left="0" w:firstLine="0"/>
        <w:rPr>
          <w:b w:val="0"/>
          <w:i/>
          <w:caps w:val="0"/>
          <w:sz w:val="22"/>
          <w:u w:val="single"/>
          <w:lang w:val="en-US" w:eastAsia="en-US"/>
        </w:rPr>
      </w:pPr>
      <w:r>
        <w:rPr>
          <w:b w:val="0"/>
          <w:i/>
          <w:caps w:val="0"/>
          <w:sz w:val="22"/>
          <w:u w:val="single"/>
          <w:lang w:val="en-US" w:eastAsia="en-US"/>
        </w:rPr>
        <w:t>Type of industry:</w:t>
      </w:r>
    </w:p>
    <w:tbl>
      <w:tblPr>
        <w:tblW w:w="5543" w:type="dxa"/>
        <w:tblInd w:w="56" w:type="dxa"/>
        <w:tblCellMar>
          <w:left w:w="70" w:type="dxa"/>
          <w:right w:w="70" w:type="dxa"/>
        </w:tblCellMar>
        <w:tblLook w:val="04A0"/>
      </w:tblPr>
      <w:tblGrid>
        <w:gridCol w:w="3040"/>
        <w:gridCol w:w="2503"/>
      </w:tblGrid>
      <w:tr w:rsidR="00AE4097" w:rsidTr="00176384">
        <w:trPr>
          <w:trHeight w:val="300"/>
        </w:trPr>
        <w:tc>
          <w:tcPr>
            <w:tcW w:w="3040" w:type="dxa"/>
            <w:tcBorders>
              <w:top w:val="single" w:sz="4" w:space="0" w:color="auto"/>
              <w:left w:val="single" w:sz="4" w:space="0" w:color="auto"/>
              <w:bottom w:val="single" w:sz="4" w:space="0" w:color="auto"/>
              <w:right w:val="single" w:sz="4" w:space="0" w:color="auto"/>
            </w:tcBorders>
            <w:noWrap/>
            <w:vAlign w:val="bottom"/>
            <w:hideMark/>
          </w:tcPr>
          <w:p w:rsidR="00AE4097" w:rsidRDefault="00AE4097" w:rsidP="00176384">
            <w:pPr>
              <w:rPr>
                <w:b/>
                <w:bCs/>
                <w:color w:val="000000"/>
                <w:lang w:val="en-US"/>
              </w:rPr>
            </w:pPr>
            <w:r>
              <w:rPr>
                <w:b/>
                <w:bCs/>
                <w:color w:val="000000"/>
                <w:sz w:val="22"/>
                <w:szCs w:val="22"/>
                <w:lang w:val="en-US"/>
              </w:rPr>
              <w:t>Company</w:t>
            </w:r>
          </w:p>
        </w:tc>
        <w:tc>
          <w:tcPr>
            <w:tcW w:w="2503" w:type="dxa"/>
            <w:tcBorders>
              <w:top w:val="single" w:sz="4" w:space="0" w:color="auto"/>
              <w:left w:val="single" w:sz="4" w:space="0" w:color="auto"/>
              <w:bottom w:val="single" w:sz="4" w:space="0" w:color="auto"/>
              <w:right w:val="single" w:sz="4" w:space="0" w:color="auto"/>
            </w:tcBorders>
            <w:noWrap/>
            <w:vAlign w:val="bottom"/>
            <w:hideMark/>
          </w:tcPr>
          <w:p w:rsidR="00AE4097" w:rsidRDefault="00AE4097" w:rsidP="00176384">
            <w:pPr>
              <w:jc w:val="center"/>
              <w:rPr>
                <w:b/>
                <w:bCs/>
                <w:color w:val="000000"/>
                <w:lang w:val="en-US"/>
              </w:rPr>
            </w:pPr>
            <w:r>
              <w:rPr>
                <w:b/>
                <w:bCs/>
                <w:color w:val="000000"/>
                <w:sz w:val="22"/>
                <w:szCs w:val="22"/>
                <w:lang w:val="en-US"/>
              </w:rPr>
              <w:t>Type of industry</w:t>
            </w:r>
          </w:p>
        </w:tc>
      </w:tr>
      <w:tr w:rsidR="00AE4097" w:rsidTr="00176384">
        <w:trPr>
          <w:trHeight w:val="300"/>
        </w:trPr>
        <w:tc>
          <w:tcPr>
            <w:tcW w:w="3040" w:type="dxa"/>
            <w:tcBorders>
              <w:top w:val="single" w:sz="4" w:space="0" w:color="auto"/>
              <w:left w:val="single" w:sz="4" w:space="0" w:color="auto"/>
              <w:bottom w:val="nil"/>
              <w:right w:val="single" w:sz="4" w:space="0" w:color="auto"/>
            </w:tcBorders>
            <w:noWrap/>
            <w:vAlign w:val="bottom"/>
            <w:hideMark/>
          </w:tcPr>
          <w:p w:rsidR="00AE4097" w:rsidRDefault="00AE4097" w:rsidP="00176384">
            <w:pPr>
              <w:rPr>
                <w:szCs w:val="20"/>
                <w:lang w:val="en-US"/>
              </w:rPr>
            </w:pPr>
            <w:r>
              <w:rPr>
                <w:sz w:val="22"/>
                <w:szCs w:val="20"/>
                <w:lang w:val="en-US"/>
              </w:rPr>
              <w:t>Ahold</w:t>
            </w:r>
          </w:p>
        </w:tc>
        <w:tc>
          <w:tcPr>
            <w:tcW w:w="2503" w:type="dxa"/>
            <w:tcBorders>
              <w:top w:val="single" w:sz="4" w:space="0" w:color="auto"/>
              <w:left w:val="single" w:sz="4" w:space="0" w:color="auto"/>
              <w:bottom w:val="nil"/>
              <w:right w:val="single" w:sz="4" w:space="0" w:color="auto"/>
            </w:tcBorders>
            <w:noWrap/>
            <w:vAlign w:val="bottom"/>
            <w:hideMark/>
          </w:tcPr>
          <w:p w:rsidR="00AE4097" w:rsidRDefault="00AE4097" w:rsidP="00176384">
            <w:pPr>
              <w:jc w:val="center"/>
              <w:rPr>
                <w:color w:val="000000"/>
                <w:lang w:val="en-US"/>
              </w:rPr>
            </w:pPr>
            <w:r>
              <w:rPr>
                <w:color w:val="000000"/>
                <w:sz w:val="22"/>
                <w:szCs w:val="22"/>
                <w:lang w:val="en-US"/>
              </w:rPr>
              <w:t>3</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pStyle w:val="102"/>
              <w:tabs>
                <w:tab w:val="clear" w:pos="8980"/>
              </w:tabs>
              <w:spacing w:after="0"/>
              <w:rPr>
                <w:sz w:val="22"/>
                <w:szCs w:val="20"/>
                <w:lang w:val="en-US"/>
              </w:rPr>
            </w:pPr>
            <w:r>
              <w:rPr>
                <w:sz w:val="22"/>
                <w:szCs w:val="20"/>
                <w:lang w:val="en-US"/>
              </w:rPr>
              <w:t>Akzo Nobel</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rPr>
            </w:pPr>
            <w:r>
              <w:rPr>
                <w:color w:val="000000"/>
                <w:sz w:val="22"/>
                <w:szCs w:val="22"/>
              </w:rPr>
              <w:t>5</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rPr>
            </w:pPr>
            <w:r>
              <w:rPr>
                <w:sz w:val="22"/>
                <w:szCs w:val="20"/>
              </w:rPr>
              <w:t>ASML</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rPr>
            </w:pPr>
            <w:r>
              <w:rPr>
                <w:color w:val="000000"/>
                <w:sz w:val="22"/>
                <w:szCs w:val="22"/>
              </w:rPr>
              <w:t>2</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rPr>
            </w:pPr>
            <w:r>
              <w:rPr>
                <w:sz w:val="22"/>
                <w:szCs w:val="20"/>
              </w:rPr>
              <w:t>BAM Group</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rPr>
            </w:pPr>
            <w:r>
              <w:rPr>
                <w:color w:val="000000"/>
                <w:sz w:val="22"/>
                <w:szCs w:val="22"/>
              </w:rPr>
              <w:t>3</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rPr>
            </w:pPr>
            <w:r>
              <w:rPr>
                <w:sz w:val="22"/>
                <w:szCs w:val="20"/>
              </w:rPr>
              <w:t>Boskalis</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rPr>
            </w:pPr>
            <w:r>
              <w:rPr>
                <w:color w:val="000000"/>
                <w:sz w:val="22"/>
                <w:szCs w:val="22"/>
              </w:rPr>
              <w:t>3</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rPr>
            </w:pPr>
            <w:r>
              <w:rPr>
                <w:sz w:val="22"/>
                <w:szCs w:val="20"/>
              </w:rPr>
              <w:t>DSM</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rPr>
            </w:pPr>
            <w:r>
              <w:rPr>
                <w:color w:val="000000"/>
                <w:sz w:val="22"/>
                <w:szCs w:val="22"/>
              </w:rPr>
              <w:t>2</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rPr>
            </w:pPr>
            <w:r>
              <w:rPr>
                <w:sz w:val="22"/>
                <w:szCs w:val="20"/>
              </w:rPr>
              <w:t>Fugro</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rPr>
            </w:pPr>
            <w:r>
              <w:rPr>
                <w:color w:val="000000"/>
                <w:sz w:val="22"/>
                <w:szCs w:val="22"/>
              </w:rPr>
              <w:t>7</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rPr>
            </w:pPr>
            <w:r>
              <w:rPr>
                <w:sz w:val="22"/>
                <w:szCs w:val="20"/>
              </w:rPr>
              <w:t>Heineken</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lang w:val="en-US"/>
              </w:rPr>
            </w:pPr>
            <w:r>
              <w:rPr>
                <w:color w:val="000000"/>
                <w:sz w:val="22"/>
                <w:szCs w:val="22"/>
                <w:lang w:val="en-US"/>
              </w:rPr>
              <w:t>7</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lang w:val="en-US"/>
              </w:rPr>
            </w:pPr>
            <w:r>
              <w:rPr>
                <w:sz w:val="22"/>
                <w:szCs w:val="20"/>
                <w:lang w:val="en-US"/>
              </w:rPr>
              <w:t>KPN</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lang w:val="en-US"/>
              </w:rPr>
            </w:pPr>
            <w:r>
              <w:rPr>
                <w:color w:val="000000"/>
                <w:sz w:val="22"/>
                <w:szCs w:val="22"/>
                <w:lang w:val="en-US"/>
              </w:rPr>
              <w:t>1</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lang w:val="en-US"/>
              </w:rPr>
            </w:pPr>
            <w:r>
              <w:rPr>
                <w:sz w:val="22"/>
                <w:szCs w:val="20"/>
                <w:lang w:val="en-US"/>
              </w:rPr>
              <w:t>Philips</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lang w:val="en-US"/>
              </w:rPr>
            </w:pPr>
            <w:r>
              <w:rPr>
                <w:color w:val="000000"/>
                <w:sz w:val="22"/>
                <w:szCs w:val="22"/>
                <w:lang w:val="en-US"/>
              </w:rPr>
              <w:t>4</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lang w:val="en-US"/>
              </w:rPr>
            </w:pPr>
            <w:r>
              <w:rPr>
                <w:sz w:val="22"/>
                <w:szCs w:val="20"/>
                <w:lang w:val="en-US"/>
              </w:rPr>
              <w:t>Randstad</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lang w:val="en-US"/>
              </w:rPr>
            </w:pPr>
            <w:r>
              <w:rPr>
                <w:color w:val="000000"/>
                <w:sz w:val="22"/>
                <w:szCs w:val="22"/>
                <w:lang w:val="en-US"/>
              </w:rPr>
              <w:t>6</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lang w:val="en-US"/>
              </w:rPr>
            </w:pPr>
            <w:r>
              <w:rPr>
                <w:sz w:val="22"/>
                <w:szCs w:val="20"/>
                <w:lang w:val="en-US"/>
              </w:rPr>
              <w:t>Reed Elsevier</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lang w:val="en-US"/>
              </w:rPr>
            </w:pPr>
            <w:r>
              <w:rPr>
                <w:color w:val="000000"/>
                <w:sz w:val="22"/>
                <w:szCs w:val="22"/>
                <w:lang w:val="en-US"/>
              </w:rPr>
              <w:t>4</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lang w:val="en-US"/>
              </w:rPr>
            </w:pPr>
            <w:r>
              <w:rPr>
                <w:sz w:val="22"/>
                <w:szCs w:val="20"/>
                <w:lang w:val="en-US"/>
              </w:rPr>
              <w:t>SBM Offshore</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lang w:val="en-US"/>
              </w:rPr>
            </w:pPr>
            <w:r>
              <w:rPr>
                <w:color w:val="000000"/>
                <w:sz w:val="22"/>
                <w:szCs w:val="22"/>
                <w:lang w:val="en-US"/>
              </w:rPr>
              <w:t>4</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lang w:val="en-US"/>
              </w:rPr>
            </w:pPr>
            <w:r>
              <w:rPr>
                <w:sz w:val="22"/>
                <w:szCs w:val="20"/>
                <w:lang w:val="en-US"/>
              </w:rPr>
              <w:t>Shell</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lang w:val="en-US"/>
              </w:rPr>
            </w:pPr>
            <w:r>
              <w:rPr>
                <w:color w:val="000000"/>
                <w:sz w:val="22"/>
                <w:szCs w:val="22"/>
                <w:lang w:val="en-US"/>
              </w:rPr>
              <w:t>5</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lang w:val="en-US"/>
              </w:rPr>
            </w:pPr>
            <w:r>
              <w:rPr>
                <w:sz w:val="22"/>
                <w:szCs w:val="20"/>
                <w:lang w:val="en-US"/>
              </w:rPr>
              <w:t>TNT NV</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lang w:val="en-US"/>
              </w:rPr>
            </w:pPr>
            <w:r>
              <w:rPr>
                <w:color w:val="000000"/>
                <w:sz w:val="22"/>
                <w:szCs w:val="22"/>
                <w:lang w:val="en-US"/>
              </w:rPr>
              <w:t>5</w:t>
            </w:r>
          </w:p>
        </w:tc>
      </w:tr>
      <w:tr w:rsidR="00AE4097" w:rsidTr="00176384">
        <w:trPr>
          <w:trHeight w:val="300"/>
        </w:trPr>
        <w:tc>
          <w:tcPr>
            <w:tcW w:w="3040" w:type="dxa"/>
            <w:tcBorders>
              <w:top w:val="nil"/>
              <w:left w:val="single" w:sz="4" w:space="0" w:color="auto"/>
              <w:bottom w:val="nil"/>
              <w:right w:val="single" w:sz="4" w:space="0" w:color="auto"/>
            </w:tcBorders>
            <w:noWrap/>
            <w:vAlign w:val="bottom"/>
            <w:hideMark/>
          </w:tcPr>
          <w:p w:rsidR="00AE4097" w:rsidRDefault="00AE4097" w:rsidP="00176384">
            <w:pPr>
              <w:rPr>
                <w:szCs w:val="20"/>
                <w:lang w:val="en-US"/>
              </w:rPr>
            </w:pPr>
            <w:r>
              <w:rPr>
                <w:sz w:val="22"/>
                <w:szCs w:val="20"/>
                <w:lang w:val="en-US"/>
              </w:rPr>
              <w:t>Tomtom</w:t>
            </w:r>
          </w:p>
        </w:tc>
        <w:tc>
          <w:tcPr>
            <w:tcW w:w="2503" w:type="dxa"/>
            <w:tcBorders>
              <w:top w:val="nil"/>
              <w:left w:val="single" w:sz="4" w:space="0" w:color="auto"/>
              <w:bottom w:val="nil"/>
              <w:right w:val="single" w:sz="4" w:space="0" w:color="auto"/>
            </w:tcBorders>
            <w:noWrap/>
            <w:vAlign w:val="bottom"/>
            <w:hideMark/>
          </w:tcPr>
          <w:p w:rsidR="00AE4097" w:rsidRDefault="00AE4097" w:rsidP="00176384">
            <w:pPr>
              <w:jc w:val="center"/>
              <w:rPr>
                <w:color w:val="000000"/>
              </w:rPr>
            </w:pPr>
            <w:r>
              <w:rPr>
                <w:color w:val="000000"/>
                <w:sz w:val="22"/>
                <w:szCs w:val="22"/>
              </w:rPr>
              <w:t>1</w:t>
            </w:r>
          </w:p>
        </w:tc>
      </w:tr>
      <w:tr w:rsidR="00AE4097" w:rsidTr="00176384">
        <w:trPr>
          <w:trHeight w:val="300"/>
        </w:trPr>
        <w:tc>
          <w:tcPr>
            <w:tcW w:w="3040" w:type="dxa"/>
            <w:tcBorders>
              <w:top w:val="nil"/>
              <w:left w:val="single" w:sz="4" w:space="0" w:color="auto"/>
              <w:right w:val="single" w:sz="4" w:space="0" w:color="auto"/>
            </w:tcBorders>
            <w:noWrap/>
            <w:vAlign w:val="bottom"/>
            <w:hideMark/>
          </w:tcPr>
          <w:p w:rsidR="00AE4097" w:rsidRDefault="00AE4097" w:rsidP="00176384">
            <w:pPr>
              <w:rPr>
                <w:szCs w:val="20"/>
              </w:rPr>
            </w:pPr>
            <w:r>
              <w:rPr>
                <w:sz w:val="22"/>
                <w:szCs w:val="20"/>
              </w:rPr>
              <w:t xml:space="preserve">Unilever </w:t>
            </w:r>
          </w:p>
        </w:tc>
        <w:tc>
          <w:tcPr>
            <w:tcW w:w="2503" w:type="dxa"/>
            <w:tcBorders>
              <w:top w:val="nil"/>
              <w:left w:val="single" w:sz="4" w:space="0" w:color="auto"/>
              <w:right w:val="single" w:sz="4" w:space="0" w:color="auto"/>
            </w:tcBorders>
            <w:noWrap/>
            <w:vAlign w:val="bottom"/>
            <w:hideMark/>
          </w:tcPr>
          <w:p w:rsidR="00AE4097" w:rsidRDefault="00AE4097" w:rsidP="00176384">
            <w:pPr>
              <w:jc w:val="center"/>
              <w:rPr>
                <w:color w:val="000000"/>
              </w:rPr>
            </w:pPr>
            <w:r>
              <w:rPr>
                <w:color w:val="000000"/>
                <w:sz w:val="22"/>
                <w:szCs w:val="22"/>
              </w:rPr>
              <w:t>1</w:t>
            </w:r>
          </w:p>
        </w:tc>
      </w:tr>
      <w:tr w:rsidR="00AE4097" w:rsidTr="00176384">
        <w:trPr>
          <w:trHeight w:val="300"/>
        </w:trPr>
        <w:tc>
          <w:tcPr>
            <w:tcW w:w="3040" w:type="dxa"/>
            <w:tcBorders>
              <w:top w:val="nil"/>
              <w:left w:val="single" w:sz="4" w:space="0" w:color="auto"/>
              <w:bottom w:val="single" w:sz="4" w:space="0" w:color="auto"/>
              <w:right w:val="single" w:sz="4" w:space="0" w:color="auto"/>
            </w:tcBorders>
            <w:noWrap/>
            <w:vAlign w:val="bottom"/>
            <w:hideMark/>
          </w:tcPr>
          <w:p w:rsidR="00AE4097" w:rsidRDefault="00AE4097" w:rsidP="00176384">
            <w:pPr>
              <w:rPr>
                <w:szCs w:val="20"/>
              </w:rPr>
            </w:pPr>
            <w:r>
              <w:rPr>
                <w:sz w:val="22"/>
                <w:szCs w:val="20"/>
              </w:rPr>
              <w:t>Wolters Kluwer</w:t>
            </w:r>
          </w:p>
        </w:tc>
        <w:tc>
          <w:tcPr>
            <w:tcW w:w="2503" w:type="dxa"/>
            <w:tcBorders>
              <w:top w:val="nil"/>
              <w:left w:val="single" w:sz="4" w:space="0" w:color="auto"/>
              <w:bottom w:val="single" w:sz="4" w:space="0" w:color="auto"/>
              <w:right w:val="single" w:sz="4" w:space="0" w:color="auto"/>
            </w:tcBorders>
            <w:noWrap/>
            <w:vAlign w:val="bottom"/>
            <w:hideMark/>
          </w:tcPr>
          <w:p w:rsidR="00AE4097" w:rsidRDefault="00AE4097" w:rsidP="00176384">
            <w:pPr>
              <w:jc w:val="center"/>
              <w:rPr>
                <w:color w:val="000000"/>
                <w:lang w:val="fr-FR"/>
              </w:rPr>
            </w:pPr>
            <w:r>
              <w:rPr>
                <w:color w:val="000000"/>
                <w:sz w:val="22"/>
                <w:szCs w:val="22"/>
                <w:lang w:val="fr-FR"/>
              </w:rPr>
              <w:t>3</w:t>
            </w:r>
          </w:p>
        </w:tc>
      </w:tr>
    </w:tbl>
    <w:p w:rsidR="00AE4097" w:rsidRDefault="00AE4097" w:rsidP="00AE4097">
      <w:pPr>
        <w:rPr>
          <w:lang w:val="fr-FR" w:eastAsia="en-US"/>
        </w:rPr>
      </w:pPr>
      <w:r>
        <w:rPr>
          <w:lang w:val="fr-FR" w:eastAsia="en-US"/>
        </w:rPr>
        <w:tab/>
      </w:r>
    </w:p>
    <w:p w:rsidR="00AE4097" w:rsidRDefault="00AE4097" w:rsidP="00AE4097">
      <w:pPr>
        <w:pStyle w:val="034"/>
        <w:spacing w:after="200" w:line="276" w:lineRule="auto"/>
        <w:rPr>
          <w:caps w:val="0"/>
          <w:lang w:val="fr-FR" w:eastAsia="en-US"/>
        </w:rPr>
      </w:pPr>
      <w:r>
        <w:rPr>
          <w:caps w:val="0"/>
          <w:lang w:val="fr-FR" w:eastAsia="en-US"/>
        </w:rPr>
        <w:br w:type="page"/>
      </w:r>
      <w:r w:rsidRPr="003A0B62">
        <w:rPr>
          <w:caps w:val="0"/>
          <w:lang w:val="en-US" w:eastAsia="en-US"/>
        </w:rPr>
        <w:lastRenderedPageBreak/>
        <w:t>Appendix</w:t>
      </w:r>
      <w:r>
        <w:rPr>
          <w:caps w:val="0"/>
          <w:lang w:val="fr-FR" w:eastAsia="en-US"/>
        </w:rPr>
        <w:t xml:space="preserve"> XI Normal Distribution</w:t>
      </w:r>
    </w:p>
    <w:p w:rsidR="00AE4097" w:rsidRDefault="00AE4097" w:rsidP="00AE4097">
      <w:pPr>
        <w:rPr>
          <w:i/>
          <w:sz w:val="22"/>
          <w:szCs w:val="22"/>
          <w:u w:val="single"/>
          <w:lang w:val="fr-FR" w:eastAsia="en-US"/>
        </w:rPr>
      </w:pPr>
    </w:p>
    <w:p w:rsidR="00AE4097" w:rsidRDefault="00AE4097" w:rsidP="008C2ED0">
      <w:pPr>
        <w:pStyle w:val="ListParagraph"/>
        <w:numPr>
          <w:ilvl w:val="3"/>
          <w:numId w:val="13"/>
        </w:numPr>
        <w:ind w:left="0" w:firstLine="0"/>
        <w:rPr>
          <w:i/>
          <w:sz w:val="22"/>
          <w:szCs w:val="22"/>
          <w:u w:val="single"/>
          <w:lang w:val="en-US" w:eastAsia="en-US"/>
        </w:rPr>
      </w:pPr>
      <w:r>
        <w:rPr>
          <w:i/>
          <w:sz w:val="22"/>
          <w:szCs w:val="22"/>
          <w:u w:val="single"/>
          <w:lang w:val="en-US" w:eastAsia="en-US"/>
        </w:rPr>
        <w:t>Normal QQ-plots risk disclosure scores</w:t>
      </w:r>
    </w:p>
    <w:p w:rsidR="00AE4097" w:rsidRDefault="00AE4097" w:rsidP="00AE4097">
      <w:pPr>
        <w:rPr>
          <w:i/>
          <w:sz w:val="22"/>
          <w:szCs w:val="22"/>
          <w:u w:val="single"/>
          <w:lang w:val="en-US" w:eastAsia="en-US"/>
        </w:rPr>
      </w:pPr>
    </w:p>
    <w:p w:rsidR="00AE4097" w:rsidRDefault="00AE4097" w:rsidP="00AE4097">
      <w:pPr>
        <w:autoSpaceDE w:val="0"/>
        <w:autoSpaceDN w:val="0"/>
        <w:adjustRightInd w:val="0"/>
        <w:jc w:val="both"/>
        <w:rPr>
          <w:lang w:val="en-US"/>
        </w:rPr>
      </w:pPr>
      <w:r>
        <w:rPr>
          <w:noProof/>
        </w:rPr>
        <w:drawing>
          <wp:inline distT="0" distB="0" distL="0" distR="0">
            <wp:extent cx="2781300" cy="2219325"/>
            <wp:effectExtent l="19050" t="0" r="0" b="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2781300" cy="2219325"/>
                    </a:xfrm>
                    <a:prstGeom prst="rect">
                      <a:avLst/>
                    </a:prstGeom>
                    <a:noFill/>
                    <a:ln w="9525">
                      <a:noFill/>
                      <a:miter lim="800000"/>
                      <a:headEnd/>
                      <a:tailEnd/>
                    </a:ln>
                  </pic:spPr>
                </pic:pic>
              </a:graphicData>
            </a:graphic>
          </wp:inline>
        </w:drawing>
      </w:r>
      <w:r>
        <w:rPr>
          <w:lang w:val="en-US"/>
        </w:rPr>
        <w:t xml:space="preserve">   </w:t>
      </w:r>
      <w:r>
        <w:rPr>
          <w:noProof/>
        </w:rPr>
        <w:drawing>
          <wp:inline distT="0" distB="0" distL="0" distR="0">
            <wp:extent cx="2800350" cy="2228850"/>
            <wp:effectExtent l="19050" t="0" r="0" b="0"/>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srcRect/>
                    <a:stretch>
                      <a:fillRect/>
                    </a:stretch>
                  </pic:blipFill>
                  <pic:spPr bwMode="auto">
                    <a:xfrm>
                      <a:off x="0" y="0"/>
                      <a:ext cx="2800350" cy="2228850"/>
                    </a:xfrm>
                    <a:prstGeom prst="rect">
                      <a:avLst/>
                    </a:prstGeom>
                    <a:noFill/>
                    <a:ln w="9525">
                      <a:noFill/>
                      <a:miter lim="800000"/>
                      <a:headEnd/>
                      <a:tailEnd/>
                    </a:ln>
                  </pic:spPr>
                </pic:pic>
              </a:graphicData>
            </a:graphic>
          </wp:inline>
        </w:drawing>
      </w:r>
    </w:p>
    <w:p w:rsidR="00AE4097" w:rsidRDefault="00AE4097" w:rsidP="00AE4097">
      <w:pPr>
        <w:autoSpaceDE w:val="0"/>
        <w:autoSpaceDN w:val="0"/>
        <w:adjustRightInd w:val="0"/>
        <w:jc w:val="both"/>
        <w:rPr>
          <w:lang w:val="en-US"/>
        </w:rPr>
      </w:pPr>
    </w:p>
    <w:p w:rsidR="00AE4097" w:rsidRDefault="00AE4097" w:rsidP="008C2ED0">
      <w:pPr>
        <w:pStyle w:val="ListParagraph"/>
        <w:numPr>
          <w:ilvl w:val="3"/>
          <w:numId w:val="13"/>
        </w:numPr>
        <w:autoSpaceDE w:val="0"/>
        <w:autoSpaceDN w:val="0"/>
        <w:adjustRightInd w:val="0"/>
        <w:spacing w:line="360" w:lineRule="auto"/>
        <w:ind w:left="0" w:firstLine="0"/>
        <w:jc w:val="both"/>
        <w:rPr>
          <w:sz w:val="22"/>
          <w:szCs w:val="22"/>
          <w:lang w:val="en-US"/>
        </w:rPr>
      </w:pPr>
      <w:r>
        <w:rPr>
          <w:i/>
          <w:sz w:val="22"/>
          <w:szCs w:val="22"/>
          <w:u w:val="single"/>
          <w:lang w:val="en-US" w:eastAsia="en-US"/>
        </w:rPr>
        <w:t>Normal QQ-plots ROA</w:t>
      </w:r>
    </w:p>
    <w:p w:rsidR="00AE4097" w:rsidRDefault="00AE4097" w:rsidP="00AE4097">
      <w:pPr>
        <w:pStyle w:val="ListParagraph"/>
        <w:autoSpaceDE w:val="0"/>
        <w:autoSpaceDN w:val="0"/>
        <w:adjustRightInd w:val="0"/>
        <w:spacing w:line="360" w:lineRule="auto"/>
        <w:ind w:left="0"/>
        <w:jc w:val="both"/>
        <w:rPr>
          <w:sz w:val="20"/>
        </w:rPr>
      </w:pPr>
      <w:r>
        <w:rPr>
          <w:noProof/>
          <w:sz w:val="20"/>
        </w:rPr>
        <w:drawing>
          <wp:inline distT="0" distB="0" distL="0" distR="0">
            <wp:extent cx="2809875" cy="2247900"/>
            <wp:effectExtent l="19050" t="0" r="9525" b="0"/>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a:stretch>
                      <a:fillRect/>
                    </a:stretch>
                  </pic:blipFill>
                  <pic:spPr bwMode="auto">
                    <a:xfrm>
                      <a:off x="0" y="0"/>
                      <a:ext cx="2809875" cy="2247900"/>
                    </a:xfrm>
                    <a:prstGeom prst="rect">
                      <a:avLst/>
                    </a:prstGeom>
                    <a:noFill/>
                    <a:ln w="9525">
                      <a:noFill/>
                      <a:miter lim="800000"/>
                      <a:headEnd/>
                      <a:tailEnd/>
                    </a:ln>
                  </pic:spPr>
                </pic:pic>
              </a:graphicData>
            </a:graphic>
          </wp:inline>
        </w:drawing>
      </w:r>
      <w:r>
        <w:rPr>
          <w:noProof/>
          <w:sz w:val="20"/>
        </w:rPr>
        <w:drawing>
          <wp:inline distT="0" distB="0" distL="0" distR="0">
            <wp:extent cx="2828925" cy="2247900"/>
            <wp:effectExtent l="19050" t="0" r="9525" b="0"/>
            <wp:docPr id="1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srcRect/>
                    <a:stretch>
                      <a:fillRect/>
                    </a:stretch>
                  </pic:blipFill>
                  <pic:spPr bwMode="auto">
                    <a:xfrm>
                      <a:off x="0" y="0"/>
                      <a:ext cx="2828925" cy="2247900"/>
                    </a:xfrm>
                    <a:prstGeom prst="rect">
                      <a:avLst/>
                    </a:prstGeom>
                    <a:noFill/>
                    <a:ln w="9525">
                      <a:noFill/>
                      <a:miter lim="800000"/>
                      <a:headEnd/>
                      <a:tailEnd/>
                    </a:ln>
                  </pic:spPr>
                </pic:pic>
              </a:graphicData>
            </a:graphic>
          </wp:inline>
        </w:drawing>
      </w:r>
      <w:r>
        <w:rPr>
          <w:noProof/>
          <w:sz w:val="20"/>
        </w:rPr>
        <w:drawing>
          <wp:inline distT="0" distB="0" distL="0" distR="0">
            <wp:extent cx="2828925" cy="2266950"/>
            <wp:effectExtent l="19050" t="0" r="9525" b="0"/>
            <wp:docPr id="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srcRect/>
                    <a:stretch>
                      <a:fillRect/>
                    </a:stretch>
                  </pic:blipFill>
                  <pic:spPr bwMode="auto">
                    <a:xfrm>
                      <a:off x="0" y="0"/>
                      <a:ext cx="2828925" cy="2266950"/>
                    </a:xfrm>
                    <a:prstGeom prst="rect">
                      <a:avLst/>
                    </a:prstGeom>
                    <a:noFill/>
                    <a:ln w="9525">
                      <a:noFill/>
                      <a:miter lim="800000"/>
                      <a:headEnd/>
                      <a:tailEnd/>
                    </a:ln>
                  </pic:spPr>
                </pic:pic>
              </a:graphicData>
            </a:graphic>
          </wp:inline>
        </w:drawing>
      </w:r>
      <w:r>
        <w:rPr>
          <w:sz w:val="20"/>
        </w:rPr>
        <w:tab/>
      </w:r>
    </w:p>
    <w:p w:rsidR="00AE4097" w:rsidRDefault="00AE4097" w:rsidP="00AE4097">
      <w:pPr>
        <w:pStyle w:val="ListParagraph"/>
        <w:autoSpaceDE w:val="0"/>
        <w:autoSpaceDN w:val="0"/>
        <w:adjustRightInd w:val="0"/>
        <w:spacing w:line="360" w:lineRule="auto"/>
        <w:ind w:left="0"/>
        <w:jc w:val="both"/>
        <w:rPr>
          <w:sz w:val="20"/>
        </w:rPr>
      </w:pPr>
    </w:p>
    <w:p w:rsidR="00AE4097" w:rsidRDefault="00AE4097" w:rsidP="008C2ED0">
      <w:pPr>
        <w:pStyle w:val="ListParagraph"/>
        <w:numPr>
          <w:ilvl w:val="3"/>
          <w:numId w:val="13"/>
        </w:numPr>
        <w:autoSpaceDE w:val="0"/>
        <w:autoSpaceDN w:val="0"/>
        <w:adjustRightInd w:val="0"/>
        <w:spacing w:line="360" w:lineRule="auto"/>
        <w:ind w:left="0" w:firstLine="0"/>
        <w:jc w:val="both"/>
        <w:rPr>
          <w:sz w:val="22"/>
          <w:szCs w:val="22"/>
          <w:lang w:val="fr-FR"/>
        </w:rPr>
      </w:pPr>
      <w:r>
        <w:rPr>
          <w:i/>
          <w:sz w:val="22"/>
          <w:szCs w:val="22"/>
          <w:u w:val="single"/>
          <w:lang w:val="fr-FR" w:eastAsia="en-US"/>
        </w:rPr>
        <w:br w:type="page"/>
      </w:r>
      <w:r>
        <w:rPr>
          <w:i/>
          <w:sz w:val="22"/>
          <w:szCs w:val="22"/>
          <w:u w:val="single"/>
          <w:lang w:val="fr-FR" w:eastAsia="en-US"/>
        </w:rPr>
        <w:lastRenderedPageBreak/>
        <w:t>Normal QQ-plots D/E ratio</w:t>
      </w:r>
    </w:p>
    <w:p w:rsidR="00AE4097" w:rsidRDefault="00AE4097" w:rsidP="00AE4097">
      <w:pPr>
        <w:autoSpaceDE w:val="0"/>
        <w:autoSpaceDN w:val="0"/>
        <w:adjustRightInd w:val="0"/>
        <w:jc w:val="both"/>
        <w:rPr>
          <w:b/>
          <w:lang w:val="fr-FR" w:eastAsia="en-US"/>
        </w:rPr>
      </w:pPr>
      <w:r>
        <w:rPr>
          <w:noProof/>
        </w:rPr>
        <w:drawing>
          <wp:anchor distT="0" distB="0" distL="114300" distR="114300" simplePos="0" relativeHeight="251660288" behindDoc="0" locked="0" layoutInCell="1" allowOverlap="1">
            <wp:simplePos x="0" y="0"/>
            <wp:positionH relativeFrom="column">
              <wp:posOffset>2971800</wp:posOffset>
            </wp:positionH>
            <wp:positionV relativeFrom="paragraph">
              <wp:posOffset>162560</wp:posOffset>
            </wp:positionV>
            <wp:extent cx="2743200" cy="2197735"/>
            <wp:effectExtent l="19050" t="0" r="0" b="0"/>
            <wp:wrapNone/>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2743200" cy="2197735"/>
                    </a:xfrm>
                    <a:prstGeom prst="rect">
                      <a:avLst/>
                    </a:prstGeom>
                    <a:noFill/>
                    <a:ln w="9525">
                      <a:noFill/>
                      <a:miter lim="800000"/>
                      <a:headEnd/>
                      <a:tailEnd/>
                    </a:ln>
                  </pic:spPr>
                </pic:pic>
              </a:graphicData>
            </a:graphic>
          </wp:anchor>
        </w:drawing>
      </w:r>
      <w:r>
        <w:rPr>
          <w:noProof/>
        </w:rPr>
        <w:drawing>
          <wp:anchor distT="0" distB="0" distL="114300" distR="114300" simplePos="0" relativeHeight="251659264" behindDoc="0" locked="0" layoutInCell="1" allowOverlap="1">
            <wp:simplePos x="0" y="0"/>
            <wp:positionH relativeFrom="column">
              <wp:posOffset>-76200</wp:posOffset>
            </wp:positionH>
            <wp:positionV relativeFrom="paragraph">
              <wp:posOffset>162560</wp:posOffset>
            </wp:positionV>
            <wp:extent cx="2743200" cy="2197735"/>
            <wp:effectExtent l="19050" t="0" r="0" b="0"/>
            <wp:wrapNone/>
            <wp:docPr id="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srcRect/>
                    <a:stretch>
                      <a:fillRect/>
                    </a:stretch>
                  </pic:blipFill>
                  <pic:spPr bwMode="auto">
                    <a:xfrm>
                      <a:off x="0" y="0"/>
                      <a:ext cx="2743200" cy="2197735"/>
                    </a:xfrm>
                    <a:prstGeom prst="rect">
                      <a:avLst/>
                    </a:prstGeom>
                    <a:noFill/>
                    <a:ln w="9525">
                      <a:noFill/>
                      <a:miter lim="800000"/>
                      <a:headEnd/>
                      <a:tailEnd/>
                    </a:ln>
                  </pic:spPr>
                </pic:pic>
              </a:graphicData>
            </a:graphic>
          </wp:anchor>
        </w:drawing>
      </w:r>
    </w:p>
    <w:p w:rsidR="00AE4097" w:rsidRDefault="00AE4097" w:rsidP="00AE4097">
      <w:pPr>
        <w:autoSpaceDE w:val="0"/>
        <w:autoSpaceDN w:val="0"/>
        <w:adjustRightInd w:val="0"/>
        <w:jc w:val="both"/>
        <w:rPr>
          <w:b/>
          <w:lang w:val="fr-FR" w:eastAsia="en-US"/>
        </w:rPr>
      </w:pPr>
    </w:p>
    <w:p w:rsidR="00182378" w:rsidRDefault="00182378" w:rsidP="001E07A0">
      <w:pPr>
        <w:pStyle w:val="000"/>
      </w:pPr>
    </w:p>
    <w:sectPr w:rsidR="00182378" w:rsidSect="00176384">
      <w:headerReference w:type="default" r:id="rId23"/>
      <w:footerReference w:type="even" r:id="rId24"/>
      <w:footerReference w:type="default" r:id="rId25"/>
      <w:type w:val="nextColumn"/>
      <w:pgSz w:w="11906" w:h="16838" w:code="9"/>
      <w:pgMar w:top="1418" w:right="1418" w:bottom="1418" w:left="1418" w:header="709" w:footer="709"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1638" w:rsidRDefault="00521638" w:rsidP="00AE4097">
      <w:r>
        <w:separator/>
      </w:r>
    </w:p>
  </w:endnote>
  <w:endnote w:type="continuationSeparator" w:id="0">
    <w:p w:rsidR="00521638" w:rsidRDefault="00521638" w:rsidP="00AE40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EYInterstate Light">
    <w:panose1 w:val="02000506000000020004"/>
    <w:charset w:val="00"/>
    <w:family w:val="auto"/>
    <w:pitch w:val="variable"/>
    <w:sig w:usb0="A00002AF" w:usb1="5000206A" w:usb2="00000000" w:usb3="00000000" w:csb0="0000009F" w:csb1="00000000"/>
  </w:font>
  <w:font w:name="Tunga">
    <w:panose1 w:val="00000400000000000000"/>
    <w:charset w:val="00"/>
    <w:family w:val="auto"/>
    <w:pitch w:val="variable"/>
    <w:sig w:usb0="00400003" w:usb1="00000000" w:usb2="00000000" w:usb3="00000000" w:csb0="00000001"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EYInterstate">
    <w:panose1 w:val="02000503020000020004"/>
    <w:charset w:val="00"/>
    <w:family w:val="auto"/>
    <w:pitch w:val="variable"/>
    <w:sig w:usb0="A00002AF" w:usb1="5000206A"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Times">
    <w:panose1 w:val="02020603050405020304"/>
    <w:charset w:val="00"/>
    <w:family w:val="roman"/>
    <w:pitch w:val="variable"/>
    <w:sig w:usb0="20002A87" w:usb1="00000000" w:usb2="00000000"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3FE" w:rsidRDefault="00F073FE">
    <w: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3FE" w:rsidRDefault="00F073FE">
    <w:pPr>
      <w:pStyle w:val="Footer"/>
      <w:pBdr>
        <w:top w:val="single" w:sz="12" w:space="1" w:color="000080"/>
      </w:pBdr>
      <w:jc w:val="right"/>
    </w:pPr>
    <w:fldSimple w:instr=" PAGE   \* MERGEFORMAT ">
      <w:r w:rsidR="00DE154D">
        <w:rPr>
          <w:noProof/>
        </w:rPr>
        <w:t>53</w:t>
      </w:r>
    </w:fldSimple>
  </w:p>
  <w:p w:rsidR="00F073FE" w:rsidRDefault="00F073F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3FE" w:rsidRDefault="00F073FE" w:rsidP="00176384">
    <w:pPr>
      <w:pStyle w:val="Footer"/>
      <w:pBdr>
        <w:top w:val="single" w:sz="12" w:space="1" w:color="000080"/>
      </w:pBdr>
      <w:jc w:val="right"/>
    </w:pPr>
    <w:fldSimple w:instr=" PAGE   \* MERGEFORMAT ">
      <w:r w:rsidR="00DE154D">
        <w:rPr>
          <w:noProof/>
        </w:rPr>
        <w:t>80</w:t>
      </w:r>
    </w:fldSimple>
  </w:p>
  <w:p w:rsidR="00F073FE" w:rsidRDefault="00F073F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3FE" w:rsidRDefault="00F073FE">
    <w:r>
      <w:t>**********</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3FE" w:rsidRDefault="00F073FE">
    <w:pPr>
      <w:pStyle w:val="Footer"/>
      <w:pBdr>
        <w:top w:val="single" w:sz="12" w:space="1" w:color="000080"/>
      </w:pBdr>
      <w:jc w:val="right"/>
    </w:pPr>
    <w:fldSimple w:instr=" PAGE   \* MERGEFORMAT ">
      <w:r w:rsidR="00DE154D">
        <w:rPr>
          <w:noProof/>
        </w:rPr>
        <w:t>87</w:t>
      </w:r>
    </w:fldSimple>
  </w:p>
  <w:p w:rsidR="00F073FE" w:rsidRDefault="00F073F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1638" w:rsidRDefault="00521638" w:rsidP="00AE4097">
      <w:r>
        <w:separator/>
      </w:r>
    </w:p>
  </w:footnote>
  <w:footnote w:type="continuationSeparator" w:id="0">
    <w:p w:rsidR="00521638" w:rsidRDefault="00521638" w:rsidP="00AE4097">
      <w:r>
        <w:continuationSeparator/>
      </w:r>
    </w:p>
  </w:footnote>
  <w:footnote w:id="1">
    <w:p w:rsidR="00F073FE" w:rsidRDefault="00F073FE" w:rsidP="00AE4097">
      <w:pPr>
        <w:pStyle w:val="FootnoteText"/>
        <w:rPr>
          <w:lang w:val="en-US"/>
        </w:rPr>
      </w:pPr>
      <w:r w:rsidRPr="009D5918">
        <w:rPr>
          <w:rStyle w:val="FootnoteReference"/>
          <w:rFonts w:ascii="Times New Roman" w:hAnsi="Times New Roman"/>
        </w:rPr>
        <w:footnoteRef/>
      </w:r>
      <w:r w:rsidRPr="009D5918">
        <w:rPr>
          <w:lang w:val="en-US"/>
        </w:rPr>
        <w:t xml:space="preserve"> </w:t>
      </w:r>
      <w:r>
        <w:rPr>
          <w:lang w:val="en-US"/>
        </w:rPr>
        <w:t>www.commissioncorporategovernance.nl</w:t>
      </w:r>
    </w:p>
    <w:p w:rsidR="00F073FE" w:rsidRDefault="00F073FE" w:rsidP="00AE4097">
      <w:pPr>
        <w:pStyle w:val="FootnoteText"/>
        <w:rPr>
          <w:lang w:val="en-US"/>
        </w:rPr>
      </w:pPr>
    </w:p>
  </w:footnote>
  <w:footnote w:id="2">
    <w:p w:rsidR="00F073FE" w:rsidRDefault="00F073FE" w:rsidP="00AE4097">
      <w:pPr>
        <w:pStyle w:val="FootnoteText"/>
        <w:rPr>
          <w:lang w:val="en-US"/>
        </w:rPr>
      </w:pPr>
      <w:r>
        <w:rPr>
          <w:rStyle w:val="FootnoteReference"/>
          <w:rFonts w:ascii="Times New Roman" w:hAnsi="Times New Roman"/>
        </w:rPr>
        <w:footnoteRef/>
      </w:r>
      <w:r>
        <w:rPr>
          <w:lang w:val="en-US"/>
        </w:rPr>
        <w:t xml:space="preserve"> The </w:t>
      </w:r>
      <w:proofErr w:type="spellStart"/>
      <w:r>
        <w:rPr>
          <w:lang w:val="en-US"/>
        </w:rPr>
        <w:t>Skweness</w:t>
      </w:r>
      <w:proofErr w:type="spellEnd"/>
      <w:r>
        <w:rPr>
          <w:lang w:val="en-US"/>
        </w:rPr>
        <w:t xml:space="preserve"> value is an indication of the symmetry of the distribution, while the Kurtosis value will give information on </w:t>
      </w:r>
    </w:p>
    <w:p w:rsidR="00F073FE" w:rsidRDefault="00F073FE" w:rsidP="00AE4097">
      <w:pPr>
        <w:pStyle w:val="FootnoteText"/>
        <w:rPr>
          <w:lang w:val="en-US"/>
        </w:rPr>
      </w:pPr>
      <w:proofErr w:type="gramStart"/>
      <w:r>
        <w:rPr>
          <w:lang w:val="en-US"/>
        </w:rPr>
        <w:t>the</w:t>
      </w:r>
      <w:proofErr w:type="gramEnd"/>
      <w:r>
        <w:rPr>
          <w:lang w:val="en-US"/>
        </w:rPr>
        <w:t xml:space="preserve"> ‘</w:t>
      </w:r>
      <w:proofErr w:type="spellStart"/>
      <w:r>
        <w:rPr>
          <w:lang w:val="en-US"/>
        </w:rPr>
        <w:t>peakedness</w:t>
      </w:r>
      <w:proofErr w:type="spellEnd"/>
      <w:r>
        <w:rPr>
          <w:lang w:val="en-US"/>
        </w:rPr>
        <w:t xml:space="preserve">’ of the distribution (Amran et al., 2009). </w:t>
      </w:r>
    </w:p>
  </w:footnote>
  <w:footnote w:id="3">
    <w:p w:rsidR="00F073FE" w:rsidRDefault="00F073FE" w:rsidP="00AE4097">
      <w:pPr>
        <w:pStyle w:val="FootnoteText"/>
        <w:rPr>
          <w:lang w:val="en-US"/>
        </w:rPr>
      </w:pPr>
      <w:r>
        <w:rPr>
          <w:rStyle w:val="FootnoteReference"/>
          <w:rFonts w:ascii="Times New Roman" w:hAnsi="Times New Roman"/>
        </w:rPr>
        <w:footnoteRef/>
      </w:r>
      <w:r>
        <w:rPr>
          <w:lang w:val="en-US"/>
        </w:rPr>
        <w:t xml:space="preserve"> </w:t>
      </w:r>
      <w:r>
        <w:rPr>
          <w:sz w:val="20"/>
          <w:szCs w:val="22"/>
          <w:lang w:val="en-US"/>
        </w:rPr>
        <w:t>Note that the debt/equity ratio of 2006-2007 is almost significant at the 90% significance level.</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3FE" w:rsidRDefault="00F073FE">
    <w:pPr>
      <w:pStyle w:val="Header"/>
      <w:pBdr>
        <w:bottom w:val="single" w:sz="12" w:space="1" w:color="000080"/>
        <w:between w:val="single" w:sz="4" w:space="1" w:color="auto"/>
      </w:pBdr>
      <w:jc w:val="center"/>
      <w:rPr>
        <w:lang w:val="en-US"/>
      </w:rPr>
    </w:pPr>
    <w:r>
      <w:rPr>
        <w:iCs/>
        <w:sz w:val="22"/>
        <w:szCs w:val="26"/>
        <w:lang w:val="en-US"/>
      </w:rPr>
      <w:t>Risk Reporting:</w:t>
    </w:r>
    <w:r>
      <w:rPr>
        <w:i/>
        <w:sz w:val="22"/>
        <w:szCs w:val="26"/>
        <w:lang w:val="en-US"/>
      </w:rPr>
      <w:t xml:space="preserve"> The influence of the financial crisis</w:t>
    </w:r>
  </w:p>
  <w:p w:rsidR="00F073FE" w:rsidRDefault="00F073FE">
    <w:pPr>
      <w:pStyle w:val="Header"/>
      <w:rPr>
        <w:lang w:val="en-US"/>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3FE" w:rsidRDefault="00F073FE" w:rsidP="00176384">
    <w:pPr>
      <w:pStyle w:val="Header"/>
      <w:pBdr>
        <w:bottom w:val="single" w:sz="12" w:space="1" w:color="000080"/>
        <w:between w:val="single" w:sz="4" w:space="1" w:color="auto"/>
      </w:pBdr>
      <w:jc w:val="center"/>
      <w:rPr>
        <w:lang w:val="en-US"/>
      </w:rPr>
    </w:pPr>
    <w:r>
      <w:rPr>
        <w:iCs/>
        <w:sz w:val="22"/>
        <w:szCs w:val="26"/>
        <w:lang w:val="en-US"/>
      </w:rPr>
      <w:t>Risk Reporting:</w:t>
    </w:r>
    <w:r>
      <w:rPr>
        <w:i/>
        <w:sz w:val="22"/>
        <w:szCs w:val="26"/>
        <w:lang w:val="en-US"/>
      </w:rPr>
      <w:t xml:space="preserve"> The influence of the financial crisis</w:t>
    </w:r>
  </w:p>
  <w:p w:rsidR="00F073FE" w:rsidRDefault="00F073FE" w:rsidP="00176384">
    <w:pPr>
      <w:pStyle w:val="Header"/>
      <w:jc w:val="center"/>
      <w:rPr>
        <w:lang w:val="en-US"/>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3FE" w:rsidRDefault="00F073FE">
    <w:pPr>
      <w:pStyle w:val="Header"/>
      <w:pBdr>
        <w:bottom w:val="single" w:sz="12" w:space="1" w:color="000080"/>
      </w:pBdr>
      <w:jc w:val="center"/>
      <w:rPr>
        <w:lang w:val="en-US"/>
      </w:rPr>
    </w:pPr>
    <w:r>
      <w:rPr>
        <w:iCs/>
        <w:sz w:val="22"/>
        <w:szCs w:val="26"/>
        <w:lang w:val="en-US"/>
      </w:rPr>
      <w:t>Risk Reporting:</w:t>
    </w:r>
    <w:r>
      <w:rPr>
        <w:i/>
        <w:sz w:val="22"/>
        <w:szCs w:val="26"/>
        <w:lang w:val="en-US"/>
      </w:rPr>
      <w:t xml:space="preserve"> The influence of the financial crisis</w:t>
    </w:r>
  </w:p>
  <w:p w:rsidR="00F073FE" w:rsidRDefault="00F073FE">
    <w:pPr>
      <w:pStyle w:val="Header"/>
      <w:rPr>
        <w:lang w:val="en-US"/>
      </w:rPr>
    </w:pPr>
  </w:p>
  <w:p w:rsidR="00F073FE" w:rsidRDefault="00F073FE">
    <w:pPr>
      <w:pStyle w:val="Header"/>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37CE2A8A"/>
    <w:lvl w:ilvl="0">
      <w:start w:val="1"/>
      <w:numFmt w:val="decimal"/>
      <w:pStyle w:val="Heading1"/>
      <w:lvlText w:val="%1"/>
      <w:lvlJc w:val="left"/>
      <w:pPr>
        <w:tabs>
          <w:tab w:val="num" w:pos="720"/>
        </w:tabs>
        <w:ind w:left="720" w:hanging="720"/>
      </w:pPr>
      <w:rPr>
        <w:rFonts w:ascii="Times New Roman" w:hAnsi="Times New Roman" w:cs="Times New Roman" w:hint="default"/>
        <w:b/>
        <w:i w:val="0"/>
        <w:sz w:val="24"/>
        <w:szCs w:val="24"/>
      </w:rPr>
    </w:lvl>
    <w:lvl w:ilvl="1">
      <w:start w:val="1"/>
      <w:numFmt w:val="decimal"/>
      <w:pStyle w:val="Heading2"/>
      <w:lvlText w:val="%1.%2"/>
      <w:lvlJc w:val="left"/>
      <w:pPr>
        <w:tabs>
          <w:tab w:val="num" w:pos="720"/>
        </w:tabs>
        <w:ind w:left="720" w:hanging="720"/>
      </w:pPr>
      <w:rPr>
        <w:rFonts w:ascii="Times New Roman" w:hAnsi="Times New Roman" w:cs="Times New Roman" w:hint="default"/>
        <w:b/>
        <w:i w:val="0"/>
        <w:sz w:val="22"/>
        <w:szCs w:val="22"/>
      </w:rPr>
    </w:lvl>
    <w:lvl w:ilvl="2">
      <w:start w:val="1"/>
      <w:numFmt w:val="decimal"/>
      <w:pStyle w:val="Heading3"/>
      <w:lvlText w:val="%1.%2.%3"/>
      <w:lvlJc w:val="left"/>
      <w:pPr>
        <w:tabs>
          <w:tab w:val="num" w:pos="720"/>
        </w:tabs>
        <w:ind w:left="720" w:hanging="720"/>
      </w:pPr>
      <w:rPr>
        <w:rFonts w:ascii="Times New Roman" w:hAnsi="Times New Roman" w:cs="Times New Roman" w:hint="default"/>
        <w:b w:val="0"/>
        <w:i/>
        <w:sz w:val="22"/>
        <w:szCs w:val="22"/>
      </w:rPr>
    </w:lvl>
    <w:lvl w:ilvl="3">
      <w:start w:val="1"/>
      <w:numFmt w:val="decimal"/>
      <w:pStyle w:val="Heading4"/>
      <w:suff w:val="nothing"/>
      <w:lvlText w:val="%1.%2.%3.%4"/>
      <w:lvlJc w:val="left"/>
      <w:pPr>
        <w:tabs>
          <w:tab w:val="num" w:pos="720"/>
        </w:tabs>
        <w:ind w:left="720" w:hanging="720"/>
      </w:pPr>
      <w:rPr>
        <w:rFonts w:ascii="EYInterstate Light" w:hAnsi="EYInterstate Light" w:hint="default"/>
        <w:b/>
        <w:i w:val="0"/>
        <w:sz w:val="22"/>
      </w:rPr>
    </w:lvl>
    <w:lvl w:ilvl="4">
      <w:start w:val="1"/>
      <w:numFmt w:val="decimal"/>
      <w:pStyle w:val="Heading5"/>
      <w:lvlText w:val="(%5)"/>
      <w:lvlJc w:val="left"/>
      <w:pPr>
        <w:tabs>
          <w:tab w:val="num" w:pos="0"/>
        </w:tabs>
        <w:ind w:left="3576" w:hanging="708"/>
      </w:pPr>
      <w:rPr>
        <w:rFonts w:hint="default"/>
      </w:rPr>
    </w:lvl>
    <w:lvl w:ilvl="5">
      <w:start w:val="1"/>
      <w:numFmt w:val="lowerLetter"/>
      <w:pStyle w:val="Heading6"/>
      <w:lvlText w:val="(%6)"/>
      <w:lvlJc w:val="left"/>
      <w:pPr>
        <w:tabs>
          <w:tab w:val="num" w:pos="0"/>
        </w:tabs>
        <w:ind w:left="4284" w:hanging="708"/>
      </w:pPr>
      <w:rPr>
        <w:rFonts w:hint="default"/>
      </w:rPr>
    </w:lvl>
    <w:lvl w:ilvl="6">
      <w:start w:val="1"/>
      <w:numFmt w:val="lowerRoman"/>
      <w:pStyle w:val="Heading7"/>
      <w:lvlText w:val="(%7)"/>
      <w:lvlJc w:val="left"/>
      <w:pPr>
        <w:tabs>
          <w:tab w:val="num" w:pos="0"/>
        </w:tabs>
        <w:ind w:left="4992" w:hanging="708"/>
      </w:pPr>
      <w:rPr>
        <w:rFonts w:hint="default"/>
      </w:rPr>
    </w:lvl>
    <w:lvl w:ilvl="7">
      <w:start w:val="1"/>
      <w:numFmt w:val="lowerLetter"/>
      <w:pStyle w:val="Heading8"/>
      <w:lvlText w:val="(%8)"/>
      <w:lvlJc w:val="left"/>
      <w:pPr>
        <w:tabs>
          <w:tab w:val="num" w:pos="0"/>
        </w:tabs>
        <w:ind w:left="5700" w:hanging="708"/>
      </w:pPr>
      <w:rPr>
        <w:rFonts w:hint="default"/>
      </w:rPr>
    </w:lvl>
    <w:lvl w:ilvl="8">
      <w:start w:val="1"/>
      <w:numFmt w:val="lowerRoman"/>
      <w:pStyle w:val="Heading9"/>
      <w:lvlText w:val="(%9)"/>
      <w:lvlJc w:val="left"/>
      <w:pPr>
        <w:tabs>
          <w:tab w:val="num" w:pos="0"/>
        </w:tabs>
        <w:ind w:left="6408" w:hanging="708"/>
      </w:pPr>
      <w:rPr>
        <w:rFonts w:hint="default"/>
      </w:rPr>
    </w:lvl>
  </w:abstractNum>
  <w:abstractNum w:abstractNumId="1">
    <w:nsid w:val="28A87307"/>
    <w:multiLevelType w:val="hybridMultilevel"/>
    <w:tmpl w:val="E63E66D0"/>
    <w:lvl w:ilvl="0" w:tplc="E0F6DD68">
      <w:start w:val="1"/>
      <w:numFmt w:val="decimal"/>
      <w:lvlRestart w:val="0"/>
      <w:pStyle w:val="ListNumber"/>
      <w:lvlText w:val="%1"/>
      <w:lvlJc w:val="left"/>
      <w:pPr>
        <w:tabs>
          <w:tab w:val="num" w:pos="567"/>
        </w:tabs>
        <w:ind w:left="567" w:hanging="567"/>
      </w:pPr>
      <w:rPr>
        <w:rFonts w:ascii="EYInterstate Light" w:hAnsi="EYInterstate Light" w:cs="Tunga" w:hint="default"/>
        <w:b w:val="0"/>
        <w:i w:val="0"/>
        <w:sz w:val="22"/>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
    <w:nsid w:val="2FF62636"/>
    <w:multiLevelType w:val="hybridMultilevel"/>
    <w:tmpl w:val="F0E62674"/>
    <w:lvl w:ilvl="0" w:tplc="9648E48A">
      <w:start w:val="1"/>
      <w:numFmt w:val="bullet"/>
      <w:lvlRestart w:val="0"/>
      <w:pStyle w:val="ListBullet"/>
      <w:lvlText w:val="—"/>
      <w:lvlJc w:val="left"/>
      <w:pPr>
        <w:tabs>
          <w:tab w:val="num" w:pos="567"/>
        </w:tabs>
        <w:ind w:left="567"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310A1C37"/>
    <w:multiLevelType w:val="hybridMultilevel"/>
    <w:tmpl w:val="37F874B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39727E72"/>
    <w:multiLevelType w:val="multilevel"/>
    <w:tmpl w:val="3D9AD0EA"/>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i/>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5">
    <w:nsid w:val="3F4E45E5"/>
    <w:multiLevelType w:val="hybridMultilevel"/>
    <w:tmpl w:val="0B3ECD26"/>
    <w:lvl w:ilvl="0" w:tplc="CF767D90">
      <w:start w:val="1"/>
      <w:numFmt w:val="bullet"/>
      <w:lvlRestart w:val="0"/>
      <w:pStyle w:val="ListBullet2"/>
      <w:lvlText w:val="—"/>
      <w:lvlJc w:val="left"/>
      <w:pPr>
        <w:tabs>
          <w:tab w:val="num" w:pos="1134"/>
        </w:tabs>
        <w:ind w:left="1134"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2007"/>
        </w:tabs>
        <w:ind w:left="2007" w:hanging="360"/>
      </w:pPr>
      <w:rPr>
        <w:rFonts w:ascii="Courier New" w:hAnsi="Courier New" w:cs="Courier New" w:hint="default"/>
      </w:rPr>
    </w:lvl>
    <w:lvl w:ilvl="2" w:tplc="04130005" w:tentative="1">
      <w:start w:val="1"/>
      <w:numFmt w:val="bullet"/>
      <w:lvlText w:val=""/>
      <w:lvlJc w:val="left"/>
      <w:pPr>
        <w:tabs>
          <w:tab w:val="num" w:pos="2727"/>
        </w:tabs>
        <w:ind w:left="2727" w:hanging="360"/>
      </w:pPr>
      <w:rPr>
        <w:rFonts w:ascii="Wingdings" w:hAnsi="Wingdings" w:hint="default"/>
      </w:rPr>
    </w:lvl>
    <w:lvl w:ilvl="3" w:tplc="04130001" w:tentative="1">
      <w:start w:val="1"/>
      <w:numFmt w:val="bullet"/>
      <w:lvlText w:val=""/>
      <w:lvlJc w:val="left"/>
      <w:pPr>
        <w:tabs>
          <w:tab w:val="num" w:pos="3447"/>
        </w:tabs>
        <w:ind w:left="3447" w:hanging="360"/>
      </w:pPr>
      <w:rPr>
        <w:rFonts w:ascii="Symbol" w:hAnsi="Symbol" w:hint="default"/>
      </w:rPr>
    </w:lvl>
    <w:lvl w:ilvl="4" w:tplc="04130003" w:tentative="1">
      <w:start w:val="1"/>
      <w:numFmt w:val="bullet"/>
      <w:lvlText w:val="o"/>
      <w:lvlJc w:val="left"/>
      <w:pPr>
        <w:tabs>
          <w:tab w:val="num" w:pos="4167"/>
        </w:tabs>
        <w:ind w:left="4167" w:hanging="360"/>
      </w:pPr>
      <w:rPr>
        <w:rFonts w:ascii="Courier New" w:hAnsi="Courier New" w:cs="Courier New" w:hint="default"/>
      </w:rPr>
    </w:lvl>
    <w:lvl w:ilvl="5" w:tplc="04130005" w:tentative="1">
      <w:start w:val="1"/>
      <w:numFmt w:val="bullet"/>
      <w:lvlText w:val=""/>
      <w:lvlJc w:val="left"/>
      <w:pPr>
        <w:tabs>
          <w:tab w:val="num" w:pos="4887"/>
        </w:tabs>
        <w:ind w:left="4887" w:hanging="360"/>
      </w:pPr>
      <w:rPr>
        <w:rFonts w:ascii="Wingdings" w:hAnsi="Wingdings" w:hint="default"/>
      </w:rPr>
    </w:lvl>
    <w:lvl w:ilvl="6" w:tplc="04130001" w:tentative="1">
      <w:start w:val="1"/>
      <w:numFmt w:val="bullet"/>
      <w:lvlText w:val=""/>
      <w:lvlJc w:val="left"/>
      <w:pPr>
        <w:tabs>
          <w:tab w:val="num" w:pos="5607"/>
        </w:tabs>
        <w:ind w:left="5607" w:hanging="360"/>
      </w:pPr>
      <w:rPr>
        <w:rFonts w:ascii="Symbol" w:hAnsi="Symbol" w:hint="default"/>
      </w:rPr>
    </w:lvl>
    <w:lvl w:ilvl="7" w:tplc="04130003" w:tentative="1">
      <w:start w:val="1"/>
      <w:numFmt w:val="bullet"/>
      <w:lvlText w:val="o"/>
      <w:lvlJc w:val="left"/>
      <w:pPr>
        <w:tabs>
          <w:tab w:val="num" w:pos="6327"/>
        </w:tabs>
        <w:ind w:left="6327" w:hanging="360"/>
      </w:pPr>
      <w:rPr>
        <w:rFonts w:ascii="Courier New" w:hAnsi="Courier New" w:cs="Courier New" w:hint="default"/>
      </w:rPr>
    </w:lvl>
    <w:lvl w:ilvl="8" w:tplc="04130005" w:tentative="1">
      <w:start w:val="1"/>
      <w:numFmt w:val="bullet"/>
      <w:lvlText w:val=""/>
      <w:lvlJc w:val="left"/>
      <w:pPr>
        <w:tabs>
          <w:tab w:val="num" w:pos="7047"/>
        </w:tabs>
        <w:ind w:left="7047" w:hanging="360"/>
      </w:pPr>
      <w:rPr>
        <w:rFonts w:ascii="Wingdings" w:hAnsi="Wingdings" w:hint="default"/>
      </w:rPr>
    </w:lvl>
  </w:abstractNum>
  <w:abstractNum w:abstractNumId="6">
    <w:nsid w:val="4DA87CC9"/>
    <w:multiLevelType w:val="multilevel"/>
    <w:tmpl w:val="9FE6E420"/>
    <w:lvl w:ilvl="0">
      <w:start w:val="1"/>
      <w:numFmt w:val="decimal"/>
      <w:pStyle w:val="BijlageHeading1"/>
      <w:lvlText w:val="%1"/>
      <w:lvlJc w:val="left"/>
      <w:pPr>
        <w:tabs>
          <w:tab w:val="num" w:pos="720"/>
        </w:tabs>
        <w:ind w:left="720" w:hanging="720"/>
      </w:pPr>
      <w:rPr>
        <w:rFonts w:ascii="EYInterstate Light" w:hAnsi="EYInterstate Light" w:hint="default"/>
        <w:b/>
        <w:i w:val="0"/>
        <w:sz w:val="28"/>
      </w:rPr>
    </w:lvl>
    <w:lvl w:ilvl="1">
      <w:start w:val="1"/>
      <w:numFmt w:val="decimal"/>
      <w:pStyle w:val="BijlageHeading2"/>
      <w:lvlText w:val="%1.%2"/>
      <w:lvlJc w:val="left"/>
      <w:pPr>
        <w:tabs>
          <w:tab w:val="num" w:pos="720"/>
        </w:tabs>
        <w:ind w:left="720" w:hanging="720"/>
      </w:pPr>
      <w:rPr>
        <w:rFonts w:ascii="EYInterstate Light" w:hAnsi="EYInterstate Light" w:hint="default"/>
        <w:b/>
        <w:i w:val="0"/>
        <w:sz w:val="26"/>
      </w:rPr>
    </w:lvl>
    <w:lvl w:ilvl="2">
      <w:start w:val="1"/>
      <w:numFmt w:val="decimal"/>
      <w:pStyle w:val="BijlageHeading3"/>
      <w:lvlText w:val="%1.%2.%3"/>
      <w:lvlJc w:val="left"/>
      <w:pPr>
        <w:tabs>
          <w:tab w:val="num" w:pos="720"/>
        </w:tabs>
        <w:ind w:left="720" w:hanging="720"/>
      </w:pPr>
      <w:rPr>
        <w:rFonts w:ascii="EYInterstate Light" w:hAnsi="EYInterstate Light" w:hint="default"/>
        <w:b/>
        <w:i w:val="0"/>
        <w:sz w:val="24"/>
      </w:rPr>
    </w:lvl>
    <w:lvl w:ilvl="3">
      <w:start w:val="1"/>
      <w:numFmt w:val="decimal"/>
      <w:pStyle w:val="BijlageHeading4"/>
      <w:suff w:val="nothing"/>
      <w:lvlText w:val="%1.%2.%3.%4"/>
      <w:lvlJc w:val="left"/>
      <w:pPr>
        <w:ind w:left="720" w:hanging="720"/>
      </w:pPr>
      <w:rPr>
        <w:rFonts w:ascii="EYInterstate Light" w:hAnsi="EYInterstate Light" w:hint="default"/>
        <w:b w:val="0"/>
        <w:i w:val="0"/>
        <w:sz w:val="24"/>
      </w:rPr>
    </w:lvl>
    <w:lvl w:ilvl="4">
      <w:start w:val="1"/>
      <w:numFmt w:val="decimal"/>
      <w:lvlText w:val="(%5)"/>
      <w:lvlJc w:val="left"/>
      <w:pPr>
        <w:tabs>
          <w:tab w:val="num" w:pos="0"/>
        </w:tabs>
        <w:ind w:left="3588" w:hanging="708"/>
      </w:pPr>
      <w:rPr>
        <w:rFonts w:hint="default"/>
      </w:rPr>
    </w:lvl>
    <w:lvl w:ilvl="5">
      <w:start w:val="1"/>
      <w:numFmt w:val="lowerLetter"/>
      <w:lvlText w:val="(%6)"/>
      <w:lvlJc w:val="left"/>
      <w:pPr>
        <w:tabs>
          <w:tab w:val="num" w:pos="0"/>
        </w:tabs>
        <w:ind w:left="4296" w:hanging="708"/>
      </w:pPr>
      <w:rPr>
        <w:rFonts w:hint="default"/>
      </w:rPr>
    </w:lvl>
    <w:lvl w:ilvl="6">
      <w:start w:val="1"/>
      <w:numFmt w:val="lowerRoman"/>
      <w:lvlText w:val="(%7)"/>
      <w:lvlJc w:val="left"/>
      <w:pPr>
        <w:tabs>
          <w:tab w:val="num" w:pos="0"/>
        </w:tabs>
        <w:ind w:left="5004" w:hanging="708"/>
      </w:pPr>
      <w:rPr>
        <w:rFonts w:hint="default"/>
      </w:rPr>
    </w:lvl>
    <w:lvl w:ilvl="7">
      <w:start w:val="1"/>
      <w:numFmt w:val="lowerLetter"/>
      <w:lvlText w:val="(%8)"/>
      <w:lvlJc w:val="left"/>
      <w:pPr>
        <w:tabs>
          <w:tab w:val="num" w:pos="0"/>
        </w:tabs>
        <w:ind w:left="5712" w:hanging="708"/>
      </w:pPr>
      <w:rPr>
        <w:rFonts w:hint="default"/>
      </w:rPr>
    </w:lvl>
    <w:lvl w:ilvl="8">
      <w:start w:val="1"/>
      <w:numFmt w:val="lowerRoman"/>
      <w:lvlText w:val="(%9)"/>
      <w:lvlJc w:val="left"/>
      <w:pPr>
        <w:tabs>
          <w:tab w:val="num" w:pos="0"/>
        </w:tabs>
        <w:ind w:left="6420" w:hanging="708"/>
      </w:pPr>
      <w:rPr>
        <w:rFonts w:hint="default"/>
      </w:rPr>
    </w:lvl>
  </w:abstractNum>
  <w:abstractNum w:abstractNumId="7">
    <w:nsid w:val="583D6E2F"/>
    <w:multiLevelType w:val="hybridMultilevel"/>
    <w:tmpl w:val="6ED07FF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5B341908"/>
    <w:multiLevelType w:val="hybridMultilevel"/>
    <w:tmpl w:val="2D3A862E"/>
    <w:lvl w:ilvl="0" w:tplc="04130001">
      <w:start w:val="1"/>
      <w:numFmt w:val="bullet"/>
      <w:lvlText w:val=""/>
      <w:lvlJc w:val="left"/>
      <w:pPr>
        <w:ind w:left="720" w:hanging="360"/>
      </w:pPr>
      <w:rPr>
        <w:rFonts w:ascii="Symbol" w:hAnsi="Symbol" w:hint="default"/>
      </w:rPr>
    </w:lvl>
    <w:lvl w:ilvl="1" w:tplc="305A7A38">
      <w:start w:val="16"/>
      <w:numFmt w:val="bullet"/>
      <w:lvlText w:val="-"/>
      <w:lvlJc w:val="left"/>
      <w:pPr>
        <w:tabs>
          <w:tab w:val="num" w:pos="1440"/>
        </w:tabs>
        <w:ind w:left="1440" w:hanging="360"/>
      </w:pPr>
      <w:rPr>
        <w:rFonts w:ascii="Times New Roman" w:eastAsia="Times New Roman" w:hAnsi="Times New Roman" w:cs="Times New Roman"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62A76D86"/>
    <w:multiLevelType w:val="hybridMultilevel"/>
    <w:tmpl w:val="E72033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6B363445"/>
    <w:multiLevelType w:val="hybridMultilevel"/>
    <w:tmpl w:val="04A692EA"/>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775D74A4"/>
    <w:multiLevelType w:val="hybridMultilevel"/>
    <w:tmpl w:val="B9323CF0"/>
    <w:lvl w:ilvl="0" w:tplc="31A04502">
      <w:start w:val="1"/>
      <w:numFmt w:val="bullet"/>
      <w:lvlRestart w:val="0"/>
      <w:pStyle w:val="ListBullet3"/>
      <w:lvlText w:val="—"/>
      <w:lvlJc w:val="left"/>
      <w:pPr>
        <w:tabs>
          <w:tab w:val="num" w:pos="1701"/>
        </w:tabs>
        <w:ind w:left="1701" w:hanging="567"/>
      </w:pPr>
      <w:rPr>
        <w:rFonts w:ascii="EYInterstate Light" w:hAnsi="EYInterstate Light" w:cs="Times New Roman" w:hint="default"/>
        <w:b w:val="0"/>
        <w:i w:val="0"/>
        <w:sz w:val="22"/>
      </w:rPr>
    </w:lvl>
    <w:lvl w:ilvl="1" w:tplc="04130003" w:tentative="1">
      <w:start w:val="1"/>
      <w:numFmt w:val="bullet"/>
      <w:lvlText w:val="o"/>
      <w:lvlJc w:val="left"/>
      <w:pPr>
        <w:tabs>
          <w:tab w:val="num" w:pos="2574"/>
        </w:tabs>
        <w:ind w:left="2574" w:hanging="360"/>
      </w:pPr>
      <w:rPr>
        <w:rFonts w:ascii="Courier New" w:hAnsi="Courier New" w:cs="Courier New" w:hint="default"/>
      </w:rPr>
    </w:lvl>
    <w:lvl w:ilvl="2" w:tplc="04130005" w:tentative="1">
      <w:start w:val="1"/>
      <w:numFmt w:val="bullet"/>
      <w:lvlText w:val=""/>
      <w:lvlJc w:val="left"/>
      <w:pPr>
        <w:tabs>
          <w:tab w:val="num" w:pos="3294"/>
        </w:tabs>
        <w:ind w:left="3294" w:hanging="360"/>
      </w:pPr>
      <w:rPr>
        <w:rFonts w:ascii="Wingdings" w:hAnsi="Wingdings" w:hint="default"/>
      </w:rPr>
    </w:lvl>
    <w:lvl w:ilvl="3" w:tplc="04130001" w:tentative="1">
      <w:start w:val="1"/>
      <w:numFmt w:val="bullet"/>
      <w:lvlText w:val=""/>
      <w:lvlJc w:val="left"/>
      <w:pPr>
        <w:tabs>
          <w:tab w:val="num" w:pos="4014"/>
        </w:tabs>
        <w:ind w:left="4014" w:hanging="360"/>
      </w:pPr>
      <w:rPr>
        <w:rFonts w:ascii="Symbol" w:hAnsi="Symbol" w:hint="default"/>
      </w:rPr>
    </w:lvl>
    <w:lvl w:ilvl="4" w:tplc="04130003" w:tentative="1">
      <w:start w:val="1"/>
      <w:numFmt w:val="bullet"/>
      <w:lvlText w:val="o"/>
      <w:lvlJc w:val="left"/>
      <w:pPr>
        <w:tabs>
          <w:tab w:val="num" w:pos="4734"/>
        </w:tabs>
        <w:ind w:left="4734" w:hanging="360"/>
      </w:pPr>
      <w:rPr>
        <w:rFonts w:ascii="Courier New" w:hAnsi="Courier New" w:cs="Courier New" w:hint="default"/>
      </w:rPr>
    </w:lvl>
    <w:lvl w:ilvl="5" w:tplc="04130005" w:tentative="1">
      <w:start w:val="1"/>
      <w:numFmt w:val="bullet"/>
      <w:lvlText w:val=""/>
      <w:lvlJc w:val="left"/>
      <w:pPr>
        <w:tabs>
          <w:tab w:val="num" w:pos="5454"/>
        </w:tabs>
        <w:ind w:left="5454" w:hanging="360"/>
      </w:pPr>
      <w:rPr>
        <w:rFonts w:ascii="Wingdings" w:hAnsi="Wingdings" w:hint="default"/>
      </w:rPr>
    </w:lvl>
    <w:lvl w:ilvl="6" w:tplc="04130001" w:tentative="1">
      <w:start w:val="1"/>
      <w:numFmt w:val="bullet"/>
      <w:lvlText w:val=""/>
      <w:lvlJc w:val="left"/>
      <w:pPr>
        <w:tabs>
          <w:tab w:val="num" w:pos="6174"/>
        </w:tabs>
        <w:ind w:left="6174" w:hanging="360"/>
      </w:pPr>
      <w:rPr>
        <w:rFonts w:ascii="Symbol" w:hAnsi="Symbol" w:hint="default"/>
      </w:rPr>
    </w:lvl>
    <w:lvl w:ilvl="7" w:tplc="04130003" w:tentative="1">
      <w:start w:val="1"/>
      <w:numFmt w:val="bullet"/>
      <w:lvlText w:val="o"/>
      <w:lvlJc w:val="left"/>
      <w:pPr>
        <w:tabs>
          <w:tab w:val="num" w:pos="6894"/>
        </w:tabs>
        <w:ind w:left="6894" w:hanging="360"/>
      </w:pPr>
      <w:rPr>
        <w:rFonts w:ascii="Courier New" w:hAnsi="Courier New" w:cs="Courier New" w:hint="default"/>
      </w:rPr>
    </w:lvl>
    <w:lvl w:ilvl="8" w:tplc="04130005" w:tentative="1">
      <w:start w:val="1"/>
      <w:numFmt w:val="bullet"/>
      <w:lvlText w:val=""/>
      <w:lvlJc w:val="left"/>
      <w:pPr>
        <w:tabs>
          <w:tab w:val="num" w:pos="7614"/>
        </w:tabs>
        <w:ind w:left="7614" w:hanging="360"/>
      </w:pPr>
      <w:rPr>
        <w:rFonts w:ascii="Wingdings" w:hAnsi="Wingdings" w:hint="default"/>
      </w:rPr>
    </w:lvl>
  </w:abstractNum>
  <w:num w:numId="1">
    <w:abstractNumId w:val="6"/>
  </w:num>
  <w:num w:numId="2">
    <w:abstractNumId w:val="0"/>
  </w:num>
  <w:num w:numId="3">
    <w:abstractNumId w:val="0"/>
  </w:num>
  <w:num w:numId="4">
    <w:abstractNumId w:val="2"/>
  </w:num>
  <w:num w:numId="5">
    <w:abstractNumId w:val="5"/>
  </w:num>
  <w:num w:numId="6">
    <w:abstractNumId w:val="11"/>
  </w:num>
  <w:num w:numId="7">
    <w:abstractNumId w:val="1"/>
  </w:num>
  <w:num w:numId="8">
    <w:abstractNumId w:val="9"/>
  </w:num>
  <w:num w:numId="9">
    <w:abstractNumId w:val="4"/>
  </w:num>
  <w:num w:numId="10">
    <w:abstractNumId w:val="3"/>
  </w:num>
  <w:num w:numId="11">
    <w:abstractNumId w:val="7"/>
  </w:num>
  <w:num w:numId="12">
    <w:abstractNumId w:val="8"/>
  </w:num>
  <w:num w:numId="13">
    <w:abstractNumId w:val="10"/>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567"/>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E4097"/>
    <w:rsid w:val="00030D32"/>
    <w:rsid w:val="00041467"/>
    <w:rsid w:val="00042B39"/>
    <w:rsid w:val="00063054"/>
    <w:rsid w:val="000765DA"/>
    <w:rsid w:val="000843EC"/>
    <w:rsid w:val="0009424C"/>
    <w:rsid w:val="000A7C3A"/>
    <w:rsid w:val="000C4E20"/>
    <w:rsid w:val="00141EE8"/>
    <w:rsid w:val="001428CB"/>
    <w:rsid w:val="001659ED"/>
    <w:rsid w:val="00176384"/>
    <w:rsid w:val="00181B11"/>
    <w:rsid w:val="00182378"/>
    <w:rsid w:val="00182F32"/>
    <w:rsid w:val="00196F21"/>
    <w:rsid w:val="001A1491"/>
    <w:rsid w:val="001B0A25"/>
    <w:rsid w:val="001B15F9"/>
    <w:rsid w:val="001C3E94"/>
    <w:rsid w:val="001D170D"/>
    <w:rsid w:val="001D26C8"/>
    <w:rsid w:val="001E07A0"/>
    <w:rsid w:val="001E1199"/>
    <w:rsid w:val="001E2CD4"/>
    <w:rsid w:val="001F1677"/>
    <w:rsid w:val="001F34AD"/>
    <w:rsid w:val="001F4FB1"/>
    <w:rsid w:val="0020039B"/>
    <w:rsid w:val="00240F93"/>
    <w:rsid w:val="00241F60"/>
    <w:rsid w:val="002456F8"/>
    <w:rsid w:val="00277943"/>
    <w:rsid w:val="00285754"/>
    <w:rsid w:val="002A227B"/>
    <w:rsid w:val="002C0786"/>
    <w:rsid w:val="002C2152"/>
    <w:rsid w:val="002C35BA"/>
    <w:rsid w:val="002D3062"/>
    <w:rsid w:val="002D62E0"/>
    <w:rsid w:val="002D72B0"/>
    <w:rsid w:val="002E05CA"/>
    <w:rsid w:val="002E0F83"/>
    <w:rsid w:val="002F167F"/>
    <w:rsid w:val="003201C3"/>
    <w:rsid w:val="00335523"/>
    <w:rsid w:val="00337ABA"/>
    <w:rsid w:val="00352DC9"/>
    <w:rsid w:val="003617C3"/>
    <w:rsid w:val="0036766B"/>
    <w:rsid w:val="00371835"/>
    <w:rsid w:val="0037642F"/>
    <w:rsid w:val="0037650C"/>
    <w:rsid w:val="00396C40"/>
    <w:rsid w:val="003A4948"/>
    <w:rsid w:val="003A756E"/>
    <w:rsid w:val="00405E20"/>
    <w:rsid w:val="0040730F"/>
    <w:rsid w:val="00417EFE"/>
    <w:rsid w:val="0043106F"/>
    <w:rsid w:val="00431E99"/>
    <w:rsid w:val="00455F88"/>
    <w:rsid w:val="00463913"/>
    <w:rsid w:val="0046517D"/>
    <w:rsid w:val="00466506"/>
    <w:rsid w:val="00477BE0"/>
    <w:rsid w:val="00480E54"/>
    <w:rsid w:val="00487749"/>
    <w:rsid w:val="00496FC3"/>
    <w:rsid w:val="0049788B"/>
    <w:rsid w:val="004A3F38"/>
    <w:rsid w:val="004D008F"/>
    <w:rsid w:val="004D7789"/>
    <w:rsid w:val="004E0F66"/>
    <w:rsid w:val="004E5748"/>
    <w:rsid w:val="00504BCD"/>
    <w:rsid w:val="005064C9"/>
    <w:rsid w:val="00521638"/>
    <w:rsid w:val="00547299"/>
    <w:rsid w:val="005500EF"/>
    <w:rsid w:val="00554605"/>
    <w:rsid w:val="005600FE"/>
    <w:rsid w:val="00560863"/>
    <w:rsid w:val="005633A6"/>
    <w:rsid w:val="00566852"/>
    <w:rsid w:val="00566B96"/>
    <w:rsid w:val="00567AAD"/>
    <w:rsid w:val="0057101E"/>
    <w:rsid w:val="0058431C"/>
    <w:rsid w:val="00586A84"/>
    <w:rsid w:val="005A08F6"/>
    <w:rsid w:val="005B0BF9"/>
    <w:rsid w:val="005B5C0E"/>
    <w:rsid w:val="005B6FD8"/>
    <w:rsid w:val="005C1394"/>
    <w:rsid w:val="005C4EFD"/>
    <w:rsid w:val="005C50C0"/>
    <w:rsid w:val="005E3808"/>
    <w:rsid w:val="00614248"/>
    <w:rsid w:val="006143AD"/>
    <w:rsid w:val="00614BE1"/>
    <w:rsid w:val="006168CD"/>
    <w:rsid w:val="00623868"/>
    <w:rsid w:val="00667825"/>
    <w:rsid w:val="00670220"/>
    <w:rsid w:val="00674425"/>
    <w:rsid w:val="006A402F"/>
    <w:rsid w:val="006A613E"/>
    <w:rsid w:val="006A6A0F"/>
    <w:rsid w:val="006F726A"/>
    <w:rsid w:val="00704A45"/>
    <w:rsid w:val="00727BC0"/>
    <w:rsid w:val="00736AEE"/>
    <w:rsid w:val="0075791D"/>
    <w:rsid w:val="00791D97"/>
    <w:rsid w:val="007A7358"/>
    <w:rsid w:val="007B0652"/>
    <w:rsid w:val="007B10E4"/>
    <w:rsid w:val="007C1A3A"/>
    <w:rsid w:val="007C70EA"/>
    <w:rsid w:val="007E3DD5"/>
    <w:rsid w:val="007E6715"/>
    <w:rsid w:val="007F13A0"/>
    <w:rsid w:val="007F73B5"/>
    <w:rsid w:val="00801AC1"/>
    <w:rsid w:val="008043D6"/>
    <w:rsid w:val="00805595"/>
    <w:rsid w:val="008131D1"/>
    <w:rsid w:val="008140F7"/>
    <w:rsid w:val="0081795B"/>
    <w:rsid w:val="008213A6"/>
    <w:rsid w:val="0082468A"/>
    <w:rsid w:val="00832EE1"/>
    <w:rsid w:val="008734E5"/>
    <w:rsid w:val="00873D0C"/>
    <w:rsid w:val="008744DE"/>
    <w:rsid w:val="00876820"/>
    <w:rsid w:val="00892523"/>
    <w:rsid w:val="00893836"/>
    <w:rsid w:val="00897928"/>
    <w:rsid w:val="008A3A87"/>
    <w:rsid w:val="008B466A"/>
    <w:rsid w:val="008C12EE"/>
    <w:rsid w:val="008C2ED0"/>
    <w:rsid w:val="008D1FCF"/>
    <w:rsid w:val="008F4FCF"/>
    <w:rsid w:val="00912075"/>
    <w:rsid w:val="009336F0"/>
    <w:rsid w:val="009365B2"/>
    <w:rsid w:val="00956811"/>
    <w:rsid w:val="009605C2"/>
    <w:rsid w:val="0096302E"/>
    <w:rsid w:val="009637D2"/>
    <w:rsid w:val="0096448C"/>
    <w:rsid w:val="00982B59"/>
    <w:rsid w:val="00984F81"/>
    <w:rsid w:val="0098506A"/>
    <w:rsid w:val="00986AFB"/>
    <w:rsid w:val="0099147B"/>
    <w:rsid w:val="009A4CC4"/>
    <w:rsid w:val="009B5DF4"/>
    <w:rsid w:val="009C6840"/>
    <w:rsid w:val="009D0974"/>
    <w:rsid w:val="009D09D1"/>
    <w:rsid w:val="009D6025"/>
    <w:rsid w:val="009F1D67"/>
    <w:rsid w:val="00A007F6"/>
    <w:rsid w:val="00A415D9"/>
    <w:rsid w:val="00A52F90"/>
    <w:rsid w:val="00A744C5"/>
    <w:rsid w:val="00A82089"/>
    <w:rsid w:val="00AA081B"/>
    <w:rsid w:val="00AB4AD5"/>
    <w:rsid w:val="00AC7854"/>
    <w:rsid w:val="00AE4097"/>
    <w:rsid w:val="00B029E6"/>
    <w:rsid w:val="00B1373B"/>
    <w:rsid w:val="00B141DE"/>
    <w:rsid w:val="00B32B24"/>
    <w:rsid w:val="00B338FD"/>
    <w:rsid w:val="00B371F8"/>
    <w:rsid w:val="00B4087A"/>
    <w:rsid w:val="00B4119F"/>
    <w:rsid w:val="00B61296"/>
    <w:rsid w:val="00B71B2E"/>
    <w:rsid w:val="00B740BD"/>
    <w:rsid w:val="00B856BA"/>
    <w:rsid w:val="00BA7263"/>
    <w:rsid w:val="00BD1FE5"/>
    <w:rsid w:val="00BF0587"/>
    <w:rsid w:val="00BF4B0A"/>
    <w:rsid w:val="00C4006A"/>
    <w:rsid w:val="00C5394A"/>
    <w:rsid w:val="00C546D0"/>
    <w:rsid w:val="00C56B86"/>
    <w:rsid w:val="00C70B07"/>
    <w:rsid w:val="00C75480"/>
    <w:rsid w:val="00C82497"/>
    <w:rsid w:val="00C936C8"/>
    <w:rsid w:val="00CB1DF0"/>
    <w:rsid w:val="00CC4D77"/>
    <w:rsid w:val="00CE15EB"/>
    <w:rsid w:val="00CE44D0"/>
    <w:rsid w:val="00CF0028"/>
    <w:rsid w:val="00D25059"/>
    <w:rsid w:val="00D306B2"/>
    <w:rsid w:val="00D6520E"/>
    <w:rsid w:val="00D72E48"/>
    <w:rsid w:val="00D77017"/>
    <w:rsid w:val="00D9318D"/>
    <w:rsid w:val="00D95A54"/>
    <w:rsid w:val="00DA71DE"/>
    <w:rsid w:val="00DB535D"/>
    <w:rsid w:val="00DE154D"/>
    <w:rsid w:val="00DE3387"/>
    <w:rsid w:val="00E13FD2"/>
    <w:rsid w:val="00E50EC5"/>
    <w:rsid w:val="00E607FF"/>
    <w:rsid w:val="00E63F75"/>
    <w:rsid w:val="00E729B7"/>
    <w:rsid w:val="00E73BEC"/>
    <w:rsid w:val="00E81FD3"/>
    <w:rsid w:val="00E85C83"/>
    <w:rsid w:val="00EA41EF"/>
    <w:rsid w:val="00EC10A6"/>
    <w:rsid w:val="00ED3CAE"/>
    <w:rsid w:val="00EE102A"/>
    <w:rsid w:val="00EF04DC"/>
    <w:rsid w:val="00EF0A2E"/>
    <w:rsid w:val="00F0625C"/>
    <w:rsid w:val="00F073FE"/>
    <w:rsid w:val="00F1571E"/>
    <w:rsid w:val="00F35FDF"/>
    <w:rsid w:val="00F4747C"/>
    <w:rsid w:val="00F50436"/>
    <w:rsid w:val="00F51D4F"/>
    <w:rsid w:val="00F566DD"/>
    <w:rsid w:val="00F70D0F"/>
    <w:rsid w:val="00F72955"/>
    <w:rsid w:val="00F82947"/>
    <w:rsid w:val="00FB11D4"/>
    <w:rsid w:val="00FB74F1"/>
    <w:rsid w:val="00FC1ED7"/>
    <w:rsid w:val="00FC4EF7"/>
    <w:rsid w:val="00FD4A20"/>
    <w:rsid w:val="00FF321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footer" w:uiPriority="0"/>
    <w:lsdException w:name="caption" w:uiPriority="0" w:qFormat="1"/>
    <w:lsdException w:name="footnote reference" w:uiPriority="0"/>
    <w:lsdException w:name="line number" w:uiPriority="0"/>
    <w:lsdException w:name="page number" w:uiPriority="0"/>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0" w:unhideWhenUsed="0" w:qFormat="1"/>
    <w:lsdException w:name="Normal (Web)" w:uiPriority="0"/>
    <w:lsdException w:name="Balloon Text" w:uiPriority="0"/>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4097"/>
    <w:pPr>
      <w:spacing w:after="0" w:line="240" w:lineRule="auto"/>
    </w:pPr>
    <w:rPr>
      <w:rFonts w:ascii="Times New Roman" w:hAnsi="Times New Roman" w:cs="Times New Roman"/>
      <w:sz w:val="24"/>
      <w:szCs w:val="24"/>
      <w:lang w:eastAsia="nl-NL"/>
    </w:rPr>
  </w:style>
  <w:style w:type="paragraph" w:styleId="Heading1">
    <w:name w:val="heading 1"/>
    <w:aliases w:val="051"/>
    <w:basedOn w:val="000"/>
    <w:next w:val="000"/>
    <w:link w:val="Heading1Char"/>
    <w:qFormat/>
    <w:rsid w:val="001E07A0"/>
    <w:pPr>
      <w:keepNext/>
      <w:numPr>
        <w:numId w:val="3"/>
      </w:numPr>
      <w:spacing w:before="240" w:after="60"/>
      <w:outlineLvl w:val="0"/>
    </w:pPr>
    <w:rPr>
      <w:b/>
      <w:sz w:val="28"/>
    </w:rPr>
  </w:style>
  <w:style w:type="paragraph" w:styleId="Heading2">
    <w:name w:val="heading 2"/>
    <w:aliases w:val="052"/>
    <w:basedOn w:val="Heading1"/>
    <w:next w:val="000"/>
    <w:link w:val="Heading2Char"/>
    <w:qFormat/>
    <w:rsid w:val="001E07A0"/>
    <w:pPr>
      <w:numPr>
        <w:ilvl w:val="1"/>
      </w:numPr>
      <w:outlineLvl w:val="1"/>
    </w:pPr>
    <w:rPr>
      <w:i/>
      <w:sz w:val="26"/>
    </w:rPr>
  </w:style>
  <w:style w:type="paragraph" w:styleId="Heading3">
    <w:name w:val="heading 3"/>
    <w:aliases w:val="053"/>
    <w:basedOn w:val="Heading1"/>
    <w:next w:val="000"/>
    <w:link w:val="Heading3Char"/>
    <w:qFormat/>
    <w:rsid w:val="001E07A0"/>
    <w:pPr>
      <w:numPr>
        <w:ilvl w:val="2"/>
      </w:numPr>
      <w:outlineLvl w:val="2"/>
    </w:pPr>
    <w:rPr>
      <w:sz w:val="24"/>
    </w:rPr>
  </w:style>
  <w:style w:type="paragraph" w:styleId="Heading4">
    <w:name w:val="heading 4"/>
    <w:aliases w:val="054"/>
    <w:basedOn w:val="Heading1"/>
    <w:next w:val="000"/>
    <w:link w:val="Heading4Char"/>
    <w:qFormat/>
    <w:rsid w:val="001E07A0"/>
    <w:pPr>
      <w:numPr>
        <w:ilvl w:val="3"/>
      </w:numPr>
      <w:outlineLvl w:val="3"/>
    </w:pPr>
    <w:rPr>
      <w:b w:val="0"/>
      <w:i/>
      <w:sz w:val="22"/>
    </w:rPr>
  </w:style>
  <w:style w:type="paragraph" w:styleId="Heading5">
    <w:name w:val="heading 5"/>
    <w:basedOn w:val="Normal"/>
    <w:next w:val="Normal"/>
    <w:link w:val="Heading5Char"/>
    <w:qFormat/>
    <w:rsid w:val="001E07A0"/>
    <w:pPr>
      <w:numPr>
        <w:ilvl w:val="4"/>
        <w:numId w:val="3"/>
      </w:numPr>
      <w:spacing w:before="240" w:after="60"/>
      <w:outlineLvl w:val="4"/>
    </w:pPr>
    <w:rPr>
      <w:rFonts w:ascii="Arial" w:hAnsi="Arial"/>
    </w:rPr>
  </w:style>
  <w:style w:type="paragraph" w:styleId="Heading6">
    <w:name w:val="heading 6"/>
    <w:basedOn w:val="Normal"/>
    <w:next w:val="Normal"/>
    <w:link w:val="Heading6Char"/>
    <w:qFormat/>
    <w:rsid w:val="001E07A0"/>
    <w:pPr>
      <w:numPr>
        <w:ilvl w:val="5"/>
        <w:numId w:val="3"/>
      </w:numPr>
      <w:spacing w:before="240" w:after="60"/>
      <w:outlineLvl w:val="5"/>
    </w:pPr>
    <w:rPr>
      <w:i/>
    </w:rPr>
  </w:style>
  <w:style w:type="paragraph" w:styleId="Heading7">
    <w:name w:val="heading 7"/>
    <w:basedOn w:val="Normal"/>
    <w:next w:val="Normal"/>
    <w:link w:val="Heading7Char"/>
    <w:qFormat/>
    <w:rsid w:val="001E07A0"/>
    <w:pPr>
      <w:numPr>
        <w:ilvl w:val="6"/>
        <w:numId w:val="3"/>
      </w:numPr>
      <w:spacing w:before="240" w:after="60"/>
      <w:outlineLvl w:val="6"/>
    </w:pPr>
    <w:rPr>
      <w:rFonts w:ascii="Arial" w:hAnsi="Arial"/>
      <w:sz w:val="20"/>
    </w:rPr>
  </w:style>
  <w:style w:type="paragraph" w:styleId="Heading8">
    <w:name w:val="heading 8"/>
    <w:basedOn w:val="Normal"/>
    <w:next w:val="Normal"/>
    <w:link w:val="Heading8Char"/>
    <w:qFormat/>
    <w:rsid w:val="001E07A0"/>
    <w:pPr>
      <w:numPr>
        <w:ilvl w:val="7"/>
        <w:numId w:val="3"/>
      </w:numPr>
      <w:spacing w:before="240" w:after="60"/>
      <w:outlineLvl w:val="7"/>
    </w:pPr>
    <w:rPr>
      <w:rFonts w:ascii="Arial" w:hAnsi="Arial"/>
      <w:i/>
      <w:sz w:val="20"/>
    </w:rPr>
  </w:style>
  <w:style w:type="paragraph" w:styleId="Heading9">
    <w:name w:val="heading 9"/>
    <w:basedOn w:val="Normal"/>
    <w:next w:val="Normal"/>
    <w:link w:val="Heading9Char"/>
    <w:qFormat/>
    <w:rsid w:val="001E07A0"/>
    <w:pPr>
      <w:numPr>
        <w:ilvl w:val="8"/>
        <w:numId w:val="3"/>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00">
    <w:name w:val="000"/>
    <w:aliases w:val="standaard"/>
    <w:basedOn w:val="Normal"/>
    <w:rsid w:val="001E07A0"/>
  </w:style>
  <w:style w:type="paragraph" w:customStyle="1" w:styleId="001">
    <w:name w:val="001"/>
    <w:aliases w:val="cliëntnummer"/>
    <w:basedOn w:val="000"/>
    <w:rsid w:val="001E07A0"/>
    <w:pPr>
      <w:spacing w:before="660"/>
      <w:jc w:val="right"/>
    </w:pPr>
  </w:style>
  <w:style w:type="paragraph" w:customStyle="1" w:styleId="003">
    <w:name w:val="003"/>
    <w:aliases w:val="bijlage 1 enz."/>
    <w:basedOn w:val="Normal"/>
    <w:next w:val="Normal"/>
    <w:rsid w:val="001E07A0"/>
    <w:pPr>
      <w:spacing w:before="120"/>
      <w:ind w:left="2608"/>
      <w:jc w:val="right"/>
    </w:pPr>
    <w:rPr>
      <w:b/>
    </w:rPr>
  </w:style>
  <w:style w:type="paragraph" w:customStyle="1" w:styleId="004">
    <w:name w:val="004"/>
    <w:aliases w:val="bij rapport d.d."/>
    <w:basedOn w:val="Normal"/>
    <w:next w:val="Normal"/>
    <w:rsid w:val="001E07A0"/>
    <w:pPr>
      <w:ind w:left="2608"/>
      <w:jc w:val="right"/>
    </w:pPr>
  </w:style>
  <w:style w:type="paragraph" w:customStyle="1" w:styleId="005">
    <w:name w:val="005"/>
    <w:aliases w:val="cliënt-naam"/>
    <w:basedOn w:val="Normal"/>
    <w:rsid w:val="001E07A0"/>
    <w:pPr>
      <w:ind w:left="2608"/>
      <w:jc w:val="right"/>
    </w:pPr>
  </w:style>
  <w:style w:type="paragraph" w:customStyle="1" w:styleId="006">
    <w:name w:val="006"/>
    <w:aliases w:val="Titel tekst"/>
    <w:basedOn w:val="Normal"/>
    <w:rsid w:val="001E07A0"/>
    <w:rPr>
      <w:rFonts w:ascii="EYInterstate" w:hAnsi="EYInterstate"/>
      <w:color w:val="646464"/>
      <w:sz w:val="88"/>
      <w:szCs w:val="88"/>
    </w:rPr>
  </w:style>
  <w:style w:type="paragraph" w:customStyle="1" w:styleId="007">
    <w:name w:val="007"/>
    <w:aliases w:val="Subtitel tekst"/>
    <w:basedOn w:val="Normal"/>
    <w:rsid w:val="001E07A0"/>
    <w:pPr>
      <w:spacing w:line="360" w:lineRule="atLeast"/>
    </w:pPr>
    <w:rPr>
      <w:b/>
      <w:color w:val="7F7E82"/>
      <w:sz w:val="28"/>
    </w:rPr>
  </w:style>
  <w:style w:type="paragraph" w:customStyle="1" w:styleId="010">
    <w:name w:val="010"/>
    <w:aliases w:val="venster"/>
    <w:basedOn w:val="000"/>
    <w:rsid w:val="001E07A0"/>
    <w:pPr>
      <w:ind w:left="493"/>
    </w:pPr>
  </w:style>
  <w:style w:type="paragraph" w:customStyle="1" w:styleId="011">
    <w:name w:val="011"/>
    <w:aliases w:val="rapport"/>
    <w:basedOn w:val="010"/>
    <w:next w:val="Normal"/>
    <w:rsid w:val="001E07A0"/>
    <w:pPr>
      <w:spacing w:before="2000" w:after="60"/>
    </w:pPr>
    <w:rPr>
      <w:b/>
      <w:sz w:val="32"/>
    </w:rPr>
  </w:style>
  <w:style w:type="paragraph" w:customStyle="1" w:styleId="012">
    <w:name w:val="012"/>
    <w:aliases w:val="aan"/>
    <w:basedOn w:val="010"/>
    <w:next w:val="Normal"/>
    <w:rsid w:val="001E07A0"/>
    <w:pPr>
      <w:spacing w:after="60"/>
    </w:pPr>
    <w:rPr>
      <w:b/>
    </w:rPr>
  </w:style>
  <w:style w:type="paragraph" w:customStyle="1" w:styleId="013">
    <w:name w:val="013"/>
    <w:aliases w:val="de directie van"/>
    <w:basedOn w:val="010"/>
    <w:next w:val="Normal"/>
    <w:rsid w:val="001E07A0"/>
  </w:style>
  <w:style w:type="paragraph" w:customStyle="1" w:styleId="014">
    <w:name w:val="014"/>
    <w:aliases w:val="cliëntnaam"/>
    <w:basedOn w:val="010"/>
    <w:next w:val="Normal"/>
    <w:rsid w:val="001E07A0"/>
  </w:style>
  <w:style w:type="paragraph" w:customStyle="1" w:styleId="015">
    <w:name w:val="015"/>
    <w:aliases w:val="plaatsnaam"/>
    <w:basedOn w:val="010"/>
    <w:next w:val="Normal"/>
    <w:rsid w:val="001E07A0"/>
  </w:style>
  <w:style w:type="paragraph" w:customStyle="1" w:styleId="016">
    <w:name w:val="016"/>
    <w:aliases w:val="inzake"/>
    <w:basedOn w:val="010"/>
    <w:next w:val="Normal"/>
    <w:rsid w:val="001E07A0"/>
    <w:pPr>
      <w:spacing w:before="280" w:after="60"/>
    </w:pPr>
  </w:style>
  <w:style w:type="paragraph" w:customStyle="1" w:styleId="017">
    <w:name w:val="017"/>
    <w:aliases w:val="onderwerp"/>
    <w:basedOn w:val="010"/>
    <w:rsid w:val="001E07A0"/>
  </w:style>
  <w:style w:type="paragraph" w:customStyle="1" w:styleId="018">
    <w:name w:val="018"/>
    <w:aliases w:val="financieel verslag"/>
    <w:basedOn w:val="010"/>
    <w:next w:val="Normal"/>
    <w:rsid w:val="001E07A0"/>
    <w:pPr>
      <w:spacing w:before="2200" w:after="60"/>
      <w:jc w:val="center"/>
    </w:pPr>
    <w:rPr>
      <w:b/>
    </w:rPr>
  </w:style>
  <w:style w:type="paragraph" w:customStyle="1" w:styleId="019">
    <w:name w:val="019"/>
    <w:aliases w:val="van (bij fin. verslag)"/>
    <w:basedOn w:val="010"/>
    <w:next w:val="014"/>
    <w:rsid w:val="001E07A0"/>
    <w:pPr>
      <w:spacing w:after="60"/>
      <w:jc w:val="center"/>
    </w:pPr>
  </w:style>
  <w:style w:type="paragraph" w:customStyle="1" w:styleId="020">
    <w:name w:val="020"/>
    <w:aliases w:val="streep"/>
    <w:basedOn w:val="000"/>
    <w:next w:val="000"/>
    <w:rsid w:val="001E07A0"/>
    <w:pPr>
      <w:pBdr>
        <w:bottom w:val="single" w:sz="6" w:space="0" w:color="auto"/>
      </w:pBdr>
      <w:tabs>
        <w:tab w:val="right" w:pos="9380"/>
      </w:tabs>
      <w:spacing w:after="280"/>
    </w:pPr>
  </w:style>
  <w:style w:type="paragraph" w:customStyle="1" w:styleId="021">
    <w:name w:val="021"/>
    <w:aliases w:val="inhoudsopgave"/>
    <w:basedOn w:val="Normal"/>
    <w:next w:val="Normal"/>
    <w:rsid w:val="001E07A0"/>
    <w:pPr>
      <w:spacing w:before="780" w:after="280"/>
    </w:pPr>
    <w:rPr>
      <w:b/>
      <w:sz w:val="32"/>
    </w:rPr>
  </w:style>
  <w:style w:type="paragraph" w:customStyle="1" w:styleId="023">
    <w:name w:val="023"/>
    <w:aliases w:val="regel &quot;Rapport&quot;"/>
    <w:basedOn w:val="Normal"/>
    <w:next w:val="TOC2"/>
    <w:rsid w:val="001E07A0"/>
    <w:pPr>
      <w:spacing w:before="280" w:after="140"/>
    </w:pPr>
    <w:rPr>
      <w:sz w:val="28"/>
    </w:rPr>
  </w:style>
  <w:style w:type="paragraph" w:styleId="TOC2">
    <w:name w:val="toc 2"/>
    <w:basedOn w:val="Normal"/>
    <w:uiPriority w:val="39"/>
    <w:rsid w:val="001E07A0"/>
    <w:pPr>
      <w:tabs>
        <w:tab w:val="right" w:pos="9378"/>
      </w:tabs>
      <w:ind w:left="720" w:hanging="720"/>
    </w:pPr>
  </w:style>
  <w:style w:type="paragraph" w:customStyle="1" w:styleId="024">
    <w:name w:val="024"/>
    <w:aliases w:val="nummering bijlagen"/>
    <w:basedOn w:val="Normal"/>
    <w:rsid w:val="001E07A0"/>
    <w:pPr>
      <w:tabs>
        <w:tab w:val="right" w:pos="9380"/>
      </w:tabs>
      <w:ind w:left="720" w:hanging="720"/>
    </w:pPr>
  </w:style>
  <w:style w:type="paragraph" w:customStyle="1" w:styleId="025">
    <w:name w:val="025"/>
    <w:aliases w:val="regel &quot;Bijlagen&quot;"/>
    <w:basedOn w:val="Normal"/>
    <w:next w:val="024"/>
    <w:rsid w:val="001E07A0"/>
    <w:pPr>
      <w:spacing w:before="280"/>
    </w:pPr>
    <w:rPr>
      <w:sz w:val="28"/>
    </w:rPr>
  </w:style>
  <w:style w:type="paragraph" w:customStyle="1" w:styleId="026">
    <w:name w:val="026"/>
    <w:aliases w:val="regel &quot;Jaarrekening&quot; etc."/>
    <w:basedOn w:val="000"/>
    <w:rsid w:val="001E07A0"/>
    <w:pPr>
      <w:spacing w:before="140" w:after="140"/>
    </w:pPr>
  </w:style>
  <w:style w:type="paragraph" w:customStyle="1" w:styleId="031">
    <w:name w:val="031"/>
    <w:aliases w:val="geadresseerde"/>
    <w:basedOn w:val="Normal"/>
    <w:next w:val="Normal"/>
    <w:rsid w:val="001E07A0"/>
  </w:style>
  <w:style w:type="paragraph" w:customStyle="1" w:styleId="032">
    <w:name w:val="032"/>
    <w:aliases w:val="naam-cliënt"/>
    <w:basedOn w:val="Normal"/>
    <w:next w:val="Normal"/>
    <w:rsid w:val="001E07A0"/>
  </w:style>
  <w:style w:type="paragraph" w:customStyle="1" w:styleId="034">
    <w:name w:val="034"/>
    <w:aliases w:val="vertrouwelijk"/>
    <w:basedOn w:val="Normal"/>
    <w:next w:val="Normal"/>
    <w:rsid w:val="001E07A0"/>
    <w:rPr>
      <w:b/>
      <w:caps/>
    </w:rPr>
  </w:style>
  <w:style w:type="paragraph" w:customStyle="1" w:styleId="035">
    <w:name w:val="035"/>
    <w:aliases w:val="plaats cliënt"/>
    <w:basedOn w:val="Normal"/>
    <w:next w:val="Normal"/>
    <w:rsid w:val="001E07A0"/>
    <w:pPr>
      <w:spacing w:after="780"/>
    </w:pPr>
    <w:rPr>
      <w:caps/>
    </w:rPr>
  </w:style>
  <w:style w:type="paragraph" w:customStyle="1" w:styleId="036">
    <w:name w:val="036"/>
    <w:aliases w:val="datum/kenmerk"/>
    <w:basedOn w:val="Normal"/>
    <w:next w:val="000"/>
    <w:rsid w:val="001E07A0"/>
    <w:pPr>
      <w:tabs>
        <w:tab w:val="left" w:pos="6560"/>
        <w:tab w:val="right" w:pos="9380"/>
      </w:tabs>
      <w:spacing w:after="520"/>
    </w:pPr>
  </w:style>
  <w:style w:type="paragraph" w:customStyle="1" w:styleId="040">
    <w:name w:val="040"/>
    <w:aliases w:val="hoofdletters vet 1 witregel"/>
    <w:basedOn w:val="000"/>
    <w:next w:val="000"/>
    <w:rsid w:val="001E07A0"/>
    <w:pPr>
      <w:keepNext/>
      <w:tabs>
        <w:tab w:val="left" w:pos="720"/>
      </w:tabs>
      <w:spacing w:after="520"/>
      <w:ind w:left="720" w:hanging="720"/>
    </w:pPr>
    <w:rPr>
      <w:b/>
      <w:sz w:val="32"/>
    </w:rPr>
  </w:style>
  <w:style w:type="paragraph" w:customStyle="1" w:styleId="041">
    <w:name w:val="041"/>
    <w:aliases w:val="14 punten vet 1 witregel"/>
    <w:basedOn w:val="000"/>
    <w:next w:val="000"/>
    <w:rsid w:val="001E07A0"/>
    <w:pPr>
      <w:keepNext/>
      <w:tabs>
        <w:tab w:val="left" w:pos="720"/>
      </w:tabs>
      <w:spacing w:before="240" w:after="60"/>
      <w:ind w:left="720" w:hanging="720"/>
    </w:pPr>
    <w:rPr>
      <w:b/>
      <w:sz w:val="28"/>
    </w:rPr>
  </w:style>
  <w:style w:type="paragraph" w:customStyle="1" w:styleId="042">
    <w:name w:val="042"/>
    <w:aliases w:val="vet 1 witregel"/>
    <w:basedOn w:val="000"/>
    <w:next w:val="000"/>
    <w:rsid w:val="001E07A0"/>
    <w:pPr>
      <w:keepNext/>
      <w:tabs>
        <w:tab w:val="left" w:pos="720"/>
      </w:tabs>
      <w:spacing w:before="240" w:after="60"/>
      <w:ind w:left="720" w:hanging="720"/>
    </w:pPr>
    <w:rPr>
      <w:b/>
      <w:i/>
      <w:sz w:val="26"/>
    </w:rPr>
  </w:style>
  <w:style w:type="paragraph" w:customStyle="1" w:styleId="043">
    <w:name w:val="043"/>
    <w:aliases w:val="vet cursief 1 witregel"/>
    <w:basedOn w:val="000"/>
    <w:next w:val="000"/>
    <w:rsid w:val="001E07A0"/>
    <w:pPr>
      <w:keepNext/>
      <w:tabs>
        <w:tab w:val="left" w:pos="720"/>
      </w:tabs>
      <w:spacing w:before="240" w:after="60"/>
      <w:ind w:left="720" w:hanging="720"/>
    </w:pPr>
    <w:rPr>
      <w:b/>
    </w:rPr>
  </w:style>
  <w:style w:type="paragraph" w:customStyle="1" w:styleId="045">
    <w:name w:val="045"/>
    <w:aliases w:val="inspringing a"/>
    <w:basedOn w:val="000"/>
    <w:rsid w:val="001E07A0"/>
    <w:pPr>
      <w:ind w:left="567" w:hanging="567"/>
    </w:pPr>
  </w:style>
  <w:style w:type="paragraph" w:customStyle="1" w:styleId="046">
    <w:name w:val="046"/>
    <w:aliases w:val="inspringing b"/>
    <w:basedOn w:val="000"/>
    <w:rsid w:val="001E07A0"/>
    <w:pPr>
      <w:ind w:left="1134" w:hanging="567"/>
    </w:pPr>
  </w:style>
  <w:style w:type="paragraph" w:customStyle="1" w:styleId="047">
    <w:name w:val="047"/>
    <w:aliases w:val="inspringing c"/>
    <w:basedOn w:val="000"/>
    <w:rsid w:val="001E07A0"/>
    <w:pPr>
      <w:ind w:left="1701" w:hanging="567"/>
    </w:pPr>
  </w:style>
  <w:style w:type="paragraph" w:customStyle="1" w:styleId="048">
    <w:name w:val="048"/>
    <w:aliases w:val="inspring"/>
    <w:basedOn w:val="000"/>
    <w:rsid w:val="001E07A0"/>
    <w:pPr>
      <w:ind w:left="567" w:hanging="567"/>
    </w:pPr>
  </w:style>
  <w:style w:type="paragraph" w:customStyle="1" w:styleId="049">
    <w:name w:val="049"/>
    <w:aliases w:val="handtekening"/>
    <w:basedOn w:val="Normal"/>
    <w:rsid w:val="001E07A0"/>
    <w:pPr>
      <w:tabs>
        <w:tab w:val="left" w:pos="4680"/>
      </w:tabs>
    </w:pPr>
  </w:style>
  <w:style w:type="paragraph" w:customStyle="1" w:styleId="061">
    <w:name w:val="061"/>
    <w:aliases w:val="paginanr."/>
    <w:basedOn w:val="000"/>
    <w:rsid w:val="001E07A0"/>
    <w:pPr>
      <w:spacing w:before="110"/>
      <w:jc w:val="right"/>
    </w:pPr>
  </w:style>
  <w:style w:type="paragraph" w:customStyle="1" w:styleId="070">
    <w:name w:val="070"/>
    <w:aliases w:val="kop balans/specificatie"/>
    <w:basedOn w:val="000"/>
    <w:next w:val="000"/>
    <w:rsid w:val="001E07A0"/>
    <w:rPr>
      <w:b/>
      <w:sz w:val="32"/>
    </w:rPr>
  </w:style>
  <w:style w:type="paragraph" w:customStyle="1" w:styleId="073">
    <w:name w:val="073"/>
    <w:aliases w:val="activa"/>
    <w:basedOn w:val="000"/>
    <w:next w:val="000"/>
    <w:rsid w:val="001E07A0"/>
    <w:rPr>
      <w:b/>
      <w:spacing w:val="100"/>
      <w:sz w:val="20"/>
    </w:rPr>
  </w:style>
  <w:style w:type="paragraph" w:customStyle="1" w:styleId="074">
    <w:name w:val="074"/>
    <w:aliases w:val="passiva"/>
    <w:basedOn w:val="000"/>
    <w:next w:val="000"/>
    <w:rsid w:val="001E07A0"/>
    <w:pPr>
      <w:ind w:right="-100"/>
      <w:jc w:val="right"/>
    </w:pPr>
    <w:rPr>
      <w:b/>
      <w:spacing w:val="100"/>
      <w:sz w:val="20"/>
    </w:rPr>
  </w:style>
  <w:style w:type="paragraph" w:customStyle="1" w:styleId="080">
    <w:name w:val="080"/>
    <w:aliases w:val="titel,hoofdletters vet 2 witregels geen inspring"/>
    <w:basedOn w:val="000"/>
    <w:next w:val="000"/>
    <w:rsid w:val="001E07A0"/>
    <w:pPr>
      <w:keepNext/>
      <w:spacing w:after="520"/>
    </w:pPr>
    <w:rPr>
      <w:b/>
      <w:sz w:val="32"/>
    </w:rPr>
  </w:style>
  <w:style w:type="paragraph" w:customStyle="1" w:styleId="081">
    <w:name w:val="081"/>
    <w:aliases w:val="kop 1,14 punten vet 1 witregel geen inspring"/>
    <w:basedOn w:val="000"/>
    <w:next w:val="000"/>
    <w:rsid w:val="001E07A0"/>
    <w:pPr>
      <w:keepNext/>
      <w:spacing w:before="240" w:after="60"/>
    </w:pPr>
    <w:rPr>
      <w:b/>
      <w:sz w:val="28"/>
    </w:rPr>
  </w:style>
  <w:style w:type="paragraph" w:customStyle="1" w:styleId="082">
    <w:name w:val="082"/>
    <w:aliases w:val="kop 2,vet 1 witregel geen inspring"/>
    <w:basedOn w:val="000"/>
    <w:next w:val="000"/>
    <w:rsid w:val="001E07A0"/>
    <w:pPr>
      <w:keepNext/>
      <w:spacing w:before="240" w:after="60"/>
    </w:pPr>
    <w:rPr>
      <w:b/>
      <w:i/>
      <w:sz w:val="26"/>
    </w:rPr>
  </w:style>
  <w:style w:type="paragraph" w:customStyle="1" w:styleId="083">
    <w:name w:val="083"/>
    <w:aliases w:val="kop 3,vet cursief 1 witregel geen inspring"/>
    <w:basedOn w:val="000"/>
    <w:next w:val="000"/>
    <w:rsid w:val="001E07A0"/>
    <w:pPr>
      <w:keepNext/>
      <w:spacing w:before="240" w:after="60"/>
    </w:pPr>
    <w:rPr>
      <w:b/>
    </w:rPr>
  </w:style>
  <w:style w:type="paragraph" w:customStyle="1" w:styleId="084">
    <w:name w:val="084"/>
    <w:aliases w:val="cursief geen inspring"/>
    <w:basedOn w:val="000"/>
    <w:next w:val="000"/>
    <w:rsid w:val="001E07A0"/>
    <w:pPr>
      <w:keepNext/>
      <w:spacing w:before="260"/>
    </w:pPr>
    <w:rPr>
      <w:i/>
    </w:rPr>
  </w:style>
  <w:style w:type="paragraph" w:customStyle="1" w:styleId="091">
    <w:name w:val="091"/>
    <w:aliases w:val="inhoudsopgave 14 punten vet"/>
    <w:basedOn w:val="021"/>
    <w:next w:val="Normal"/>
    <w:rsid w:val="001E07A0"/>
    <w:pPr>
      <w:spacing w:before="280"/>
      <w:ind w:left="720" w:hanging="720"/>
    </w:pPr>
    <w:rPr>
      <w:b w:val="0"/>
      <w:sz w:val="28"/>
    </w:rPr>
  </w:style>
  <w:style w:type="paragraph" w:customStyle="1" w:styleId="099">
    <w:name w:val="099"/>
    <w:aliases w:val="einde document teken"/>
    <w:basedOn w:val="000"/>
    <w:rsid w:val="001E07A0"/>
    <w:pPr>
      <w:pBdr>
        <w:bottom w:val="single" w:sz="18" w:space="0" w:color="auto"/>
      </w:pBdr>
      <w:tabs>
        <w:tab w:val="right" w:pos="9380"/>
      </w:tabs>
      <w:ind w:right="8820"/>
    </w:pPr>
  </w:style>
  <w:style w:type="paragraph" w:customStyle="1" w:styleId="100">
    <w:name w:val="100"/>
    <w:aliases w:val="1 kop h"/>
    <w:basedOn w:val="Normal"/>
    <w:next w:val="Normal"/>
    <w:rsid w:val="001E07A0"/>
    <w:pPr>
      <w:tabs>
        <w:tab w:val="center" w:pos="8980"/>
      </w:tabs>
      <w:ind w:right="-170"/>
    </w:pPr>
    <w:rPr>
      <w:sz w:val="20"/>
    </w:rPr>
  </w:style>
  <w:style w:type="paragraph" w:customStyle="1" w:styleId="101">
    <w:name w:val="101"/>
    <w:aliases w:val="1 kopstreep h"/>
    <w:basedOn w:val="Normal"/>
    <w:next w:val="Normal"/>
    <w:rsid w:val="001E07A0"/>
    <w:pPr>
      <w:tabs>
        <w:tab w:val="left" w:pos="8580"/>
        <w:tab w:val="right" w:pos="9380"/>
      </w:tabs>
      <w:spacing w:after="140" w:line="140" w:lineRule="exact"/>
    </w:pPr>
    <w:rPr>
      <w:sz w:val="10"/>
    </w:rPr>
  </w:style>
  <w:style w:type="paragraph" w:customStyle="1" w:styleId="102">
    <w:name w:val="102"/>
    <w:aliases w:val="1 €-teken h"/>
    <w:basedOn w:val="Normal"/>
    <w:next w:val="Normal"/>
    <w:rsid w:val="001E07A0"/>
    <w:pPr>
      <w:tabs>
        <w:tab w:val="center" w:pos="8980"/>
      </w:tabs>
      <w:spacing w:after="140"/>
    </w:pPr>
    <w:rPr>
      <w:sz w:val="20"/>
    </w:rPr>
  </w:style>
  <w:style w:type="paragraph" w:customStyle="1" w:styleId="104">
    <w:name w:val="104"/>
    <w:aliases w:val="1 cijferregel h"/>
    <w:basedOn w:val="Normal"/>
    <w:rsid w:val="001E07A0"/>
    <w:pPr>
      <w:tabs>
        <w:tab w:val="left" w:pos="1134"/>
        <w:tab w:val="decimal" w:pos="9380"/>
      </w:tabs>
      <w:ind w:left="567" w:right="-170" w:hanging="567"/>
    </w:pPr>
    <w:rPr>
      <w:sz w:val="20"/>
    </w:rPr>
  </w:style>
  <w:style w:type="paragraph" w:customStyle="1" w:styleId="105">
    <w:name w:val="105"/>
    <w:aliases w:val="1 enkele telstreep h"/>
    <w:basedOn w:val="Normal"/>
    <w:next w:val="104"/>
    <w:rsid w:val="001E07A0"/>
    <w:pPr>
      <w:tabs>
        <w:tab w:val="left" w:pos="8580"/>
        <w:tab w:val="decimal" w:pos="9380"/>
      </w:tabs>
      <w:spacing w:line="140" w:lineRule="exact"/>
    </w:pPr>
    <w:rPr>
      <w:position w:val="4"/>
      <w:sz w:val="10"/>
    </w:rPr>
  </w:style>
  <w:style w:type="paragraph" w:customStyle="1" w:styleId="106">
    <w:name w:val="106"/>
    <w:aliases w:val="1 gestippelde streep h"/>
    <w:basedOn w:val="105"/>
    <w:next w:val="104"/>
    <w:rsid w:val="001E07A0"/>
    <w:pPr>
      <w:tabs>
        <w:tab w:val="decimal" w:leader="dot" w:pos="9380"/>
      </w:tabs>
    </w:pPr>
    <w:rPr>
      <w:position w:val="2"/>
      <w:sz w:val="14"/>
    </w:rPr>
  </w:style>
  <w:style w:type="paragraph" w:customStyle="1" w:styleId="107">
    <w:name w:val="107"/>
    <w:aliases w:val="1 dubbele streep h"/>
    <w:basedOn w:val="105"/>
    <w:next w:val="000"/>
    <w:rsid w:val="001E07A0"/>
    <w:rPr>
      <w:position w:val="6"/>
      <w:sz w:val="14"/>
    </w:rPr>
  </w:style>
  <w:style w:type="paragraph" w:customStyle="1" w:styleId="200">
    <w:name w:val="200"/>
    <w:aliases w:val="2 kop h"/>
    <w:basedOn w:val="Normal"/>
    <w:next w:val="Normal"/>
    <w:rsid w:val="001E07A0"/>
    <w:pPr>
      <w:tabs>
        <w:tab w:val="center" w:pos="7700"/>
        <w:tab w:val="center" w:pos="8980"/>
      </w:tabs>
      <w:ind w:right="-170"/>
    </w:pPr>
    <w:rPr>
      <w:sz w:val="20"/>
    </w:rPr>
  </w:style>
  <w:style w:type="paragraph" w:customStyle="1" w:styleId="201">
    <w:name w:val="201"/>
    <w:aliases w:val="2 kopstreep h"/>
    <w:basedOn w:val="Normal"/>
    <w:next w:val="Normal"/>
    <w:rsid w:val="001E07A0"/>
    <w:pPr>
      <w:tabs>
        <w:tab w:val="left" w:pos="7300"/>
        <w:tab w:val="right" w:pos="8100"/>
        <w:tab w:val="left" w:pos="8580"/>
        <w:tab w:val="right" w:pos="9380"/>
      </w:tabs>
      <w:spacing w:after="140" w:line="140" w:lineRule="exact"/>
    </w:pPr>
    <w:rPr>
      <w:sz w:val="10"/>
    </w:rPr>
  </w:style>
  <w:style w:type="paragraph" w:customStyle="1" w:styleId="202">
    <w:name w:val="202"/>
    <w:aliases w:val="2 €-tekens h"/>
    <w:basedOn w:val="Normal"/>
    <w:next w:val="Normal"/>
    <w:rsid w:val="001E07A0"/>
    <w:pPr>
      <w:tabs>
        <w:tab w:val="center" w:pos="7700"/>
        <w:tab w:val="center" w:pos="8980"/>
      </w:tabs>
      <w:spacing w:after="140"/>
    </w:pPr>
    <w:rPr>
      <w:sz w:val="20"/>
    </w:rPr>
  </w:style>
  <w:style w:type="paragraph" w:customStyle="1" w:styleId="203">
    <w:name w:val="203"/>
    <w:aliases w:val="kop boven 1/2 h"/>
    <w:basedOn w:val="Normal"/>
    <w:next w:val="201"/>
    <w:rsid w:val="001E07A0"/>
    <w:pPr>
      <w:tabs>
        <w:tab w:val="center" w:pos="8340"/>
      </w:tabs>
    </w:pPr>
    <w:rPr>
      <w:sz w:val="20"/>
    </w:rPr>
  </w:style>
  <w:style w:type="paragraph" w:customStyle="1" w:styleId="204">
    <w:name w:val="204"/>
    <w:aliases w:val="2 cijferregel h"/>
    <w:basedOn w:val="Normal"/>
    <w:rsid w:val="001E07A0"/>
    <w:pPr>
      <w:tabs>
        <w:tab w:val="left" w:pos="1134"/>
        <w:tab w:val="decimal" w:pos="8100"/>
        <w:tab w:val="decimal" w:pos="9380"/>
      </w:tabs>
      <w:ind w:left="567" w:right="-170" w:hanging="567"/>
    </w:pPr>
    <w:rPr>
      <w:sz w:val="20"/>
    </w:rPr>
  </w:style>
  <w:style w:type="paragraph" w:customStyle="1" w:styleId="205">
    <w:name w:val="205"/>
    <w:aliases w:val="2 enkele telstreep h"/>
    <w:basedOn w:val="Normal"/>
    <w:next w:val="204"/>
    <w:rsid w:val="001E07A0"/>
    <w:pPr>
      <w:tabs>
        <w:tab w:val="left" w:pos="7300"/>
        <w:tab w:val="decimal" w:pos="8100"/>
        <w:tab w:val="left" w:pos="8580"/>
        <w:tab w:val="decimal" w:pos="9380"/>
      </w:tabs>
      <w:spacing w:line="140" w:lineRule="exact"/>
    </w:pPr>
    <w:rPr>
      <w:position w:val="4"/>
      <w:sz w:val="10"/>
    </w:rPr>
  </w:style>
  <w:style w:type="paragraph" w:customStyle="1" w:styleId="206">
    <w:name w:val="206"/>
    <w:aliases w:val="2 gestippelde streep h"/>
    <w:basedOn w:val="205"/>
    <w:next w:val="204"/>
    <w:rsid w:val="001E07A0"/>
    <w:pPr>
      <w:tabs>
        <w:tab w:val="decimal" w:leader="dot" w:pos="8100"/>
        <w:tab w:val="decimal" w:leader="dot" w:pos="9380"/>
      </w:tabs>
    </w:pPr>
    <w:rPr>
      <w:position w:val="2"/>
      <w:sz w:val="14"/>
    </w:rPr>
  </w:style>
  <w:style w:type="paragraph" w:customStyle="1" w:styleId="207">
    <w:name w:val="207"/>
    <w:aliases w:val="2 dubbele streep h"/>
    <w:basedOn w:val="205"/>
    <w:next w:val="000"/>
    <w:rsid w:val="001E07A0"/>
    <w:rPr>
      <w:position w:val="6"/>
      <w:sz w:val="14"/>
    </w:rPr>
  </w:style>
  <w:style w:type="paragraph" w:customStyle="1" w:styleId="300">
    <w:name w:val="300"/>
    <w:aliases w:val="3 kop h"/>
    <w:basedOn w:val="Normal"/>
    <w:next w:val="Normal"/>
    <w:rsid w:val="001E07A0"/>
    <w:pPr>
      <w:tabs>
        <w:tab w:val="center" w:pos="6420"/>
        <w:tab w:val="center" w:pos="7700"/>
        <w:tab w:val="center" w:pos="8980"/>
      </w:tabs>
      <w:ind w:right="-170"/>
    </w:pPr>
    <w:rPr>
      <w:sz w:val="20"/>
    </w:rPr>
  </w:style>
  <w:style w:type="paragraph" w:customStyle="1" w:styleId="301">
    <w:name w:val="301"/>
    <w:aliases w:val="3 kopstreep h"/>
    <w:basedOn w:val="Normal"/>
    <w:next w:val="Normal"/>
    <w:rsid w:val="001E07A0"/>
    <w:pPr>
      <w:tabs>
        <w:tab w:val="left" w:pos="6020"/>
        <w:tab w:val="right" w:pos="6820"/>
        <w:tab w:val="left" w:pos="7300"/>
        <w:tab w:val="right" w:pos="8100"/>
        <w:tab w:val="left" w:pos="8580"/>
        <w:tab w:val="right" w:pos="9380"/>
      </w:tabs>
      <w:spacing w:after="140" w:line="140" w:lineRule="exact"/>
    </w:pPr>
    <w:rPr>
      <w:sz w:val="10"/>
    </w:rPr>
  </w:style>
  <w:style w:type="paragraph" w:customStyle="1" w:styleId="302">
    <w:name w:val="302"/>
    <w:aliases w:val="3 €-tekens h"/>
    <w:basedOn w:val="Normal"/>
    <w:next w:val="Normal"/>
    <w:rsid w:val="001E07A0"/>
    <w:pPr>
      <w:tabs>
        <w:tab w:val="center" w:pos="6420"/>
        <w:tab w:val="center" w:pos="7700"/>
        <w:tab w:val="center" w:pos="8980"/>
      </w:tabs>
      <w:spacing w:after="140"/>
    </w:pPr>
    <w:rPr>
      <w:sz w:val="20"/>
    </w:rPr>
  </w:style>
  <w:style w:type="paragraph" w:customStyle="1" w:styleId="303">
    <w:name w:val="303"/>
    <w:aliases w:val="kop boven 1/3 h"/>
    <w:basedOn w:val="Normal"/>
    <w:next w:val="301"/>
    <w:rsid w:val="001E07A0"/>
    <w:pPr>
      <w:tabs>
        <w:tab w:val="center" w:pos="7700"/>
      </w:tabs>
    </w:pPr>
    <w:rPr>
      <w:sz w:val="20"/>
    </w:rPr>
  </w:style>
  <w:style w:type="paragraph" w:customStyle="1" w:styleId="304">
    <w:name w:val="304"/>
    <w:aliases w:val="3 cijferregel h"/>
    <w:basedOn w:val="Normal"/>
    <w:rsid w:val="001E07A0"/>
    <w:pPr>
      <w:tabs>
        <w:tab w:val="left" w:pos="1134"/>
        <w:tab w:val="decimal" w:pos="6820"/>
        <w:tab w:val="decimal" w:pos="8100"/>
        <w:tab w:val="decimal" w:pos="9380"/>
      </w:tabs>
      <w:ind w:left="567" w:right="-170" w:hanging="567"/>
    </w:pPr>
    <w:rPr>
      <w:sz w:val="20"/>
    </w:rPr>
  </w:style>
  <w:style w:type="paragraph" w:customStyle="1" w:styleId="305">
    <w:name w:val="305"/>
    <w:aliases w:val="3 enkele telstreep h"/>
    <w:basedOn w:val="Normal"/>
    <w:next w:val="304"/>
    <w:rsid w:val="001E07A0"/>
    <w:pPr>
      <w:tabs>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306">
    <w:name w:val="306"/>
    <w:aliases w:val="3 gestippelde streep h"/>
    <w:basedOn w:val="305"/>
    <w:next w:val="304"/>
    <w:rsid w:val="001E07A0"/>
    <w:pPr>
      <w:tabs>
        <w:tab w:val="decimal" w:leader="dot" w:pos="6820"/>
        <w:tab w:val="decimal" w:leader="dot" w:pos="8100"/>
        <w:tab w:val="decimal" w:leader="dot" w:pos="9380"/>
      </w:tabs>
    </w:pPr>
    <w:rPr>
      <w:position w:val="2"/>
      <w:sz w:val="14"/>
    </w:rPr>
  </w:style>
  <w:style w:type="paragraph" w:customStyle="1" w:styleId="307">
    <w:name w:val="307"/>
    <w:aliases w:val="3 dubbele streep h"/>
    <w:basedOn w:val="305"/>
    <w:next w:val="000"/>
    <w:rsid w:val="001E07A0"/>
    <w:rPr>
      <w:position w:val="6"/>
      <w:sz w:val="14"/>
    </w:rPr>
  </w:style>
  <w:style w:type="paragraph" w:customStyle="1" w:styleId="400">
    <w:name w:val="400"/>
    <w:aliases w:val="4 kop h"/>
    <w:basedOn w:val="Normal"/>
    <w:next w:val="Normal"/>
    <w:rsid w:val="001E07A0"/>
    <w:pPr>
      <w:tabs>
        <w:tab w:val="center" w:pos="5140"/>
        <w:tab w:val="center" w:pos="6420"/>
        <w:tab w:val="center" w:pos="7700"/>
        <w:tab w:val="center" w:pos="8980"/>
      </w:tabs>
      <w:ind w:right="-170"/>
    </w:pPr>
    <w:rPr>
      <w:sz w:val="20"/>
    </w:rPr>
  </w:style>
  <w:style w:type="paragraph" w:customStyle="1" w:styleId="401">
    <w:name w:val="401"/>
    <w:aliases w:val="4 kopstreep h"/>
    <w:basedOn w:val="Normal"/>
    <w:next w:val="Normal"/>
    <w:rsid w:val="001E07A0"/>
    <w:pPr>
      <w:tabs>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402">
    <w:name w:val="402"/>
    <w:aliases w:val="4 €-tekens h"/>
    <w:basedOn w:val="Normal"/>
    <w:next w:val="Normal"/>
    <w:rsid w:val="001E07A0"/>
    <w:pPr>
      <w:tabs>
        <w:tab w:val="center" w:pos="5140"/>
        <w:tab w:val="center" w:pos="6420"/>
        <w:tab w:val="center" w:pos="7700"/>
        <w:tab w:val="center" w:pos="8980"/>
      </w:tabs>
      <w:spacing w:after="140"/>
    </w:pPr>
    <w:rPr>
      <w:sz w:val="20"/>
    </w:rPr>
  </w:style>
  <w:style w:type="paragraph" w:customStyle="1" w:styleId="403">
    <w:name w:val="403"/>
    <w:aliases w:val="kop boven 1/4 h"/>
    <w:basedOn w:val="Normal"/>
    <w:next w:val="401"/>
    <w:rsid w:val="001E07A0"/>
    <w:pPr>
      <w:tabs>
        <w:tab w:val="center" w:pos="5780"/>
        <w:tab w:val="center" w:pos="8340"/>
      </w:tabs>
    </w:pPr>
    <w:rPr>
      <w:sz w:val="20"/>
    </w:rPr>
  </w:style>
  <w:style w:type="paragraph" w:customStyle="1" w:styleId="404">
    <w:name w:val="404"/>
    <w:aliases w:val="4 cijferregel h"/>
    <w:basedOn w:val="Normal"/>
    <w:rsid w:val="001E07A0"/>
    <w:pPr>
      <w:tabs>
        <w:tab w:val="left" w:pos="1134"/>
        <w:tab w:val="decimal" w:pos="5540"/>
        <w:tab w:val="decimal" w:pos="6820"/>
        <w:tab w:val="decimal" w:pos="8100"/>
        <w:tab w:val="decimal" w:pos="9380"/>
      </w:tabs>
      <w:ind w:left="567" w:right="-170" w:hanging="567"/>
    </w:pPr>
    <w:rPr>
      <w:sz w:val="20"/>
    </w:rPr>
  </w:style>
  <w:style w:type="paragraph" w:customStyle="1" w:styleId="405">
    <w:name w:val="405"/>
    <w:aliases w:val="4 enkele telstreep h"/>
    <w:basedOn w:val="Normal"/>
    <w:next w:val="404"/>
    <w:rsid w:val="001E07A0"/>
    <w:pPr>
      <w:tabs>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406">
    <w:name w:val="406"/>
    <w:aliases w:val="4 gestippelde streep h"/>
    <w:basedOn w:val="405"/>
    <w:next w:val="404"/>
    <w:rsid w:val="001E07A0"/>
    <w:pPr>
      <w:tabs>
        <w:tab w:val="decimal" w:leader="dot" w:pos="5540"/>
        <w:tab w:val="decimal" w:leader="dot" w:pos="6820"/>
        <w:tab w:val="decimal" w:leader="dot" w:pos="8100"/>
        <w:tab w:val="decimal" w:leader="dot" w:pos="9380"/>
      </w:tabs>
    </w:pPr>
    <w:rPr>
      <w:position w:val="2"/>
      <w:sz w:val="14"/>
    </w:rPr>
  </w:style>
  <w:style w:type="paragraph" w:customStyle="1" w:styleId="407">
    <w:name w:val="407"/>
    <w:aliases w:val="4 dubbele streep h"/>
    <w:basedOn w:val="405"/>
    <w:next w:val="000"/>
    <w:rsid w:val="001E07A0"/>
    <w:rPr>
      <w:position w:val="6"/>
      <w:sz w:val="14"/>
    </w:rPr>
  </w:style>
  <w:style w:type="paragraph" w:customStyle="1" w:styleId="423">
    <w:name w:val="423"/>
    <w:aliases w:val="kop boven 1/4 t"/>
    <w:basedOn w:val="Normal"/>
    <w:rsid w:val="001E07A0"/>
    <w:pPr>
      <w:tabs>
        <w:tab w:val="center" w:pos="6300"/>
        <w:tab w:val="center" w:pos="8520"/>
      </w:tabs>
    </w:pPr>
    <w:rPr>
      <w:sz w:val="20"/>
    </w:rPr>
  </w:style>
  <w:style w:type="paragraph" w:customStyle="1" w:styleId="453">
    <w:name w:val="453"/>
    <w:aliases w:val="kop boven 1/4 m"/>
    <w:basedOn w:val="Normal"/>
    <w:rsid w:val="001E07A0"/>
    <w:pPr>
      <w:tabs>
        <w:tab w:val="center" w:pos="5620"/>
        <w:tab w:val="center" w:pos="8180"/>
      </w:tabs>
    </w:pPr>
    <w:rPr>
      <w:sz w:val="20"/>
    </w:rPr>
  </w:style>
  <w:style w:type="paragraph" w:customStyle="1" w:styleId="473">
    <w:name w:val="473"/>
    <w:aliases w:val="kop boven 1/4 mld"/>
    <w:basedOn w:val="Normal"/>
    <w:rsid w:val="001E07A0"/>
    <w:pPr>
      <w:tabs>
        <w:tab w:val="center" w:pos="4900"/>
        <w:tab w:val="center" w:pos="7940"/>
      </w:tabs>
    </w:pPr>
    <w:rPr>
      <w:sz w:val="20"/>
    </w:rPr>
  </w:style>
  <w:style w:type="paragraph" w:customStyle="1" w:styleId="500">
    <w:name w:val="500"/>
    <w:aliases w:val="5 kop h"/>
    <w:basedOn w:val="Normal"/>
    <w:next w:val="Normal"/>
    <w:rsid w:val="001E07A0"/>
    <w:pPr>
      <w:tabs>
        <w:tab w:val="center" w:pos="3860"/>
        <w:tab w:val="center" w:pos="5140"/>
        <w:tab w:val="center" w:pos="6420"/>
        <w:tab w:val="center" w:pos="7700"/>
        <w:tab w:val="center" w:pos="8980"/>
      </w:tabs>
      <w:ind w:right="-170"/>
    </w:pPr>
    <w:rPr>
      <w:sz w:val="20"/>
    </w:rPr>
  </w:style>
  <w:style w:type="paragraph" w:customStyle="1" w:styleId="501">
    <w:name w:val="501"/>
    <w:aliases w:val="5 kopstreep h"/>
    <w:basedOn w:val="Normal"/>
    <w:next w:val="Normal"/>
    <w:rsid w:val="001E07A0"/>
    <w:pPr>
      <w:tabs>
        <w:tab w:val="left" w:pos="3460"/>
        <w:tab w:val="right" w:pos="4260"/>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502">
    <w:name w:val="502"/>
    <w:aliases w:val="5 €-tekens h"/>
    <w:basedOn w:val="Normal"/>
    <w:next w:val="Normal"/>
    <w:rsid w:val="001E07A0"/>
    <w:pPr>
      <w:tabs>
        <w:tab w:val="center" w:pos="3860"/>
        <w:tab w:val="center" w:pos="5140"/>
        <w:tab w:val="center" w:pos="6420"/>
        <w:tab w:val="center" w:pos="7700"/>
        <w:tab w:val="center" w:pos="8980"/>
      </w:tabs>
      <w:spacing w:after="140"/>
    </w:pPr>
    <w:rPr>
      <w:sz w:val="20"/>
    </w:rPr>
  </w:style>
  <w:style w:type="paragraph" w:customStyle="1" w:styleId="503">
    <w:name w:val="503"/>
    <w:aliases w:val="kop boven 1/5 h"/>
    <w:basedOn w:val="Normal"/>
    <w:next w:val="501"/>
    <w:rsid w:val="001E07A0"/>
    <w:pPr>
      <w:tabs>
        <w:tab w:val="center" w:pos="6420"/>
      </w:tabs>
    </w:pPr>
    <w:rPr>
      <w:sz w:val="20"/>
    </w:rPr>
  </w:style>
  <w:style w:type="paragraph" w:customStyle="1" w:styleId="504">
    <w:name w:val="504"/>
    <w:aliases w:val="5 cijferregel h"/>
    <w:basedOn w:val="Normal"/>
    <w:rsid w:val="001E07A0"/>
    <w:pPr>
      <w:tabs>
        <w:tab w:val="left" w:pos="1134"/>
        <w:tab w:val="decimal" w:pos="4260"/>
        <w:tab w:val="decimal" w:pos="5540"/>
        <w:tab w:val="decimal" w:pos="6820"/>
        <w:tab w:val="decimal" w:pos="8100"/>
        <w:tab w:val="decimal" w:pos="9380"/>
      </w:tabs>
      <w:ind w:left="567" w:right="-170" w:hanging="567"/>
    </w:pPr>
    <w:rPr>
      <w:sz w:val="20"/>
    </w:rPr>
  </w:style>
  <w:style w:type="paragraph" w:customStyle="1" w:styleId="505">
    <w:name w:val="505"/>
    <w:aliases w:val="5 enkele telstreep h"/>
    <w:basedOn w:val="Normal"/>
    <w:next w:val="504"/>
    <w:rsid w:val="001E07A0"/>
    <w:pPr>
      <w:tabs>
        <w:tab w:val="left" w:pos="3460"/>
        <w:tab w:val="decimal" w:pos="4260"/>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506">
    <w:name w:val="506"/>
    <w:aliases w:val="5 gestippelde streep h"/>
    <w:basedOn w:val="505"/>
    <w:next w:val="504"/>
    <w:rsid w:val="001E07A0"/>
    <w:pPr>
      <w:tabs>
        <w:tab w:val="decimal" w:leader="dot" w:pos="4260"/>
        <w:tab w:val="decimal" w:leader="dot" w:pos="5540"/>
        <w:tab w:val="decimal" w:leader="dot" w:pos="6820"/>
        <w:tab w:val="decimal" w:leader="dot" w:pos="8100"/>
        <w:tab w:val="decimal" w:leader="dot" w:pos="9380"/>
      </w:tabs>
    </w:pPr>
    <w:rPr>
      <w:position w:val="2"/>
      <w:sz w:val="14"/>
    </w:rPr>
  </w:style>
  <w:style w:type="paragraph" w:customStyle="1" w:styleId="507">
    <w:name w:val="507"/>
    <w:aliases w:val="5 dubbele streep h"/>
    <w:basedOn w:val="505"/>
    <w:next w:val="000"/>
    <w:rsid w:val="001E07A0"/>
    <w:rPr>
      <w:position w:val="6"/>
      <w:sz w:val="14"/>
    </w:rPr>
  </w:style>
  <w:style w:type="paragraph" w:customStyle="1" w:styleId="603">
    <w:name w:val="603"/>
    <w:aliases w:val="kop boven 1/2 3/4 5/6 h"/>
    <w:basedOn w:val="Normal"/>
    <w:rsid w:val="001E07A0"/>
    <w:pPr>
      <w:tabs>
        <w:tab w:val="center" w:pos="3221"/>
        <w:tab w:val="center" w:pos="5780"/>
        <w:tab w:val="center" w:pos="8341"/>
      </w:tabs>
    </w:pPr>
    <w:rPr>
      <w:sz w:val="20"/>
    </w:rPr>
  </w:style>
  <w:style w:type="paragraph" w:customStyle="1" w:styleId="673r">
    <w:name w:val="673r"/>
    <w:aliases w:val="kop boven 1/6 mld rechts"/>
    <w:basedOn w:val="Normal"/>
    <w:rsid w:val="001E07A0"/>
    <w:pPr>
      <w:tabs>
        <w:tab w:val="center" w:pos="1440"/>
        <w:tab w:val="center" w:pos="4480"/>
        <w:tab w:val="center" w:pos="7520"/>
      </w:tabs>
    </w:pPr>
    <w:rPr>
      <w:sz w:val="20"/>
    </w:rPr>
  </w:style>
  <w:style w:type="paragraph" w:customStyle="1" w:styleId="700r">
    <w:name w:val="700r"/>
    <w:aliases w:val="7 kop h rechts"/>
    <w:basedOn w:val="Normal"/>
    <w:next w:val="Normal"/>
    <w:rsid w:val="001E07A0"/>
    <w:pPr>
      <w:tabs>
        <w:tab w:val="center" w:pos="400"/>
        <w:tab w:val="center" w:pos="1680"/>
        <w:tab w:val="center" w:pos="2960"/>
        <w:tab w:val="center" w:pos="4240"/>
        <w:tab w:val="center" w:pos="5520"/>
        <w:tab w:val="center" w:pos="6800"/>
        <w:tab w:val="center" w:pos="8080"/>
      </w:tabs>
    </w:pPr>
    <w:rPr>
      <w:sz w:val="20"/>
    </w:rPr>
  </w:style>
  <w:style w:type="paragraph" w:customStyle="1" w:styleId="701r">
    <w:name w:val="701r"/>
    <w:aliases w:val="7 kopstreep h rechts"/>
    <w:basedOn w:val="Normal"/>
    <w:next w:val="Normal"/>
    <w:rsid w:val="001E07A0"/>
    <w:pPr>
      <w:tabs>
        <w:tab w:val="left" w:pos="0"/>
        <w:tab w:val="right" w:pos="800"/>
        <w:tab w:val="left" w:pos="1280"/>
        <w:tab w:val="right" w:pos="2080"/>
        <w:tab w:val="left" w:pos="2560"/>
        <w:tab w:val="right" w:pos="3360"/>
        <w:tab w:val="left" w:pos="3840"/>
        <w:tab w:val="right" w:pos="4640"/>
        <w:tab w:val="left" w:pos="5120"/>
        <w:tab w:val="right" w:pos="5920"/>
        <w:tab w:val="left" w:pos="6400"/>
        <w:tab w:val="right" w:pos="7200"/>
        <w:tab w:val="left" w:pos="7680"/>
        <w:tab w:val="right" w:pos="8480"/>
      </w:tabs>
      <w:spacing w:after="140" w:line="140" w:lineRule="exact"/>
    </w:pPr>
    <w:rPr>
      <w:sz w:val="10"/>
    </w:rPr>
  </w:style>
  <w:style w:type="paragraph" w:customStyle="1" w:styleId="702r">
    <w:name w:val="702r"/>
    <w:aliases w:val="7 €-tekens h rechts"/>
    <w:basedOn w:val="Normal"/>
    <w:next w:val="Normal"/>
    <w:rsid w:val="001E07A0"/>
    <w:pPr>
      <w:tabs>
        <w:tab w:val="center" w:pos="400"/>
        <w:tab w:val="center" w:pos="1680"/>
        <w:tab w:val="center" w:pos="2960"/>
        <w:tab w:val="center" w:pos="4240"/>
        <w:tab w:val="center" w:pos="5520"/>
        <w:tab w:val="center" w:pos="6800"/>
        <w:tab w:val="center" w:pos="8080"/>
      </w:tabs>
      <w:spacing w:after="140"/>
    </w:pPr>
    <w:rPr>
      <w:sz w:val="20"/>
    </w:rPr>
  </w:style>
  <w:style w:type="paragraph" w:customStyle="1" w:styleId="703r">
    <w:name w:val="703r"/>
    <w:aliases w:val="kop boven 1/7 h rechts"/>
    <w:basedOn w:val="Normal"/>
    <w:next w:val="701r"/>
    <w:rsid w:val="001E07A0"/>
    <w:pPr>
      <w:tabs>
        <w:tab w:val="center" w:pos="4240"/>
      </w:tabs>
    </w:pPr>
    <w:rPr>
      <w:sz w:val="20"/>
    </w:rPr>
  </w:style>
  <w:style w:type="paragraph" w:customStyle="1" w:styleId="704r">
    <w:name w:val="704r"/>
    <w:aliases w:val="7 cijferregel h rechts"/>
    <w:basedOn w:val="Normal"/>
    <w:rsid w:val="001E07A0"/>
    <w:pPr>
      <w:tabs>
        <w:tab w:val="decimal" w:pos="800"/>
        <w:tab w:val="decimal" w:pos="2080"/>
        <w:tab w:val="decimal" w:pos="3360"/>
        <w:tab w:val="decimal" w:pos="4640"/>
        <w:tab w:val="decimal" w:pos="5920"/>
        <w:tab w:val="decimal" w:pos="7200"/>
        <w:tab w:val="decimal" w:pos="8480"/>
      </w:tabs>
    </w:pPr>
    <w:rPr>
      <w:sz w:val="20"/>
    </w:rPr>
  </w:style>
  <w:style w:type="paragraph" w:customStyle="1" w:styleId="705r">
    <w:name w:val="705r"/>
    <w:aliases w:val="7 enkele telstreep h rechts"/>
    <w:basedOn w:val="Normal"/>
    <w:next w:val="704r"/>
    <w:rsid w:val="001E07A0"/>
    <w:pPr>
      <w:tabs>
        <w:tab w:val="left" w:pos="0"/>
        <w:tab w:val="decimal" w:pos="800"/>
        <w:tab w:val="left" w:pos="1280"/>
        <w:tab w:val="decimal" w:pos="2080"/>
        <w:tab w:val="left" w:pos="2560"/>
        <w:tab w:val="decimal" w:pos="3360"/>
        <w:tab w:val="left" w:pos="3840"/>
        <w:tab w:val="decimal" w:pos="4640"/>
        <w:tab w:val="left" w:pos="5120"/>
        <w:tab w:val="decimal" w:pos="5920"/>
        <w:tab w:val="left" w:pos="6400"/>
        <w:tab w:val="decimal" w:pos="7200"/>
        <w:tab w:val="left" w:pos="7680"/>
        <w:tab w:val="decimal" w:pos="8480"/>
      </w:tabs>
      <w:spacing w:line="140" w:lineRule="exact"/>
    </w:pPr>
    <w:rPr>
      <w:position w:val="4"/>
      <w:sz w:val="10"/>
    </w:rPr>
  </w:style>
  <w:style w:type="paragraph" w:customStyle="1" w:styleId="706r">
    <w:name w:val="706r"/>
    <w:aliases w:val="7 gestippelde streep h rechts"/>
    <w:basedOn w:val="705r"/>
    <w:next w:val="704r"/>
    <w:rsid w:val="001E07A0"/>
    <w:pPr>
      <w:tabs>
        <w:tab w:val="decimal" w:leader="dot" w:pos="800"/>
        <w:tab w:val="decimal" w:leader="dot" w:pos="2080"/>
        <w:tab w:val="decimal" w:leader="dot" w:pos="3360"/>
        <w:tab w:val="decimal" w:leader="dot" w:pos="4640"/>
        <w:tab w:val="decimal" w:leader="dot" w:pos="5920"/>
        <w:tab w:val="decimal" w:leader="dot" w:pos="7200"/>
        <w:tab w:val="decimal" w:leader="dot" w:pos="8480"/>
      </w:tabs>
    </w:pPr>
    <w:rPr>
      <w:position w:val="2"/>
      <w:sz w:val="14"/>
    </w:rPr>
  </w:style>
  <w:style w:type="paragraph" w:customStyle="1" w:styleId="707r">
    <w:name w:val="707r"/>
    <w:aliases w:val="7 dubbele streep h rechts"/>
    <w:basedOn w:val="705r"/>
    <w:next w:val="000"/>
    <w:rsid w:val="001E07A0"/>
    <w:rPr>
      <w:position w:val="6"/>
      <w:sz w:val="14"/>
    </w:rPr>
  </w:style>
  <w:style w:type="paragraph" w:customStyle="1" w:styleId="a200">
    <w:name w:val="a200"/>
    <w:aliases w:val="2 kop h en 100%"/>
    <w:basedOn w:val="Normal"/>
    <w:rsid w:val="001E07A0"/>
    <w:pPr>
      <w:tabs>
        <w:tab w:val="center" w:pos="6820"/>
        <w:tab w:val="center" w:pos="8580"/>
      </w:tabs>
      <w:ind w:right="-170"/>
    </w:pPr>
    <w:rPr>
      <w:sz w:val="20"/>
    </w:rPr>
  </w:style>
  <w:style w:type="paragraph" w:customStyle="1" w:styleId="a201">
    <w:name w:val="a201"/>
    <w:aliases w:val="2 kopstreep h en 100%"/>
    <w:basedOn w:val="Normal"/>
    <w:next w:val="Normal"/>
    <w:rsid w:val="001E07A0"/>
    <w:pPr>
      <w:tabs>
        <w:tab w:val="left" w:pos="6020"/>
        <w:tab w:val="right" w:pos="7620"/>
        <w:tab w:val="left" w:pos="7780"/>
        <w:tab w:val="right" w:pos="9380"/>
      </w:tabs>
      <w:spacing w:after="140" w:line="140" w:lineRule="exact"/>
    </w:pPr>
    <w:rPr>
      <w:sz w:val="10"/>
    </w:rPr>
  </w:style>
  <w:style w:type="paragraph" w:customStyle="1" w:styleId="a202">
    <w:name w:val="a202"/>
    <w:aliases w:val="2 €- en %-tekens h en 100%"/>
    <w:basedOn w:val="Normal"/>
    <w:next w:val="Normal"/>
    <w:rsid w:val="001E07A0"/>
    <w:pPr>
      <w:tabs>
        <w:tab w:val="center" w:pos="6420"/>
        <w:tab w:val="center" w:pos="7380"/>
        <w:tab w:val="center" w:pos="8180"/>
        <w:tab w:val="center" w:pos="9140"/>
      </w:tabs>
      <w:spacing w:after="140"/>
    </w:pPr>
    <w:rPr>
      <w:sz w:val="20"/>
    </w:rPr>
  </w:style>
  <w:style w:type="paragraph" w:customStyle="1" w:styleId="a203">
    <w:name w:val="a203"/>
    <w:aliases w:val="kop boven 1/2 h en 100%"/>
    <w:basedOn w:val="Normal"/>
    <w:next w:val="a201"/>
    <w:rsid w:val="001E07A0"/>
    <w:pPr>
      <w:tabs>
        <w:tab w:val="center" w:pos="7700"/>
      </w:tabs>
    </w:pPr>
    <w:rPr>
      <w:sz w:val="20"/>
    </w:rPr>
  </w:style>
  <w:style w:type="paragraph" w:customStyle="1" w:styleId="a204">
    <w:name w:val="a204"/>
    <w:aliases w:val="2 cijferregel h en 100%"/>
    <w:basedOn w:val="Normal"/>
    <w:rsid w:val="001E07A0"/>
    <w:pPr>
      <w:tabs>
        <w:tab w:val="left" w:pos="1134"/>
        <w:tab w:val="decimal" w:pos="6820"/>
        <w:tab w:val="decimal" w:pos="7620"/>
        <w:tab w:val="decimal" w:pos="8580"/>
        <w:tab w:val="decimal" w:pos="9380"/>
      </w:tabs>
      <w:ind w:left="567" w:right="-170" w:hanging="567"/>
    </w:pPr>
    <w:rPr>
      <w:sz w:val="20"/>
    </w:rPr>
  </w:style>
  <w:style w:type="paragraph" w:customStyle="1" w:styleId="a205">
    <w:name w:val="a205"/>
    <w:aliases w:val="2 enkele telstreep h en 100%"/>
    <w:basedOn w:val="Normal"/>
    <w:next w:val="a204"/>
    <w:rsid w:val="001E07A0"/>
    <w:pPr>
      <w:tabs>
        <w:tab w:val="left" w:pos="6020"/>
        <w:tab w:val="decimal" w:pos="6820"/>
        <w:tab w:val="left" w:pos="7140"/>
        <w:tab w:val="decimal" w:pos="7620"/>
        <w:tab w:val="left" w:pos="7780"/>
        <w:tab w:val="decimal" w:pos="8580"/>
        <w:tab w:val="left" w:pos="8900"/>
        <w:tab w:val="decimal" w:pos="9380"/>
      </w:tabs>
      <w:spacing w:line="140" w:lineRule="exact"/>
    </w:pPr>
    <w:rPr>
      <w:position w:val="4"/>
      <w:sz w:val="10"/>
    </w:rPr>
  </w:style>
  <w:style w:type="paragraph" w:customStyle="1" w:styleId="a206">
    <w:name w:val="a206"/>
    <w:aliases w:val="2 gestippelde streep h en 100%"/>
    <w:basedOn w:val="a205"/>
    <w:next w:val="a204"/>
    <w:rsid w:val="001E07A0"/>
    <w:pPr>
      <w:tabs>
        <w:tab w:val="decimal" w:leader="dot" w:pos="6820"/>
        <w:tab w:val="decimal" w:leader="dot" w:pos="7620"/>
        <w:tab w:val="decimal" w:leader="dot" w:pos="8580"/>
        <w:tab w:val="decimal" w:leader="dot" w:pos="9380"/>
      </w:tabs>
    </w:pPr>
    <w:rPr>
      <w:position w:val="2"/>
      <w:sz w:val="14"/>
    </w:rPr>
  </w:style>
  <w:style w:type="paragraph" w:customStyle="1" w:styleId="a207">
    <w:name w:val="a207"/>
    <w:aliases w:val="2 dubbele streep h en 100%"/>
    <w:basedOn w:val="a205"/>
    <w:next w:val="000"/>
    <w:rsid w:val="001E07A0"/>
    <w:rPr>
      <w:position w:val="6"/>
      <w:sz w:val="14"/>
    </w:rPr>
  </w:style>
  <w:style w:type="paragraph" w:customStyle="1" w:styleId="b200">
    <w:name w:val="b200"/>
    <w:aliases w:val="2 kop h en 100.0%"/>
    <w:basedOn w:val="Normal"/>
    <w:next w:val="Normal"/>
    <w:rsid w:val="001E07A0"/>
    <w:pPr>
      <w:tabs>
        <w:tab w:val="center" w:pos="6820"/>
        <w:tab w:val="center" w:pos="8580"/>
      </w:tabs>
      <w:ind w:right="-170"/>
    </w:pPr>
    <w:rPr>
      <w:sz w:val="20"/>
    </w:rPr>
  </w:style>
  <w:style w:type="paragraph" w:customStyle="1" w:styleId="b201">
    <w:name w:val="b201"/>
    <w:aliases w:val="2 kopstreep h en 100.0%"/>
    <w:basedOn w:val="Normal"/>
    <w:next w:val="Normal"/>
    <w:rsid w:val="001E07A0"/>
    <w:pPr>
      <w:tabs>
        <w:tab w:val="left" w:pos="6020"/>
        <w:tab w:val="right" w:pos="7620"/>
        <w:tab w:val="left" w:pos="7780"/>
        <w:tab w:val="right" w:pos="9380"/>
      </w:tabs>
      <w:spacing w:after="140" w:line="140" w:lineRule="exact"/>
    </w:pPr>
    <w:rPr>
      <w:sz w:val="10"/>
    </w:rPr>
  </w:style>
  <w:style w:type="paragraph" w:customStyle="1" w:styleId="b202">
    <w:name w:val="b202"/>
    <w:aliases w:val="2 €- en %-tekens h en 100.0%"/>
    <w:basedOn w:val="Normal"/>
    <w:next w:val="204"/>
    <w:rsid w:val="001E07A0"/>
    <w:pPr>
      <w:tabs>
        <w:tab w:val="center" w:pos="6420"/>
        <w:tab w:val="center" w:pos="7340"/>
        <w:tab w:val="center" w:pos="8180"/>
        <w:tab w:val="center" w:pos="9100"/>
      </w:tabs>
      <w:spacing w:after="140"/>
    </w:pPr>
    <w:rPr>
      <w:sz w:val="20"/>
    </w:rPr>
  </w:style>
  <w:style w:type="paragraph" w:customStyle="1" w:styleId="b203">
    <w:name w:val="b203"/>
    <w:aliases w:val="kop boven 1/2 h en 100.0%"/>
    <w:basedOn w:val="Normal"/>
    <w:next w:val="b201"/>
    <w:rsid w:val="001E07A0"/>
    <w:pPr>
      <w:tabs>
        <w:tab w:val="center" w:pos="7700"/>
      </w:tabs>
    </w:pPr>
    <w:rPr>
      <w:sz w:val="20"/>
    </w:rPr>
  </w:style>
  <w:style w:type="paragraph" w:customStyle="1" w:styleId="b204">
    <w:name w:val="b204"/>
    <w:aliases w:val="2 cijferregel h en 100.0%"/>
    <w:basedOn w:val="Normal"/>
    <w:rsid w:val="001E07A0"/>
    <w:pPr>
      <w:tabs>
        <w:tab w:val="left" w:pos="1134"/>
        <w:tab w:val="decimal" w:pos="6820"/>
        <w:tab w:val="decimal" w:pos="7420"/>
        <w:tab w:val="decimal" w:pos="8580"/>
        <w:tab w:val="decimal" w:pos="9180"/>
      </w:tabs>
      <w:ind w:left="567" w:right="-170" w:hanging="567"/>
    </w:pPr>
    <w:rPr>
      <w:sz w:val="20"/>
    </w:rPr>
  </w:style>
  <w:style w:type="paragraph" w:customStyle="1" w:styleId="b205">
    <w:name w:val="b205"/>
    <w:aliases w:val="2 enkele telstreep h en 100.0%"/>
    <w:basedOn w:val="Normal"/>
    <w:next w:val="b204"/>
    <w:rsid w:val="001E07A0"/>
    <w:pPr>
      <w:tabs>
        <w:tab w:val="left" w:pos="6020"/>
        <w:tab w:val="decimal" w:pos="6820"/>
        <w:tab w:val="left" w:pos="7060"/>
        <w:tab w:val="decimal" w:pos="7620"/>
        <w:tab w:val="left" w:pos="7780"/>
        <w:tab w:val="decimal" w:pos="8580"/>
        <w:tab w:val="left" w:pos="8820"/>
        <w:tab w:val="decimal" w:pos="9380"/>
      </w:tabs>
      <w:spacing w:line="140" w:lineRule="exact"/>
    </w:pPr>
    <w:rPr>
      <w:position w:val="4"/>
      <w:sz w:val="10"/>
    </w:rPr>
  </w:style>
  <w:style w:type="paragraph" w:customStyle="1" w:styleId="b206">
    <w:name w:val="b206"/>
    <w:aliases w:val="2 gestippelde streep h en 100.0%"/>
    <w:basedOn w:val="b205"/>
    <w:next w:val="b204"/>
    <w:rsid w:val="001E07A0"/>
    <w:pPr>
      <w:tabs>
        <w:tab w:val="decimal" w:leader="dot" w:pos="6820"/>
        <w:tab w:val="decimal" w:leader="dot" w:pos="7620"/>
        <w:tab w:val="decimal" w:leader="dot" w:pos="8580"/>
        <w:tab w:val="decimal" w:leader="dot" w:pos="9380"/>
      </w:tabs>
    </w:pPr>
    <w:rPr>
      <w:position w:val="2"/>
      <w:sz w:val="14"/>
    </w:rPr>
  </w:style>
  <w:style w:type="paragraph" w:customStyle="1" w:styleId="b207">
    <w:name w:val="b207"/>
    <w:aliases w:val="2 dubbele streep h en 100.0%"/>
    <w:basedOn w:val="b205"/>
    <w:next w:val="000"/>
    <w:rsid w:val="001E07A0"/>
    <w:rPr>
      <w:position w:val="6"/>
      <w:sz w:val="14"/>
    </w:rPr>
  </w:style>
  <w:style w:type="paragraph" w:styleId="BalloonText">
    <w:name w:val="Balloon Text"/>
    <w:basedOn w:val="Normal"/>
    <w:link w:val="BalloonTextChar"/>
    <w:rsid w:val="001E07A0"/>
    <w:rPr>
      <w:rFonts w:ascii="Tahoma" w:hAnsi="Tahoma" w:cs="Tahoma"/>
      <w:sz w:val="16"/>
      <w:szCs w:val="16"/>
    </w:rPr>
  </w:style>
  <w:style w:type="character" w:customStyle="1" w:styleId="BalloonTextChar">
    <w:name w:val="Balloon Text Char"/>
    <w:basedOn w:val="DefaultParagraphFont"/>
    <w:link w:val="BalloonText"/>
    <w:rsid w:val="001E07A0"/>
    <w:rPr>
      <w:rFonts w:ascii="Tahoma" w:eastAsia="Times New Roman" w:hAnsi="Tahoma" w:cs="Tahoma"/>
      <w:sz w:val="16"/>
      <w:szCs w:val="16"/>
    </w:rPr>
  </w:style>
  <w:style w:type="paragraph" w:customStyle="1" w:styleId="BijlageHeading1">
    <w:name w:val="BijlageHeading 1"/>
    <w:basedOn w:val="Normal"/>
    <w:next w:val="000"/>
    <w:rsid w:val="001E07A0"/>
    <w:pPr>
      <w:keepNext/>
      <w:numPr>
        <w:numId w:val="1"/>
      </w:numPr>
      <w:spacing w:before="240" w:after="60"/>
      <w:outlineLvl w:val="0"/>
    </w:pPr>
    <w:rPr>
      <w:b/>
      <w:sz w:val="28"/>
    </w:rPr>
  </w:style>
  <w:style w:type="paragraph" w:customStyle="1" w:styleId="BijlageHeading2">
    <w:name w:val="BijlageHeading 2"/>
    <w:basedOn w:val="Normal"/>
    <w:next w:val="000"/>
    <w:rsid w:val="001E07A0"/>
    <w:pPr>
      <w:keepNext/>
      <w:numPr>
        <w:ilvl w:val="1"/>
        <w:numId w:val="1"/>
      </w:numPr>
      <w:spacing w:before="240" w:after="60"/>
      <w:outlineLvl w:val="1"/>
    </w:pPr>
    <w:rPr>
      <w:b/>
      <w:i/>
      <w:sz w:val="26"/>
    </w:rPr>
  </w:style>
  <w:style w:type="paragraph" w:customStyle="1" w:styleId="BijlageHeading3">
    <w:name w:val="BijlageHeading 3"/>
    <w:basedOn w:val="Normal"/>
    <w:next w:val="000"/>
    <w:rsid w:val="001E07A0"/>
    <w:pPr>
      <w:keepNext/>
      <w:numPr>
        <w:ilvl w:val="2"/>
        <w:numId w:val="1"/>
      </w:numPr>
      <w:spacing w:before="240" w:after="60"/>
      <w:outlineLvl w:val="2"/>
    </w:pPr>
    <w:rPr>
      <w:b/>
    </w:rPr>
  </w:style>
  <w:style w:type="paragraph" w:customStyle="1" w:styleId="BijlageHeading4">
    <w:name w:val="BijlageHeading 4"/>
    <w:basedOn w:val="Normal"/>
    <w:next w:val="000"/>
    <w:rsid w:val="001E07A0"/>
    <w:pPr>
      <w:keepNext/>
      <w:numPr>
        <w:ilvl w:val="3"/>
        <w:numId w:val="1"/>
      </w:numPr>
      <w:spacing w:before="240" w:after="60"/>
      <w:outlineLvl w:val="3"/>
    </w:pPr>
    <w:rPr>
      <w:b/>
      <w:i/>
    </w:rPr>
  </w:style>
  <w:style w:type="paragraph" w:styleId="EndnoteText">
    <w:name w:val="endnote text"/>
    <w:basedOn w:val="Normal"/>
    <w:link w:val="EndnoteTextChar"/>
    <w:semiHidden/>
    <w:rsid w:val="001E07A0"/>
    <w:rPr>
      <w:sz w:val="20"/>
    </w:rPr>
  </w:style>
  <w:style w:type="character" w:customStyle="1" w:styleId="EndnoteTextChar">
    <w:name w:val="Endnote Text Char"/>
    <w:basedOn w:val="DefaultParagraphFont"/>
    <w:link w:val="EndnoteText"/>
    <w:semiHidden/>
    <w:rsid w:val="001E07A0"/>
    <w:rPr>
      <w:rFonts w:ascii="EYInterstate Light" w:eastAsia="Times New Roman" w:hAnsi="EYInterstate Light" w:cs="Times New Roman"/>
      <w:sz w:val="20"/>
      <w:szCs w:val="20"/>
    </w:rPr>
  </w:style>
  <w:style w:type="paragraph" w:customStyle="1" w:styleId="EYBodyTextwithparaspace">
    <w:name w:val="EY Body Text (with para space)"/>
    <w:basedOn w:val="Normal"/>
    <w:rsid w:val="001E07A0"/>
    <w:pPr>
      <w:spacing w:after="260"/>
    </w:pPr>
  </w:style>
  <w:style w:type="paragraph" w:customStyle="1" w:styleId="EYBusinessaddress">
    <w:name w:val="EY Business address"/>
    <w:basedOn w:val="Normal"/>
    <w:rsid w:val="001E07A0"/>
    <w:pPr>
      <w:suppressAutoHyphens/>
      <w:spacing w:line="170" w:lineRule="atLeast"/>
    </w:pPr>
    <w:rPr>
      <w:color w:val="7F7E82"/>
      <w:sz w:val="15"/>
    </w:rPr>
  </w:style>
  <w:style w:type="paragraph" w:customStyle="1" w:styleId="EYBusinessaddressbold">
    <w:name w:val="EY Business address (bold)"/>
    <w:basedOn w:val="Normal"/>
    <w:rsid w:val="001E07A0"/>
    <w:pPr>
      <w:suppressAutoHyphens/>
      <w:spacing w:line="170" w:lineRule="atLeast"/>
    </w:pPr>
    <w:rPr>
      <w:rFonts w:ascii="EYInterstate" w:hAnsi="EYInterstate"/>
      <w:b/>
      <w:sz w:val="15"/>
    </w:rPr>
  </w:style>
  <w:style w:type="paragraph" w:customStyle="1" w:styleId="EYfooter">
    <w:name w:val="EY footer"/>
    <w:basedOn w:val="Normal"/>
    <w:rsid w:val="001E07A0"/>
    <w:pPr>
      <w:suppressAutoHyphens/>
      <w:spacing w:line="130" w:lineRule="atLeast"/>
    </w:pPr>
    <w:rPr>
      <w:sz w:val="11"/>
    </w:rPr>
  </w:style>
  <w:style w:type="paragraph" w:styleId="Footer">
    <w:name w:val="footer"/>
    <w:basedOn w:val="000"/>
    <w:link w:val="FooterChar"/>
    <w:rsid w:val="001E07A0"/>
    <w:pPr>
      <w:tabs>
        <w:tab w:val="center" w:pos="4677"/>
        <w:tab w:val="right" w:pos="9377"/>
      </w:tabs>
    </w:pPr>
  </w:style>
  <w:style w:type="character" w:customStyle="1" w:styleId="FooterChar">
    <w:name w:val="Footer Char"/>
    <w:basedOn w:val="DefaultParagraphFont"/>
    <w:link w:val="Footer"/>
    <w:rsid w:val="001E07A0"/>
    <w:rPr>
      <w:rFonts w:ascii="EYInterstate Light" w:eastAsia="Times New Roman" w:hAnsi="EYInterstate Light" w:cs="Times New Roman"/>
      <w:szCs w:val="20"/>
    </w:rPr>
  </w:style>
  <w:style w:type="character" w:styleId="FootnoteReference">
    <w:name w:val="footnote reference"/>
    <w:basedOn w:val="DefaultParagraphFont"/>
    <w:rsid w:val="001E07A0"/>
    <w:rPr>
      <w:rFonts w:ascii="EYInterstate Light" w:hAnsi="EYInterstate Light"/>
      <w:position w:val="6"/>
      <w:sz w:val="14"/>
    </w:rPr>
  </w:style>
  <w:style w:type="paragraph" w:styleId="FootnoteText">
    <w:name w:val="footnote text"/>
    <w:basedOn w:val="000"/>
    <w:link w:val="FootnoteTextChar"/>
    <w:rsid w:val="001E07A0"/>
    <w:pPr>
      <w:ind w:left="480" w:hanging="480"/>
    </w:pPr>
    <w:rPr>
      <w:sz w:val="18"/>
    </w:rPr>
  </w:style>
  <w:style w:type="character" w:customStyle="1" w:styleId="FootnoteTextChar">
    <w:name w:val="Footnote Text Char"/>
    <w:basedOn w:val="DefaultParagraphFont"/>
    <w:link w:val="FootnoteText"/>
    <w:rsid w:val="001E07A0"/>
    <w:rPr>
      <w:rFonts w:ascii="EYInterstate Light" w:eastAsia="Times New Roman" w:hAnsi="EYInterstate Light" w:cs="Times New Roman"/>
      <w:sz w:val="18"/>
      <w:szCs w:val="20"/>
    </w:rPr>
  </w:style>
  <w:style w:type="paragraph" w:styleId="Header">
    <w:name w:val="header"/>
    <w:basedOn w:val="000"/>
    <w:link w:val="HeaderChar"/>
    <w:uiPriority w:val="99"/>
    <w:rsid w:val="001E07A0"/>
    <w:pPr>
      <w:tabs>
        <w:tab w:val="center" w:pos="4677"/>
        <w:tab w:val="right" w:pos="9377"/>
      </w:tabs>
    </w:pPr>
  </w:style>
  <w:style w:type="character" w:customStyle="1" w:styleId="HeaderChar">
    <w:name w:val="Header Char"/>
    <w:basedOn w:val="DefaultParagraphFont"/>
    <w:link w:val="Header"/>
    <w:uiPriority w:val="99"/>
    <w:rsid w:val="001E07A0"/>
    <w:rPr>
      <w:rFonts w:ascii="EYInterstate Light" w:eastAsia="Times New Roman" w:hAnsi="EYInterstate Light" w:cs="Times New Roman"/>
      <w:szCs w:val="20"/>
    </w:rPr>
  </w:style>
  <w:style w:type="character" w:customStyle="1" w:styleId="Heading1Char">
    <w:name w:val="Heading 1 Char"/>
    <w:aliases w:val="051 Char"/>
    <w:basedOn w:val="DefaultParagraphFont"/>
    <w:link w:val="Heading1"/>
    <w:rsid w:val="001E07A0"/>
    <w:rPr>
      <w:rFonts w:ascii="Times New Roman" w:hAnsi="Times New Roman" w:cs="Times New Roman"/>
      <w:b/>
      <w:sz w:val="28"/>
      <w:szCs w:val="24"/>
      <w:lang w:eastAsia="nl-NL"/>
    </w:rPr>
  </w:style>
  <w:style w:type="character" w:customStyle="1" w:styleId="Heading2Char">
    <w:name w:val="Heading 2 Char"/>
    <w:aliases w:val="052 Char"/>
    <w:basedOn w:val="DefaultParagraphFont"/>
    <w:link w:val="Heading2"/>
    <w:rsid w:val="001E07A0"/>
    <w:rPr>
      <w:rFonts w:ascii="Times New Roman" w:hAnsi="Times New Roman" w:cs="Times New Roman"/>
      <w:b/>
      <w:i/>
      <w:sz w:val="26"/>
      <w:szCs w:val="24"/>
      <w:lang w:eastAsia="nl-NL"/>
    </w:rPr>
  </w:style>
  <w:style w:type="character" w:customStyle="1" w:styleId="Heading3Char">
    <w:name w:val="Heading 3 Char"/>
    <w:aliases w:val="053 Char"/>
    <w:basedOn w:val="DefaultParagraphFont"/>
    <w:link w:val="Heading3"/>
    <w:rsid w:val="001E07A0"/>
    <w:rPr>
      <w:rFonts w:ascii="Times New Roman" w:hAnsi="Times New Roman" w:cs="Times New Roman"/>
      <w:b/>
      <w:sz w:val="24"/>
      <w:szCs w:val="24"/>
      <w:lang w:eastAsia="nl-NL"/>
    </w:rPr>
  </w:style>
  <w:style w:type="character" w:customStyle="1" w:styleId="Heading4Char">
    <w:name w:val="Heading 4 Char"/>
    <w:aliases w:val="054 Char"/>
    <w:basedOn w:val="DefaultParagraphFont"/>
    <w:link w:val="Heading4"/>
    <w:rsid w:val="001E07A0"/>
    <w:rPr>
      <w:rFonts w:ascii="Times New Roman" w:hAnsi="Times New Roman" w:cs="Times New Roman"/>
      <w:i/>
      <w:szCs w:val="24"/>
      <w:lang w:eastAsia="nl-NL"/>
    </w:rPr>
  </w:style>
  <w:style w:type="character" w:customStyle="1" w:styleId="Heading5Char">
    <w:name w:val="Heading 5 Char"/>
    <w:basedOn w:val="DefaultParagraphFont"/>
    <w:link w:val="Heading5"/>
    <w:rsid w:val="001E07A0"/>
    <w:rPr>
      <w:rFonts w:ascii="Arial" w:hAnsi="Arial" w:cs="Times New Roman"/>
      <w:sz w:val="24"/>
      <w:szCs w:val="24"/>
      <w:lang w:eastAsia="nl-NL"/>
    </w:rPr>
  </w:style>
  <w:style w:type="character" w:customStyle="1" w:styleId="Heading6Char">
    <w:name w:val="Heading 6 Char"/>
    <w:basedOn w:val="DefaultParagraphFont"/>
    <w:link w:val="Heading6"/>
    <w:rsid w:val="001E07A0"/>
    <w:rPr>
      <w:rFonts w:ascii="Times New Roman" w:hAnsi="Times New Roman" w:cs="Times New Roman"/>
      <w:i/>
      <w:sz w:val="24"/>
      <w:szCs w:val="24"/>
      <w:lang w:eastAsia="nl-NL"/>
    </w:rPr>
  </w:style>
  <w:style w:type="character" w:customStyle="1" w:styleId="Heading7Char">
    <w:name w:val="Heading 7 Char"/>
    <w:basedOn w:val="DefaultParagraphFont"/>
    <w:link w:val="Heading7"/>
    <w:rsid w:val="001E07A0"/>
    <w:rPr>
      <w:rFonts w:ascii="Arial" w:hAnsi="Arial" w:cs="Times New Roman"/>
      <w:sz w:val="20"/>
      <w:szCs w:val="24"/>
      <w:lang w:eastAsia="nl-NL"/>
    </w:rPr>
  </w:style>
  <w:style w:type="character" w:customStyle="1" w:styleId="Heading8Char">
    <w:name w:val="Heading 8 Char"/>
    <w:basedOn w:val="DefaultParagraphFont"/>
    <w:link w:val="Heading8"/>
    <w:rsid w:val="001E07A0"/>
    <w:rPr>
      <w:rFonts w:ascii="Arial" w:hAnsi="Arial" w:cs="Times New Roman"/>
      <w:i/>
      <w:sz w:val="20"/>
      <w:szCs w:val="24"/>
      <w:lang w:eastAsia="nl-NL"/>
    </w:rPr>
  </w:style>
  <w:style w:type="character" w:customStyle="1" w:styleId="Heading9Char">
    <w:name w:val="Heading 9 Char"/>
    <w:basedOn w:val="DefaultParagraphFont"/>
    <w:link w:val="Heading9"/>
    <w:rsid w:val="001E07A0"/>
    <w:rPr>
      <w:rFonts w:ascii="Arial" w:hAnsi="Arial" w:cs="Times New Roman"/>
      <w:b/>
      <w:i/>
      <w:sz w:val="18"/>
      <w:szCs w:val="24"/>
      <w:lang w:eastAsia="nl-NL"/>
    </w:rPr>
  </w:style>
  <w:style w:type="character" w:styleId="Hyperlink">
    <w:name w:val="Hyperlink"/>
    <w:basedOn w:val="DefaultParagraphFont"/>
    <w:uiPriority w:val="99"/>
    <w:rsid w:val="001E07A0"/>
    <w:rPr>
      <w:color w:val="0000FF"/>
      <w:u w:val="single"/>
    </w:rPr>
  </w:style>
  <w:style w:type="paragraph" w:styleId="ListBullet">
    <w:name w:val="List Bullet"/>
    <w:basedOn w:val="000"/>
    <w:rsid w:val="001E07A0"/>
    <w:pPr>
      <w:numPr>
        <w:numId w:val="4"/>
      </w:numPr>
    </w:pPr>
  </w:style>
  <w:style w:type="paragraph" w:styleId="ListBullet2">
    <w:name w:val="List Bullet 2"/>
    <w:basedOn w:val="000"/>
    <w:rsid w:val="001E07A0"/>
    <w:pPr>
      <w:numPr>
        <w:numId w:val="5"/>
      </w:numPr>
    </w:pPr>
  </w:style>
  <w:style w:type="paragraph" w:styleId="ListBullet3">
    <w:name w:val="List Bullet 3"/>
    <w:basedOn w:val="000"/>
    <w:rsid w:val="001E07A0"/>
    <w:pPr>
      <w:numPr>
        <w:numId w:val="6"/>
      </w:numPr>
    </w:pPr>
  </w:style>
  <w:style w:type="paragraph" w:styleId="ListNumber">
    <w:name w:val="List Number"/>
    <w:basedOn w:val="000"/>
    <w:rsid w:val="001E07A0"/>
    <w:pPr>
      <w:numPr>
        <w:numId w:val="7"/>
      </w:numPr>
    </w:pPr>
  </w:style>
  <w:style w:type="character" w:styleId="PageNumber">
    <w:name w:val="page number"/>
    <w:basedOn w:val="DefaultParagraphFont"/>
    <w:rsid w:val="001E07A0"/>
    <w:rPr>
      <w:sz w:val="24"/>
      <w:lang w:val="nl-NL"/>
    </w:rPr>
  </w:style>
  <w:style w:type="paragraph" w:styleId="TOC1">
    <w:name w:val="toc 1"/>
    <w:basedOn w:val="Normal"/>
    <w:next w:val="Normal"/>
    <w:uiPriority w:val="39"/>
    <w:rsid w:val="001E07A0"/>
    <w:pPr>
      <w:tabs>
        <w:tab w:val="right" w:pos="9378"/>
      </w:tabs>
      <w:spacing w:before="280"/>
      <w:ind w:left="720" w:hanging="720"/>
    </w:pPr>
    <w:rPr>
      <w:b/>
    </w:rPr>
  </w:style>
  <w:style w:type="paragraph" w:styleId="TOC3">
    <w:name w:val="toc 3"/>
    <w:basedOn w:val="Normal"/>
    <w:next w:val="Normal"/>
    <w:autoRedefine/>
    <w:uiPriority w:val="39"/>
    <w:rsid w:val="001E07A0"/>
    <w:pPr>
      <w:ind w:left="480"/>
    </w:pPr>
  </w:style>
  <w:style w:type="paragraph" w:styleId="TOC4">
    <w:name w:val="toc 4"/>
    <w:basedOn w:val="Normal"/>
    <w:next w:val="Normal"/>
    <w:autoRedefine/>
    <w:semiHidden/>
    <w:rsid w:val="001E07A0"/>
    <w:pPr>
      <w:ind w:left="720"/>
    </w:pPr>
  </w:style>
  <w:style w:type="paragraph" w:styleId="TOC5">
    <w:name w:val="toc 5"/>
    <w:basedOn w:val="Normal"/>
    <w:next w:val="Normal"/>
    <w:autoRedefine/>
    <w:semiHidden/>
    <w:rsid w:val="001E07A0"/>
    <w:pPr>
      <w:ind w:left="960"/>
    </w:pPr>
  </w:style>
  <w:style w:type="paragraph" w:styleId="TOC6">
    <w:name w:val="toc 6"/>
    <w:basedOn w:val="Normal"/>
    <w:next w:val="Normal"/>
    <w:autoRedefine/>
    <w:semiHidden/>
    <w:rsid w:val="001E07A0"/>
    <w:pPr>
      <w:ind w:left="1200"/>
    </w:pPr>
  </w:style>
  <w:style w:type="paragraph" w:styleId="TOC7">
    <w:name w:val="toc 7"/>
    <w:basedOn w:val="Normal"/>
    <w:next w:val="Normal"/>
    <w:autoRedefine/>
    <w:semiHidden/>
    <w:rsid w:val="001E07A0"/>
    <w:pPr>
      <w:ind w:left="1440"/>
    </w:pPr>
  </w:style>
  <w:style w:type="paragraph" w:styleId="TOC8">
    <w:name w:val="toc 8"/>
    <w:basedOn w:val="Normal"/>
    <w:next w:val="Normal"/>
    <w:autoRedefine/>
    <w:semiHidden/>
    <w:rsid w:val="001E07A0"/>
    <w:pPr>
      <w:ind w:left="1680"/>
    </w:pPr>
  </w:style>
  <w:style w:type="paragraph" w:styleId="TOC9">
    <w:name w:val="toc 9"/>
    <w:basedOn w:val="Normal"/>
    <w:next w:val="Normal"/>
    <w:autoRedefine/>
    <w:semiHidden/>
    <w:rsid w:val="001E07A0"/>
    <w:pPr>
      <w:ind w:left="1920"/>
    </w:pPr>
  </w:style>
  <w:style w:type="paragraph" w:styleId="ListParagraph">
    <w:name w:val="List Paragraph"/>
    <w:basedOn w:val="Normal"/>
    <w:qFormat/>
    <w:rsid w:val="00AE4097"/>
    <w:pPr>
      <w:ind w:left="720"/>
      <w:contextualSpacing/>
    </w:pPr>
  </w:style>
  <w:style w:type="paragraph" w:styleId="BodyText2">
    <w:name w:val="Body Text 2"/>
    <w:basedOn w:val="Normal"/>
    <w:link w:val="BodyText2Char"/>
    <w:semiHidden/>
    <w:rsid w:val="00AE4097"/>
    <w:pPr>
      <w:spacing w:line="360" w:lineRule="auto"/>
      <w:jc w:val="both"/>
    </w:pPr>
    <w:rPr>
      <w:i/>
      <w:sz w:val="22"/>
      <w:szCs w:val="22"/>
      <w:lang w:val="en-US"/>
    </w:rPr>
  </w:style>
  <w:style w:type="character" w:customStyle="1" w:styleId="BodyText2Char">
    <w:name w:val="Body Text 2 Char"/>
    <w:basedOn w:val="DefaultParagraphFont"/>
    <w:link w:val="BodyText2"/>
    <w:semiHidden/>
    <w:rsid w:val="00AE4097"/>
    <w:rPr>
      <w:rFonts w:ascii="Times New Roman" w:hAnsi="Times New Roman" w:cs="Times New Roman"/>
      <w:i/>
      <w:lang w:val="en-US" w:eastAsia="nl-NL"/>
    </w:rPr>
  </w:style>
  <w:style w:type="character" w:styleId="LineNumber">
    <w:name w:val="line number"/>
    <w:basedOn w:val="DefaultParagraphFont"/>
    <w:semiHidden/>
    <w:unhideWhenUsed/>
    <w:rsid w:val="00AE4097"/>
  </w:style>
  <w:style w:type="character" w:styleId="FollowedHyperlink">
    <w:name w:val="FollowedHyperlink"/>
    <w:basedOn w:val="DefaultParagraphFont"/>
    <w:semiHidden/>
    <w:unhideWhenUsed/>
    <w:rsid w:val="00AE4097"/>
    <w:rPr>
      <w:color w:val="800080"/>
      <w:u w:val="single"/>
    </w:rPr>
  </w:style>
  <w:style w:type="character" w:customStyle="1" w:styleId="tabledatestamp1">
    <w:name w:val="tabledatestamp1"/>
    <w:basedOn w:val="DefaultParagraphFont"/>
    <w:rsid w:val="00AE4097"/>
    <w:rPr>
      <w:b w:val="0"/>
      <w:bCs w:val="0"/>
      <w:color w:val="808080"/>
      <w:sz w:val="17"/>
      <w:szCs w:val="17"/>
    </w:rPr>
  </w:style>
  <w:style w:type="character" w:styleId="PlaceholderText">
    <w:name w:val="Placeholder Text"/>
    <w:basedOn w:val="DefaultParagraphFont"/>
    <w:semiHidden/>
    <w:rsid w:val="00AE4097"/>
    <w:rPr>
      <w:color w:val="808080"/>
    </w:rPr>
  </w:style>
  <w:style w:type="paragraph" w:styleId="NormalWeb">
    <w:name w:val="Normal (Web)"/>
    <w:basedOn w:val="Normal"/>
    <w:semiHidden/>
    <w:rsid w:val="00AE4097"/>
    <w:pPr>
      <w:spacing w:before="100" w:beforeAutospacing="1" w:after="100" w:afterAutospacing="1"/>
    </w:pPr>
    <w:rPr>
      <w:lang w:val="en-US" w:eastAsia="en-US"/>
    </w:rPr>
  </w:style>
  <w:style w:type="paragraph" w:styleId="BodyText">
    <w:name w:val="Body Text"/>
    <w:basedOn w:val="Normal"/>
    <w:link w:val="BodyTextChar"/>
    <w:semiHidden/>
    <w:rsid w:val="00AE4097"/>
    <w:pPr>
      <w:jc w:val="both"/>
    </w:pPr>
    <w:rPr>
      <w:lang w:val="en-GB"/>
    </w:rPr>
  </w:style>
  <w:style w:type="character" w:customStyle="1" w:styleId="BodyTextChar">
    <w:name w:val="Body Text Char"/>
    <w:basedOn w:val="DefaultParagraphFont"/>
    <w:link w:val="BodyText"/>
    <w:semiHidden/>
    <w:rsid w:val="00AE4097"/>
    <w:rPr>
      <w:rFonts w:ascii="Times New Roman" w:hAnsi="Times New Roman" w:cs="Times New Roman"/>
      <w:sz w:val="24"/>
      <w:szCs w:val="24"/>
      <w:lang w:val="en-GB" w:eastAsia="nl-NL"/>
    </w:rPr>
  </w:style>
  <w:style w:type="character" w:styleId="EndnoteReference">
    <w:name w:val="endnote reference"/>
    <w:basedOn w:val="DefaultParagraphFont"/>
    <w:semiHidden/>
    <w:unhideWhenUsed/>
    <w:rsid w:val="00AE4097"/>
    <w:rPr>
      <w:vertAlign w:val="superscript"/>
    </w:rPr>
  </w:style>
  <w:style w:type="character" w:customStyle="1" w:styleId="CharChar4">
    <w:name w:val="Char Char4"/>
    <w:basedOn w:val="DefaultParagraphFont"/>
    <w:rsid w:val="00AE4097"/>
    <w:rPr>
      <w:rFonts w:ascii="Cambria" w:eastAsia="Times New Roman" w:hAnsi="Cambria" w:cs="Times New Roman"/>
      <w:b/>
      <w:bCs/>
      <w:kern w:val="32"/>
      <w:sz w:val="32"/>
      <w:szCs w:val="32"/>
      <w:lang w:val="en-US"/>
    </w:rPr>
  </w:style>
  <w:style w:type="character" w:customStyle="1" w:styleId="OpmaakprofielCalibri11pt">
    <w:name w:val="Opmaakprofiel Calibri 11 pt"/>
    <w:basedOn w:val="DefaultParagraphFont"/>
    <w:rsid w:val="00AE4097"/>
    <w:rPr>
      <w:rFonts w:ascii="Calibri" w:hAnsi="Calibri"/>
      <w:sz w:val="22"/>
    </w:rPr>
  </w:style>
  <w:style w:type="paragraph" w:customStyle="1" w:styleId="ecxmsonormal">
    <w:name w:val="ecxmsonormal"/>
    <w:basedOn w:val="Normal"/>
    <w:rsid w:val="00AE4097"/>
    <w:pPr>
      <w:spacing w:after="324"/>
    </w:pPr>
  </w:style>
  <w:style w:type="paragraph" w:customStyle="1" w:styleId="ecx000">
    <w:name w:val="ecx000"/>
    <w:basedOn w:val="Normal"/>
    <w:rsid w:val="00AE4097"/>
    <w:pPr>
      <w:spacing w:after="324"/>
    </w:pPr>
  </w:style>
  <w:style w:type="character" w:styleId="Emphasis">
    <w:name w:val="Emphasis"/>
    <w:basedOn w:val="DefaultParagraphFont"/>
    <w:qFormat/>
    <w:rsid w:val="00AE4097"/>
    <w:rPr>
      <w:i/>
      <w:iCs/>
    </w:rPr>
  </w:style>
  <w:style w:type="paragraph" w:styleId="TOCHeading">
    <w:name w:val="TOC Heading"/>
    <w:basedOn w:val="Heading1"/>
    <w:next w:val="Normal"/>
    <w:uiPriority w:val="39"/>
    <w:qFormat/>
    <w:rsid w:val="00AE4097"/>
    <w:pPr>
      <w:keepLines/>
      <w:numPr>
        <w:numId w:val="0"/>
      </w:numPr>
      <w:spacing w:before="480" w:after="0" w:line="276" w:lineRule="auto"/>
      <w:outlineLvl w:val="9"/>
    </w:pPr>
    <w:rPr>
      <w:rFonts w:ascii="Cambria" w:hAnsi="Cambria"/>
      <w:bCs/>
      <w:color w:val="365F91"/>
      <w:szCs w:val="28"/>
      <w:lang w:val="en-US"/>
    </w:rPr>
  </w:style>
  <w:style w:type="paragraph" w:styleId="BodyText3">
    <w:name w:val="Body Text 3"/>
    <w:basedOn w:val="Normal"/>
    <w:link w:val="BodyText3Char"/>
    <w:semiHidden/>
    <w:rsid w:val="00AE4097"/>
    <w:pPr>
      <w:spacing w:after="200" w:line="276" w:lineRule="auto"/>
    </w:pPr>
    <w:rPr>
      <w:bCs/>
      <w:sz w:val="22"/>
      <w:lang w:val="en-US"/>
    </w:rPr>
  </w:style>
  <w:style w:type="character" w:customStyle="1" w:styleId="BodyText3Char">
    <w:name w:val="Body Text 3 Char"/>
    <w:basedOn w:val="DefaultParagraphFont"/>
    <w:link w:val="BodyText3"/>
    <w:semiHidden/>
    <w:rsid w:val="00AE4097"/>
    <w:rPr>
      <w:rFonts w:ascii="Times New Roman" w:hAnsi="Times New Roman" w:cs="Times New Roman"/>
      <w:bCs/>
      <w:szCs w:val="24"/>
      <w:lang w:val="en-US" w:eastAsia="nl-NL"/>
    </w:rPr>
  </w:style>
  <w:style w:type="paragraph" w:customStyle="1" w:styleId="xl24">
    <w:name w:val="xl24"/>
    <w:basedOn w:val="Normal"/>
    <w:rsid w:val="00AE4097"/>
    <w:pPr>
      <w:pBdr>
        <w:right w:val="single" w:sz="4" w:space="0" w:color="auto"/>
      </w:pBdr>
      <w:spacing w:before="100" w:beforeAutospacing="1" w:after="100" w:afterAutospacing="1"/>
    </w:pPr>
  </w:style>
  <w:style w:type="paragraph" w:customStyle="1" w:styleId="xl25">
    <w:name w:val="xl25"/>
    <w:basedOn w:val="Normal"/>
    <w:rsid w:val="00AE4097"/>
    <w:pPr>
      <w:pBdr>
        <w:left w:val="single" w:sz="4" w:space="0" w:color="auto"/>
        <w:right w:val="single" w:sz="4" w:space="0" w:color="auto"/>
      </w:pBdr>
      <w:spacing w:before="100" w:beforeAutospacing="1" w:after="100" w:afterAutospacing="1"/>
    </w:pPr>
  </w:style>
  <w:style w:type="paragraph" w:customStyle="1" w:styleId="xl26">
    <w:name w:val="xl26"/>
    <w:basedOn w:val="Normal"/>
    <w:rsid w:val="00AE4097"/>
    <w:pPr>
      <w:pBdr>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27">
    <w:name w:val="xl27"/>
    <w:basedOn w:val="Normal"/>
    <w:rsid w:val="00AE4097"/>
    <w:pPr>
      <w:pBdr>
        <w:left w:val="single" w:sz="4" w:space="0" w:color="auto"/>
        <w:bottom w:val="single" w:sz="4" w:space="0" w:color="auto"/>
        <w:right w:val="single" w:sz="4" w:space="0" w:color="auto"/>
      </w:pBdr>
      <w:spacing w:before="100" w:beforeAutospacing="1" w:after="100" w:afterAutospacing="1"/>
    </w:pPr>
  </w:style>
  <w:style w:type="paragraph" w:customStyle="1" w:styleId="xl28">
    <w:name w:val="xl28"/>
    <w:basedOn w:val="Normal"/>
    <w:rsid w:val="00AE409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29">
    <w:name w:val="xl29"/>
    <w:basedOn w:val="Normal"/>
    <w:rsid w:val="00AE4097"/>
    <w:pPr>
      <w:pBdr>
        <w:top w:val="single" w:sz="4" w:space="0" w:color="auto"/>
        <w:bottom w:val="single" w:sz="4" w:space="0" w:color="auto"/>
        <w:right w:val="single" w:sz="4" w:space="0" w:color="auto"/>
      </w:pBdr>
      <w:spacing w:before="100" w:beforeAutospacing="1" w:after="100" w:afterAutospacing="1"/>
      <w:jc w:val="right"/>
    </w:pPr>
    <w:rPr>
      <w:rFonts w:ascii="Arial" w:hAnsi="Arial" w:cs="Arial"/>
      <w:b/>
      <w:bCs/>
    </w:rPr>
  </w:style>
  <w:style w:type="paragraph" w:customStyle="1" w:styleId="xl30">
    <w:name w:val="xl30"/>
    <w:basedOn w:val="Normal"/>
    <w:rsid w:val="00AE4097"/>
    <w:pPr>
      <w:pBdr>
        <w:left w:val="single" w:sz="4" w:space="0" w:color="auto"/>
        <w:right w:val="single" w:sz="4" w:space="0" w:color="auto"/>
      </w:pBdr>
      <w:spacing w:before="100" w:beforeAutospacing="1" w:after="100" w:afterAutospacing="1"/>
    </w:pPr>
    <w:rPr>
      <w:rFonts w:ascii="Arial" w:hAnsi="Arial" w:cs="Arial"/>
      <w:b/>
      <w:bCs/>
    </w:rPr>
  </w:style>
  <w:style w:type="paragraph" w:customStyle="1" w:styleId="xl31">
    <w:name w:val="xl31"/>
    <w:basedOn w:val="Normal"/>
    <w:rsid w:val="00AE4097"/>
    <w:pPr>
      <w:pBdr>
        <w:right w:val="single" w:sz="4" w:space="0" w:color="auto"/>
      </w:pBdr>
      <w:spacing w:before="100" w:beforeAutospacing="1" w:after="100" w:afterAutospacing="1"/>
      <w:jc w:val="right"/>
    </w:pPr>
    <w:rPr>
      <w:rFonts w:ascii="Arial" w:hAnsi="Arial" w:cs="Arial"/>
    </w:rPr>
  </w:style>
  <w:style w:type="paragraph" w:customStyle="1" w:styleId="xl32">
    <w:name w:val="xl32"/>
    <w:basedOn w:val="Normal"/>
    <w:rsid w:val="00AE4097"/>
    <w:pPr>
      <w:pBdr>
        <w:bottom w:val="single" w:sz="4" w:space="0" w:color="auto"/>
        <w:right w:val="single" w:sz="4" w:space="0" w:color="auto"/>
      </w:pBdr>
      <w:spacing w:before="100" w:beforeAutospacing="1" w:after="100" w:afterAutospacing="1"/>
      <w:jc w:val="right"/>
    </w:pPr>
    <w:rPr>
      <w:rFonts w:ascii="Arial" w:hAnsi="Arial" w:cs="Arial"/>
    </w:rPr>
  </w:style>
  <w:style w:type="paragraph" w:customStyle="1" w:styleId="xl33">
    <w:name w:val="xl33"/>
    <w:basedOn w:val="Normal"/>
    <w:rsid w:val="00AE4097"/>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b/>
      <w:bCs/>
    </w:rPr>
  </w:style>
  <w:style w:type="paragraph" w:customStyle="1" w:styleId="xl34">
    <w:name w:val="xl34"/>
    <w:basedOn w:val="Normal"/>
    <w:rsid w:val="00AE4097"/>
    <w:pPr>
      <w:pBdr>
        <w:bottom w:val="single" w:sz="4" w:space="0" w:color="auto"/>
        <w:right w:val="single" w:sz="4" w:space="0" w:color="auto"/>
      </w:pBdr>
      <w:spacing w:before="100" w:beforeAutospacing="1" w:after="100" w:afterAutospacing="1"/>
    </w:pPr>
  </w:style>
  <w:style w:type="paragraph" w:styleId="Caption">
    <w:name w:val="caption"/>
    <w:basedOn w:val="Normal"/>
    <w:next w:val="Normal"/>
    <w:qFormat/>
    <w:rsid w:val="00AE4097"/>
    <w:pPr>
      <w:spacing w:line="360" w:lineRule="auto"/>
      <w:ind w:left="3969"/>
      <w:jc w:val="both"/>
    </w:pPr>
    <w:rPr>
      <w:b/>
      <w:sz w:val="20"/>
      <w:szCs w:val="20"/>
      <w:lang w:val="en-US"/>
    </w:rPr>
  </w:style>
  <w:style w:type="paragraph" w:customStyle="1" w:styleId="DecimalAligned">
    <w:name w:val="Decimal Aligned"/>
    <w:basedOn w:val="Normal"/>
    <w:qFormat/>
    <w:rsid w:val="00AE4097"/>
    <w:pPr>
      <w:tabs>
        <w:tab w:val="decimal" w:pos="360"/>
      </w:tabs>
      <w:spacing w:after="200" w:line="276" w:lineRule="auto"/>
    </w:pPr>
    <w:rPr>
      <w:rFonts w:ascii="Calibri" w:hAnsi="Calibri"/>
      <w:sz w:val="22"/>
      <w:szCs w:val="22"/>
      <w:lang w:eastAsia="en-US"/>
    </w:rPr>
  </w:style>
  <w:style w:type="character" w:styleId="SubtleEmphasis">
    <w:name w:val="Subtle Emphasis"/>
    <w:basedOn w:val="DefaultParagraphFont"/>
    <w:qFormat/>
    <w:rsid w:val="00AE4097"/>
    <w:rPr>
      <w:rFonts w:eastAsia="Times New Roman" w:cs="Times New Roman"/>
      <w:bCs w:val="0"/>
      <w:i/>
      <w:iCs/>
      <w:color w:val="808080"/>
      <w:szCs w:val="22"/>
      <w:lang w:val="nl-NL"/>
    </w:rPr>
  </w:style>
  <w:style w:type="paragraph" w:styleId="BodyTextIndent">
    <w:name w:val="Body Text Indent"/>
    <w:basedOn w:val="Normal"/>
    <w:link w:val="BodyTextIndentChar"/>
    <w:semiHidden/>
    <w:rsid w:val="00AE4097"/>
    <w:pPr>
      <w:spacing w:line="360" w:lineRule="auto"/>
      <w:ind w:firstLine="567"/>
      <w:jc w:val="both"/>
    </w:pPr>
    <w:rPr>
      <w:sz w:val="22"/>
      <w:szCs w:val="22"/>
      <w:lang w:val="en-US"/>
    </w:rPr>
  </w:style>
  <w:style w:type="character" w:customStyle="1" w:styleId="BodyTextIndentChar">
    <w:name w:val="Body Text Indent Char"/>
    <w:basedOn w:val="DefaultParagraphFont"/>
    <w:link w:val="BodyTextIndent"/>
    <w:semiHidden/>
    <w:rsid w:val="00AE4097"/>
    <w:rPr>
      <w:rFonts w:ascii="Times New Roman" w:hAnsi="Times New Roman" w:cs="Times New Roman"/>
      <w:lang w:val="en-US" w:eastAsia="nl-NL"/>
    </w:rPr>
  </w:style>
  <w:style w:type="paragraph" w:styleId="BodyTextIndent2">
    <w:name w:val="Body Text Indent 2"/>
    <w:basedOn w:val="Normal"/>
    <w:link w:val="BodyTextIndent2Char"/>
    <w:semiHidden/>
    <w:rsid w:val="00AE4097"/>
    <w:pPr>
      <w:spacing w:line="360" w:lineRule="auto"/>
      <w:ind w:left="1134" w:hanging="414"/>
      <w:jc w:val="both"/>
    </w:pPr>
    <w:rPr>
      <w:sz w:val="20"/>
      <w:szCs w:val="18"/>
      <w:lang w:val="en-US"/>
    </w:rPr>
  </w:style>
  <w:style w:type="character" w:customStyle="1" w:styleId="BodyTextIndent2Char">
    <w:name w:val="Body Text Indent 2 Char"/>
    <w:basedOn w:val="DefaultParagraphFont"/>
    <w:link w:val="BodyTextIndent2"/>
    <w:semiHidden/>
    <w:rsid w:val="00AE4097"/>
    <w:rPr>
      <w:rFonts w:ascii="Times New Roman" w:hAnsi="Times New Roman" w:cs="Times New Roman"/>
      <w:sz w:val="20"/>
      <w:szCs w:val="18"/>
      <w:lang w:val="en-US" w:eastAsia="nl-NL"/>
    </w:rPr>
  </w:style>
  <w:style w:type="paragraph" w:styleId="BodyTextIndent3">
    <w:name w:val="Body Text Indent 3"/>
    <w:basedOn w:val="Normal"/>
    <w:link w:val="BodyTextIndent3Char"/>
    <w:semiHidden/>
    <w:rsid w:val="00AE4097"/>
    <w:pPr>
      <w:spacing w:line="360" w:lineRule="auto"/>
      <w:ind w:firstLine="567"/>
      <w:jc w:val="both"/>
    </w:pPr>
    <w:rPr>
      <w:color w:val="FF0000"/>
      <w:sz w:val="22"/>
      <w:szCs w:val="22"/>
      <w:lang w:val="en-US"/>
    </w:rPr>
  </w:style>
  <w:style w:type="character" w:customStyle="1" w:styleId="BodyTextIndent3Char">
    <w:name w:val="Body Text Indent 3 Char"/>
    <w:basedOn w:val="DefaultParagraphFont"/>
    <w:link w:val="BodyTextIndent3"/>
    <w:semiHidden/>
    <w:rsid w:val="00AE4097"/>
    <w:rPr>
      <w:rFonts w:ascii="Times New Roman" w:hAnsi="Times New Roman" w:cs="Times New Roman"/>
      <w:color w:val="FF0000"/>
      <w:lang w:val="en-US" w:eastAsia="nl-NL"/>
    </w:rPr>
  </w:style>
  <w:style w:type="table" w:styleId="TableGrid">
    <w:name w:val="Table Grid"/>
    <w:basedOn w:val="TableNormal"/>
    <w:uiPriority w:val="59"/>
    <w:rsid w:val="00AE4097"/>
    <w:pPr>
      <w:spacing w:after="0" w:line="240" w:lineRule="auto"/>
    </w:pPr>
    <w:rPr>
      <w:rFonts w:ascii="Calibri" w:hAnsi="Calibri" w:cs="Times New Roman"/>
      <w:sz w:val="20"/>
      <w:szCs w:val="20"/>
      <w:lang w:eastAsia="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image" Target="media/image5.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5"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www.euronext.com" TargetMode="External"/><Relationship Id="rId23" Type="http://schemas.openxmlformats.org/officeDocument/2006/relationships/header" Target="header3.xml"/><Relationship Id="rId10" Type="http://schemas.openxmlformats.org/officeDocument/2006/relationships/header" Target="header1.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 Id="rId22" Type="http://schemas.openxmlformats.org/officeDocument/2006/relationships/image" Target="media/image9.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3CA0CD-F054-44EE-AD39-F9A1ED669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87</Pages>
  <Words>35004</Words>
  <Characters>190423</Characters>
  <Application>Microsoft Office Word</Application>
  <DocSecurity>0</DocSecurity>
  <Lines>4760</Lines>
  <Paragraphs>2423</Paragraphs>
  <ScaleCrop>false</ScaleCrop>
  <HeadingPairs>
    <vt:vector size="2" baseType="variant">
      <vt:variant>
        <vt:lpstr>Title</vt:lpstr>
      </vt:variant>
      <vt:variant>
        <vt:i4>1</vt:i4>
      </vt:variant>
    </vt:vector>
  </HeadingPairs>
  <TitlesOfParts>
    <vt:vector size="1" baseType="lpstr">
      <vt:lpstr/>
    </vt:vector>
  </TitlesOfParts>
  <Company>Ernst &amp; Young</Company>
  <LinksUpToDate>false</LinksUpToDate>
  <CharactersWithSpaces>223004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Mertens,D., Dominique</dc:creator>
  <cp:keywords/>
  <dc:description/>
  <cp:lastModifiedBy>Mertens,D., Dominique</cp:lastModifiedBy>
  <cp:revision>65</cp:revision>
  <cp:lastPrinted>2011-03-25T10:52:00Z</cp:lastPrinted>
  <dcterms:created xsi:type="dcterms:W3CDTF">2011-03-24T11:54:00Z</dcterms:created>
  <dcterms:modified xsi:type="dcterms:W3CDTF">2011-03-25T10:54:00Z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