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emf" ContentType="image/x-emf"/>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413" w:rsidRPr="001B7189" w:rsidRDefault="00A95413" w:rsidP="00924BDD">
      <w:pPr>
        <w:pStyle w:val="Duidelijkcitaat"/>
        <w:spacing w:line="240" w:lineRule="auto"/>
        <w:ind w:left="0"/>
        <w:rPr>
          <w:rStyle w:val="Intensieveverwijzing"/>
          <w:bCs/>
          <w:iCs w:val="0"/>
          <w:color w:val="365F91"/>
        </w:rPr>
      </w:pPr>
      <w:r w:rsidRPr="001B7189">
        <w:rPr>
          <w:rStyle w:val="Intensieveverwijzing"/>
          <w:bCs/>
          <w:iCs w:val="0"/>
          <w:color w:val="365F91"/>
        </w:rPr>
        <w:t xml:space="preserve">Erasmus University </w:t>
      </w:r>
      <w:smartTag w:uri="urn:schemas-microsoft-com:office:smarttags" w:element="place">
        <w:smartTag w:uri="urn:schemas-microsoft-com:office:smarttags" w:element="City">
          <w:r w:rsidRPr="001B7189">
            <w:rPr>
              <w:rStyle w:val="Intensieveverwijzing"/>
              <w:bCs/>
              <w:iCs w:val="0"/>
              <w:color w:val="365F91"/>
            </w:rPr>
            <w:t>Rotterdam</w:t>
          </w:r>
        </w:smartTag>
      </w:smartTag>
    </w:p>
    <w:p w:rsidR="00A95413" w:rsidRDefault="00A95413" w:rsidP="0098534E">
      <w:pPr>
        <w:pStyle w:val="Duidelijkcitaat"/>
        <w:spacing w:line="240" w:lineRule="auto"/>
        <w:ind w:left="0"/>
        <w:rPr>
          <w:rStyle w:val="Intensieveverwijzing"/>
          <w:bCs/>
          <w:iCs w:val="0"/>
          <w:color w:val="365F91"/>
        </w:rPr>
      </w:pPr>
      <w:smartTag w:uri="urn:schemas-microsoft-com:office:smarttags" w:element="place">
        <w:smartTag w:uri="urn:schemas-microsoft-com:office:smarttags" w:element="PlaceName">
          <w:r w:rsidRPr="001B7189">
            <w:rPr>
              <w:rStyle w:val="Intensieveverwijzing"/>
              <w:bCs/>
              <w:iCs w:val="0"/>
              <w:color w:val="365F91"/>
            </w:rPr>
            <w:t>Erasmus</w:t>
          </w:r>
        </w:smartTag>
        <w:r w:rsidRPr="001B7189">
          <w:rPr>
            <w:rStyle w:val="Intensieveverwijzing"/>
            <w:bCs/>
            <w:iCs w:val="0"/>
            <w:color w:val="365F91"/>
          </w:rPr>
          <w:t xml:space="preserve"> </w:t>
        </w:r>
        <w:smartTag w:uri="urn:schemas-microsoft-com:office:smarttags" w:element="PlaceType">
          <w:r w:rsidRPr="001B7189">
            <w:rPr>
              <w:rStyle w:val="Intensieveverwijzing"/>
              <w:bCs/>
              <w:iCs w:val="0"/>
              <w:color w:val="365F91"/>
            </w:rPr>
            <w:t>School</w:t>
          </w:r>
        </w:smartTag>
      </w:smartTag>
      <w:r w:rsidRPr="001B7189">
        <w:rPr>
          <w:rStyle w:val="Intensieveverwijzing"/>
          <w:bCs/>
          <w:iCs w:val="0"/>
          <w:color w:val="365F91"/>
        </w:rPr>
        <w:t xml:space="preserve"> of Economics</w:t>
      </w:r>
    </w:p>
    <w:p w:rsidR="00A95413" w:rsidRPr="0098534E" w:rsidRDefault="00A95413" w:rsidP="0098534E">
      <w:pPr>
        <w:pStyle w:val="Duidelijkcitaat"/>
        <w:spacing w:line="240" w:lineRule="auto"/>
        <w:ind w:left="0"/>
        <w:rPr>
          <w:rStyle w:val="Subtieleverwijzing"/>
          <w:bCs/>
          <w:i w:val="0"/>
          <w:iCs w:val="0"/>
          <w:caps/>
          <w:color w:val="365F91"/>
        </w:rPr>
      </w:pPr>
      <w:r w:rsidRPr="001B7189">
        <w:rPr>
          <w:rStyle w:val="Intensieveverwijzing"/>
          <w:bCs/>
          <w:iCs w:val="0"/>
          <w:color w:val="365F91"/>
        </w:rPr>
        <w:t>Master Accounting, Auditing and Control</w:t>
      </w:r>
    </w:p>
    <w:p w:rsidR="00A95413" w:rsidRPr="00743D36" w:rsidRDefault="00BC68A1" w:rsidP="00743D36">
      <w:pPr>
        <w:pStyle w:val="Titel"/>
      </w:pPr>
      <w:r w:rsidRPr="00743D36">
        <w:rPr>
          <w:rStyle w:val="Subtieleverwijzing"/>
          <w:b w:val="0"/>
          <w:szCs w:val="48"/>
        </w:rPr>
        <w:t>O</w:t>
      </w:r>
      <w:r w:rsidR="00A95413" w:rsidRPr="00743D36">
        <w:rPr>
          <w:rStyle w:val="Subtieleverwijzing"/>
          <w:b w:val="0"/>
          <w:szCs w:val="48"/>
        </w:rPr>
        <w:t>wnership structure and voluntary disclosures in Europe</w:t>
      </w:r>
    </w:p>
    <w:p w:rsidR="00A95413" w:rsidRPr="00743D36" w:rsidRDefault="00A95413" w:rsidP="00367EF7">
      <w:pPr>
        <w:rPr>
          <w:color w:val="0070C0"/>
          <w:sz w:val="22"/>
          <w:szCs w:val="22"/>
        </w:rPr>
      </w:pPr>
    </w:p>
    <w:p w:rsidR="00A95413" w:rsidRDefault="00A95413" w:rsidP="00367EF7">
      <w:pPr>
        <w:rPr>
          <w:color w:val="365F91"/>
          <w:sz w:val="22"/>
          <w:szCs w:val="22"/>
        </w:rPr>
      </w:pPr>
    </w:p>
    <w:p w:rsidR="00A95413" w:rsidRPr="00046999" w:rsidRDefault="00A95413" w:rsidP="00367EF7">
      <w:pPr>
        <w:rPr>
          <w:color w:val="365F91"/>
          <w:sz w:val="22"/>
          <w:szCs w:val="22"/>
        </w:rPr>
      </w:pPr>
    </w:p>
    <w:p w:rsidR="00F77C1C" w:rsidRDefault="00F77C1C" w:rsidP="00A963B9">
      <w:pPr>
        <w:rPr>
          <w:b/>
          <w:color w:val="365F91"/>
          <w:sz w:val="22"/>
          <w:szCs w:val="22"/>
        </w:rPr>
      </w:pPr>
    </w:p>
    <w:p w:rsidR="00A95413" w:rsidRDefault="00A95413" w:rsidP="009F5C9A">
      <w:pPr>
        <w:jc w:val="both"/>
        <w:rPr>
          <w:rFonts w:cs="Calibri"/>
          <w:color w:val="365F91"/>
          <w:sz w:val="22"/>
          <w:szCs w:val="22"/>
        </w:rPr>
      </w:pPr>
      <w:r w:rsidRPr="00A85F42">
        <w:rPr>
          <w:b/>
          <w:color w:val="365F91"/>
          <w:sz w:val="22"/>
          <w:szCs w:val="22"/>
        </w:rPr>
        <w:t>Abstract</w:t>
      </w:r>
      <w:r>
        <w:rPr>
          <w:color w:val="365F91"/>
          <w:sz w:val="22"/>
          <w:szCs w:val="22"/>
        </w:rPr>
        <w:t xml:space="preserve">: The financial crisis has led to increasing hesitations </w:t>
      </w:r>
      <w:r w:rsidR="005F635A">
        <w:rPr>
          <w:color w:val="365F91"/>
          <w:sz w:val="22"/>
          <w:szCs w:val="22"/>
        </w:rPr>
        <w:t xml:space="preserve">for people </w:t>
      </w:r>
      <w:r w:rsidR="00774A79">
        <w:rPr>
          <w:color w:val="365F91"/>
          <w:sz w:val="22"/>
          <w:szCs w:val="22"/>
        </w:rPr>
        <w:t>to invest.</w:t>
      </w:r>
      <w:r>
        <w:rPr>
          <w:color w:val="365F91"/>
          <w:sz w:val="22"/>
          <w:szCs w:val="22"/>
        </w:rPr>
        <w:t xml:space="preserve"> Prior to making an investment, investors aim to get a thorough understanding of the firm and its performance. Mandatory and voluntary information disclosures provided by firms help investors in creating this understanding. </w:t>
      </w:r>
      <w:r w:rsidR="008F686F" w:rsidRPr="008F686F">
        <w:rPr>
          <w:color w:val="365F91"/>
          <w:sz w:val="22"/>
          <w:szCs w:val="22"/>
        </w:rPr>
        <w:t>The aim of this study is to gain more insight in the disclosure practices of European firms</w:t>
      </w:r>
      <w:r>
        <w:rPr>
          <w:color w:val="365F91"/>
          <w:sz w:val="22"/>
          <w:szCs w:val="22"/>
        </w:rPr>
        <w:t xml:space="preserve"> by examining the relation between ownership structure and the extent of voluntary disclosures. This study demonstrates that there is </w:t>
      </w:r>
      <w:r w:rsidR="009A5FB6">
        <w:rPr>
          <w:color w:val="365F91"/>
          <w:sz w:val="22"/>
          <w:szCs w:val="22"/>
        </w:rPr>
        <w:t>a negative association between b</w:t>
      </w:r>
      <w:r>
        <w:rPr>
          <w:color w:val="365F91"/>
          <w:sz w:val="22"/>
          <w:szCs w:val="22"/>
        </w:rPr>
        <w:t>lockholder ownership and voluntary disclosures. In addition, a posit</w:t>
      </w:r>
      <w:r w:rsidR="009A5FB6">
        <w:rPr>
          <w:color w:val="365F91"/>
          <w:sz w:val="22"/>
          <w:szCs w:val="22"/>
        </w:rPr>
        <w:t>ive association exists between g</w:t>
      </w:r>
      <w:r>
        <w:rPr>
          <w:color w:val="365F91"/>
          <w:sz w:val="22"/>
          <w:szCs w:val="22"/>
        </w:rPr>
        <w:t>overnment ownership and voluntary disclosures. No significant a</w:t>
      </w:r>
      <w:r w:rsidR="009A5FB6">
        <w:rPr>
          <w:color w:val="365F91"/>
          <w:sz w:val="22"/>
          <w:szCs w:val="22"/>
        </w:rPr>
        <w:t>ssociation is observed between m</w:t>
      </w:r>
      <w:r>
        <w:rPr>
          <w:color w:val="365F91"/>
          <w:sz w:val="22"/>
          <w:szCs w:val="22"/>
        </w:rPr>
        <w:t>anagerial ownership and voluntary disclosures. Overall, it is recommended that investors who aim to acquire a high degree of voluntary disclo</w:t>
      </w:r>
      <w:r w:rsidR="009A5FB6">
        <w:rPr>
          <w:color w:val="365F91"/>
          <w:sz w:val="22"/>
          <w:szCs w:val="22"/>
        </w:rPr>
        <w:t>sures invest in firms with low blockholder ownership and high g</w:t>
      </w:r>
      <w:r>
        <w:rPr>
          <w:color w:val="365F91"/>
          <w:sz w:val="22"/>
          <w:szCs w:val="22"/>
        </w:rPr>
        <w:t>overnment ownership.</w:t>
      </w:r>
    </w:p>
    <w:p w:rsidR="00A95413" w:rsidRDefault="00A95413" w:rsidP="00101C20">
      <w:pPr>
        <w:rPr>
          <w:rFonts w:cs="Calibri"/>
          <w:color w:val="365F91"/>
          <w:sz w:val="22"/>
          <w:szCs w:val="22"/>
        </w:rPr>
      </w:pPr>
      <w:r w:rsidRPr="00FF2883">
        <w:rPr>
          <w:rFonts w:cs="Calibri"/>
          <w:b/>
          <w:color w:val="365F91"/>
          <w:sz w:val="22"/>
          <w:szCs w:val="22"/>
        </w:rPr>
        <w:t>Keywords</w:t>
      </w:r>
      <w:r w:rsidR="009A5FB6">
        <w:rPr>
          <w:rFonts w:cs="Calibri"/>
          <w:color w:val="365F91"/>
          <w:sz w:val="22"/>
          <w:szCs w:val="22"/>
        </w:rPr>
        <w:t>: voluntary disclosure</w:t>
      </w:r>
      <w:r w:rsidR="004577DF">
        <w:rPr>
          <w:rFonts w:cs="Calibri"/>
          <w:color w:val="365F91"/>
          <w:sz w:val="22"/>
          <w:szCs w:val="22"/>
        </w:rPr>
        <w:t>s</w:t>
      </w:r>
      <w:r w:rsidR="009A5FB6">
        <w:rPr>
          <w:rFonts w:cs="Calibri"/>
          <w:color w:val="365F91"/>
          <w:sz w:val="22"/>
          <w:szCs w:val="22"/>
        </w:rPr>
        <w:t>, blockholder ownership, managerial ownership, g</w:t>
      </w:r>
      <w:r>
        <w:rPr>
          <w:rFonts w:cs="Calibri"/>
          <w:color w:val="365F91"/>
          <w:sz w:val="22"/>
          <w:szCs w:val="22"/>
        </w:rPr>
        <w:t>overnment ownership, content analysis.</w:t>
      </w:r>
    </w:p>
    <w:p w:rsidR="00AC1E2E" w:rsidRDefault="00AC1E2E" w:rsidP="00924BDD">
      <w:pPr>
        <w:spacing w:line="240" w:lineRule="auto"/>
        <w:jc w:val="both"/>
        <w:rPr>
          <w:rStyle w:val="Intensievebenadrukking"/>
          <w:bCs/>
          <w:color w:val="365F91"/>
        </w:rPr>
      </w:pPr>
      <w:bookmarkStart w:id="0" w:name="_Toc288031927"/>
      <w:bookmarkStart w:id="1" w:name="_Toc288119800"/>
      <w:bookmarkStart w:id="2" w:name="_Toc288225612"/>
      <w:bookmarkStart w:id="3" w:name="_Toc288817133"/>
      <w:bookmarkStart w:id="4" w:name="_Toc288817393"/>
      <w:bookmarkStart w:id="5" w:name="_Toc289690657"/>
      <w:bookmarkStart w:id="6" w:name="_Toc296949663"/>
      <w:bookmarkStart w:id="7" w:name="_Toc297040927"/>
      <w:bookmarkStart w:id="8" w:name="_Toc297046295"/>
      <w:bookmarkStart w:id="9" w:name="_Toc298146967"/>
      <w:bookmarkStart w:id="10" w:name="_Toc298147029"/>
      <w:bookmarkStart w:id="11" w:name="_Toc298426206"/>
      <w:bookmarkStart w:id="12" w:name="_Toc298426403"/>
      <w:bookmarkStart w:id="13" w:name="_Toc298427919"/>
      <w:bookmarkStart w:id="14" w:name="_Toc298930524"/>
    </w:p>
    <w:p w:rsidR="00F77C1C" w:rsidRDefault="00F77C1C" w:rsidP="00924BDD">
      <w:pPr>
        <w:spacing w:line="240" w:lineRule="auto"/>
        <w:jc w:val="both"/>
        <w:rPr>
          <w:rStyle w:val="Intensievebenadrukking"/>
          <w:bCs/>
          <w:color w:val="365F91"/>
        </w:rPr>
      </w:pPr>
    </w:p>
    <w:p w:rsidR="00A95413" w:rsidRPr="001B7189" w:rsidRDefault="00263630" w:rsidP="00924BDD">
      <w:pPr>
        <w:spacing w:line="240" w:lineRule="auto"/>
        <w:jc w:val="both"/>
        <w:rPr>
          <w:rStyle w:val="Intensievebenadrukking"/>
          <w:bCs/>
          <w:color w:val="365F91"/>
        </w:rPr>
      </w:pPr>
      <w:r>
        <w:rPr>
          <w:rStyle w:val="Intensievebenadrukking"/>
          <w:bCs/>
          <w:color w:val="365F91"/>
        </w:rPr>
        <w:t>Author:</w:t>
      </w:r>
      <w:r w:rsidR="00A95413" w:rsidRPr="001B7189">
        <w:rPr>
          <w:rStyle w:val="Intensievebenadrukking"/>
          <w:bCs/>
          <w:color w:val="365F91"/>
        </w:rPr>
        <w:tab/>
      </w:r>
      <w:r w:rsidR="00A95413" w:rsidRPr="001B7189">
        <w:rPr>
          <w:rStyle w:val="Intensievebenadrukking"/>
          <w:bCs/>
          <w:color w:val="365F91"/>
        </w:rPr>
        <w:tab/>
        <w:t xml:space="preserve">S.C. Elmans </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A95413" w:rsidRPr="001B7189" w:rsidRDefault="0080569A" w:rsidP="00924BDD">
      <w:pPr>
        <w:spacing w:line="240" w:lineRule="auto"/>
        <w:jc w:val="both"/>
        <w:rPr>
          <w:rStyle w:val="Intensievebenadrukking"/>
          <w:bCs/>
          <w:color w:val="365F91"/>
        </w:rPr>
      </w:pPr>
      <w:r>
        <w:rPr>
          <w:noProof/>
          <w:lang w:val="nl-NL" w:eastAsia="nl-NL"/>
        </w:rPr>
        <w:drawing>
          <wp:anchor distT="0" distB="0" distL="114300" distR="114300" simplePos="0" relativeHeight="251655168" behindDoc="0" locked="0" layoutInCell="1" allowOverlap="1">
            <wp:simplePos x="0" y="0"/>
            <wp:positionH relativeFrom="column">
              <wp:posOffset>2959735</wp:posOffset>
            </wp:positionH>
            <wp:positionV relativeFrom="paragraph">
              <wp:posOffset>35560</wp:posOffset>
            </wp:positionV>
            <wp:extent cx="3336290" cy="791845"/>
            <wp:effectExtent l="19050" t="0" r="0" b="0"/>
            <wp:wrapSquare wrapText="bothSides"/>
            <wp:docPr id="50"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pic:cNvPicPr>
                      <a:picLocks noChangeAspect="1" noChangeArrowheads="1"/>
                    </pic:cNvPicPr>
                  </pic:nvPicPr>
                  <pic:blipFill>
                    <a:blip r:embed="rId8"/>
                    <a:srcRect/>
                    <a:stretch>
                      <a:fillRect/>
                    </a:stretch>
                  </pic:blipFill>
                  <pic:spPr bwMode="auto">
                    <a:xfrm>
                      <a:off x="0" y="0"/>
                      <a:ext cx="3336290" cy="791845"/>
                    </a:xfrm>
                    <a:prstGeom prst="rect">
                      <a:avLst/>
                    </a:prstGeom>
                    <a:noFill/>
                  </pic:spPr>
                </pic:pic>
              </a:graphicData>
            </a:graphic>
          </wp:anchor>
        </w:drawing>
      </w:r>
      <w:r w:rsidR="00A95413" w:rsidRPr="001B7189">
        <w:rPr>
          <w:rStyle w:val="Intensievebenadrukking"/>
          <w:bCs/>
          <w:color w:val="365F91"/>
        </w:rPr>
        <w:t>Studentnum</w:t>
      </w:r>
      <w:r w:rsidR="00A95413">
        <w:rPr>
          <w:rStyle w:val="Intensievebenadrukking"/>
          <w:bCs/>
          <w:color w:val="365F91"/>
        </w:rPr>
        <w:t>B</w:t>
      </w:r>
      <w:r w:rsidR="00A95413" w:rsidRPr="001B7189">
        <w:rPr>
          <w:rStyle w:val="Intensievebenadrukking"/>
          <w:bCs/>
          <w:color w:val="365F91"/>
        </w:rPr>
        <w:t>er:</w:t>
      </w:r>
      <w:r w:rsidR="00A95413" w:rsidRPr="001B7189">
        <w:rPr>
          <w:rStyle w:val="Intensievebenadrukking"/>
          <w:bCs/>
          <w:color w:val="365F91"/>
        </w:rPr>
        <w:tab/>
        <w:t>303104</w:t>
      </w:r>
    </w:p>
    <w:p w:rsidR="00A95413" w:rsidRPr="001B7189" w:rsidRDefault="00A95413" w:rsidP="00924BDD">
      <w:pPr>
        <w:spacing w:line="240" w:lineRule="auto"/>
        <w:jc w:val="both"/>
        <w:rPr>
          <w:rStyle w:val="Intensievebenadrukking"/>
          <w:bCs/>
          <w:color w:val="365F91"/>
        </w:rPr>
      </w:pPr>
      <w:r w:rsidRPr="001B7189">
        <w:rPr>
          <w:rStyle w:val="Intensievebenadrukking"/>
          <w:bCs/>
          <w:color w:val="365F91"/>
        </w:rPr>
        <w:t>Supervisor:</w:t>
      </w:r>
      <w:r w:rsidRPr="001B7189">
        <w:rPr>
          <w:rStyle w:val="Intensievebenadrukking"/>
          <w:bCs/>
          <w:color w:val="365F91"/>
        </w:rPr>
        <w:tab/>
      </w:r>
      <w:r w:rsidRPr="001B7189">
        <w:rPr>
          <w:rStyle w:val="Intensievebenadrukking"/>
          <w:bCs/>
          <w:color w:val="365F91"/>
        </w:rPr>
        <w:tab/>
        <w:t xml:space="preserve">A.H. van der boom </w:t>
      </w:r>
    </w:p>
    <w:p w:rsidR="00A95413" w:rsidRPr="00046999" w:rsidRDefault="00A95413" w:rsidP="00924BDD">
      <w:pPr>
        <w:spacing w:line="240" w:lineRule="auto"/>
        <w:jc w:val="both"/>
        <w:rPr>
          <w:rStyle w:val="Intensievebenadrukking"/>
          <w:bCs/>
          <w:sz w:val="22"/>
          <w:szCs w:val="22"/>
        </w:rPr>
      </w:pPr>
      <w:r w:rsidRPr="001B7189">
        <w:rPr>
          <w:rStyle w:val="Intensievebenadrukking"/>
          <w:bCs/>
          <w:color w:val="365F91"/>
        </w:rPr>
        <w:t xml:space="preserve">Date: </w:t>
      </w:r>
      <w:r w:rsidRPr="001B7189">
        <w:rPr>
          <w:rStyle w:val="Intensievebenadrukking"/>
          <w:bCs/>
          <w:color w:val="365F91"/>
        </w:rPr>
        <w:tab/>
      </w:r>
      <w:r w:rsidRPr="001B7189">
        <w:rPr>
          <w:rStyle w:val="Intensievebenadrukking"/>
          <w:bCs/>
          <w:color w:val="365F91"/>
        </w:rPr>
        <w:tab/>
      </w:r>
      <w:r w:rsidRPr="001B7189">
        <w:rPr>
          <w:rStyle w:val="Intensievebenadrukking"/>
          <w:bCs/>
          <w:color w:val="365F91"/>
        </w:rPr>
        <w:tab/>
      </w:r>
      <w:r w:rsidR="00725A61">
        <w:rPr>
          <w:rStyle w:val="Intensievebenadrukking"/>
          <w:bCs/>
          <w:color w:val="365F91"/>
        </w:rPr>
        <w:t>24</w:t>
      </w:r>
      <w:r w:rsidR="00957751">
        <w:rPr>
          <w:rStyle w:val="Intensievebenadrukking"/>
          <w:bCs/>
          <w:color w:val="365F91"/>
        </w:rPr>
        <w:t>-03</w:t>
      </w:r>
      <w:r w:rsidRPr="001B7189">
        <w:rPr>
          <w:rStyle w:val="Intensievebenadrukking"/>
          <w:bCs/>
          <w:color w:val="365F91"/>
        </w:rPr>
        <w:t>-201</w:t>
      </w:r>
      <w:r w:rsidR="007850F0">
        <w:rPr>
          <w:rStyle w:val="Intensievebenadrukking"/>
          <w:bCs/>
          <w:color w:val="365F91"/>
        </w:rPr>
        <w:t>2</w:t>
      </w:r>
      <w:r w:rsidRPr="00046999">
        <w:rPr>
          <w:rStyle w:val="Intensievebenadrukking"/>
          <w:bCs/>
          <w:sz w:val="22"/>
          <w:szCs w:val="22"/>
        </w:rPr>
        <w:br w:type="page"/>
      </w:r>
    </w:p>
    <w:p w:rsidR="00E230DF" w:rsidRPr="00D2434C" w:rsidRDefault="00E230DF" w:rsidP="00D13B14">
      <w:pPr>
        <w:pStyle w:val="Kop1"/>
      </w:pPr>
      <w:bookmarkStart w:id="15" w:name="_Toc318122374"/>
      <w:bookmarkStart w:id="16" w:name="_Toc318725332"/>
      <w:bookmarkStart w:id="17" w:name="_Toc318727097"/>
      <w:bookmarkStart w:id="18" w:name="_Toc301955328"/>
      <w:bookmarkStart w:id="19" w:name="_Toc299368299"/>
      <w:bookmarkStart w:id="20" w:name="_Toc299365668"/>
      <w:bookmarkStart w:id="21" w:name="_Toc299364676"/>
      <w:bookmarkStart w:id="22" w:name="_Toc299357459"/>
      <w:bookmarkStart w:id="23" w:name="_Toc299289324"/>
      <w:bookmarkStart w:id="24" w:name="_Toc299282496"/>
      <w:bookmarkStart w:id="25" w:name="_Toc298930525"/>
      <w:bookmarkStart w:id="26" w:name="_Toc298427920"/>
      <w:bookmarkStart w:id="27" w:name="_Toc298426404"/>
      <w:bookmarkStart w:id="28" w:name="_Toc298426207"/>
      <w:bookmarkStart w:id="29" w:name="_Toc297046296"/>
      <w:bookmarkStart w:id="30" w:name="_Toc297040928"/>
      <w:bookmarkStart w:id="31" w:name="_Toc288817394"/>
      <w:bookmarkStart w:id="32" w:name="_Toc288817134"/>
      <w:bookmarkStart w:id="33" w:name="_Toc288225613"/>
      <w:bookmarkStart w:id="34" w:name="_Toc288119801"/>
      <w:bookmarkStart w:id="35" w:name="_Toc299306587"/>
      <w:bookmarkStart w:id="36" w:name="_Toc299449322"/>
      <w:bookmarkStart w:id="37" w:name="_Toc302051883"/>
      <w:bookmarkStart w:id="38" w:name="_Toc302386974"/>
      <w:bookmarkStart w:id="39" w:name="_Toc308878335"/>
      <w:bookmarkStart w:id="40" w:name="_Toc309294892"/>
      <w:bookmarkStart w:id="41" w:name="_Toc309902892"/>
      <w:bookmarkStart w:id="42" w:name="_Toc309903474"/>
      <w:bookmarkStart w:id="43" w:name="_Toc320365288"/>
      <w:r w:rsidRPr="00D2434C">
        <w:lastRenderedPageBreak/>
        <w:t>acknowledgements</w:t>
      </w:r>
      <w:bookmarkEnd w:id="15"/>
      <w:bookmarkEnd w:id="16"/>
      <w:bookmarkEnd w:id="17"/>
      <w:bookmarkEnd w:id="43"/>
      <w:r w:rsidRPr="00D2434C">
        <w:t xml:space="preserve"> </w:t>
      </w:r>
    </w:p>
    <w:p w:rsidR="00E230DF" w:rsidRPr="00D2434C" w:rsidRDefault="00E230DF" w:rsidP="004F1BE5">
      <w:pPr>
        <w:spacing w:before="0" w:after="0"/>
        <w:rPr>
          <w:rFonts w:cs="Calibri"/>
          <w:sz w:val="22"/>
          <w:szCs w:val="22"/>
        </w:rPr>
      </w:pPr>
    </w:p>
    <w:p w:rsidR="00526900" w:rsidRDefault="00B65925" w:rsidP="004F1BE5">
      <w:pPr>
        <w:spacing w:before="0" w:after="0"/>
        <w:jc w:val="both"/>
        <w:rPr>
          <w:rFonts w:cs="Calibri"/>
          <w:sz w:val="22"/>
          <w:szCs w:val="22"/>
        </w:rPr>
      </w:pPr>
      <w:r>
        <w:rPr>
          <w:rFonts w:cs="Calibri"/>
          <w:sz w:val="22"/>
          <w:szCs w:val="22"/>
        </w:rPr>
        <w:t>T</w:t>
      </w:r>
      <w:r w:rsidR="001F56CA" w:rsidRPr="00D2434C">
        <w:rPr>
          <w:rFonts w:cs="Calibri"/>
          <w:sz w:val="22"/>
          <w:szCs w:val="22"/>
        </w:rPr>
        <w:t>his thesis</w:t>
      </w:r>
      <w:r>
        <w:rPr>
          <w:rFonts w:cs="Calibri"/>
          <w:sz w:val="22"/>
          <w:szCs w:val="22"/>
        </w:rPr>
        <w:t xml:space="preserve"> is the last step in the completion of the</w:t>
      </w:r>
      <w:r w:rsidR="003E6F58">
        <w:rPr>
          <w:rFonts w:cs="Calibri"/>
          <w:sz w:val="22"/>
          <w:szCs w:val="22"/>
        </w:rPr>
        <w:t xml:space="preserve"> M</w:t>
      </w:r>
      <w:r w:rsidR="00526900">
        <w:rPr>
          <w:rFonts w:cs="Calibri"/>
          <w:sz w:val="22"/>
          <w:szCs w:val="22"/>
        </w:rPr>
        <w:t>aster of</w:t>
      </w:r>
      <w:r w:rsidR="00D4191D" w:rsidRPr="00D2434C">
        <w:rPr>
          <w:rFonts w:cs="Calibri"/>
          <w:sz w:val="22"/>
          <w:szCs w:val="22"/>
        </w:rPr>
        <w:t xml:space="preserve"> </w:t>
      </w:r>
      <w:r w:rsidR="001F56CA" w:rsidRPr="00D2434C">
        <w:rPr>
          <w:rFonts w:cs="Calibri"/>
          <w:sz w:val="22"/>
          <w:szCs w:val="22"/>
        </w:rPr>
        <w:t xml:space="preserve">Accounting, Auditing and Control </w:t>
      </w:r>
      <w:r w:rsidR="00D4191D" w:rsidRPr="00D2434C">
        <w:rPr>
          <w:rFonts w:cs="Calibri"/>
          <w:sz w:val="22"/>
          <w:szCs w:val="22"/>
        </w:rPr>
        <w:t>at the Erasmus Universit</w:t>
      </w:r>
      <w:r w:rsidR="00002EA6">
        <w:rPr>
          <w:rFonts w:cs="Calibri"/>
          <w:sz w:val="22"/>
          <w:szCs w:val="22"/>
        </w:rPr>
        <w:t>y</w:t>
      </w:r>
      <w:r w:rsidR="003E6F58">
        <w:rPr>
          <w:rFonts w:cs="Calibri"/>
          <w:sz w:val="22"/>
          <w:szCs w:val="22"/>
        </w:rPr>
        <w:t xml:space="preserve"> Rotterdam</w:t>
      </w:r>
      <w:r w:rsidR="00526900">
        <w:rPr>
          <w:rFonts w:cs="Calibri"/>
          <w:sz w:val="22"/>
          <w:szCs w:val="22"/>
        </w:rPr>
        <w:t xml:space="preserve">. </w:t>
      </w:r>
      <w:r w:rsidR="003E6F58">
        <w:rPr>
          <w:rFonts w:cs="Calibri"/>
          <w:sz w:val="22"/>
          <w:szCs w:val="22"/>
        </w:rPr>
        <w:t>For the completion of this thesis</w:t>
      </w:r>
      <w:r w:rsidR="00D4191D" w:rsidRPr="00D2434C">
        <w:rPr>
          <w:rFonts w:cs="Calibri"/>
          <w:sz w:val="22"/>
          <w:szCs w:val="22"/>
        </w:rPr>
        <w:t xml:space="preserve"> I </w:t>
      </w:r>
      <w:r w:rsidR="00B703DA">
        <w:rPr>
          <w:rFonts w:cs="Calibri"/>
          <w:sz w:val="22"/>
          <w:szCs w:val="22"/>
        </w:rPr>
        <w:t xml:space="preserve">owe </w:t>
      </w:r>
      <w:r w:rsidR="00B57D7C">
        <w:rPr>
          <w:rFonts w:cs="Calibri"/>
          <w:sz w:val="22"/>
          <w:szCs w:val="22"/>
        </w:rPr>
        <w:t>various</w:t>
      </w:r>
      <w:r w:rsidR="00B703DA">
        <w:rPr>
          <w:rFonts w:cs="Calibri"/>
          <w:sz w:val="22"/>
          <w:szCs w:val="22"/>
        </w:rPr>
        <w:t xml:space="preserve"> people my gratitude for </w:t>
      </w:r>
      <w:r w:rsidR="001641F0">
        <w:rPr>
          <w:rFonts w:cs="Calibri"/>
          <w:sz w:val="22"/>
          <w:szCs w:val="22"/>
        </w:rPr>
        <w:t>their advice and support</w:t>
      </w:r>
      <w:r w:rsidR="00D4191D" w:rsidRPr="00D2434C">
        <w:rPr>
          <w:rFonts w:cs="Calibri"/>
          <w:sz w:val="22"/>
          <w:szCs w:val="22"/>
        </w:rPr>
        <w:t xml:space="preserve">. </w:t>
      </w:r>
    </w:p>
    <w:p w:rsidR="00526900" w:rsidRDefault="00526900" w:rsidP="004F1BE5">
      <w:pPr>
        <w:spacing w:before="0" w:after="0"/>
        <w:jc w:val="both"/>
        <w:rPr>
          <w:rFonts w:cs="Calibri"/>
          <w:sz w:val="22"/>
          <w:szCs w:val="22"/>
        </w:rPr>
      </w:pPr>
    </w:p>
    <w:p w:rsidR="001830F8" w:rsidRDefault="00B703DA" w:rsidP="004F1BE5">
      <w:pPr>
        <w:spacing w:before="0" w:after="0"/>
        <w:jc w:val="both"/>
        <w:rPr>
          <w:rFonts w:cs="Calibri"/>
          <w:sz w:val="22"/>
          <w:szCs w:val="22"/>
        </w:rPr>
      </w:pPr>
      <w:r>
        <w:rPr>
          <w:rFonts w:cs="Calibri"/>
          <w:sz w:val="22"/>
          <w:szCs w:val="22"/>
        </w:rPr>
        <w:t>First of all</w:t>
      </w:r>
      <w:r w:rsidR="00D4191D" w:rsidRPr="00D2434C">
        <w:rPr>
          <w:rFonts w:cs="Calibri"/>
          <w:sz w:val="22"/>
          <w:szCs w:val="22"/>
        </w:rPr>
        <w:t>, I would like to thank my thesis supervisor Mr. van der Boom for all his u</w:t>
      </w:r>
      <w:r w:rsidR="002E115F">
        <w:rPr>
          <w:rFonts w:cs="Calibri"/>
          <w:sz w:val="22"/>
          <w:szCs w:val="22"/>
        </w:rPr>
        <w:t xml:space="preserve">seful comments and suggestions. </w:t>
      </w:r>
      <w:r w:rsidR="004F1BE5" w:rsidRPr="00D2434C">
        <w:rPr>
          <w:rFonts w:cs="Calibri"/>
          <w:sz w:val="22"/>
          <w:szCs w:val="22"/>
        </w:rPr>
        <w:t xml:space="preserve">Your advice has been very helpful. </w:t>
      </w:r>
      <w:r w:rsidR="00895487">
        <w:rPr>
          <w:rFonts w:cs="Calibri"/>
          <w:sz w:val="22"/>
          <w:szCs w:val="22"/>
        </w:rPr>
        <w:t>In addition, I would like to thank Mr. Martina</w:t>
      </w:r>
      <w:r w:rsidR="008E57C9">
        <w:rPr>
          <w:rFonts w:cs="Calibri"/>
          <w:sz w:val="22"/>
          <w:szCs w:val="22"/>
        </w:rPr>
        <w:t>,</w:t>
      </w:r>
      <w:r w:rsidR="00895487">
        <w:rPr>
          <w:rFonts w:cs="Calibri"/>
          <w:sz w:val="22"/>
          <w:szCs w:val="22"/>
        </w:rPr>
        <w:t xml:space="preserve"> my supervisor from KPMG</w:t>
      </w:r>
      <w:r w:rsidR="008E57C9">
        <w:rPr>
          <w:rFonts w:cs="Calibri"/>
          <w:sz w:val="22"/>
          <w:szCs w:val="22"/>
        </w:rPr>
        <w:t>,</w:t>
      </w:r>
      <w:r w:rsidR="001E5DB8">
        <w:rPr>
          <w:rFonts w:cs="Calibri"/>
          <w:sz w:val="22"/>
          <w:szCs w:val="22"/>
        </w:rPr>
        <w:t xml:space="preserve"> for his advice and feedback</w:t>
      </w:r>
      <w:r w:rsidR="00895487">
        <w:rPr>
          <w:rFonts w:cs="Calibri"/>
          <w:sz w:val="22"/>
          <w:szCs w:val="22"/>
        </w:rPr>
        <w:t xml:space="preserve">. </w:t>
      </w:r>
      <w:r w:rsidR="004F1BE5" w:rsidRPr="00D2434C">
        <w:rPr>
          <w:rFonts w:cs="Calibri"/>
          <w:sz w:val="22"/>
          <w:szCs w:val="22"/>
        </w:rPr>
        <w:t>Furthermore, I would like to thank KPMG for giving me the opportunity to write this thesis at their office in Rotterdam</w:t>
      </w:r>
      <w:r>
        <w:rPr>
          <w:rFonts w:cs="Calibri"/>
          <w:sz w:val="22"/>
          <w:szCs w:val="22"/>
        </w:rPr>
        <w:t xml:space="preserve"> and providing me </w:t>
      </w:r>
      <w:r w:rsidR="008E57C9">
        <w:rPr>
          <w:rFonts w:cs="Calibri"/>
          <w:sz w:val="22"/>
          <w:szCs w:val="22"/>
        </w:rPr>
        <w:t xml:space="preserve">with </w:t>
      </w:r>
      <w:r w:rsidR="00B708C3">
        <w:rPr>
          <w:rFonts w:cs="Calibri"/>
          <w:sz w:val="22"/>
          <w:szCs w:val="22"/>
        </w:rPr>
        <w:t>valuable</w:t>
      </w:r>
      <w:r>
        <w:rPr>
          <w:rFonts w:cs="Calibri"/>
          <w:sz w:val="22"/>
          <w:szCs w:val="22"/>
        </w:rPr>
        <w:t xml:space="preserve"> guidance</w:t>
      </w:r>
      <w:r w:rsidR="001830F8">
        <w:rPr>
          <w:rFonts w:cs="Calibri"/>
          <w:sz w:val="22"/>
          <w:szCs w:val="22"/>
        </w:rPr>
        <w:t>.</w:t>
      </w:r>
    </w:p>
    <w:p w:rsidR="001830F8" w:rsidRDefault="001830F8" w:rsidP="004F1BE5">
      <w:pPr>
        <w:spacing w:before="0" w:after="0"/>
        <w:jc w:val="both"/>
        <w:rPr>
          <w:rFonts w:cs="Calibri"/>
          <w:sz w:val="22"/>
          <w:szCs w:val="22"/>
        </w:rPr>
      </w:pPr>
    </w:p>
    <w:p w:rsidR="00526900" w:rsidRDefault="001830F8" w:rsidP="004F1BE5">
      <w:pPr>
        <w:spacing w:before="0" w:after="0"/>
        <w:jc w:val="both"/>
        <w:rPr>
          <w:rFonts w:cs="Calibri"/>
          <w:sz w:val="22"/>
          <w:szCs w:val="22"/>
        </w:rPr>
      </w:pPr>
      <w:r>
        <w:rPr>
          <w:rFonts w:cs="Calibri"/>
          <w:sz w:val="22"/>
          <w:szCs w:val="22"/>
        </w:rPr>
        <w:t xml:space="preserve">I would also like to thank my fellow students </w:t>
      </w:r>
      <w:r w:rsidR="00134CB3">
        <w:rPr>
          <w:rFonts w:cs="Calibri"/>
          <w:sz w:val="22"/>
          <w:szCs w:val="22"/>
        </w:rPr>
        <w:t>from the S</w:t>
      </w:r>
      <w:r>
        <w:rPr>
          <w:rFonts w:cs="Calibri"/>
          <w:sz w:val="22"/>
          <w:szCs w:val="22"/>
        </w:rPr>
        <w:t xml:space="preserve">eminar Advanced Financial Accounting where the </w:t>
      </w:r>
      <w:r w:rsidR="00930B18">
        <w:rPr>
          <w:rFonts w:cs="Calibri"/>
          <w:sz w:val="22"/>
          <w:szCs w:val="22"/>
        </w:rPr>
        <w:t>topic</w:t>
      </w:r>
      <w:r w:rsidR="00134CB3">
        <w:rPr>
          <w:rFonts w:cs="Calibri"/>
          <w:sz w:val="22"/>
          <w:szCs w:val="22"/>
        </w:rPr>
        <w:t xml:space="preserve"> of this thesis </w:t>
      </w:r>
      <w:r w:rsidR="00E938EF">
        <w:rPr>
          <w:rFonts w:cs="Calibri"/>
          <w:sz w:val="22"/>
          <w:szCs w:val="22"/>
        </w:rPr>
        <w:t>originates from</w:t>
      </w:r>
      <w:r w:rsidR="00134CB3">
        <w:rPr>
          <w:rFonts w:cs="Calibri"/>
          <w:sz w:val="22"/>
          <w:szCs w:val="22"/>
        </w:rPr>
        <w:t xml:space="preserve"> and whom have given me</w:t>
      </w:r>
      <w:r w:rsidR="00B11E51">
        <w:rPr>
          <w:rFonts w:cs="Calibri"/>
          <w:sz w:val="22"/>
          <w:szCs w:val="22"/>
        </w:rPr>
        <w:t xml:space="preserve"> </w:t>
      </w:r>
      <w:r w:rsidR="00B708C3">
        <w:rPr>
          <w:rFonts w:cs="Calibri"/>
          <w:sz w:val="22"/>
          <w:szCs w:val="22"/>
        </w:rPr>
        <w:t>useful</w:t>
      </w:r>
      <w:r w:rsidR="00134CB3">
        <w:rPr>
          <w:rFonts w:cs="Calibri"/>
          <w:sz w:val="22"/>
          <w:szCs w:val="22"/>
        </w:rPr>
        <w:t xml:space="preserve"> feedback on this idea</w:t>
      </w:r>
      <w:r w:rsidR="00B3006C">
        <w:rPr>
          <w:rFonts w:cs="Calibri"/>
          <w:sz w:val="22"/>
          <w:szCs w:val="22"/>
        </w:rPr>
        <w:t>.</w:t>
      </w:r>
      <w:r w:rsidR="00134CB3">
        <w:rPr>
          <w:rFonts w:cs="Calibri"/>
          <w:sz w:val="22"/>
          <w:szCs w:val="22"/>
        </w:rPr>
        <w:t xml:space="preserve"> </w:t>
      </w:r>
    </w:p>
    <w:p w:rsidR="00526900" w:rsidRDefault="00526900" w:rsidP="004F1BE5">
      <w:pPr>
        <w:spacing w:before="0" w:after="0"/>
        <w:jc w:val="both"/>
        <w:rPr>
          <w:rFonts w:cs="Calibri"/>
          <w:sz w:val="22"/>
          <w:szCs w:val="22"/>
        </w:rPr>
      </w:pPr>
    </w:p>
    <w:p w:rsidR="00C86093" w:rsidRPr="00D2434C" w:rsidRDefault="00B703DA" w:rsidP="004F1BE5">
      <w:pPr>
        <w:spacing w:before="0" w:after="0"/>
        <w:jc w:val="both"/>
        <w:rPr>
          <w:rFonts w:cs="Calibri"/>
          <w:sz w:val="22"/>
          <w:szCs w:val="22"/>
        </w:rPr>
      </w:pPr>
      <w:r>
        <w:rPr>
          <w:rFonts w:cs="Calibri"/>
          <w:sz w:val="22"/>
          <w:szCs w:val="22"/>
        </w:rPr>
        <w:t>At last</w:t>
      </w:r>
      <w:r w:rsidR="004F1BE5" w:rsidRPr="00D2434C">
        <w:rPr>
          <w:rFonts w:cs="Calibri"/>
          <w:sz w:val="22"/>
          <w:szCs w:val="22"/>
        </w:rPr>
        <w:t xml:space="preserve">, I would like to thank my family and friends for supporting me during this process. </w:t>
      </w:r>
      <w:r w:rsidR="00895487">
        <w:rPr>
          <w:rFonts w:cs="Calibri"/>
          <w:sz w:val="22"/>
          <w:szCs w:val="22"/>
        </w:rPr>
        <w:t>In specific, I would like to thank my parents</w:t>
      </w:r>
      <w:r w:rsidR="0095790B">
        <w:rPr>
          <w:rFonts w:cs="Calibri"/>
          <w:sz w:val="22"/>
          <w:szCs w:val="22"/>
        </w:rPr>
        <w:t>,</w:t>
      </w:r>
      <w:r w:rsidR="00895487">
        <w:rPr>
          <w:rFonts w:cs="Calibri"/>
          <w:sz w:val="22"/>
          <w:szCs w:val="22"/>
        </w:rPr>
        <w:t xml:space="preserve"> who have always supported me throughout my studies</w:t>
      </w:r>
      <w:r w:rsidR="00D2434C" w:rsidRPr="00D2434C">
        <w:rPr>
          <w:rFonts w:cs="Calibri"/>
          <w:sz w:val="22"/>
          <w:szCs w:val="22"/>
        </w:rPr>
        <w:t>.</w:t>
      </w:r>
    </w:p>
    <w:p w:rsidR="00D2434C" w:rsidRPr="00D2434C" w:rsidRDefault="00D2434C" w:rsidP="004F1BE5">
      <w:pPr>
        <w:spacing w:before="0" w:after="0"/>
        <w:jc w:val="both"/>
        <w:rPr>
          <w:rFonts w:cs="Calibri"/>
          <w:sz w:val="22"/>
          <w:szCs w:val="22"/>
        </w:rPr>
      </w:pPr>
    </w:p>
    <w:p w:rsidR="00D2434C" w:rsidRPr="00D2434C" w:rsidRDefault="00D2434C" w:rsidP="004F1BE5">
      <w:pPr>
        <w:spacing w:before="0" w:after="0"/>
        <w:jc w:val="both"/>
        <w:rPr>
          <w:rFonts w:cs="Calibri"/>
          <w:sz w:val="22"/>
          <w:szCs w:val="22"/>
        </w:rPr>
      </w:pPr>
      <w:r w:rsidRPr="00D2434C">
        <w:rPr>
          <w:rFonts w:cs="Calibri"/>
          <w:sz w:val="22"/>
          <w:szCs w:val="22"/>
        </w:rPr>
        <w:t>Thank you,</w:t>
      </w:r>
    </w:p>
    <w:p w:rsidR="00D2434C" w:rsidRPr="00D2434C" w:rsidRDefault="00D2434C" w:rsidP="004F1BE5">
      <w:pPr>
        <w:spacing w:before="0" w:after="0"/>
        <w:jc w:val="both"/>
        <w:rPr>
          <w:rFonts w:cs="Calibri"/>
          <w:sz w:val="22"/>
          <w:szCs w:val="22"/>
        </w:rPr>
      </w:pPr>
    </w:p>
    <w:p w:rsidR="00D2434C" w:rsidRPr="00D2434C" w:rsidRDefault="00D2434C" w:rsidP="004F1BE5">
      <w:pPr>
        <w:spacing w:before="0" w:after="0"/>
        <w:jc w:val="both"/>
        <w:rPr>
          <w:rFonts w:cs="Calibri"/>
          <w:sz w:val="22"/>
          <w:szCs w:val="22"/>
        </w:rPr>
      </w:pPr>
      <w:r w:rsidRPr="00D2434C">
        <w:rPr>
          <w:rFonts w:cs="Calibri"/>
          <w:sz w:val="22"/>
          <w:szCs w:val="22"/>
        </w:rPr>
        <w:t>Sofie Elmans</w:t>
      </w:r>
    </w:p>
    <w:p w:rsidR="00E230DF" w:rsidRPr="00E230DF" w:rsidRDefault="00D2434C" w:rsidP="004F1BE5">
      <w:pPr>
        <w:spacing w:before="0" w:after="0"/>
        <w:jc w:val="both"/>
        <w:rPr>
          <w:rFonts w:cs="Calibri"/>
        </w:rPr>
      </w:pPr>
      <w:r w:rsidRPr="00D2434C">
        <w:rPr>
          <w:rFonts w:cs="Calibri"/>
          <w:sz w:val="22"/>
          <w:szCs w:val="22"/>
        </w:rPr>
        <w:t>Rotterdam, March 2012</w:t>
      </w:r>
      <w:r w:rsidR="00E230DF" w:rsidRPr="004F1BE5">
        <w:rPr>
          <w:rFonts w:cs="Calibri"/>
        </w:rPr>
        <w:br w:type="page"/>
      </w:r>
    </w:p>
    <w:p w:rsidR="00975CE3" w:rsidRDefault="00A95413" w:rsidP="00975CE3">
      <w:pPr>
        <w:pStyle w:val="Kop1"/>
        <w:jc w:val="both"/>
        <w:rPr>
          <w:rFonts w:asciiTheme="minorHAnsi" w:eastAsiaTheme="minorEastAsia" w:hAnsiTheme="minorHAnsi" w:cstheme="minorBidi"/>
          <w:noProof/>
          <w:lang w:val="nl-NL" w:eastAsia="nl-NL"/>
        </w:rPr>
      </w:pPr>
      <w:bookmarkStart w:id="44" w:name="_Toc318122375"/>
      <w:bookmarkStart w:id="45" w:name="_Toc318725333"/>
      <w:bookmarkStart w:id="46" w:name="_Toc318727098"/>
      <w:bookmarkStart w:id="47" w:name="_Toc320365289"/>
      <w:r w:rsidRPr="00046999">
        <w:rPr>
          <w:rFonts w:cs="Calibri"/>
        </w:rPr>
        <w:lastRenderedPageBreak/>
        <w:t>Table of Contents</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4"/>
      <w:bookmarkEnd w:id="45"/>
      <w:bookmarkEnd w:id="46"/>
      <w:bookmarkEnd w:id="47"/>
      <w:r w:rsidR="00E0784B" w:rsidRPr="00E0784B">
        <w:rPr>
          <w:rFonts w:cs="Calibri"/>
        </w:rPr>
        <w:fldChar w:fldCharType="begin"/>
      </w:r>
      <w:r w:rsidRPr="00046999">
        <w:rPr>
          <w:rFonts w:cs="Calibri"/>
        </w:rPr>
        <w:instrText xml:space="preserve"> TOC \o "1-3" \h \z \u </w:instrText>
      </w:r>
      <w:r w:rsidR="00E0784B" w:rsidRPr="00E0784B">
        <w:rPr>
          <w:rFonts w:cs="Calibri"/>
        </w:rPr>
        <w:fldChar w:fldCharType="separate"/>
      </w:r>
    </w:p>
    <w:p w:rsidR="00975CE3" w:rsidRDefault="00975CE3">
      <w:pPr>
        <w:pStyle w:val="Inhopg1"/>
        <w:rPr>
          <w:rFonts w:asciiTheme="minorHAnsi" w:eastAsiaTheme="minorEastAsia" w:hAnsiTheme="minorHAnsi" w:cstheme="minorBidi"/>
          <w:noProof/>
          <w:sz w:val="22"/>
          <w:szCs w:val="22"/>
          <w:lang w:val="nl-NL" w:eastAsia="nl-NL"/>
        </w:rPr>
      </w:pPr>
      <w:hyperlink w:anchor="_Toc320365290" w:history="1">
        <w:r w:rsidRPr="005B69D6">
          <w:rPr>
            <w:rStyle w:val="Hyperlink"/>
            <w:rFonts w:cs="Calibri"/>
            <w:noProof/>
          </w:rPr>
          <w:t>Introduction</w:t>
        </w:r>
        <w:r>
          <w:rPr>
            <w:noProof/>
            <w:webHidden/>
          </w:rPr>
          <w:tab/>
        </w:r>
        <w:r>
          <w:rPr>
            <w:noProof/>
            <w:webHidden/>
          </w:rPr>
          <w:fldChar w:fldCharType="begin"/>
        </w:r>
        <w:r>
          <w:rPr>
            <w:noProof/>
            <w:webHidden/>
          </w:rPr>
          <w:instrText xml:space="preserve"> PAGEREF _Toc320365290 \h </w:instrText>
        </w:r>
        <w:r>
          <w:rPr>
            <w:noProof/>
            <w:webHidden/>
          </w:rPr>
        </w:r>
        <w:r>
          <w:rPr>
            <w:noProof/>
            <w:webHidden/>
          </w:rPr>
          <w:fldChar w:fldCharType="separate"/>
        </w:r>
        <w:r w:rsidR="007D0DA8">
          <w:rPr>
            <w:noProof/>
            <w:webHidden/>
          </w:rPr>
          <w:t>5</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291" w:history="1">
        <w:r w:rsidRPr="005B69D6">
          <w:rPr>
            <w:rStyle w:val="Hyperlink"/>
            <w:rFonts w:cs="Calibri"/>
            <w:bCs/>
            <w:noProof/>
          </w:rPr>
          <w:t>Relevance</w:t>
        </w:r>
        <w:r>
          <w:rPr>
            <w:noProof/>
            <w:webHidden/>
          </w:rPr>
          <w:tab/>
        </w:r>
        <w:r>
          <w:rPr>
            <w:noProof/>
            <w:webHidden/>
          </w:rPr>
          <w:fldChar w:fldCharType="begin"/>
        </w:r>
        <w:r>
          <w:rPr>
            <w:noProof/>
            <w:webHidden/>
          </w:rPr>
          <w:instrText xml:space="preserve"> PAGEREF _Toc320365291 \h </w:instrText>
        </w:r>
        <w:r>
          <w:rPr>
            <w:noProof/>
            <w:webHidden/>
          </w:rPr>
        </w:r>
        <w:r>
          <w:rPr>
            <w:noProof/>
            <w:webHidden/>
          </w:rPr>
          <w:fldChar w:fldCharType="separate"/>
        </w:r>
        <w:r w:rsidR="007D0DA8">
          <w:rPr>
            <w:noProof/>
            <w:webHidden/>
          </w:rPr>
          <w:t>5</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292" w:history="1">
        <w:r w:rsidRPr="005B69D6">
          <w:rPr>
            <w:rStyle w:val="Hyperlink"/>
            <w:rFonts w:cs="Calibri"/>
            <w:noProof/>
          </w:rPr>
          <w:t>Research question and sub questions</w:t>
        </w:r>
        <w:r>
          <w:rPr>
            <w:noProof/>
            <w:webHidden/>
          </w:rPr>
          <w:tab/>
        </w:r>
        <w:r>
          <w:rPr>
            <w:noProof/>
            <w:webHidden/>
          </w:rPr>
          <w:fldChar w:fldCharType="begin"/>
        </w:r>
        <w:r>
          <w:rPr>
            <w:noProof/>
            <w:webHidden/>
          </w:rPr>
          <w:instrText xml:space="preserve"> PAGEREF _Toc320365292 \h </w:instrText>
        </w:r>
        <w:r>
          <w:rPr>
            <w:noProof/>
            <w:webHidden/>
          </w:rPr>
        </w:r>
        <w:r>
          <w:rPr>
            <w:noProof/>
            <w:webHidden/>
          </w:rPr>
          <w:fldChar w:fldCharType="separate"/>
        </w:r>
        <w:r w:rsidR="007D0DA8">
          <w:rPr>
            <w:noProof/>
            <w:webHidden/>
          </w:rPr>
          <w:t>6</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293" w:history="1">
        <w:r w:rsidRPr="005B69D6">
          <w:rPr>
            <w:rStyle w:val="Hyperlink"/>
            <w:rFonts w:cs="Calibri"/>
            <w:noProof/>
            <w:lang w:eastAsia="nl-NL"/>
          </w:rPr>
          <w:t>Methodology</w:t>
        </w:r>
        <w:r>
          <w:rPr>
            <w:noProof/>
            <w:webHidden/>
          </w:rPr>
          <w:tab/>
        </w:r>
        <w:r>
          <w:rPr>
            <w:noProof/>
            <w:webHidden/>
          </w:rPr>
          <w:fldChar w:fldCharType="begin"/>
        </w:r>
        <w:r>
          <w:rPr>
            <w:noProof/>
            <w:webHidden/>
          </w:rPr>
          <w:instrText xml:space="preserve"> PAGEREF _Toc320365293 \h </w:instrText>
        </w:r>
        <w:r>
          <w:rPr>
            <w:noProof/>
            <w:webHidden/>
          </w:rPr>
        </w:r>
        <w:r>
          <w:rPr>
            <w:noProof/>
            <w:webHidden/>
          </w:rPr>
          <w:fldChar w:fldCharType="separate"/>
        </w:r>
        <w:r w:rsidR="007D0DA8">
          <w:rPr>
            <w:noProof/>
            <w:webHidden/>
          </w:rPr>
          <w:t>7</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294" w:history="1">
        <w:r w:rsidRPr="005B69D6">
          <w:rPr>
            <w:rStyle w:val="Hyperlink"/>
            <w:rFonts w:cs="Calibri"/>
            <w:noProof/>
            <w:lang w:eastAsia="nl-NL"/>
          </w:rPr>
          <w:t>Structure of the thesis</w:t>
        </w:r>
        <w:r>
          <w:rPr>
            <w:noProof/>
            <w:webHidden/>
          </w:rPr>
          <w:tab/>
        </w:r>
        <w:r>
          <w:rPr>
            <w:noProof/>
            <w:webHidden/>
          </w:rPr>
          <w:fldChar w:fldCharType="begin"/>
        </w:r>
        <w:r>
          <w:rPr>
            <w:noProof/>
            <w:webHidden/>
          </w:rPr>
          <w:instrText xml:space="preserve"> PAGEREF _Toc320365294 \h </w:instrText>
        </w:r>
        <w:r>
          <w:rPr>
            <w:noProof/>
            <w:webHidden/>
          </w:rPr>
        </w:r>
        <w:r>
          <w:rPr>
            <w:noProof/>
            <w:webHidden/>
          </w:rPr>
          <w:fldChar w:fldCharType="separate"/>
        </w:r>
        <w:r w:rsidR="007D0DA8">
          <w:rPr>
            <w:noProof/>
            <w:webHidden/>
          </w:rPr>
          <w:t>7</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295" w:history="1">
        <w:r w:rsidRPr="005B69D6">
          <w:rPr>
            <w:rStyle w:val="Hyperlink"/>
            <w:rFonts w:cs="Calibri"/>
            <w:noProof/>
            <w:lang w:eastAsia="nl-NL"/>
          </w:rPr>
          <w:t>Chapter 1. Voluntary disclosures</w:t>
        </w:r>
        <w:r>
          <w:rPr>
            <w:noProof/>
            <w:webHidden/>
          </w:rPr>
          <w:tab/>
        </w:r>
        <w:r>
          <w:rPr>
            <w:noProof/>
            <w:webHidden/>
          </w:rPr>
          <w:fldChar w:fldCharType="begin"/>
        </w:r>
        <w:r>
          <w:rPr>
            <w:noProof/>
            <w:webHidden/>
          </w:rPr>
          <w:instrText xml:space="preserve"> PAGEREF _Toc320365295 \h </w:instrText>
        </w:r>
        <w:r>
          <w:rPr>
            <w:noProof/>
            <w:webHidden/>
          </w:rPr>
        </w:r>
        <w:r>
          <w:rPr>
            <w:noProof/>
            <w:webHidden/>
          </w:rPr>
          <w:fldChar w:fldCharType="separate"/>
        </w:r>
        <w:r w:rsidR="007D0DA8">
          <w:rPr>
            <w:noProof/>
            <w:webHidden/>
          </w:rPr>
          <w:t>8</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296" w:history="1">
        <w:r w:rsidRPr="005B69D6">
          <w:rPr>
            <w:rStyle w:val="Hyperlink"/>
            <w:rFonts w:cs="Calibri"/>
            <w:noProof/>
          </w:rPr>
          <w:t>1.1 Introduction</w:t>
        </w:r>
        <w:r>
          <w:rPr>
            <w:noProof/>
            <w:webHidden/>
          </w:rPr>
          <w:tab/>
        </w:r>
        <w:r>
          <w:rPr>
            <w:noProof/>
            <w:webHidden/>
          </w:rPr>
          <w:fldChar w:fldCharType="begin"/>
        </w:r>
        <w:r>
          <w:rPr>
            <w:noProof/>
            <w:webHidden/>
          </w:rPr>
          <w:instrText xml:space="preserve"> PAGEREF _Toc320365296 \h </w:instrText>
        </w:r>
        <w:r>
          <w:rPr>
            <w:noProof/>
            <w:webHidden/>
          </w:rPr>
        </w:r>
        <w:r>
          <w:rPr>
            <w:noProof/>
            <w:webHidden/>
          </w:rPr>
          <w:fldChar w:fldCharType="separate"/>
        </w:r>
        <w:r w:rsidR="007D0DA8">
          <w:rPr>
            <w:noProof/>
            <w:webHidden/>
          </w:rPr>
          <w:t>8</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297" w:history="1">
        <w:r w:rsidRPr="005B69D6">
          <w:rPr>
            <w:rStyle w:val="Hyperlink"/>
            <w:rFonts w:cs="Calibri"/>
            <w:noProof/>
          </w:rPr>
          <w:t>1.2 Voluntary disclosures</w:t>
        </w:r>
        <w:r>
          <w:rPr>
            <w:noProof/>
            <w:webHidden/>
          </w:rPr>
          <w:tab/>
        </w:r>
        <w:r>
          <w:rPr>
            <w:noProof/>
            <w:webHidden/>
          </w:rPr>
          <w:fldChar w:fldCharType="begin"/>
        </w:r>
        <w:r>
          <w:rPr>
            <w:noProof/>
            <w:webHidden/>
          </w:rPr>
          <w:instrText xml:space="preserve"> PAGEREF _Toc320365297 \h </w:instrText>
        </w:r>
        <w:r>
          <w:rPr>
            <w:noProof/>
            <w:webHidden/>
          </w:rPr>
        </w:r>
        <w:r>
          <w:rPr>
            <w:noProof/>
            <w:webHidden/>
          </w:rPr>
          <w:fldChar w:fldCharType="separate"/>
        </w:r>
        <w:r w:rsidR="007D0DA8">
          <w:rPr>
            <w:noProof/>
            <w:webHidden/>
          </w:rPr>
          <w:t>8</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298" w:history="1">
        <w:r w:rsidRPr="005B69D6">
          <w:rPr>
            <w:rStyle w:val="Hyperlink"/>
            <w:rFonts w:cs="Calibri"/>
            <w:noProof/>
          </w:rPr>
          <w:t>1.3 Incentives of voluntary disclosures</w:t>
        </w:r>
        <w:r>
          <w:rPr>
            <w:noProof/>
            <w:webHidden/>
          </w:rPr>
          <w:tab/>
        </w:r>
        <w:r>
          <w:rPr>
            <w:noProof/>
            <w:webHidden/>
          </w:rPr>
          <w:fldChar w:fldCharType="begin"/>
        </w:r>
        <w:r>
          <w:rPr>
            <w:noProof/>
            <w:webHidden/>
          </w:rPr>
          <w:instrText xml:space="preserve"> PAGEREF _Toc320365298 \h </w:instrText>
        </w:r>
        <w:r>
          <w:rPr>
            <w:noProof/>
            <w:webHidden/>
          </w:rPr>
        </w:r>
        <w:r>
          <w:rPr>
            <w:noProof/>
            <w:webHidden/>
          </w:rPr>
          <w:fldChar w:fldCharType="separate"/>
        </w:r>
        <w:r w:rsidR="007D0DA8">
          <w:rPr>
            <w:noProof/>
            <w:webHidden/>
          </w:rPr>
          <w:t>8</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299" w:history="1">
        <w:r w:rsidRPr="005B69D6">
          <w:rPr>
            <w:rStyle w:val="Hyperlink"/>
            <w:rFonts w:cs="Calibri"/>
            <w:noProof/>
          </w:rPr>
          <w:t>1.4 Credibility of voluntary disclosures</w:t>
        </w:r>
        <w:r>
          <w:rPr>
            <w:noProof/>
            <w:webHidden/>
          </w:rPr>
          <w:tab/>
        </w:r>
        <w:r>
          <w:rPr>
            <w:noProof/>
            <w:webHidden/>
          </w:rPr>
          <w:fldChar w:fldCharType="begin"/>
        </w:r>
        <w:r>
          <w:rPr>
            <w:noProof/>
            <w:webHidden/>
          </w:rPr>
          <w:instrText xml:space="preserve"> PAGEREF _Toc320365299 \h </w:instrText>
        </w:r>
        <w:r>
          <w:rPr>
            <w:noProof/>
            <w:webHidden/>
          </w:rPr>
        </w:r>
        <w:r>
          <w:rPr>
            <w:noProof/>
            <w:webHidden/>
          </w:rPr>
          <w:fldChar w:fldCharType="separate"/>
        </w:r>
        <w:r w:rsidR="007D0DA8">
          <w:rPr>
            <w:noProof/>
            <w:webHidden/>
          </w:rPr>
          <w:t>10</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00" w:history="1">
        <w:r w:rsidRPr="005B69D6">
          <w:rPr>
            <w:rStyle w:val="Hyperlink"/>
            <w:rFonts w:cs="Calibri"/>
            <w:noProof/>
          </w:rPr>
          <w:t>1.5 Conclusion</w:t>
        </w:r>
        <w:r>
          <w:rPr>
            <w:noProof/>
            <w:webHidden/>
          </w:rPr>
          <w:tab/>
        </w:r>
        <w:r>
          <w:rPr>
            <w:noProof/>
            <w:webHidden/>
          </w:rPr>
          <w:fldChar w:fldCharType="begin"/>
        </w:r>
        <w:r>
          <w:rPr>
            <w:noProof/>
            <w:webHidden/>
          </w:rPr>
          <w:instrText xml:space="preserve"> PAGEREF _Toc320365300 \h </w:instrText>
        </w:r>
        <w:r>
          <w:rPr>
            <w:noProof/>
            <w:webHidden/>
          </w:rPr>
        </w:r>
        <w:r>
          <w:rPr>
            <w:noProof/>
            <w:webHidden/>
          </w:rPr>
          <w:fldChar w:fldCharType="separate"/>
        </w:r>
        <w:r w:rsidR="007D0DA8">
          <w:rPr>
            <w:noProof/>
            <w:webHidden/>
          </w:rPr>
          <w:t>10</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301" w:history="1">
        <w:r w:rsidRPr="005B69D6">
          <w:rPr>
            <w:rStyle w:val="Hyperlink"/>
            <w:rFonts w:cs="Calibri"/>
            <w:noProof/>
            <w:lang w:eastAsia="nl-NL"/>
          </w:rPr>
          <w:t>Chapter 2. Ownership structure</w:t>
        </w:r>
        <w:r>
          <w:rPr>
            <w:noProof/>
            <w:webHidden/>
          </w:rPr>
          <w:tab/>
        </w:r>
        <w:r>
          <w:rPr>
            <w:noProof/>
            <w:webHidden/>
          </w:rPr>
          <w:fldChar w:fldCharType="begin"/>
        </w:r>
        <w:r>
          <w:rPr>
            <w:noProof/>
            <w:webHidden/>
          </w:rPr>
          <w:instrText xml:space="preserve"> PAGEREF _Toc320365301 \h </w:instrText>
        </w:r>
        <w:r>
          <w:rPr>
            <w:noProof/>
            <w:webHidden/>
          </w:rPr>
        </w:r>
        <w:r>
          <w:rPr>
            <w:noProof/>
            <w:webHidden/>
          </w:rPr>
          <w:fldChar w:fldCharType="separate"/>
        </w:r>
        <w:r w:rsidR="007D0DA8">
          <w:rPr>
            <w:noProof/>
            <w:webHidden/>
          </w:rPr>
          <w:t>11</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02" w:history="1">
        <w:r w:rsidRPr="005B69D6">
          <w:rPr>
            <w:rStyle w:val="Hyperlink"/>
            <w:rFonts w:cs="Calibri"/>
            <w:noProof/>
            <w:lang w:eastAsia="nl-NL"/>
          </w:rPr>
          <w:t>2.1 Introduction</w:t>
        </w:r>
        <w:r>
          <w:rPr>
            <w:noProof/>
            <w:webHidden/>
          </w:rPr>
          <w:tab/>
        </w:r>
        <w:r>
          <w:rPr>
            <w:noProof/>
            <w:webHidden/>
          </w:rPr>
          <w:fldChar w:fldCharType="begin"/>
        </w:r>
        <w:r>
          <w:rPr>
            <w:noProof/>
            <w:webHidden/>
          </w:rPr>
          <w:instrText xml:space="preserve"> PAGEREF _Toc320365302 \h </w:instrText>
        </w:r>
        <w:r>
          <w:rPr>
            <w:noProof/>
            <w:webHidden/>
          </w:rPr>
        </w:r>
        <w:r>
          <w:rPr>
            <w:noProof/>
            <w:webHidden/>
          </w:rPr>
          <w:fldChar w:fldCharType="separate"/>
        </w:r>
        <w:r w:rsidR="007D0DA8">
          <w:rPr>
            <w:noProof/>
            <w:webHidden/>
          </w:rPr>
          <w:t>11</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03" w:history="1">
        <w:r w:rsidRPr="005B69D6">
          <w:rPr>
            <w:rStyle w:val="Hyperlink"/>
            <w:rFonts w:cs="Calibri"/>
            <w:noProof/>
            <w:lang w:eastAsia="nl-NL"/>
          </w:rPr>
          <w:t>2.2 Ownership structure</w:t>
        </w:r>
        <w:r>
          <w:rPr>
            <w:noProof/>
            <w:webHidden/>
          </w:rPr>
          <w:tab/>
        </w:r>
        <w:r>
          <w:rPr>
            <w:noProof/>
            <w:webHidden/>
          </w:rPr>
          <w:fldChar w:fldCharType="begin"/>
        </w:r>
        <w:r>
          <w:rPr>
            <w:noProof/>
            <w:webHidden/>
          </w:rPr>
          <w:instrText xml:space="preserve"> PAGEREF _Toc320365303 \h </w:instrText>
        </w:r>
        <w:r>
          <w:rPr>
            <w:noProof/>
            <w:webHidden/>
          </w:rPr>
        </w:r>
        <w:r>
          <w:rPr>
            <w:noProof/>
            <w:webHidden/>
          </w:rPr>
          <w:fldChar w:fldCharType="separate"/>
        </w:r>
        <w:r w:rsidR="007D0DA8">
          <w:rPr>
            <w:noProof/>
            <w:webHidden/>
          </w:rPr>
          <w:t>11</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04" w:history="1">
        <w:r w:rsidRPr="005B69D6">
          <w:rPr>
            <w:rStyle w:val="Hyperlink"/>
            <w:rFonts w:cs="Calibri"/>
            <w:noProof/>
          </w:rPr>
          <w:t>2.3 Corporate governance</w:t>
        </w:r>
        <w:r>
          <w:rPr>
            <w:noProof/>
            <w:webHidden/>
          </w:rPr>
          <w:tab/>
        </w:r>
        <w:r>
          <w:rPr>
            <w:noProof/>
            <w:webHidden/>
          </w:rPr>
          <w:fldChar w:fldCharType="begin"/>
        </w:r>
        <w:r>
          <w:rPr>
            <w:noProof/>
            <w:webHidden/>
          </w:rPr>
          <w:instrText xml:space="preserve"> PAGEREF _Toc320365304 \h </w:instrText>
        </w:r>
        <w:r>
          <w:rPr>
            <w:noProof/>
            <w:webHidden/>
          </w:rPr>
        </w:r>
        <w:r>
          <w:rPr>
            <w:noProof/>
            <w:webHidden/>
          </w:rPr>
          <w:fldChar w:fldCharType="separate"/>
        </w:r>
        <w:r w:rsidR="007D0DA8">
          <w:rPr>
            <w:noProof/>
            <w:webHidden/>
          </w:rPr>
          <w:t>11</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05" w:history="1">
        <w:r w:rsidRPr="005B69D6">
          <w:rPr>
            <w:rStyle w:val="Hyperlink"/>
            <w:rFonts w:cs="Calibri"/>
            <w:noProof/>
          </w:rPr>
          <w:t>2.4 Ownership structure within Europe</w:t>
        </w:r>
        <w:r>
          <w:rPr>
            <w:noProof/>
            <w:webHidden/>
          </w:rPr>
          <w:tab/>
        </w:r>
        <w:r>
          <w:rPr>
            <w:noProof/>
            <w:webHidden/>
          </w:rPr>
          <w:fldChar w:fldCharType="begin"/>
        </w:r>
        <w:r>
          <w:rPr>
            <w:noProof/>
            <w:webHidden/>
          </w:rPr>
          <w:instrText xml:space="preserve"> PAGEREF _Toc320365305 \h </w:instrText>
        </w:r>
        <w:r>
          <w:rPr>
            <w:noProof/>
            <w:webHidden/>
          </w:rPr>
        </w:r>
        <w:r>
          <w:rPr>
            <w:noProof/>
            <w:webHidden/>
          </w:rPr>
          <w:fldChar w:fldCharType="separate"/>
        </w:r>
        <w:r w:rsidR="007D0DA8">
          <w:rPr>
            <w:noProof/>
            <w:webHidden/>
          </w:rPr>
          <w:t>12</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06" w:history="1">
        <w:r w:rsidRPr="005B69D6">
          <w:rPr>
            <w:rStyle w:val="Hyperlink"/>
            <w:rFonts w:cs="Calibri"/>
            <w:noProof/>
          </w:rPr>
          <w:t>2.5 Ownership structure outside Europe</w:t>
        </w:r>
        <w:r>
          <w:rPr>
            <w:noProof/>
            <w:webHidden/>
          </w:rPr>
          <w:tab/>
        </w:r>
        <w:r>
          <w:rPr>
            <w:noProof/>
            <w:webHidden/>
          </w:rPr>
          <w:fldChar w:fldCharType="begin"/>
        </w:r>
        <w:r>
          <w:rPr>
            <w:noProof/>
            <w:webHidden/>
          </w:rPr>
          <w:instrText xml:space="preserve"> PAGEREF _Toc320365306 \h </w:instrText>
        </w:r>
        <w:r>
          <w:rPr>
            <w:noProof/>
            <w:webHidden/>
          </w:rPr>
        </w:r>
        <w:r>
          <w:rPr>
            <w:noProof/>
            <w:webHidden/>
          </w:rPr>
          <w:fldChar w:fldCharType="separate"/>
        </w:r>
        <w:r w:rsidR="007D0DA8">
          <w:rPr>
            <w:noProof/>
            <w:webHidden/>
          </w:rPr>
          <w:t>12</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07" w:history="1">
        <w:r w:rsidRPr="005B69D6">
          <w:rPr>
            <w:rStyle w:val="Hyperlink"/>
            <w:rFonts w:cs="Calibri"/>
            <w:noProof/>
            <w:lang w:eastAsia="nl-NL"/>
          </w:rPr>
          <w:t>2.6 Conclusion</w:t>
        </w:r>
        <w:r>
          <w:rPr>
            <w:noProof/>
            <w:webHidden/>
          </w:rPr>
          <w:tab/>
        </w:r>
        <w:r>
          <w:rPr>
            <w:noProof/>
            <w:webHidden/>
          </w:rPr>
          <w:fldChar w:fldCharType="begin"/>
        </w:r>
        <w:r>
          <w:rPr>
            <w:noProof/>
            <w:webHidden/>
          </w:rPr>
          <w:instrText xml:space="preserve"> PAGEREF _Toc320365307 \h </w:instrText>
        </w:r>
        <w:r>
          <w:rPr>
            <w:noProof/>
            <w:webHidden/>
          </w:rPr>
        </w:r>
        <w:r>
          <w:rPr>
            <w:noProof/>
            <w:webHidden/>
          </w:rPr>
          <w:fldChar w:fldCharType="separate"/>
        </w:r>
        <w:r w:rsidR="007D0DA8">
          <w:rPr>
            <w:noProof/>
            <w:webHidden/>
          </w:rPr>
          <w:t>13</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308" w:history="1">
        <w:r w:rsidRPr="005B69D6">
          <w:rPr>
            <w:rStyle w:val="Hyperlink"/>
            <w:rFonts w:cs="Calibri"/>
            <w:noProof/>
            <w:lang w:eastAsia="nl-NL"/>
          </w:rPr>
          <w:t>Chapter 3. Research approach</w:t>
        </w:r>
        <w:r>
          <w:rPr>
            <w:noProof/>
            <w:webHidden/>
          </w:rPr>
          <w:tab/>
        </w:r>
        <w:r>
          <w:rPr>
            <w:noProof/>
            <w:webHidden/>
          </w:rPr>
          <w:fldChar w:fldCharType="begin"/>
        </w:r>
        <w:r>
          <w:rPr>
            <w:noProof/>
            <w:webHidden/>
          </w:rPr>
          <w:instrText xml:space="preserve"> PAGEREF _Toc320365308 \h </w:instrText>
        </w:r>
        <w:r>
          <w:rPr>
            <w:noProof/>
            <w:webHidden/>
          </w:rPr>
        </w:r>
        <w:r>
          <w:rPr>
            <w:noProof/>
            <w:webHidden/>
          </w:rPr>
          <w:fldChar w:fldCharType="separate"/>
        </w:r>
        <w:r w:rsidR="007D0DA8">
          <w:rPr>
            <w:noProof/>
            <w:webHidden/>
          </w:rPr>
          <w:t>15</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09" w:history="1">
        <w:r w:rsidRPr="005B69D6">
          <w:rPr>
            <w:rStyle w:val="Hyperlink"/>
            <w:rFonts w:cs="Calibri"/>
            <w:noProof/>
          </w:rPr>
          <w:t>3.1 Introduction</w:t>
        </w:r>
        <w:r>
          <w:rPr>
            <w:noProof/>
            <w:webHidden/>
          </w:rPr>
          <w:tab/>
        </w:r>
        <w:r>
          <w:rPr>
            <w:noProof/>
            <w:webHidden/>
          </w:rPr>
          <w:fldChar w:fldCharType="begin"/>
        </w:r>
        <w:r>
          <w:rPr>
            <w:noProof/>
            <w:webHidden/>
          </w:rPr>
          <w:instrText xml:space="preserve"> PAGEREF _Toc320365309 \h </w:instrText>
        </w:r>
        <w:r>
          <w:rPr>
            <w:noProof/>
            <w:webHidden/>
          </w:rPr>
        </w:r>
        <w:r>
          <w:rPr>
            <w:noProof/>
            <w:webHidden/>
          </w:rPr>
          <w:fldChar w:fldCharType="separate"/>
        </w:r>
        <w:r w:rsidR="007D0DA8">
          <w:rPr>
            <w:noProof/>
            <w:webHidden/>
          </w:rPr>
          <w:t>15</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10" w:history="1">
        <w:r w:rsidRPr="005B69D6">
          <w:rPr>
            <w:rStyle w:val="Hyperlink"/>
            <w:rFonts w:cs="Calibri"/>
            <w:noProof/>
          </w:rPr>
          <w:t>3.2 Research approaches</w:t>
        </w:r>
        <w:r>
          <w:rPr>
            <w:noProof/>
            <w:webHidden/>
          </w:rPr>
          <w:tab/>
        </w:r>
        <w:r>
          <w:rPr>
            <w:noProof/>
            <w:webHidden/>
          </w:rPr>
          <w:fldChar w:fldCharType="begin"/>
        </w:r>
        <w:r>
          <w:rPr>
            <w:noProof/>
            <w:webHidden/>
          </w:rPr>
          <w:instrText xml:space="preserve"> PAGEREF _Toc320365310 \h </w:instrText>
        </w:r>
        <w:r>
          <w:rPr>
            <w:noProof/>
            <w:webHidden/>
          </w:rPr>
        </w:r>
        <w:r>
          <w:rPr>
            <w:noProof/>
            <w:webHidden/>
          </w:rPr>
          <w:fldChar w:fldCharType="separate"/>
        </w:r>
        <w:r w:rsidR="007D0DA8">
          <w:rPr>
            <w:noProof/>
            <w:webHidden/>
          </w:rPr>
          <w:t>15</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11" w:history="1">
        <w:r w:rsidRPr="005B69D6">
          <w:rPr>
            <w:rStyle w:val="Hyperlink"/>
            <w:rFonts w:cs="Calibri"/>
            <w:noProof/>
          </w:rPr>
          <w:t>3.3 Positive Accounting Theory</w:t>
        </w:r>
        <w:r>
          <w:rPr>
            <w:noProof/>
            <w:webHidden/>
          </w:rPr>
          <w:tab/>
        </w:r>
        <w:r>
          <w:rPr>
            <w:noProof/>
            <w:webHidden/>
          </w:rPr>
          <w:fldChar w:fldCharType="begin"/>
        </w:r>
        <w:r>
          <w:rPr>
            <w:noProof/>
            <w:webHidden/>
          </w:rPr>
          <w:instrText xml:space="preserve"> PAGEREF _Toc320365311 \h </w:instrText>
        </w:r>
        <w:r>
          <w:rPr>
            <w:noProof/>
            <w:webHidden/>
          </w:rPr>
        </w:r>
        <w:r>
          <w:rPr>
            <w:noProof/>
            <w:webHidden/>
          </w:rPr>
          <w:fldChar w:fldCharType="separate"/>
        </w:r>
        <w:r w:rsidR="007D0DA8">
          <w:rPr>
            <w:noProof/>
            <w:webHidden/>
          </w:rPr>
          <w:t>16</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12" w:history="1">
        <w:r w:rsidRPr="005B69D6">
          <w:rPr>
            <w:rStyle w:val="Hyperlink"/>
            <w:rFonts w:cs="Calibri"/>
            <w:noProof/>
          </w:rPr>
          <w:t>3.4 Agency Theory</w:t>
        </w:r>
        <w:r>
          <w:rPr>
            <w:noProof/>
            <w:webHidden/>
          </w:rPr>
          <w:tab/>
        </w:r>
        <w:r>
          <w:rPr>
            <w:noProof/>
            <w:webHidden/>
          </w:rPr>
          <w:fldChar w:fldCharType="begin"/>
        </w:r>
        <w:r>
          <w:rPr>
            <w:noProof/>
            <w:webHidden/>
          </w:rPr>
          <w:instrText xml:space="preserve"> PAGEREF _Toc320365312 \h </w:instrText>
        </w:r>
        <w:r>
          <w:rPr>
            <w:noProof/>
            <w:webHidden/>
          </w:rPr>
        </w:r>
        <w:r>
          <w:rPr>
            <w:noProof/>
            <w:webHidden/>
          </w:rPr>
          <w:fldChar w:fldCharType="separate"/>
        </w:r>
        <w:r w:rsidR="007D0DA8">
          <w:rPr>
            <w:noProof/>
            <w:webHidden/>
          </w:rPr>
          <w:t>17</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13" w:history="1">
        <w:r w:rsidRPr="005B69D6">
          <w:rPr>
            <w:rStyle w:val="Hyperlink"/>
            <w:rFonts w:cs="Calibri"/>
            <w:noProof/>
          </w:rPr>
          <w:t>3.5 Conclusion</w:t>
        </w:r>
        <w:r>
          <w:rPr>
            <w:noProof/>
            <w:webHidden/>
          </w:rPr>
          <w:tab/>
        </w:r>
        <w:r>
          <w:rPr>
            <w:noProof/>
            <w:webHidden/>
          </w:rPr>
          <w:fldChar w:fldCharType="begin"/>
        </w:r>
        <w:r>
          <w:rPr>
            <w:noProof/>
            <w:webHidden/>
          </w:rPr>
          <w:instrText xml:space="preserve"> PAGEREF _Toc320365313 \h </w:instrText>
        </w:r>
        <w:r>
          <w:rPr>
            <w:noProof/>
            <w:webHidden/>
          </w:rPr>
        </w:r>
        <w:r>
          <w:rPr>
            <w:noProof/>
            <w:webHidden/>
          </w:rPr>
          <w:fldChar w:fldCharType="separate"/>
        </w:r>
        <w:r w:rsidR="007D0DA8">
          <w:rPr>
            <w:noProof/>
            <w:webHidden/>
          </w:rPr>
          <w:t>17</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314" w:history="1">
        <w:r w:rsidRPr="005B69D6">
          <w:rPr>
            <w:rStyle w:val="Hyperlink"/>
            <w:rFonts w:cs="Calibri"/>
            <w:noProof/>
            <w:lang w:eastAsia="nl-NL"/>
          </w:rPr>
          <w:t>Chapter 4. Content Analysis</w:t>
        </w:r>
        <w:r>
          <w:rPr>
            <w:noProof/>
            <w:webHidden/>
          </w:rPr>
          <w:tab/>
        </w:r>
        <w:r>
          <w:rPr>
            <w:noProof/>
            <w:webHidden/>
          </w:rPr>
          <w:fldChar w:fldCharType="begin"/>
        </w:r>
        <w:r>
          <w:rPr>
            <w:noProof/>
            <w:webHidden/>
          </w:rPr>
          <w:instrText xml:space="preserve"> PAGEREF _Toc320365314 \h </w:instrText>
        </w:r>
        <w:r>
          <w:rPr>
            <w:noProof/>
            <w:webHidden/>
          </w:rPr>
        </w:r>
        <w:r>
          <w:rPr>
            <w:noProof/>
            <w:webHidden/>
          </w:rPr>
          <w:fldChar w:fldCharType="separate"/>
        </w:r>
        <w:r w:rsidR="007D0DA8">
          <w:rPr>
            <w:noProof/>
            <w:webHidden/>
          </w:rPr>
          <w:t>19</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15" w:history="1">
        <w:r w:rsidRPr="005B69D6">
          <w:rPr>
            <w:rStyle w:val="Hyperlink"/>
            <w:rFonts w:cs="Calibri"/>
            <w:noProof/>
            <w:lang w:eastAsia="nl-NL"/>
          </w:rPr>
          <w:t>4.1 Introduction</w:t>
        </w:r>
        <w:r>
          <w:rPr>
            <w:noProof/>
            <w:webHidden/>
          </w:rPr>
          <w:tab/>
        </w:r>
        <w:r>
          <w:rPr>
            <w:noProof/>
            <w:webHidden/>
          </w:rPr>
          <w:fldChar w:fldCharType="begin"/>
        </w:r>
        <w:r>
          <w:rPr>
            <w:noProof/>
            <w:webHidden/>
          </w:rPr>
          <w:instrText xml:space="preserve"> PAGEREF _Toc320365315 \h </w:instrText>
        </w:r>
        <w:r>
          <w:rPr>
            <w:noProof/>
            <w:webHidden/>
          </w:rPr>
        </w:r>
        <w:r>
          <w:rPr>
            <w:noProof/>
            <w:webHidden/>
          </w:rPr>
          <w:fldChar w:fldCharType="separate"/>
        </w:r>
        <w:r w:rsidR="007D0DA8">
          <w:rPr>
            <w:noProof/>
            <w:webHidden/>
          </w:rPr>
          <w:t>19</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16" w:history="1">
        <w:r w:rsidRPr="005B69D6">
          <w:rPr>
            <w:rStyle w:val="Hyperlink"/>
            <w:rFonts w:cs="Calibri"/>
            <w:noProof/>
          </w:rPr>
          <w:t>4.2 Measuring voluntary disclosures according to prior literature</w:t>
        </w:r>
        <w:r>
          <w:rPr>
            <w:noProof/>
            <w:webHidden/>
          </w:rPr>
          <w:tab/>
        </w:r>
        <w:r>
          <w:rPr>
            <w:noProof/>
            <w:webHidden/>
          </w:rPr>
          <w:fldChar w:fldCharType="begin"/>
        </w:r>
        <w:r>
          <w:rPr>
            <w:noProof/>
            <w:webHidden/>
          </w:rPr>
          <w:instrText xml:space="preserve"> PAGEREF _Toc320365316 \h </w:instrText>
        </w:r>
        <w:r>
          <w:rPr>
            <w:noProof/>
            <w:webHidden/>
          </w:rPr>
        </w:r>
        <w:r>
          <w:rPr>
            <w:noProof/>
            <w:webHidden/>
          </w:rPr>
          <w:fldChar w:fldCharType="separate"/>
        </w:r>
        <w:r w:rsidR="007D0DA8">
          <w:rPr>
            <w:noProof/>
            <w:webHidden/>
          </w:rPr>
          <w:t>19</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17" w:history="1">
        <w:r w:rsidRPr="005B69D6">
          <w:rPr>
            <w:rStyle w:val="Hyperlink"/>
            <w:rFonts w:cs="Calibri"/>
            <w:noProof/>
            <w:lang w:eastAsia="nl-NL"/>
          </w:rPr>
          <w:t>4.3 Measuring voluntary disclosures</w:t>
        </w:r>
        <w:r>
          <w:rPr>
            <w:noProof/>
            <w:webHidden/>
          </w:rPr>
          <w:tab/>
        </w:r>
        <w:r>
          <w:rPr>
            <w:noProof/>
            <w:webHidden/>
          </w:rPr>
          <w:fldChar w:fldCharType="begin"/>
        </w:r>
        <w:r>
          <w:rPr>
            <w:noProof/>
            <w:webHidden/>
          </w:rPr>
          <w:instrText xml:space="preserve"> PAGEREF _Toc320365317 \h </w:instrText>
        </w:r>
        <w:r>
          <w:rPr>
            <w:noProof/>
            <w:webHidden/>
          </w:rPr>
        </w:r>
        <w:r>
          <w:rPr>
            <w:noProof/>
            <w:webHidden/>
          </w:rPr>
          <w:fldChar w:fldCharType="separate"/>
        </w:r>
        <w:r w:rsidR="007D0DA8">
          <w:rPr>
            <w:noProof/>
            <w:webHidden/>
          </w:rPr>
          <w:t>21</w:t>
        </w:r>
        <w:r>
          <w:rPr>
            <w:noProof/>
            <w:webHidden/>
          </w:rPr>
          <w:fldChar w:fldCharType="end"/>
        </w:r>
      </w:hyperlink>
    </w:p>
    <w:p w:rsidR="00975CE3" w:rsidRDefault="00975CE3">
      <w:pPr>
        <w:pStyle w:val="Inhopg3"/>
        <w:tabs>
          <w:tab w:val="right" w:leader="dot" w:pos="9350"/>
        </w:tabs>
        <w:rPr>
          <w:rFonts w:asciiTheme="minorHAnsi" w:eastAsiaTheme="minorEastAsia" w:hAnsiTheme="minorHAnsi" w:cstheme="minorBidi"/>
          <w:noProof/>
          <w:sz w:val="22"/>
          <w:szCs w:val="22"/>
          <w:lang w:val="nl-NL" w:eastAsia="nl-NL"/>
        </w:rPr>
      </w:pPr>
      <w:hyperlink w:anchor="_Toc320365318" w:history="1">
        <w:r w:rsidRPr="005B69D6">
          <w:rPr>
            <w:rStyle w:val="Hyperlink"/>
            <w:noProof/>
            <w:lang w:eastAsia="nl-NL"/>
          </w:rPr>
          <w:t>4.3.1 Selection of Disclosure Score Sheet</w:t>
        </w:r>
        <w:r>
          <w:rPr>
            <w:noProof/>
            <w:webHidden/>
          </w:rPr>
          <w:tab/>
        </w:r>
        <w:r>
          <w:rPr>
            <w:noProof/>
            <w:webHidden/>
          </w:rPr>
          <w:fldChar w:fldCharType="begin"/>
        </w:r>
        <w:r>
          <w:rPr>
            <w:noProof/>
            <w:webHidden/>
          </w:rPr>
          <w:instrText xml:space="preserve"> PAGEREF _Toc320365318 \h </w:instrText>
        </w:r>
        <w:r>
          <w:rPr>
            <w:noProof/>
            <w:webHidden/>
          </w:rPr>
        </w:r>
        <w:r>
          <w:rPr>
            <w:noProof/>
            <w:webHidden/>
          </w:rPr>
          <w:fldChar w:fldCharType="separate"/>
        </w:r>
        <w:r w:rsidR="007D0DA8">
          <w:rPr>
            <w:noProof/>
            <w:webHidden/>
          </w:rPr>
          <w:t>21</w:t>
        </w:r>
        <w:r>
          <w:rPr>
            <w:noProof/>
            <w:webHidden/>
          </w:rPr>
          <w:fldChar w:fldCharType="end"/>
        </w:r>
      </w:hyperlink>
    </w:p>
    <w:p w:rsidR="00975CE3" w:rsidRDefault="00975CE3">
      <w:pPr>
        <w:pStyle w:val="Inhopg3"/>
        <w:tabs>
          <w:tab w:val="right" w:leader="dot" w:pos="9350"/>
        </w:tabs>
        <w:rPr>
          <w:rFonts w:asciiTheme="minorHAnsi" w:eastAsiaTheme="minorEastAsia" w:hAnsiTheme="minorHAnsi" w:cstheme="minorBidi"/>
          <w:noProof/>
          <w:sz w:val="22"/>
          <w:szCs w:val="22"/>
          <w:lang w:val="nl-NL" w:eastAsia="nl-NL"/>
        </w:rPr>
      </w:pPr>
      <w:hyperlink w:anchor="_Toc320365319" w:history="1">
        <w:r w:rsidRPr="005B69D6">
          <w:rPr>
            <w:rStyle w:val="Hyperlink"/>
            <w:rFonts w:cs="Calibri"/>
            <w:noProof/>
          </w:rPr>
          <w:t>4.3.2 Selection of voluntary disclosure items</w:t>
        </w:r>
        <w:r>
          <w:rPr>
            <w:noProof/>
            <w:webHidden/>
          </w:rPr>
          <w:tab/>
        </w:r>
        <w:r>
          <w:rPr>
            <w:noProof/>
            <w:webHidden/>
          </w:rPr>
          <w:fldChar w:fldCharType="begin"/>
        </w:r>
        <w:r>
          <w:rPr>
            <w:noProof/>
            <w:webHidden/>
          </w:rPr>
          <w:instrText xml:space="preserve"> PAGEREF _Toc320365319 \h </w:instrText>
        </w:r>
        <w:r>
          <w:rPr>
            <w:noProof/>
            <w:webHidden/>
          </w:rPr>
        </w:r>
        <w:r>
          <w:rPr>
            <w:noProof/>
            <w:webHidden/>
          </w:rPr>
          <w:fldChar w:fldCharType="separate"/>
        </w:r>
        <w:r w:rsidR="007D0DA8">
          <w:rPr>
            <w:noProof/>
            <w:webHidden/>
          </w:rPr>
          <w:t>22</w:t>
        </w:r>
        <w:r>
          <w:rPr>
            <w:noProof/>
            <w:webHidden/>
          </w:rPr>
          <w:fldChar w:fldCharType="end"/>
        </w:r>
      </w:hyperlink>
    </w:p>
    <w:p w:rsidR="00975CE3" w:rsidRDefault="00975CE3">
      <w:pPr>
        <w:pStyle w:val="Inhopg3"/>
        <w:tabs>
          <w:tab w:val="right" w:leader="dot" w:pos="9350"/>
        </w:tabs>
        <w:rPr>
          <w:rFonts w:asciiTheme="minorHAnsi" w:eastAsiaTheme="minorEastAsia" w:hAnsiTheme="minorHAnsi" w:cstheme="minorBidi"/>
          <w:noProof/>
          <w:sz w:val="22"/>
          <w:szCs w:val="22"/>
          <w:lang w:val="nl-NL" w:eastAsia="nl-NL"/>
        </w:rPr>
      </w:pPr>
      <w:hyperlink w:anchor="_Toc320365320" w:history="1">
        <w:r w:rsidRPr="005B69D6">
          <w:rPr>
            <w:rStyle w:val="Hyperlink"/>
            <w:rFonts w:cs="Calibri"/>
            <w:noProof/>
          </w:rPr>
          <w:t>4.3.3 Allocation of points</w:t>
        </w:r>
        <w:r>
          <w:rPr>
            <w:noProof/>
            <w:webHidden/>
          </w:rPr>
          <w:tab/>
        </w:r>
        <w:r>
          <w:rPr>
            <w:noProof/>
            <w:webHidden/>
          </w:rPr>
          <w:fldChar w:fldCharType="begin"/>
        </w:r>
        <w:r>
          <w:rPr>
            <w:noProof/>
            <w:webHidden/>
          </w:rPr>
          <w:instrText xml:space="preserve"> PAGEREF _Toc320365320 \h </w:instrText>
        </w:r>
        <w:r>
          <w:rPr>
            <w:noProof/>
            <w:webHidden/>
          </w:rPr>
        </w:r>
        <w:r>
          <w:rPr>
            <w:noProof/>
            <w:webHidden/>
          </w:rPr>
          <w:fldChar w:fldCharType="separate"/>
        </w:r>
        <w:r w:rsidR="007D0DA8">
          <w:rPr>
            <w:noProof/>
            <w:webHidden/>
          </w:rPr>
          <w:t>22</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21" w:history="1">
        <w:r w:rsidRPr="005B69D6">
          <w:rPr>
            <w:rStyle w:val="Hyperlink"/>
            <w:rFonts w:cs="Calibri"/>
            <w:noProof/>
          </w:rPr>
          <w:t>4.4 Limitations</w:t>
        </w:r>
        <w:r>
          <w:rPr>
            <w:noProof/>
            <w:webHidden/>
          </w:rPr>
          <w:tab/>
        </w:r>
        <w:r>
          <w:rPr>
            <w:noProof/>
            <w:webHidden/>
          </w:rPr>
          <w:fldChar w:fldCharType="begin"/>
        </w:r>
        <w:r>
          <w:rPr>
            <w:noProof/>
            <w:webHidden/>
          </w:rPr>
          <w:instrText xml:space="preserve"> PAGEREF _Toc320365321 \h </w:instrText>
        </w:r>
        <w:r>
          <w:rPr>
            <w:noProof/>
            <w:webHidden/>
          </w:rPr>
        </w:r>
        <w:r>
          <w:rPr>
            <w:noProof/>
            <w:webHidden/>
          </w:rPr>
          <w:fldChar w:fldCharType="separate"/>
        </w:r>
        <w:r w:rsidR="007D0DA8">
          <w:rPr>
            <w:noProof/>
            <w:webHidden/>
          </w:rPr>
          <w:t>22</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22" w:history="1">
        <w:r w:rsidRPr="005B69D6">
          <w:rPr>
            <w:rStyle w:val="Hyperlink"/>
            <w:rFonts w:cs="Calibri"/>
            <w:noProof/>
          </w:rPr>
          <w:t>4.5 Conclusion</w:t>
        </w:r>
        <w:r>
          <w:rPr>
            <w:noProof/>
            <w:webHidden/>
          </w:rPr>
          <w:tab/>
        </w:r>
        <w:r>
          <w:rPr>
            <w:noProof/>
            <w:webHidden/>
          </w:rPr>
          <w:fldChar w:fldCharType="begin"/>
        </w:r>
        <w:r>
          <w:rPr>
            <w:noProof/>
            <w:webHidden/>
          </w:rPr>
          <w:instrText xml:space="preserve"> PAGEREF _Toc320365322 \h </w:instrText>
        </w:r>
        <w:r>
          <w:rPr>
            <w:noProof/>
            <w:webHidden/>
          </w:rPr>
        </w:r>
        <w:r>
          <w:rPr>
            <w:noProof/>
            <w:webHidden/>
          </w:rPr>
          <w:fldChar w:fldCharType="separate"/>
        </w:r>
        <w:r w:rsidR="007D0DA8">
          <w:rPr>
            <w:noProof/>
            <w:webHidden/>
          </w:rPr>
          <w:t>24</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323" w:history="1">
        <w:r w:rsidRPr="005B69D6">
          <w:rPr>
            <w:rStyle w:val="Hyperlink"/>
            <w:rFonts w:cs="Calibri"/>
            <w:noProof/>
            <w:lang w:eastAsia="nl-NL"/>
          </w:rPr>
          <w:t>Chapter 5. Measuring Ownership structure</w:t>
        </w:r>
        <w:r>
          <w:rPr>
            <w:noProof/>
            <w:webHidden/>
          </w:rPr>
          <w:tab/>
        </w:r>
        <w:r>
          <w:rPr>
            <w:noProof/>
            <w:webHidden/>
          </w:rPr>
          <w:fldChar w:fldCharType="begin"/>
        </w:r>
        <w:r>
          <w:rPr>
            <w:noProof/>
            <w:webHidden/>
          </w:rPr>
          <w:instrText xml:space="preserve"> PAGEREF _Toc320365323 \h </w:instrText>
        </w:r>
        <w:r>
          <w:rPr>
            <w:noProof/>
            <w:webHidden/>
          </w:rPr>
        </w:r>
        <w:r>
          <w:rPr>
            <w:noProof/>
            <w:webHidden/>
          </w:rPr>
          <w:fldChar w:fldCharType="separate"/>
        </w:r>
        <w:r w:rsidR="007D0DA8">
          <w:rPr>
            <w:noProof/>
            <w:webHidden/>
          </w:rPr>
          <w:t>25</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24" w:history="1">
        <w:r w:rsidRPr="005B69D6">
          <w:rPr>
            <w:rStyle w:val="Hyperlink"/>
            <w:rFonts w:cs="Calibri"/>
            <w:noProof/>
            <w:lang w:eastAsia="nl-NL"/>
          </w:rPr>
          <w:t>5.1 Introduction</w:t>
        </w:r>
        <w:r>
          <w:rPr>
            <w:noProof/>
            <w:webHidden/>
          </w:rPr>
          <w:tab/>
        </w:r>
        <w:r>
          <w:rPr>
            <w:noProof/>
            <w:webHidden/>
          </w:rPr>
          <w:fldChar w:fldCharType="begin"/>
        </w:r>
        <w:r>
          <w:rPr>
            <w:noProof/>
            <w:webHidden/>
          </w:rPr>
          <w:instrText xml:space="preserve"> PAGEREF _Toc320365324 \h </w:instrText>
        </w:r>
        <w:r>
          <w:rPr>
            <w:noProof/>
            <w:webHidden/>
          </w:rPr>
        </w:r>
        <w:r>
          <w:rPr>
            <w:noProof/>
            <w:webHidden/>
          </w:rPr>
          <w:fldChar w:fldCharType="separate"/>
        </w:r>
        <w:r w:rsidR="007D0DA8">
          <w:rPr>
            <w:noProof/>
            <w:webHidden/>
          </w:rPr>
          <w:t>25</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25" w:history="1">
        <w:r w:rsidRPr="005B69D6">
          <w:rPr>
            <w:rStyle w:val="Hyperlink"/>
            <w:noProof/>
            <w:lang w:eastAsia="nl-NL"/>
          </w:rPr>
          <w:t>5.2 Measuring ownership structure according to prior literature</w:t>
        </w:r>
        <w:r>
          <w:rPr>
            <w:noProof/>
            <w:webHidden/>
          </w:rPr>
          <w:tab/>
        </w:r>
        <w:r>
          <w:rPr>
            <w:noProof/>
            <w:webHidden/>
          </w:rPr>
          <w:fldChar w:fldCharType="begin"/>
        </w:r>
        <w:r>
          <w:rPr>
            <w:noProof/>
            <w:webHidden/>
          </w:rPr>
          <w:instrText xml:space="preserve"> PAGEREF _Toc320365325 \h </w:instrText>
        </w:r>
        <w:r>
          <w:rPr>
            <w:noProof/>
            <w:webHidden/>
          </w:rPr>
        </w:r>
        <w:r>
          <w:rPr>
            <w:noProof/>
            <w:webHidden/>
          </w:rPr>
          <w:fldChar w:fldCharType="separate"/>
        </w:r>
        <w:r w:rsidR="007D0DA8">
          <w:rPr>
            <w:noProof/>
            <w:webHidden/>
          </w:rPr>
          <w:t>25</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26" w:history="1">
        <w:r w:rsidRPr="005B69D6">
          <w:rPr>
            <w:rStyle w:val="Hyperlink"/>
            <w:rFonts w:cs="Calibri"/>
            <w:noProof/>
          </w:rPr>
          <w:t>5.3 Measuring Ownership structure</w:t>
        </w:r>
        <w:r>
          <w:rPr>
            <w:noProof/>
            <w:webHidden/>
          </w:rPr>
          <w:tab/>
        </w:r>
        <w:r>
          <w:rPr>
            <w:noProof/>
            <w:webHidden/>
          </w:rPr>
          <w:fldChar w:fldCharType="begin"/>
        </w:r>
        <w:r>
          <w:rPr>
            <w:noProof/>
            <w:webHidden/>
          </w:rPr>
          <w:instrText xml:space="preserve"> PAGEREF _Toc320365326 \h </w:instrText>
        </w:r>
        <w:r>
          <w:rPr>
            <w:noProof/>
            <w:webHidden/>
          </w:rPr>
        </w:r>
        <w:r>
          <w:rPr>
            <w:noProof/>
            <w:webHidden/>
          </w:rPr>
          <w:fldChar w:fldCharType="separate"/>
        </w:r>
        <w:r w:rsidR="007D0DA8">
          <w:rPr>
            <w:noProof/>
            <w:webHidden/>
          </w:rPr>
          <w:t>26</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27" w:history="1">
        <w:r w:rsidRPr="005B69D6">
          <w:rPr>
            <w:rStyle w:val="Hyperlink"/>
            <w:rFonts w:cs="Calibri"/>
            <w:noProof/>
            <w:lang w:eastAsia="nl-NL"/>
          </w:rPr>
          <w:t>5.3 Measurement of the relation</w:t>
        </w:r>
        <w:r>
          <w:rPr>
            <w:noProof/>
            <w:webHidden/>
          </w:rPr>
          <w:tab/>
        </w:r>
        <w:r>
          <w:rPr>
            <w:noProof/>
            <w:webHidden/>
          </w:rPr>
          <w:fldChar w:fldCharType="begin"/>
        </w:r>
        <w:r>
          <w:rPr>
            <w:noProof/>
            <w:webHidden/>
          </w:rPr>
          <w:instrText xml:space="preserve"> PAGEREF _Toc320365327 \h </w:instrText>
        </w:r>
        <w:r>
          <w:rPr>
            <w:noProof/>
            <w:webHidden/>
          </w:rPr>
        </w:r>
        <w:r>
          <w:rPr>
            <w:noProof/>
            <w:webHidden/>
          </w:rPr>
          <w:fldChar w:fldCharType="separate"/>
        </w:r>
        <w:r w:rsidR="007D0DA8">
          <w:rPr>
            <w:noProof/>
            <w:webHidden/>
          </w:rPr>
          <w:t>27</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28" w:history="1">
        <w:r w:rsidRPr="005B69D6">
          <w:rPr>
            <w:rStyle w:val="Hyperlink"/>
            <w:rFonts w:cs="Calibri"/>
            <w:noProof/>
            <w:lang w:eastAsia="nl-NL"/>
          </w:rPr>
          <w:t>5.4 Conclusion</w:t>
        </w:r>
        <w:r>
          <w:rPr>
            <w:noProof/>
            <w:webHidden/>
          </w:rPr>
          <w:tab/>
        </w:r>
        <w:r>
          <w:rPr>
            <w:noProof/>
            <w:webHidden/>
          </w:rPr>
          <w:fldChar w:fldCharType="begin"/>
        </w:r>
        <w:r>
          <w:rPr>
            <w:noProof/>
            <w:webHidden/>
          </w:rPr>
          <w:instrText xml:space="preserve"> PAGEREF _Toc320365328 \h </w:instrText>
        </w:r>
        <w:r>
          <w:rPr>
            <w:noProof/>
            <w:webHidden/>
          </w:rPr>
        </w:r>
        <w:r>
          <w:rPr>
            <w:noProof/>
            <w:webHidden/>
          </w:rPr>
          <w:fldChar w:fldCharType="separate"/>
        </w:r>
        <w:r w:rsidR="007D0DA8">
          <w:rPr>
            <w:noProof/>
            <w:webHidden/>
          </w:rPr>
          <w:t>28</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329" w:history="1">
        <w:r w:rsidRPr="005B69D6">
          <w:rPr>
            <w:rStyle w:val="Hyperlink"/>
            <w:rFonts w:cs="Calibri"/>
            <w:noProof/>
          </w:rPr>
          <w:t>Chapter 6. Literature Review</w:t>
        </w:r>
        <w:r>
          <w:rPr>
            <w:noProof/>
            <w:webHidden/>
          </w:rPr>
          <w:tab/>
        </w:r>
        <w:r>
          <w:rPr>
            <w:noProof/>
            <w:webHidden/>
          </w:rPr>
          <w:fldChar w:fldCharType="begin"/>
        </w:r>
        <w:r>
          <w:rPr>
            <w:noProof/>
            <w:webHidden/>
          </w:rPr>
          <w:instrText xml:space="preserve"> PAGEREF _Toc320365329 \h </w:instrText>
        </w:r>
        <w:r>
          <w:rPr>
            <w:noProof/>
            <w:webHidden/>
          </w:rPr>
        </w:r>
        <w:r>
          <w:rPr>
            <w:noProof/>
            <w:webHidden/>
          </w:rPr>
          <w:fldChar w:fldCharType="separate"/>
        </w:r>
        <w:r w:rsidR="007D0DA8">
          <w:rPr>
            <w:noProof/>
            <w:webHidden/>
          </w:rPr>
          <w:t>29</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30" w:history="1">
        <w:r w:rsidRPr="005B69D6">
          <w:rPr>
            <w:rStyle w:val="Hyperlink"/>
            <w:rFonts w:cs="Calibri"/>
            <w:noProof/>
          </w:rPr>
          <w:t>6.1 Introduction</w:t>
        </w:r>
        <w:r>
          <w:rPr>
            <w:noProof/>
            <w:webHidden/>
          </w:rPr>
          <w:tab/>
        </w:r>
        <w:r>
          <w:rPr>
            <w:noProof/>
            <w:webHidden/>
          </w:rPr>
          <w:fldChar w:fldCharType="begin"/>
        </w:r>
        <w:r>
          <w:rPr>
            <w:noProof/>
            <w:webHidden/>
          </w:rPr>
          <w:instrText xml:space="preserve"> PAGEREF _Toc320365330 \h </w:instrText>
        </w:r>
        <w:r>
          <w:rPr>
            <w:noProof/>
            <w:webHidden/>
          </w:rPr>
        </w:r>
        <w:r>
          <w:rPr>
            <w:noProof/>
            <w:webHidden/>
          </w:rPr>
          <w:fldChar w:fldCharType="separate"/>
        </w:r>
        <w:r w:rsidR="007D0DA8">
          <w:rPr>
            <w:noProof/>
            <w:webHidden/>
          </w:rPr>
          <w:t>29</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31" w:history="1">
        <w:r w:rsidRPr="005B69D6">
          <w:rPr>
            <w:rStyle w:val="Hyperlink"/>
            <w:rFonts w:cs="Calibri"/>
            <w:noProof/>
          </w:rPr>
          <w:t>6.2 Literature review</w:t>
        </w:r>
        <w:r>
          <w:rPr>
            <w:noProof/>
            <w:webHidden/>
          </w:rPr>
          <w:tab/>
        </w:r>
        <w:r>
          <w:rPr>
            <w:noProof/>
            <w:webHidden/>
          </w:rPr>
          <w:fldChar w:fldCharType="begin"/>
        </w:r>
        <w:r>
          <w:rPr>
            <w:noProof/>
            <w:webHidden/>
          </w:rPr>
          <w:instrText xml:space="preserve"> PAGEREF _Toc320365331 \h </w:instrText>
        </w:r>
        <w:r>
          <w:rPr>
            <w:noProof/>
            <w:webHidden/>
          </w:rPr>
        </w:r>
        <w:r>
          <w:rPr>
            <w:noProof/>
            <w:webHidden/>
          </w:rPr>
          <w:fldChar w:fldCharType="separate"/>
        </w:r>
        <w:r w:rsidR="007D0DA8">
          <w:rPr>
            <w:noProof/>
            <w:webHidden/>
          </w:rPr>
          <w:t>29</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32" w:history="1">
        <w:r w:rsidRPr="005B69D6">
          <w:rPr>
            <w:rStyle w:val="Hyperlink"/>
            <w:rFonts w:cs="Calibri"/>
            <w:noProof/>
            <w:lang w:eastAsia="nl-NL"/>
          </w:rPr>
          <w:t>6.3 Conclusion</w:t>
        </w:r>
        <w:r>
          <w:rPr>
            <w:noProof/>
            <w:webHidden/>
          </w:rPr>
          <w:tab/>
        </w:r>
        <w:r>
          <w:rPr>
            <w:noProof/>
            <w:webHidden/>
          </w:rPr>
          <w:fldChar w:fldCharType="begin"/>
        </w:r>
        <w:r>
          <w:rPr>
            <w:noProof/>
            <w:webHidden/>
          </w:rPr>
          <w:instrText xml:space="preserve"> PAGEREF _Toc320365332 \h </w:instrText>
        </w:r>
        <w:r>
          <w:rPr>
            <w:noProof/>
            <w:webHidden/>
          </w:rPr>
        </w:r>
        <w:r>
          <w:rPr>
            <w:noProof/>
            <w:webHidden/>
          </w:rPr>
          <w:fldChar w:fldCharType="separate"/>
        </w:r>
        <w:r w:rsidR="007D0DA8">
          <w:rPr>
            <w:noProof/>
            <w:webHidden/>
          </w:rPr>
          <w:t>36</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333" w:history="1">
        <w:r w:rsidRPr="005B69D6">
          <w:rPr>
            <w:rStyle w:val="Hyperlink"/>
            <w:rFonts w:cs="Calibri"/>
            <w:noProof/>
          </w:rPr>
          <w:t>Chapter 7. Research Design</w:t>
        </w:r>
        <w:r>
          <w:rPr>
            <w:noProof/>
            <w:webHidden/>
          </w:rPr>
          <w:tab/>
        </w:r>
        <w:r>
          <w:rPr>
            <w:noProof/>
            <w:webHidden/>
          </w:rPr>
          <w:fldChar w:fldCharType="begin"/>
        </w:r>
        <w:r>
          <w:rPr>
            <w:noProof/>
            <w:webHidden/>
          </w:rPr>
          <w:instrText xml:space="preserve"> PAGEREF _Toc320365333 \h </w:instrText>
        </w:r>
        <w:r>
          <w:rPr>
            <w:noProof/>
            <w:webHidden/>
          </w:rPr>
        </w:r>
        <w:r>
          <w:rPr>
            <w:noProof/>
            <w:webHidden/>
          </w:rPr>
          <w:fldChar w:fldCharType="separate"/>
        </w:r>
        <w:r w:rsidR="007D0DA8">
          <w:rPr>
            <w:noProof/>
            <w:webHidden/>
          </w:rPr>
          <w:t>38</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34" w:history="1">
        <w:r w:rsidRPr="005B69D6">
          <w:rPr>
            <w:rStyle w:val="Hyperlink"/>
            <w:rFonts w:cs="Calibri"/>
            <w:noProof/>
            <w:lang w:eastAsia="nl-NL"/>
          </w:rPr>
          <w:t>7.1 Introduction</w:t>
        </w:r>
        <w:r>
          <w:rPr>
            <w:noProof/>
            <w:webHidden/>
          </w:rPr>
          <w:tab/>
        </w:r>
        <w:r>
          <w:rPr>
            <w:noProof/>
            <w:webHidden/>
          </w:rPr>
          <w:fldChar w:fldCharType="begin"/>
        </w:r>
        <w:r>
          <w:rPr>
            <w:noProof/>
            <w:webHidden/>
          </w:rPr>
          <w:instrText xml:space="preserve"> PAGEREF _Toc320365334 \h </w:instrText>
        </w:r>
        <w:r>
          <w:rPr>
            <w:noProof/>
            <w:webHidden/>
          </w:rPr>
        </w:r>
        <w:r>
          <w:rPr>
            <w:noProof/>
            <w:webHidden/>
          </w:rPr>
          <w:fldChar w:fldCharType="separate"/>
        </w:r>
        <w:r w:rsidR="007D0DA8">
          <w:rPr>
            <w:noProof/>
            <w:webHidden/>
          </w:rPr>
          <w:t>38</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35" w:history="1">
        <w:r w:rsidRPr="005B69D6">
          <w:rPr>
            <w:rStyle w:val="Hyperlink"/>
            <w:rFonts w:cs="Calibri"/>
            <w:noProof/>
            <w:lang w:eastAsia="nl-NL"/>
          </w:rPr>
          <w:t>7.2 Hypotheses</w:t>
        </w:r>
        <w:r>
          <w:rPr>
            <w:noProof/>
            <w:webHidden/>
          </w:rPr>
          <w:tab/>
        </w:r>
        <w:r>
          <w:rPr>
            <w:noProof/>
            <w:webHidden/>
          </w:rPr>
          <w:fldChar w:fldCharType="begin"/>
        </w:r>
        <w:r>
          <w:rPr>
            <w:noProof/>
            <w:webHidden/>
          </w:rPr>
          <w:instrText xml:space="preserve"> PAGEREF _Toc320365335 \h </w:instrText>
        </w:r>
        <w:r>
          <w:rPr>
            <w:noProof/>
            <w:webHidden/>
          </w:rPr>
        </w:r>
        <w:r>
          <w:rPr>
            <w:noProof/>
            <w:webHidden/>
          </w:rPr>
          <w:fldChar w:fldCharType="separate"/>
        </w:r>
        <w:r w:rsidR="007D0DA8">
          <w:rPr>
            <w:noProof/>
            <w:webHidden/>
          </w:rPr>
          <w:t>38</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36" w:history="1">
        <w:r w:rsidRPr="005B69D6">
          <w:rPr>
            <w:rStyle w:val="Hyperlink"/>
            <w:rFonts w:cs="Calibri"/>
            <w:noProof/>
          </w:rPr>
          <w:t>7.3 Sample</w:t>
        </w:r>
        <w:r>
          <w:rPr>
            <w:noProof/>
            <w:webHidden/>
          </w:rPr>
          <w:tab/>
        </w:r>
        <w:r>
          <w:rPr>
            <w:noProof/>
            <w:webHidden/>
          </w:rPr>
          <w:fldChar w:fldCharType="begin"/>
        </w:r>
        <w:r>
          <w:rPr>
            <w:noProof/>
            <w:webHidden/>
          </w:rPr>
          <w:instrText xml:space="preserve"> PAGEREF _Toc320365336 \h </w:instrText>
        </w:r>
        <w:r>
          <w:rPr>
            <w:noProof/>
            <w:webHidden/>
          </w:rPr>
        </w:r>
        <w:r>
          <w:rPr>
            <w:noProof/>
            <w:webHidden/>
          </w:rPr>
          <w:fldChar w:fldCharType="separate"/>
        </w:r>
        <w:r w:rsidR="007D0DA8">
          <w:rPr>
            <w:noProof/>
            <w:webHidden/>
          </w:rPr>
          <w:t>39</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37" w:history="1">
        <w:r w:rsidRPr="005B69D6">
          <w:rPr>
            <w:rStyle w:val="Hyperlink"/>
            <w:rFonts w:cs="Calibri"/>
            <w:noProof/>
          </w:rPr>
          <w:t>7.4 Methodology</w:t>
        </w:r>
        <w:r>
          <w:rPr>
            <w:noProof/>
            <w:webHidden/>
          </w:rPr>
          <w:tab/>
        </w:r>
        <w:r>
          <w:rPr>
            <w:noProof/>
            <w:webHidden/>
          </w:rPr>
          <w:fldChar w:fldCharType="begin"/>
        </w:r>
        <w:r>
          <w:rPr>
            <w:noProof/>
            <w:webHidden/>
          </w:rPr>
          <w:instrText xml:space="preserve"> PAGEREF _Toc320365337 \h </w:instrText>
        </w:r>
        <w:r>
          <w:rPr>
            <w:noProof/>
            <w:webHidden/>
          </w:rPr>
        </w:r>
        <w:r>
          <w:rPr>
            <w:noProof/>
            <w:webHidden/>
          </w:rPr>
          <w:fldChar w:fldCharType="separate"/>
        </w:r>
        <w:r w:rsidR="007D0DA8">
          <w:rPr>
            <w:noProof/>
            <w:webHidden/>
          </w:rPr>
          <w:t>39</w:t>
        </w:r>
        <w:r>
          <w:rPr>
            <w:noProof/>
            <w:webHidden/>
          </w:rPr>
          <w:fldChar w:fldCharType="end"/>
        </w:r>
      </w:hyperlink>
    </w:p>
    <w:p w:rsidR="00975CE3" w:rsidRDefault="00975CE3">
      <w:pPr>
        <w:pStyle w:val="Inhopg3"/>
        <w:tabs>
          <w:tab w:val="right" w:leader="dot" w:pos="9350"/>
        </w:tabs>
        <w:rPr>
          <w:rFonts w:asciiTheme="minorHAnsi" w:eastAsiaTheme="minorEastAsia" w:hAnsiTheme="minorHAnsi" w:cstheme="minorBidi"/>
          <w:noProof/>
          <w:sz w:val="22"/>
          <w:szCs w:val="22"/>
          <w:lang w:val="nl-NL" w:eastAsia="nl-NL"/>
        </w:rPr>
      </w:pPr>
      <w:hyperlink w:anchor="_Toc320365338" w:history="1">
        <w:r w:rsidRPr="005B69D6">
          <w:rPr>
            <w:rStyle w:val="Hyperlink"/>
            <w:noProof/>
          </w:rPr>
          <w:t>7.4.1 Collection of the data</w:t>
        </w:r>
        <w:r>
          <w:rPr>
            <w:noProof/>
            <w:webHidden/>
          </w:rPr>
          <w:tab/>
        </w:r>
        <w:r>
          <w:rPr>
            <w:noProof/>
            <w:webHidden/>
          </w:rPr>
          <w:fldChar w:fldCharType="begin"/>
        </w:r>
        <w:r>
          <w:rPr>
            <w:noProof/>
            <w:webHidden/>
          </w:rPr>
          <w:instrText xml:space="preserve"> PAGEREF _Toc320365338 \h </w:instrText>
        </w:r>
        <w:r>
          <w:rPr>
            <w:noProof/>
            <w:webHidden/>
          </w:rPr>
        </w:r>
        <w:r>
          <w:rPr>
            <w:noProof/>
            <w:webHidden/>
          </w:rPr>
          <w:fldChar w:fldCharType="separate"/>
        </w:r>
        <w:r w:rsidR="007D0DA8">
          <w:rPr>
            <w:noProof/>
            <w:webHidden/>
          </w:rPr>
          <w:t>40</w:t>
        </w:r>
        <w:r>
          <w:rPr>
            <w:noProof/>
            <w:webHidden/>
          </w:rPr>
          <w:fldChar w:fldCharType="end"/>
        </w:r>
      </w:hyperlink>
    </w:p>
    <w:p w:rsidR="00975CE3" w:rsidRDefault="00975CE3">
      <w:pPr>
        <w:pStyle w:val="Inhopg3"/>
        <w:tabs>
          <w:tab w:val="right" w:leader="dot" w:pos="9350"/>
        </w:tabs>
        <w:rPr>
          <w:rFonts w:asciiTheme="minorHAnsi" w:eastAsiaTheme="minorEastAsia" w:hAnsiTheme="minorHAnsi" w:cstheme="minorBidi"/>
          <w:noProof/>
          <w:sz w:val="22"/>
          <w:szCs w:val="22"/>
          <w:lang w:val="nl-NL" w:eastAsia="nl-NL"/>
        </w:rPr>
      </w:pPr>
      <w:hyperlink w:anchor="_Toc320365339" w:history="1">
        <w:r w:rsidRPr="005B69D6">
          <w:rPr>
            <w:rStyle w:val="Hyperlink"/>
            <w:noProof/>
          </w:rPr>
          <w:t>7.4.2 The model employed</w:t>
        </w:r>
        <w:r>
          <w:rPr>
            <w:noProof/>
            <w:webHidden/>
          </w:rPr>
          <w:tab/>
        </w:r>
        <w:r>
          <w:rPr>
            <w:noProof/>
            <w:webHidden/>
          </w:rPr>
          <w:fldChar w:fldCharType="begin"/>
        </w:r>
        <w:r>
          <w:rPr>
            <w:noProof/>
            <w:webHidden/>
          </w:rPr>
          <w:instrText xml:space="preserve"> PAGEREF _Toc320365339 \h </w:instrText>
        </w:r>
        <w:r>
          <w:rPr>
            <w:noProof/>
            <w:webHidden/>
          </w:rPr>
        </w:r>
        <w:r>
          <w:rPr>
            <w:noProof/>
            <w:webHidden/>
          </w:rPr>
          <w:fldChar w:fldCharType="separate"/>
        </w:r>
        <w:r w:rsidR="007D0DA8">
          <w:rPr>
            <w:noProof/>
            <w:webHidden/>
          </w:rPr>
          <w:t>40</w:t>
        </w:r>
        <w:r>
          <w:rPr>
            <w:noProof/>
            <w:webHidden/>
          </w:rPr>
          <w:fldChar w:fldCharType="end"/>
        </w:r>
      </w:hyperlink>
    </w:p>
    <w:p w:rsidR="00975CE3" w:rsidRDefault="00975CE3">
      <w:pPr>
        <w:pStyle w:val="Inhopg3"/>
        <w:tabs>
          <w:tab w:val="right" w:leader="dot" w:pos="9350"/>
        </w:tabs>
        <w:rPr>
          <w:rFonts w:asciiTheme="minorHAnsi" w:eastAsiaTheme="minorEastAsia" w:hAnsiTheme="minorHAnsi" w:cstheme="minorBidi"/>
          <w:noProof/>
          <w:sz w:val="22"/>
          <w:szCs w:val="22"/>
          <w:lang w:val="nl-NL" w:eastAsia="nl-NL"/>
        </w:rPr>
      </w:pPr>
      <w:hyperlink w:anchor="_Toc320365340" w:history="1">
        <w:r w:rsidRPr="005B69D6">
          <w:rPr>
            <w:rStyle w:val="Hyperlink"/>
            <w:noProof/>
          </w:rPr>
          <w:t>7.4.3 Steps to conduct the research</w:t>
        </w:r>
        <w:r>
          <w:rPr>
            <w:noProof/>
            <w:webHidden/>
          </w:rPr>
          <w:tab/>
        </w:r>
        <w:r>
          <w:rPr>
            <w:noProof/>
            <w:webHidden/>
          </w:rPr>
          <w:fldChar w:fldCharType="begin"/>
        </w:r>
        <w:r>
          <w:rPr>
            <w:noProof/>
            <w:webHidden/>
          </w:rPr>
          <w:instrText xml:space="preserve"> PAGEREF _Toc320365340 \h </w:instrText>
        </w:r>
        <w:r>
          <w:rPr>
            <w:noProof/>
            <w:webHidden/>
          </w:rPr>
        </w:r>
        <w:r>
          <w:rPr>
            <w:noProof/>
            <w:webHidden/>
          </w:rPr>
          <w:fldChar w:fldCharType="separate"/>
        </w:r>
        <w:r w:rsidR="007D0DA8">
          <w:rPr>
            <w:noProof/>
            <w:webHidden/>
          </w:rPr>
          <w:t>41</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41" w:history="1">
        <w:r w:rsidRPr="005B69D6">
          <w:rPr>
            <w:rStyle w:val="Hyperlink"/>
            <w:rFonts w:cs="Calibri"/>
            <w:noProof/>
          </w:rPr>
          <w:t>7.5 Conclusion</w:t>
        </w:r>
        <w:r>
          <w:rPr>
            <w:noProof/>
            <w:webHidden/>
          </w:rPr>
          <w:tab/>
        </w:r>
        <w:r>
          <w:rPr>
            <w:noProof/>
            <w:webHidden/>
          </w:rPr>
          <w:fldChar w:fldCharType="begin"/>
        </w:r>
        <w:r>
          <w:rPr>
            <w:noProof/>
            <w:webHidden/>
          </w:rPr>
          <w:instrText xml:space="preserve"> PAGEREF _Toc320365341 \h </w:instrText>
        </w:r>
        <w:r>
          <w:rPr>
            <w:noProof/>
            <w:webHidden/>
          </w:rPr>
        </w:r>
        <w:r>
          <w:rPr>
            <w:noProof/>
            <w:webHidden/>
          </w:rPr>
          <w:fldChar w:fldCharType="separate"/>
        </w:r>
        <w:r w:rsidR="007D0DA8">
          <w:rPr>
            <w:noProof/>
            <w:webHidden/>
          </w:rPr>
          <w:t>42</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342" w:history="1">
        <w:r w:rsidRPr="005B69D6">
          <w:rPr>
            <w:rStyle w:val="Hyperlink"/>
            <w:rFonts w:cs="Calibri"/>
            <w:noProof/>
          </w:rPr>
          <w:t>Chapter 8. Results</w:t>
        </w:r>
        <w:r>
          <w:rPr>
            <w:noProof/>
            <w:webHidden/>
          </w:rPr>
          <w:tab/>
        </w:r>
        <w:r>
          <w:rPr>
            <w:noProof/>
            <w:webHidden/>
          </w:rPr>
          <w:fldChar w:fldCharType="begin"/>
        </w:r>
        <w:r>
          <w:rPr>
            <w:noProof/>
            <w:webHidden/>
          </w:rPr>
          <w:instrText xml:space="preserve"> PAGEREF _Toc320365342 \h </w:instrText>
        </w:r>
        <w:r>
          <w:rPr>
            <w:noProof/>
            <w:webHidden/>
          </w:rPr>
        </w:r>
        <w:r>
          <w:rPr>
            <w:noProof/>
            <w:webHidden/>
          </w:rPr>
          <w:fldChar w:fldCharType="separate"/>
        </w:r>
        <w:r w:rsidR="007D0DA8">
          <w:rPr>
            <w:noProof/>
            <w:webHidden/>
          </w:rPr>
          <w:t>43</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43" w:history="1">
        <w:r w:rsidRPr="005B69D6">
          <w:rPr>
            <w:rStyle w:val="Hyperlink"/>
            <w:rFonts w:cs="Calibri"/>
            <w:noProof/>
          </w:rPr>
          <w:t>8.1 Introduction</w:t>
        </w:r>
        <w:r>
          <w:rPr>
            <w:noProof/>
            <w:webHidden/>
          </w:rPr>
          <w:tab/>
        </w:r>
        <w:r>
          <w:rPr>
            <w:noProof/>
            <w:webHidden/>
          </w:rPr>
          <w:fldChar w:fldCharType="begin"/>
        </w:r>
        <w:r>
          <w:rPr>
            <w:noProof/>
            <w:webHidden/>
          </w:rPr>
          <w:instrText xml:space="preserve"> PAGEREF _Toc320365343 \h </w:instrText>
        </w:r>
        <w:r>
          <w:rPr>
            <w:noProof/>
            <w:webHidden/>
          </w:rPr>
        </w:r>
        <w:r>
          <w:rPr>
            <w:noProof/>
            <w:webHidden/>
          </w:rPr>
          <w:fldChar w:fldCharType="separate"/>
        </w:r>
        <w:r w:rsidR="007D0DA8">
          <w:rPr>
            <w:noProof/>
            <w:webHidden/>
          </w:rPr>
          <w:t>43</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44" w:history="1">
        <w:r w:rsidRPr="005B69D6">
          <w:rPr>
            <w:rStyle w:val="Hyperlink"/>
            <w:rFonts w:cs="Calibri"/>
            <w:noProof/>
          </w:rPr>
          <w:t>8.2 Descriptives and normal distribution</w:t>
        </w:r>
        <w:r>
          <w:rPr>
            <w:noProof/>
            <w:webHidden/>
          </w:rPr>
          <w:tab/>
        </w:r>
        <w:r>
          <w:rPr>
            <w:noProof/>
            <w:webHidden/>
          </w:rPr>
          <w:fldChar w:fldCharType="begin"/>
        </w:r>
        <w:r>
          <w:rPr>
            <w:noProof/>
            <w:webHidden/>
          </w:rPr>
          <w:instrText xml:space="preserve"> PAGEREF _Toc320365344 \h </w:instrText>
        </w:r>
        <w:r>
          <w:rPr>
            <w:noProof/>
            <w:webHidden/>
          </w:rPr>
        </w:r>
        <w:r>
          <w:rPr>
            <w:noProof/>
            <w:webHidden/>
          </w:rPr>
          <w:fldChar w:fldCharType="separate"/>
        </w:r>
        <w:r w:rsidR="007D0DA8">
          <w:rPr>
            <w:noProof/>
            <w:webHidden/>
          </w:rPr>
          <w:t>44</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45" w:history="1">
        <w:r w:rsidRPr="005B69D6">
          <w:rPr>
            <w:rStyle w:val="Hyperlink"/>
            <w:rFonts w:cs="Calibri"/>
            <w:noProof/>
          </w:rPr>
          <w:t>8.3 Tests and Regressions</w:t>
        </w:r>
        <w:r>
          <w:rPr>
            <w:noProof/>
            <w:webHidden/>
          </w:rPr>
          <w:tab/>
        </w:r>
        <w:r>
          <w:rPr>
            <w:noProof/>
            <w:webHidden/>
          </w:rPr>
          <w:fldChar w:fldCharType="begin"/>
        </w:r>
        <w:r>
          <w:rPr>
            <w:noProof/>
            <w:webHidden/>
          </w:rPr>
          <w:instrText xml:space="preserve"> PAGEREF _Toc320365345 \h </w:instrText>
        </w:r>
        <w:r>
          <w:rPr>
            <w:noProof/>
            <w:webHidden/>
          </w:rPr>
        </w:r>
        <w:r>
          <w:rPr>
            <w:noProof/>
            <w:webHidden/>
          </w:rPr>
          <w:fldChar w:fldCharType="separate"/>
        </w:r>
        <w:r w:rsidR="007D0DA8">
          <w:rPr>
            <w:noProof/>
            <w:webHidden/>
          </w:rPr>
          <w:t>46</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46" w:history="1">
        <w:r w:rsidRPr="005B69D6">
          <w:rPr>
            <w:rStyle w:val="Hyperlink"/>
            <w:rFonts w:cs="Calibri"/>
            <w:noProof/>
          </w:rPr>
          <w:t>8.4 Country</w:t>
        </w:r>
        <w:r>
          <w:rPr>
            <w:noProof/>
            <w:webHidden/>
          </w:rPr>
          <w:tab/>
        </w:r>
        <w:r>
          <w:rPr>
            <w:noProof/>
            <w:webHidden/>
          </w:rPr>
          <w:fldChar w:fldCharType="begin"/>
        </w:r>
        <w:r>
          <w:rPr>
            <w:noProof/>
            <w:webHidden/>
          </w:rPr>
          <w:instrText xml:space="preserve"> PAGEREF _Toc320365346 \h </w:instrText>
        </w:r>
        <w:r>
          <w:rPr>
            <w:noProof/>
            <w:webHidden/>
          </w:rPr>
        </w:r>
        <w:r>
          <w:rPr>
            <w:noProof/>
            <w:webHidden/>
          </w:rPr>
          <w:fldChar w:fldCharType="separate"/>
        </w:r>
        <w:r w:rsidR="007D0DA8">
          <w:rPr>
            <w:noProof/>
            <w:webHidden/>
          </w:rPr>
          <w:t>49</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47" w:history="1">
        <w:r w:rsidRPr="005B69D6">
          <w:rPr>
            <w:rStyle w:val="Hyperlink"/>
            <w:rFonts w:cs="Calibri"/>
            <w:noProof/>
          </w:rPr>
          <w:t>8.5 Information type</w:t>
        </w:r>
        <w:r>
          <w:rPr>
            <w:noProof/>
            <w:webHidden/>
          </w:rPr>
          <w:tab/>
        </w:r>
        <w:r>
          <w:rPr>
            <w:noProof/>
            <w:webHidden/>
          </w:rPr>
          <w:fldChar w:fldCharType="begin"/>
        </w:r>
        <w:r>
          <w:rPr>
            <w:noProof/>
            <w:webHidden/>
          </w:rPr>
          <w:instrText xml:space="preserve"> PAGEREF _Toc320365347 \h </w:instrText>
        </w:r>
        <w:r>
          <w:rPr>
            <w:noProof/>
            <w:webHidden/>
          </w:rPr>
        </w:r>
        <w:r>
          <w:rPr>
            <w:noProof/>
            <w:webHidden/>
          </w:rPr>
          <w:fldChar w:fldCharType="separate"/>
        </w:r>
        <w:r w:rsidR="007D0DA8">
          <w:rPr>
            <w:noProof/>
            <w:webHidden/>
          </w:rPr>
          <w:t>50</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48" w:history="1">
        <w:r w:rsidRPr="005B69D6">
          <w:rPr>
            <w:rStyle w:val="Hyperlink"/>
            <w:noProof/>
          </w:rPr>
          <w:t>8.6 Cross Listed firms</w:t>
        </w:r>
        <w:r>
          <w:rPr>
            <w:noProof/>
            <w:webHidden/>
          </w:rPr>
          <w:tab/>
        </w:r>
        <w:r>
          <w:rPr>
            <w:noProof/>
            <w:webHidden/>
          </w:rPr>
          <w:fldChar w:fldCharType="begin"/>
        </w:r>
        <w:r>
          <w:rPr>
            <w:noProof/>
            <w:webHidden/>
          </w:rPr>
          <w:instrText xml:space="preserve"> PAGEREF _Toc320365348 \h </w:instrText>
        </w:r>
        <w:r>
          <w:rPr>
            <w:noProof/>
            <w:webHidden/>
          </w:rPr>
        </w:r>
        <w:r>
          <w:rPr>
            <w:noProof/>
            <w:webHidden/>
          </w:rPr>
          <w:fldChar w:fldCharType="separate"/>
        </w:r>
        <w:r w:rsidR="007D0DA8">
          <w:rPr>
            <w:noProof/>
            <w:webHidden/>
          </w:rPr>
          <w:t>51</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49" w:history="1">
        <w:r w:rsidRPr="005B69D6">
          <w:rPr>
            <w:rStyle w:val="Hyperlink"/>
            <w:noProof/>
          </w:rPr>
          <w:t>8.7 Conclusion</w:t>
        </w:r>
        <w:r>
          <w:rPr>
            <w:noProof/>
            <w:webHidden/>
          </w:rPr>
          <w:tab/>
        </w:r>
        <w:r>
          <w:rPr>
            <w:noProof/>
            <w:webHidden/>
          </w:rPr>
          <w:fldChar w:fldCharType="begin"/>
        </w:r>
        <w:r>
          <w:rPr>
            <w:noProof/>
            <w:webHidden/>
          </w:rPr>
          <w:instrText xml:space="preserve"> PAGEREF _Toc320365349 \h </w:instrText>
        </w:r>
        <w:r>
          <w:rPr>
            <w:noProof/>
            <w:webHidden/>
          </w:rPr>
        </w:r>
        <w:r>
          <w:rPr>
            <w:noProof/>
            <w:webHidden/>
          </w:rPr>
          <w:fldChar w:fldCharType="separate"/>
        </w:r>
        <w:r w:rsidR="007D0DA8">
          <w:rPr>
            <w:noProof/>
            <w:webHidden/>
          </w:rPr>
          <w:t>51</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350" w:history="1">
        <w:r w:rsidRPr="005B69D6">
          <w:rPr>
            <w:rStyle w:val="Hyperlink"/>
            <w:rFonts w:cs="Calibri"/>
            <w:noProof/>
          </w:rPr>
          <w:t>Chapter 9. Analysis and discussion</w:t>
        </w:r>
        <w:r>
          <w:rPr>
            <w:noProof/>
            <w:webHidden/>
          </w:rPr>
          <w:tab/>
        </w:r>
        <w:r>
          <w:rPr>
            <w:noProof/>
            <w:webHidden/>
          </w:rPr>
          <w:fldChar w:fldCharType="begin"/>
        </w:r>
        <w:r>
          <w:rPr>
            <w:noProof/>
            <w:webHidden/>
          </w:rPr>
          <w:instrText xml:space="preserve"> PAGEREF _Toc320365350 \h </w:instrText>
        </w:r>
        <w:r>
          <w:rPr>
            <w:noProof/>
            <w:webHidden/>
          </w:rPr>
        </w:r>
        <w:r>
          <w:rPr>
            <w:noProof/>
            <w:webHidden/>
          </w:rPr>
          <w:fldChar w:fldCharType="separate"/>
        </w:r>
        <w:r w:rsidR="007D0DA8">
          <w:rPr>
            <w:noProof/>
            <w:webHidden/>
          </w:rPr>
          <w:t>52</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51" w:history="1">
        <w:r w:rsidRPr="005B69D6">
          <w:rPr>
            <w:rStyle w:val="Hyperlink"/>
            <w:rFonts w:cs="Calibri"/>
            <w:noProof/>
          </w:rPr>
          <w:t>9.1 Introduction</w:t>
        </w:r>
        <w:r>
          <w:rPr>
            <w:noProof/>
            <w:webHidden/>
          </w:rPr>
          <w:tab/>
        </w:r>
        <w:r>
          <w:rPr>
            <w:noProof/>
            <w:webHidden/>
          </w:rPr>
          <w:fldChar w:fldCharType="begin"/>
        </w:r>
        <w:r>
          <w:rPr>
            <w:noProof/>
            <w:webHidden/>
          </w:rPr>
          <w:instrText xml:space="preserve"> PAGEREF _Toc320365351 \h </w:instrText>
        </w:r>
        <w:r>
          <w:rPr>
            <w:noProof/>
            <w:webHidden/>
          </w:rPr>
        </w:r>
        <w:r>
          <w:rPr>
            <w:noProof/>
            <w:webHidden/>
          </w:rPr>
          <w:fldChar w:fldCharType="separate"/>
        </w:r>
        <w:r w:rsidR="007D0DA8">
          <w:rPr>
            <w:noProof/>
            <w:webHidden/>
          </w:rPr>
          <w:t>52</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52" w:history="1">
        <w:r w:rsidRPr="005B69D6">
          <w:rPr>
            <w:rStyle w:val="Hyperlink"/>
            <w:rFonts w:cs="Calibri"/>
            <w:noProof/>
            <w:lang w:eastAsia="nl-NL"/>
          </w:rPr>
          <w:t>9.2 Regression analysis</w:t>
        </w:r>
        <w:r>
          <w:rPr>
            <w:noProof/>
            <w:webHidden/>
          </w:rPr>
          <w:tab/>
        </w:r>
        <w:r>
          <w:rPr>
            <w:noProof/>
            <w:webHidden/>
          </w:rPr>
          <w:fldChar w:fldCharType="begin"/>
        </w:r>
        <w:r>
          <w:rPr>
            <w:noProof/>
            <w:webHidden/>
          </w:rPr>
          <w:instrText xml:space="preserve"> PAGEREF _Toc320365352 \h </w:instrText>
        </w:r>
        <w:r>
          <w:rPr>
            <w:noProof/>
            <w:webHidden/>
          </w:rPr>
        </w:r>
        <w:r>
          <w:rPr>
            <w:noProof/>
            <w:webHidden/>
          </w:rPr>
          <w:fldChar w:fldCharType="separate"/>
        </w:r>
        <w:r w:rsidR="007D0DA8">
          <w:rPr>
            <w:noProof/>
            <w:webHidden/>
          </w:rPr>
          <w:t>52</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53" w:history="1">
        <w:r w:rsidRPr="005B69D6">
          <w:rPr>
            <w:rStyle w:val="Hyperlink"/>
            <w:rFonts w:cs="Calibri"/>
            <w:noProof/>
            <w:lang w:eastAsia="nl-NL"/>
          </w:rPr>
          <w:t>9.3 Country analysis</w:t>
        </w:r>
        <w:r>
          <w:rPr>
            <w:noProof/>
            <w:webHidden/>
          </w:rPr>
          <w:tab/>
        </w:r>
        <w:r>
          <w:rPr>
            <w:noProof/>
            <w:webHidden/>
          </w:rPr>
          <w:fldChar w:fldCharType="begin"/>
        </w:r>
        <w:r>
          <w:rPr>
            <w:noProof/>
            <w:webHidden/>
          </w:rPr>
          <w:instrText xml:space="preserve"> PAGEREF _Toc320365353 \h </w:instrText>
        </w:r>
        <w:r>
          <w:rPr>
            <w:noProof/>
            <w:webHidden/>
          </w:rPr>
        </w:r>
        <w:r>
          <w:rPr>
            <w:noProof/>
            <w:webHidden/>
          </w:rPr>
          <w:fldChar w:fldCharType="separate"/>
        </w:r>
        <w:r w:rsidR="007D0DA8">
          <w:rPr>
            <w:noProof/>
            <w:webHidden/>
          </w:rPr>
          <w:t>56</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54" w:history="1">
        <w:r w:rsidRPr="005B69D6">
          <w:rPr>
            <w:rStyle w:val="Hyperlink"/>
            <w:rFonts w:cs="Calibri"/>
            <w:noProof/>
            <w:lang w:eastAsia="nl-NL"/>
          </w:rPr>
          <w:t>9.4 Information type analysis</w:t>
        </w:r>
        <w:r>
          <w:rPr>
            <w:noProof/>
            <w:webHidden/>
          </w:rPr>
          <w:tab/>
        </w:r>
        <w:r>
          <w:rPr>
            <w:noProof/>
            <w:webHidden/>
          </w:rPr>
          <w:fldChar w:fldCharType="begin"/>
        </w:r>
        <w:r>
          <w:rPr>
            <w:noProof/>
            <w:webHidden/>
          </w:rPr>
          <w:instrText xml:space="preserve"> PAGEREF _Toc320365354 \h </w:instrText>
        </w:r>
        <w:r>
          <w:rPr>
            <w:noProof/>
            <w:webHidden/>
          </w:rPr>
        </w:r>
        <w:r>
          <w:rPr>
            <w:noProof/>
            <w:webHidden/>
          </w:rPr>
          <w:fldChar w:fldCharType="separate"/>
        </w:r>
        <w:r w:rsidR="007D0DA8">
          <w:rPr>
            <w:noProof/>
            <w:webHidden/>
          </w:rPr>
          <w:t>57</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55" w:history="1">
        <w:r w:rsidRPr="005B69D6">
          <w:rPr>
            <w:rStyle w:val="Hyperlink"/>
            <w:rFonts w:cs="Calibri"/>
            <w:noProof/>
            <w:lang w:eastAsia="nl-NL"/>
          </w:rPr>
          <w:t>9.5 Conclusion</w:t>
        </w:r>
        <w:r>
          <w:rPr>
            <w:noProof/>
            <w:webHidden/>
          </w:rPr>
          <w:tab/>
        </w:r>
        <w:r>
          <w:rPr>
            <w:noProof/>
            <w:webHidden/>
          </w:rPr>
          <w:fldChar w:fldCharType="begin"/>
        </w:r>
        <w:r>
          <w:rPr>
            <w:noProof/>
            <w:webHidden/>
          </w:rPr>
          <w:instrText xml:space="preserve"> PAGEREF _Toc320365355 \h </w:instrText>
        </w:r>
        <w:r>
          <w:rPr>
            <w:noProof/>
            <w:webHidden/>
          </w:rPr>
        </w:r>
        <w:r>
          <w:rPr>
            <w:noProof/>
            <w:webHidden/>
          </w:rPr>
          <w:fldChar w:fldCharType="separate"/>
        </w:r>
        <w:r w:rsidR="007D0DA8">
          <w:rPr>
            <w:noProof/>
            <w:webHidden/>
          </w:rPr>
          <w:t>58</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356" w:history="1">
        <w:r w:rsidRPr="005B69D6">
          <w:rPr>
            <w:rStyle w:val="Hyperlink"/>
            <w:noProof/>
            <w:lang w:eastAsia="nl-NL"/>
          </w:rPr>
          <w:t>Chapter 10. Summary and Conclusion</w:t>
        </w:r>
        <w:r>
          <w:rPr>
            <w:noProof/>
            <w:webHidden/>
          </w:rPr>
          <w:tab/>
        </w:r>
        <w:r>
          <w:rPr>
            <w:noProof/>
            <w:webHidden/>
          </w:rPr>
          <w:fldChar w:fldCharType="begin"/>
        </w:r>
        <w:r>
          <w:rPr>
            <w:noProof/>
            <w:webHidden/>
          </w:rPr>
          <w:instrText xml:space="preserve"> PAGEREF _Toc320365356 \h </w:instrText>
        </w:r>
        <w:r>
          <w:rPr>
            <w:noProof/>
            <w:webHidden/>
          </w:rPr>
        </w:r>
        <w:r>
          <w:rPr>
            <w:noProof/>
            <w:webHidden/>
          </w:rPr>
          <w:fldChar w:fldCharType="separate"/>
        </w:r>
        <w:r w:rsidR="007D0DA8">
          <w:rPr>
            <w:noProof/>
            <w:webHidden/>
          </w:rPr>
          <w:t>59</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57" w:history="1">
        <w:r w:rsidRPr="005B69D6">
          <w:rPr>
            <w:rStyle w:val="Hyperlink"/>
            <w:noProof/>
            <w:lang w:eastAsia="nl-NL"/>
          </w:rPr>
          <w:t>10.1 Summary</w:t>
        </w:r>
        <w:r>
          <w:rPr>
            <w:noProof/>
            <w:webHidden/>
          </w:rPr>
          <w:tab/>
        </w:r>
        <w:r>
          <w:rPr>
            <w:noProof/>
            <w:webHidden/>
          </w:rPr>
          <w:fldChar w:fldCharType="begin"/>
        </w:r>
        <w:r>
          <w:rPr>
            <w:noProof/>
            <w:webHidden/>
          </w:rPr>
          <w:instrText xml:space="preserve"> PAGEREF _Toc320365357 \h </w:instrText>
        </w:r>
        <w:r>
          <w:rPr>
            <w:noProof/>
            <w:webHidden/>
          </w:rPr>
        </w:r>
        <w:r>
          <w:rPr>
            <w:noProof/>
            <w:webHidden/>
          </w:rPr>
          <w:fldChar w:fldCharType="separate"/>
        </w:r>
        <w:r w:rsidR="007D0DA8">
          <w:rPr>
            <w:noProof/>
            <w:webHidden/>
          </w:rPr>
          <w:t>59</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58" w:history="1">
        <w:r w:rsidRPr="005B69D6">
          <w:rPr>
            <w:rStyle w:val="Hyperlink"/>
            <w:noProof/>
          </w:rPr>
          <w:t>10.2 Limitations</w:t>
        </w:r>
        <w:r>
          <w:rPr>
            <w:noProof/>
            <w:webHidden/>
          </w:rPr>
          <w:tab/>
        </w:r>
        <w:r>
          <w:rPr>
            <w:noProof/>
            <w:webHidden/>
          </w:rPr>
          <w:fldChar w:fldCharType="begin"/>
        </w:r>
        <w:r>
          <w:rPr>
            <w:noProof/>
            <w:webHidden/>
          </w:rPr>
          <w:instrText xml:space="preserve"> PAGEREF _Toc320365358 \h </w:instrText>
        </w:r>
        <w:r>
          <w:rPr>
            <w:noProof/>
            <w:webHidden/>
          </w:rPr>
        </w:r>
        <w:r>
          <w:rPr>
            <w:noProof/>
            <w:webHidden/>
          </w:rPr>
          <w:fldChar w:fldCharType="separate"/>
        </w:r>
        <w:r w:rsidR="007D0DA8">
          <w:rPr>
            <w:noProof/>
            <w:webHidden/>
          </w:rPr>
          <w:t>61</w:t>
        </w:r>
        <w:r>
          <w:rPr>
            <w:noProof/>
            <w:webHidden/>
          </w:rPr>
          <w:fldChar w:fldCharType="end"/>
        </w:r>
      </w:hyperlink>
    </w:p>
    <w:p w:rsidR="00975CE3" w:rsidRDefault="00975CE3">
      <w:pPr>
        <w:pStyle w:val="Inhopg2"/>
        <w:tabs>
          <w:tab w:val="right" w:leader="dot" w:pos="9350"/>
        </w:tabs>
        <w:rPr>
          <w:rFonts w:asciiTheme="minorHAnsi" w:eastAsiaTheme="minorEastAsia" w:hAnsiTheme="minorHAnsi" w:cstheme="minorBidi"/>
          <w:noProof/>
          <w:sz w:val="22"/>
          <w:szCs w:val="22"/>
          <w:lang w:val="nl-NL" w:eastAsia="nl-NL"/>
        </w:rPr>
      </w:pPr>
      <w:hyperlink w:anchor="_Toc320365359" w:history="1">
        <w:r w:rsidRPr="005B69D6">
          <w:rPr>
            <w:rStyle w:val="Hyperlink"/>
            <w:noProof/>
          </w:rPr>
          <w:t>10.3 Recommendations for future research</w:t>
        </w:r>
        <w:r>
          <w:rPr>
            <w:noProof/>
            <w:webHidden/>
          </w:rPr>
          <w:tab/>
        </w:r>
        <w:r>
          <w:rPr>
            <w:noProof/>
            <w:webHidden/>
          </w:rPr>
          <w:fldChar w:fldCharType="begin"/>
        </w:r>
        <w:r>
          <w:rPr>
            <w:noProof/>
            <w:webHidden/>
          </w:rPr>
          <w:instrText xml:space="preserve"> PAGEREF _Toc320365359 \h </w:instrText>
        </w:r>
        <w:r>
          <w:rPr>
            <w:noProof/>
            <w:webHidden/>
          </w:rPr>
        </w:r>
        <w:r>
          <w:rPr>
            <w:noProof/>
            <w:webHidden/>
          </w:rPr>
          <w:fldChar w:fldCharType="separate"/>
        </w:r>
        <w:r w:rsidR="007D0DA8">
          <w:rPr>
            <w:noProof/>
            <w:webHidden/>
          </w:rPr>
          <w:t>61</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360" w:history="1">
        <w:r w:rsidRPr="005B69D6">
          <w:rPr>
            <w:rStyle w:val="Hyperlink"/>
            <w:rFonts w:cs="Calibri"/>
            <w:noProof/>
          </w:rPr>
          <w:t>Reference list</w:t>
        </w:r>
        <w:r>
          <w:rPr>
            <w:noProof/>
            <w:webHidden/>
          </w:rPr>
          <w:tab/>
        </w:r>
        <w:r>
          <w:rPr>
            <w:noProof/>
            <w:webHidden/>
          </w:rPr>
          <w:fldChar w:fldCharType="begin"/>
        </w:r>
        <w:r>
          <w:rPr>
            <w:noProof/>
            <w:webHidden/>
          </w:rPr>
          <w:instrText xml:space="preserve"> PAGEREF _Toc320365360 \h </w:instrText>
        </w:r>
        <w:r>
          <w:rPr>
            <w:noProof/>
            <w:webHidden/>
          </w:rPr>
        </w:r>
        <w:r>
          <w:rPr>
            <w:noProof/>
            <w:webHidden/>
          </w:rPr>
          <w:fldChar w:fldCharType="separate"/>
        </w:r>
        <w:r w:rsidR="007D0DA8">
          <w:rPr>
            <w:noProof/>
            <w:webHidden/>
          </w:rPr>
          <w:t>62</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361" w:history="1">
        <w:r w:rsidRPr="005B69D6">
          <w:rPr>
            <w:rStyle w:val="Hyperlink"/>
            <w:rFonts w:cs="Calibri"/>
            <w:noProof/>
          </w:rPr>
          <w:t>Appendix I: Dislosure score sheet</w:t>
        </w:r>
        <w:r>
          <w:rPr>
            <w:noProof/>
            <w:webHidden/>
          </w:rPr>
          <w:tab/>
        </w:r>
        <w:r>
          <w:rPr>
            <w:noProof/>
            <w:webHidden/>
          </w:rPr>
          <w:fldChar w:fldCharType="begin"/>
        </w:r>
        <w:r>
          <w:rPr>
            <w:noProof/>
            <w:webHidden/>
          </w:rPr>
          <w:instrText xml:space="preserve"> PAGEREF _Toc320365361 \h </w:instrText>
        </w:r>
        <w:r>
          <w:rPr>
            <w:noProof/>
            <w:webHidden/>
          </w:rPr>
        </w:r>
        <w:r>
          <w:rPr>
            <w:noProof/>
            <w:webHidden/>
          </w:rPr>
          <w:fldChar w:fldCharType="separate"/>
        </w:r>
        <w:r w:rsidR="007D0DA8">
          <w:rPr>
            <w:noProof/>
            <w:webHidden/>
          </w:rPr>
          <w:t>65</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362" w:history="1">
        <w:r w:rsidRPr="005B69D6">
          <w:rPr>
            <w:rStyle w:val="Hyperlink"/>
            <w:rFonts w:cs="Calibri"/>
            <w:noProof/>
            <w:lang w:eastAsia="nl-NL"/>
          </w:rPr>
          <w:t>Appendix II: Protocol</w:t>
        </w:r>
        <w:r>
          <w:rPr>
            <w:noProof/>
            <w:webHidden/>
          </w:rPr>
          <w:tab/>
        </w:r>
        <w:r>
          <w:rPr>
            <w:noProof/>
            <w:webHidden/>
          </w:rPr>
          <w:fldChar w:fldCharType="begin"/>
        </w:r>
        <w:r>
          <w:rPr>
            <w:noProof/>
            <w:webHidden/>
          </w:rPr>
          <w:instrText xml:space="preserve"> PAGEREF _Toc320365362 \h </w:instrText>
        </w:r>
        <w:r>
          <w:rPr>
            <w:noProof/>
            <w:webHidden/>
          </w:rPr>
        </w:r>
        <w:r>
          <w:rPr>
            <w:noProof/>
            <w:webHidden/>
          </w:rPr>
          <w:fldChar w:fldCharType="separate"/>
        </w:r>
        <w:r w:rsidR="007D0DA8">
          <w:rPr>
            <w:noProof/>
            <w:webHidden/>
          </w:rPr>
          <w:t>66</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363" w:history="1">
        <w:r w:rsidRPr="005B69D6">
          <w:rPr>
            <w:rStyle w:val="Hyperlink"/>
            <w:rFonts w:cs="Calibri"/>
            <w:noProof/>
            <w:lang w:eastAsia="nl-NL"/>
          </w:rPr>
          <w:t>Appendix III: Literature review</w:t>
        </w:r>
        <w:r>
          <w:rPr>
            <w:noProof/>
            <w:webHidden/>
          </w:rPr>
          <w:tab/>
        </w:r>
        <w:r>
          <w:rPr>
            <w:noProof/>
            <w:webHidden/>
          </w:rPr>
          <w:fldChar w:fldCharType="begin"/>
        </w:r>
        <w:r>
          <w:rPr>
            <w:noProof/>
            <w:webHidden/>
          </w:rPr>
          <w:instrText xml:space="preserve"> PAGEREF _Toc320365363 \h </w:instrText>
        </w:r>
        <w:r>
          <w:rPr>
            <w:noProof/>
            <w:webHidden/>
          </w:rPr>
        </w:r>
        <w:r>
          <w:rPr>
            <w:noProof/>
            <w:webHidden/>
          </w:rPr>
          <w:fldChar w:fldCharType="separate"/>
        </w:r>
        <w:r w:rsidR="007D0DA8">
          <w:rPr>
            <w:noProof/>
            <w:webHidden/>
          </w:rPr>
          <w:t>74</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364" w:history="1">
        <w:r w:rsidRPr="005B69D6">
          <w:rPr>
            <w:rStyle w:val="Hyperlink"/>
            <w:rFonts w:cs="Calibri"/>
            <w:noProof/>
          </w:rPr>
          <w:t>Appendix IV: Boxplots and Q-Q plots</w:t>
        </w:r>
        <w:r>
          <w:rPr>
            <w:noProof/>
            <w:webHidden/>
          </w:rPr>
          <w:tab/>
        </w:r>
        <w:r>
          <w:rPr>
            <w:noProof/>
            <w:webHidden/>
          </w:rPr>
          <w:fldChar w:fldCharType="begin"/>
        </w:r>
        <w:r>
          <w:rPr>
            <w:noProof/>
            <w:webHidden/>
          </w:rPr>
          <w:instrText xml:space="preserve"> PAGEREF _Toc320365364 \h </w:instrText>
        </w:r>
        <w:r>
          <w:rPr>
            <w:noProof/>
            <w:webHidden/>
          </w:rPr>
        </w:r>
        <w:r>
          <w:rPr>
            <w:noProof/>
            <w:webHidden/>
          </w:rPr>
          <w:fldChar w:fldCharType="separate"/>
        </w:r>
        <w:r w:rsidR="007D0DA8">
          <w:rPr>
            <w:noProof/>
            <w:webHidden/>
          </w:rPr>
          <w:t>76</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365" w:history="1">
        <w:r w:rsidRPr="005B69D6">
          <w:rPr>
            <w:rStyle w:val="Hyperlink"/>
            <w:rFonts w:cs="Calibri"/>
            <w:noProof/>
          </w:rPr>
          <w:t>Appendix V: Information type analysis</w:t>
        </w:r>
        <w:r>
          <w:rPr>
            <w:noProof/>
            <w:webHidden/>
          </w:rPr>
          <w:tab/>
        </w:r>
        <w:r>
          <w:rPr>
            <w:noProof/>
            <w:webHidden/>
          </w:rPr>
          <w:fldChar w:fldCharType="begin"/>
        </w:r>
        <w:r>
          <w:rPr>
            <w:noProof/>
            <w:webHidden/>
          </w:rPr>
          <w:instrText xml:space="preserve"> PAGEREF _Toc320365365 \h </w:instrText>
        </w:r>
        <w:r>
          <w:rPr>
            <w:noProof/>
            <w:webHidden/>
          </w:rPr>
        </w:r>
        <w:r>
          <w:rPr>
            <w:noProof/>
            <w:webHidden/>
          </w:rPr>
          <w:fldChar w:fldCharType="separate"/>
        </w:r>
        <w:r w:rsidR="007D0DA8">
          <w:rPr>
            <w:noProof/>
            <w:webHidden/>
          </w:rPr>
          <w:t>79</w:t>
        </w:r>
        <w:r>
          <w:rPr>
            <w:noProof/>
            <w:webHidden/>
          </w:rPr>
          <w:fldChar w:fldCharType="end"/>
        </w:r>
      </w:hyperlink>
    </w:p>
    <w:p w:rsidR="00975CE3" w:rsidRDefault="00975CE3">
      <w:pPr>
        <w:pStyle w:val="Inhopg1"/>
        <w:rPr>
          <w:rFonts w:asciiTheme="minorHAnsi" w:eastAsiaTheme="minorEastAsia" w:hAnsiTheme="minorHAnsi" w:cstheme="minorBidi"/>
          <w:noProof/>
          <w:sz w:val="22"/>
          <w:szCs w:val="22"/>
          <w:lang w:val="nl-NL" w:eastAsia="nl-NL"/>
        </w:rPr>
      </w:pPr>
      <w:hyperlink w:anchor="_Toc320365366" w:history="1">
        <w:r w:rsidRPr="005B69D6">
          <w:rPr>
            <w:rStyle w:val="Hyperlink"/>
            <w:rFonts w:cs="Calibri"/>
            <w:noProof/>
          </w:rPr>
          <w:t>Appendix VI: Disclosure score sheets from prior studies</w:t>
        </w:r>
        <w:r>
          <w:rPr>
            <w:noProof/>
            <w:webHidden/>
          </w:rPr>
          <w:tab/>
        </w:r>
        <w:r>
          <w:rPr>
            <w:noProof/>
            <w:webHidden/>
          </w:rPr>
          <w:fldChar w:fldCharType="begin"/>
        </w:r>
        <w:r>
          <w:rPr>
            <w:noProof/>
            <w:webHidden/>
          </w:rPr>
          <w:instrText xml:space="preserve"> PAGEREF _Toc320365366 \h </w:instrText>
        </w:r>
        <w:r>
          <w:rPr>
            <w:noProof/>
            <w:webHidden/>
          </w:rPr>
        </w:r>
        <w:r>
          <w:rPr>
            <w:noProof/>
            <w:webHidden/>
          </w:rPr>
          <w:fldChar w:fldCharType="separate"/>
        </w:r>
        <w:r w:rsidR="007D0DA8">
          <w:rPr>
            <w:noProof/>
            <w:webHidden/>
          </w:rPr>
          <w:t>80</w:t>
        </w:r>
        <w:r>
          <w:rPr>
            <w:noProof/>
            <w:webHidden/>
          </w:rPr>
          <w:fldChar w:fldCharType="end"/>
        </w:r>
      </w:hyperlink>
    </w:p>
    <w:p w:rsidR="00A95413" w:rsidRPr="00046999" w:rsidRDefault="00E0784B" w:rsidP="001D4BB3">
      <w:pPr>
        <w:jc w:val="both"/>
        <w:rPr>
          <w:rFonts w:cs="Calibri"/>
          <w:sz w:val="22"/>
          <w:szCs w:val="22"/>
        </w:rPr>
      </w:pPr>
      <w:r w:rsidRPr="00046999">
        <w:rPr>
          <w:rFonts w:cs="Calibri"/>
        </w:rPr>
        <w:fldChar w:fldCharType="end"/>
      </w:r>
    </w:p>
    <w:p w:rsidR="00A95413" w:rsidRPr="00046999" w:rsidRDefault="00A95413" w:rsidP="001D4BB3">
      <w:pPr>
        <w:jc w:val="both"/>
        <w:rPr>
          <w:rFonts w:cs="Calibri"/>
          <w:b/>
          <w:bCs/>
          <w:caps/>
          <w:color w:val="FFFFFF"/>
          <w:spacing w:val="15"/>
          <w:sz w:val="22"/>
          <w:szCs w:val="22"/>
        </w:rPr>
      </w:pPr>
      <w:r w:rsidRPr="00046999">
        <w:rPr>
          <w:rFonts w:cs="Calibri"/>
          <w:sz w:val="22"/>
          <w:szCs w:val="22"/>
        </w:rPr>
        <w:br w:type="page"/>
      </w:r>
    </w:p>
    <w:p w:rsidR="00A95413" w:rsidRPr="00046999" w:rsidRDefault="00A95413" w:rsidP="001D4BB3">
      <w:pPr>
        <w:pStyle w:val="Kop1"/>
        <w:jc w:val="both"/>
        <w:rPr>
          <w:rFonts w:cs="Calibri"/>
        </w:rPr>
      </w:pPr>
      <w:bookmarkStart w:id="48" w:name="_Toc320365290"/>
      <w:r w:rsidRPr="00046999">
        <w:rPr>
          <w:rFonts w:cs="Calibri"/>
        </w:rPr>
        <w:lastRenderedPageBreak/>
        <w:t>Introduction</w:t>
      </w:r>
      <w:bookmarkEnd w:id="48"/>
    </w:p>
    <w:p w:rsidR="00A95413" w:rsidRDefault="00A95413" w:rsidP="001D4BB3">
      <w:pPr>
        <w:jc w:val="both"/>
        <w:rPr>
          <w:rFonts w:cs="Calibri"/>
          <w:color w:val="000000"/>
          <w:sz w:val="22"/>
          <w:szCs w:val="22"/>
          <w:lang w:eastAsia="nl-NL"/>
        </w:rPr>
      </w:pPr>
      <w:r>
        <w:rPr>
          <w:rFonts w:cs="Calibri"/>
          <w:color w:val="000000"/>
          <w:sz w:val="22"/>
          <w:szCs w:val="22"/>
          <w:lang w:eastAsia="nl-NL"/>
        </w:rPr>
        <w:t>Investors watching their life saving</w:t>
      </w:r>
      <w:r w:rsidR="00A75CDD">
        <w:rPr>
          <w:rFonts w:cs="Calibri"/>
          <w:color w:val="000000"/>
          <w:sz w:val="22"/>
          <w:szCs w:val="22"/>
          <w:lang w:eastAsia="nl-NL"/>
        </w:rPr>
        <w:t>s</w:t>
      </w:r>
      <w:r>
        <w:rPr>
          <w:rFonts w:cs="Calibri"/>
          <w:color w:val="000000"/>
          <w:sz w:val="22"/>
          <w:szCs w:val="22"/>
          <w:lang w:eastAsia="nl-NL"/>
        </w:rPr>
        <w:t xml:space="preserve"> evaporate and stock prices reaching new lows day after day, it all became reality after the global financial crisis in 2008. The reduced trust and high debt of many European countries makes investors think twice before investing. Investors are now </w:t>
      </w:r>
      <w:r w:rsidR="00E62A84">
        <w:rPr>
          <w:rFonts w:cs="Calibri"/>
          <w:color w:val="000000"/>
          <w:sz w:val="22"/>
          <w:szCs w:val="22"/>
          <w:lang w:eastAsia="nl-NL"/>
        </w:rPr>
        <w:t>increasingly</w:t>
      </w:r>
      <w:r>
        <w:rPr>
          <w:rFonts w:cs="Calibri"/>
          <w:color w:val="000000"/>
          <w:sz w:val="22"/>
          <w:szCs w:val="22"/>
          <w:lang w:eastAsia="nl-NL"/>
        </w:rPr>
        <w:t xml:space="preserve"> aware of the risks of investing and aim to obtain a thorough understanding of a firm and its performance before making </w:t>
      </w:r>
      <w:r w:rsidR="00B33DDD">
        <w:rPr>
          <w:rFonts w:cs="Calibri"/>
          <w:color w:val="000000"/>
          <w:sz w:val="22"/>
          <w:szCs w:val="22"/>
          <w:lang w:eastAsia="nl-NL"/>
        </w:rPr>
        <w:t>an</w:t>
      </w:r>
      <w:r>
        <w:rPr>
          <w:rFonts w:cs="Calibri"/>
          <w:color w:val="000000"/>
          <w:sz w:val="22"/>
          <w:szCs w:val="22"/>
          <w:lang w:eastAsia="nl-NL"/>
        </w:rPr>
        <w:t xml:space="preserve"> actual investment. Information provided by the firm helps the investors to create this thorough understanding. </w:t>
      </w:r>
      <w:r w:rsidRPr="00046999">
        <w:rPr>
          <w:rFonts w:cs="Calibri"/>
          <w:color w:val="000000"/>
          <w:sz w:val="22"/>
          <w:szCs w:val="22"/>
          <w:lang w:eastAsia="nl-NL"/>
        </w:rPr>
        <w:t>Each year, European listed firms mandatory disclose information in accordance with the International Financial Reporting Standards (IFRS). Besides mandatory disclosures required by the IFRS such as information about current cash flows and balance sheets, firms can also voluntary disclose information. This can consist of various types of information; from information about corporate strategy to information about environment protection. In this paper, voluntary disclosures are defined as disclosures of information that management of companies can provide aside of their mandatory disclosures.</w:t>
      </w:r>
      <w:r>
        <w:rPr>
          <w:rFonts w:cs="Calibri"/>
          <w:color w:val="000000"/>
          <w:sz w:val="22"/>
          <w:szCs w:val="22"/>
          <w:lang w:eastAsia="nl-NL"/>
        </w:rPr>
        <w:t xml:space="preserve"> As</w:t>
      </w:r>
      <w:r w:rsidRPr="00046999">
        <w:rPr>
          <w:rFonts w:cs="Calibri"/>
          <w:color w:val="000000"/>
          <w:sz w:val="22"/>
          <w:szCs w:val="22"/>
          <w:lang w:eastAsia="nl-NL"/>
        </w:rPr>
        <w:t xml:space="preserve"> </w:t>
      </w:r>
      <w:r>
        <w:rPr>
          <w:rFonts w:cs="Calibri"/>
          <w:sz w:val="22"/>
          <w:szCs w:val="22"/>
        </w:rPr>
        <w:t>i</w:t>
      </w:r>
      <w:r w:rsidRPr="00046999">
        <w:rPr>
          <w:rFonts w:cs="Calibri"/>
          <w:sz w:val="22"/>
          <w:szCs w:val="22"/>
        </w:rPr>
        <w:t>nvestors aim to obtain all relevant information about the firm in which they are investing</w:t>
      </w:r>
      <w:r>
        <w:rPr>
          <w:rFonts w:cs="Calibri"/>
          <w:sz w:val="22"/>
          <w:szCs w:val="22"/>
        </w:rPr>
        <w:t xml:space="preserve">, voluntary disclosures are an increasing focus of attention. </w:t>
      </w:r>
    </w:p>
    <w:p w:rsidR="00A95413" w:rsidRPr="00046999" w:rsidRDefault="00A95413" w:rsidP="001D4BB3">
      <w:pPr>
        <w:jc w:val="both"/>
        <w:rPr>
          <w:rFonts w:cs="Calibri"/>
          <w:sz w:val="22"/>
          <w:szCs w:val="22"/>
        </w:rPr>
      </w:pPr>
      <w:r>
        <w:rPr>
          <w:rFonts w:cs="Calibri"/>
          <w:color w:val="000000"/>
          <w:sz w:val="22"/>
          <w:szCs w:val="22"/>
          <w:lang w:eastAsia="nl-NL"/>
        </w:rPr>
        <w:t>The provision of voluntary disclosures</w:t>
      </w:r>
      <w:r w:rsidRPr="00046999">
        <w:rPr>
          <w:rFonts w:cs="Calibri"/>
          <w:sz w:val="22"/>
          <w:szCs w:val="22"/>
        </w:rPr>
        <w:t xml:space="preserve"> is an interesting topic for investors and standards setters as there remain unanswered questions regarding what motivates or influences managers to dis</w:t>
      </w:r>
      <w:r w:rsidR="00456502">
        <w:rPr>
          <w:rFonts w:cs="Calibri"/>
          <w:sz w:val="22"/>
          <w:szCs w:val="22"/>
        </w:rPr>
        <w:t>close information. For example,</w:t>
      </w:r>
      <w:r w:rsidRPr="00046999">
        <w:rPr>
          <w:rFonts w:cs="Calibri"/>
          <w:sz w:val="22"/>
          <w:szCs w:val="22"/>
        </w:rPr>
        <w:t xml:space="preserve"> </w:t>
      </w:r>
      <w:r w:rsidR="005730B7">
        <w:rPr>
          <w:rFonts w:cs="Calibri"/>
          <w:sz w:val="22"/>
          <w:szCs w:val="22"/>
          <w:lang w:eastAsia="nl-NL"/>
        </w:rPr>
        <w:t>o</w:t>
      </w:r>
      <w:r w:rsidRPr="00046999">
        <w:rPr>
          <w:rFonts w:cs="Calibri"/>
          <w:sz w:val="22"/>
          <w:szCs w:val="22"/>
          <w:lang w:eastAsia="nl-NL"/>
        </w:rPr>
        <w:t>n the 15</w:t>
      </w:r>
      <w:r w:rsidRPr="00046999">
        <w:rPr>
          <w:rFonts w:cs="Calibri"/>
          <w:sz w:val="22"/>
          <w:szCs w:val="22"/>
          <w:vertAlign w:val="superscript"/>
          <w:lang w:eastAsia="nl-NL"/>
        </w:rPr>
        <w:t>th</w:t>
      </w:r>
      <w:r w:rsidRPr="00046999">
        <w:rPr>
          <w:rFonts w:cs="Calibri"/>
          <w:sz w:val="22"/>
          <w:szCs w:val="22"/>
          <w:lang w:eastAsia="nl-NL"/>
        </w:rPr>
        <w:t xml:space="preserve"> of December 2010 the Financial News headed th</w:t>
      </w:r>
      <w:r>
        <w:rPr>
          <w:rFonts w:cs="Calibri"/>
          <w:sz w:val="22"/>
          <w:szCs w:val="22"/>
          <w:lang w:eastAsia="nl-NL"/>
        </w:rPr>
        <w:t>at ‘</w:t>
      </w:r>
      <w:r w:rsidRPr="00E80FF0">
        <w:rPr>
          <w:rFonts w:cs="Calibri"/>
          <w:i/>
          <w:sz w:val="22"/>
          <w:szCs w:val="22"/>
          <w:lang w:eastAsia="nl-NL"/>
        </w:rPr>
        <w:t>s</w:t>
      </w:r>
      <w:r w:rsidRPr="00E80FF0">
        <w:rPr>
          <w:rStyle w:val="Zwaar"/>
          <w:rFonts w:cs="Calibri"/>
          <w:b w:val="0"/>
          <w:bCs/>
          <w:i/>
          <w:sz w:val="22"/>
          <w:szCs w:val="22"/>
        </w:rPr>
        <w:t>ome of the UK's largest businesses fail to provide even the most basic information about their relations to their owners, in spite of calls for transparency that started three years ago</w:t>
      </w:r>
      <w:r>
        <w:rPr>
          <w:rStyle w:val="Zwaar"/>
          <w:rFonts w:cs="Calibri"/>
          <w:b w:val="0"/>
          <w:bCs/>
          <w:sz w:val="22"/>
          <w:szCs w:val="22"/>
        </w:rPr>
        <w:t>’.</w:t>
      </w:r>
      <w:r>
        <w:rPr>
          <w:rStyle w:val="Voetnootmarkering"/>
          <w:bCs/>
          <w:sz w:val="22"/>
          <w:szCs w:val="22"/>
        </w:rPr>
        <w:footnoteReference w:id="1"/>
      </w:r>
      <w:r>
        <w:rPr>
          <w:rStyle w:val="Zwaar"/>
          <w:rFonts w:cs="Calibri"/>
          <w:b w:val="0"/>
          <w:bCs/>
          <w:sz w:val="22"/>
          <w:szCs w:val="22"/>
        </w:rPr>
        <w:t xml:space="preserve"> </w:t>
      </w:r>
      <w:r w:rsidRPr="00046999">
        <w:rPr>
          <w:rStyle w:val="Zwaar"/>
          <w:rFonts w:cs="Calibri"/>
          <w:b w:val="0"/>
          <w:bCs/>
          <w:sz w:val="22"/>
          <w:szCs w:val="22"/>
        </w:rPr>
        <w:t xml:space="preserve">This seems that while investors called for more transparency; firms failed to do so. The question is why do these companies not provide this information and what could influence the provision or disclosure of this information? </w:t>
      </w:r>
      <w:r w:rsidRPr="00046999">
        <w:rPr>
          <w:rFonts w:cs="Calibri"/>
          <w:sz w:val="22"/>
          <w:szCs w:val="22"/>
        </w:rPr>
        <w:t xml:space="preserve"> </w:t>
      </w:r>
    </w:p>
    <w:p w:rsidR="00A95413" w:rsidRPr="00046999" w:rsidRDefault="00A95413" w:rsidP="001D4BB3">
      <w:pPr>
        <w:jc w:val="both"/>
        <w:rPr>
          <w:rFonts w:cs="Calibri"/>
          <w:sz w:val="22"/>
          <w:szCs w:val="22"/>
        </w:rPr>
      </w:pPr>
      <w:r w:rsidRPr="00046999">
        <w:rPr>
          <w:rFonts w:cs="Calibri"/>
          <w:sz w:val="22"/>
          <w:szCs w:val="22"/>
        </w:rPr>
        <w:t xml:space="preserve">Prior studies investigated multiple aspects </w:t>
      </w:r>
      <w:r>
        <w:rPr>
          <w:rFonts w:cs="Calibri"/>
          <w:sz w:val="22"/>
          <w:szCs w:val="22"/>
        </w:rPr>
        <w:t>that could influence the extent of voluntary disclosures provided such as the size of the firm and</w:t>
      </w:r>
      <w:r w:rsidRPr="00046999">
        <w:rPr>
          <w:rFonts w:cs="Calibri"/>
          <w:sz w:val="22"/>
          <w:szCs w:val="22"/>
        </w:rPr>
        <w:t xml:space="preserve"> the degree of profitability. Another factor which has been investigated before is </w:t>
      </w:r>
      <w:r>
        <w:rPr>
          <w:rFonts w:cs="Calibri"/>
          <w:sz w:val="22"/>
          <w:szCs w:val="22"/>
        </w:rPr>
        <w:t xml:space="preserve">if </w:t>
      </w:r>
      <w:r w:rsidRPr="00046999">
        <w:rPr>
          <w:rFonts w:cs="Calibri"/>
          <w:sz w:val="22"/>
          <w:szCs w:val="22"/>
        </w:rPr>
        <w:t xml:space="preserve">the way shares of publicly held firms are dispersed </w:t>
      </w:r>
      <w:r>
        <w:rPr>
          <w:rFonts w:cs="Calibri"/>
          <w:sz w:val="22"/>
          <w:szCs w:val="22"/>
        </w:rPr>
        <w:t>is related to</w:t>
      </w:r>
      <w:r w:rsidRPr="00046999">
        <w:rPr>
          <w:rFonts w:cs="Calibri"/>
          <w:sz w:val="22"/>
          <w:szCs w:val="22"/>
        </w:rPr>
        <w:t xml:space="preserve"> the extent of voluntary disclosures. The way the shares are dispersed is also referred to as ownership structure. For example, when the shares are held by few large shareholders will there be less or more voluntary disclosures then when the shares held by multiple small shareholders? Or when governments have a high proportion of shares, will there be more or less voluntary disclosures compared to when governments own none or a small proportion of the shares? These questions are investigated in this study. </w:t>
      </w:r>
    </w:p>
    <w:p w:rsidR="00A95413" w:rsidRPr="00046999" w:rsidRDefault="00A95413" w:rsidP="001D4BB3">
      <w:pPr>
        <w:pStyle w:val="Kop2"/>
        <w:jc w:val="both"/>
        <w:rPr>
          <w:rStyle w:val="Zwaar"/>
          <w:rFonts w:cs="Calibri"/>
          <w:b w:val="0"/>
          <w:bCs/>
        </w:rPr>
      </w:pPr>
      <w:bookmarkStart w:id="49" w:name="_Toc320365291"/>
      <w:r w:rsidRPr="00046999">
        <w:rPr>
          <w:rStyle w:val="Zwaar"/>
          <w:rFonts w:cs="Calibri"/>
          <w:b w:val="0"/>
          <w:bCs/>
        </w:rPr>
        <w:t>Relevance</w:t>
      </w:r>
      <w:bookmarkEnd w:id="49"/>
    </w:p>
    <w:p w:rsidR="00A95413" w:rsidRPr="00ED1510" w:rsidRDefault="00A95413" w:rsidP="001D4BB3">
      <w:pPr>
        <w:jc w:val="both"/>
        <w:rPr>
          <w:rFonts w:cs="Calibri"/>
          <w:sz w:val="22"/>
          <w:szCs w:val="22"/>
          <w:lang w:eastAsia="nl-NL"/>
        </w:rPr>
      </w:pPr>
      <w:r w:rsidRPr="00046999">
        <w:rPr>
          <w:rFonts w:cs="Calibri"/>
          <w:sz w:val="22"/>
          <w:szCs w:val="22"/>
          <w:lang w:eastAsia="nl-NL"/>
        </w:rPr>
        <w:t>Prior literature has shown that ownership structure can significantly influence voluntary disclosures.</w:t>
      </w:r>
      <w:r>
        <w:rPr>
          <w:rFonts w:cs="Calibri"/>
          <w:sz w:val="22"/>
          <w:szCs w:val="22"/>
          <w:lang w:eastAsia="nl-NL"/>
        </w:rPr>
        <w:t xml:space="preserve"> </w:t>
      </w:r>
      <w:r w:rsidR="002E4BCE">
        <w:rPr>
          <w:rFonts w:cs="Calibri"/>
          <w:sz w:val="22"/>
          <w:szCs w:val="22"/>
          <w:lang w:eastAsia="nl-NL"/>
        </w:rPr>
        <w:t>M</w:t>
      </w:r>
      <w:r>
        <w:rPr>
          <w:rFonts w:cs="Calibri"/>
          <w:sz w:val="22"/>
          <w:szCs w:val="22"/>
          <w:lang w:eastAsia="nl-NL"/>
        </w:rPr>
        <w:t xml:space="preserve">ost </w:t>
      </w:r>
      <w:r w:rsidR="002E4BCE">
        <w:rPr>
          <w:rFonts w:cs="Calibri"/>
          <w:sz w:val="22"/>
          <w:szCs w:val="22"/>
          <w:lang w:eastAsia="nl-NL"/>
        </w:rPr>
        <w:t xml:space="preserve">of these </w:t>
      </w:r>
      <w:r>
        <w:rPr>
          <w:rFonts w:cs="Calibri"/>
          <w:sz w:val="22"/>
          <w:szCs w:val="22"/>
          <w:lang w:eastAsia="nl-NL"/>
        </w:rPr>
        <w:t xml:space="preserve">studies showed that </w:t>
      </w:r>
      <w:r w:rsidRPr="00046999">
        <w:rPr>
          <w:rFonts w:cs="Calibri"/>
          <w:sz w:val="22"/>
          <w:szCs w:val="22"/>
          <w:lang w:eastAsia="nl-NL"/>
        </w:rPr>
        <w:t>more dispersed ownership leads to a larger extent of voluntary disclosures</w:t>
      </w:r>
      <w:r>
        <w:rPr>
          <w:rFonts w:cs="Calibri"/>
          <w:sz w:val="22"/>
          <w:szCs w:val="22"/>
          <w:lang w:eastAsia="nl-NL"/>
        </w:rPr>
        <w:t>.</w:t>
      </w:r>
      <w:r w:rsidRPr="00046999">
        <w:rPr>
          <w:rFonts w:cs="Calibri"/>
          <w:sz w:val="22"/>
          <w:szCs w:val="22"/>
          <w:lang w:eastAsia="nl-NL"/>
        </w:rPr>
        <w:t xml:space="preserve"> However, the</w:t>
      </w:r>
      <w:r>
        <w:rPr>
          <w:rFonts w:cs="Calibri"/>
          <w:sz w:val="22"/>
          <w:szCs w:val="22"/>
          <w:lang w:eastAsia="nl-NL"/>
        </w:rPr>
        <w:t>se</w:t>
      </w:r>
      <w:r w:rsidRPr="00046999">
        <w:rPr>
          <w:rFonts w:cs="Calibri"/>
          <w:sz w:val="22"/>
          <w:szCs w:val="22"/>
          <w:lang w:eastAsia="nl-NL"/>
        </w:rPr>
        <w:t xml:space="preserve"> studies have been </w:t>
      </w:r>
      <w:r>
        <w:rPr>
          <w:rFonts w:cs="Calibri"/>
          <w:sz w:val="22"/>
          <w:szCs w:val="22"/>
          <w:lang w:eastAsia="nl-NL"/>
        </w:rPr>
        <w:t>conducted</w:t>
      </w:r>
      <w:r w:rsidRPr="00046999">
        <w:rPr>
          <w:rFonts w:cs="Calibri"/>
          <w:sz w:val="22"/>
          <w:szCs w:val="22"/>
          <w:lang w:eastAsia="nl-NL"/>
        </w:rPr>
        <w:t xml:space="preserve"> in Australia, Kenya, the UK, China, Hong Kong and Singapore. Due to cultural differences </w:t>
      </w:r>
      <w:r>
        <w:rPr>
          <w:rFonts w:cs="Calibri"/>
          <w:sz w:val="22"/>
          <w:szCs w:val="22"/>
          <w:lang w:eastAsia="nl-NL"/>
        </w:rPr>
        <w:t xml:space="preserve">and </w:t>
      </w:r>
      <w:r w:rsidRPr="00046999">
        <w:rPr>
          <w:rFonts w:cs="Calibri"/>
          <w:sz w:val="22"/>
          <w:szCs w:val="22"/>
          <w:lang w:eastAsia="nl-NL"/>
        </w:rPr>
        <w:t xml:space="preserve">continental differences </w:t>
      </w:r>
      <w:r>
        <w:rPr>
          <w:rFonts w:cs="Calibri"/>
          <w:sz w:val="22"/>
          <w:szCs w:val="22"/>
          <w:lang w:eastAsia="nl-NL"/>
        </w:rPr>
        <w:t>in</w:t>
      </w:r>
      <w:r w:rsidRPr="00046999">
        <w:rPr>
          <w:rFonts w:cs="Calibri"/>
          <w:sz w:val="22"/>
          <w:szCs w:val="22"/>
          <w:lang w:eastAsia="nl-NL"/>
        </w:rPr>
        <w:t xml:space="preserve"> </w:t>
      </w:r>
      <w:r>
        <w:rPr>
          <w:rFonts w:cs="Calibri"/>
          <w:sz w:val="22"/>
          <w:szCs w:val="22"/>
          <w:lang w:eastAsia="nl-NL"/>
        </w:rPr>
        <w:t>ownership</w:t>
      </w:r>
      <w:r w:rsidRPr="00046999">
        <w:rPr>
          <w:rFonts w:cs="Calibri"/>
          <w:sz w:val="22"/>
          <w:szCs w:val="22"/>
          <w:lang w:eastAsia="nl-NL"/>
        </w:rPr>
        <w:t xml:space="preserve"> structures, these </w:t>
      </w:r>
      <w:r w:rsidRPr="00046999">
        <w:rPr>
          <w:rFonts w:cs="Calibri"/>
          <w:sz w:val="22"/>
          <w:szCs w:val="22"/>
          <w:lang w:eastAsia="nl-NL"/>
        </w:rPr>
        <w:lastRenderedPageBreak/>
        <w:t xml:space="preserve">results do not automatically apply for Europe. For example, the results from Enriques and Volpin (2007) showed that ownership structure in </w:t>
      </w:r>
      <w:r>
        <w:rPr>
          <w:rFonts w:cs="Calibri"/>
          <w:sz w:val="22"/>
          <w:szCs w:val="22"/>
          <w:lang w:eastAsia="nl-NL"/>
        </w:rPr>
        <w:t xml:space="preserve">west-continental </w:t>
      </w:r>
      <w:r w:rsidRPr="00046999">
        <w:rPr>
          <w:rFonts w:cs="Calibri"/>
          <w:sz w:val="22"/>
          <w:szCs w:val="22"/>
          <w:lang w:eastAsia="nl-NL"/>
        </w:rPr>
        <w:t>European countries (Germany, France and Italy) is more concentrated than in the UK and US. Furthermore, ownership of these European firms is mainly in the hands of a small number of individuals and is frequently family controlled (Enriques and Volpin, 2007). These differences in ownership structure make studying ownership structure specifically in Europe interesting.</w:t>
      </w:r>
      <w:r>
        <w:rPr>
          <w:rFonts w:cs="Calibri"/>
          <w:sz w:val="22"/>
          <w:szCs w:val="22"/>
          <w:lang w:eastAsia="nl-NL"/>
        </w:rPr>
        <w:t xml:space="preserve"> </w:t>
      </w:r>
      <w:r w:rsidRPr="00046999">
        <w:rPr>
          <w:rFonts w:cs="Calibri"/>
          <w:sz w:val="22"/>
          <w:szCs w:val="22"/>
          <w:lang w:eastAsia="nl-NL"/>
        </w:rPr>
        <w:t xml:space="preserve">Furthermore most results of prior studies are based on relatively old data and might not be applicable anymore in the current situation. </w:t>
      </w:r>
      <w:r w:rsidRPr="00046999">
        <w:rPr>
          <w:rFonts w:cs="Calibri"/>
          <w:color w:val="000000"/>
          <w:sz w:val="22"/>
          <w:szCs w:val="22"/>
          <w:lang w:eastAsia="nl-NL"/>
        </w:rPr>
        <w:t>Therefore, this study investigate</w:t>
      </w:r>
      <w:r>
        <w:rPr>
          <w:rFonts w:cs="Calibri"/>
          <w:color w:val="000000"/>
          <w:sz w:val="22"/>
          <w:szCs w:val="22"/>
          <w:lang w:eastAsia="nl-NL"/>
        </w:rPr>
        <w:t>s</w:t>
      </w:r>
      <w:r w:rsidRPr="00046999">
        <w:rPr>
          <w:rFonts w:cs="Calibri"/>
          <w:color w:val="000000"/>
          <w:sz w:val="22"/>
          <w:szCs w:val="22"/>
          <w:lang w:eastAsia="nl-NL"/>
        </w:rPr>
        <w:t xml:space="preserve"> the relation between ownership structure and voluntary disclosures in </w:t>
      </w:r>
      <w:r>
        <w:rPr>
          <w:rFonts w:cs="Calibri"/>
          <w:color w:val="000000"/>
          <w:sz w:val="22"/>
          <w:szCs w:val="22"/>
          <w:lang w:eastAsia="nl-NL"/>
        </w:rPr>
        <w:t xml:space="preserve">the most influential countries of </w:t>
      </w:r>
      <w:r w:rsidRPr="00046999">
        <w:rPr>
          <w:rFonts w:cs="Calibri"/>
          <w:color w:val="000000"/>
          <w:sz w:val="22"/>
          <w:szCs w:val="22"/>
          <w:lang w:eastAsia="nl-NL"/>
        </w:rPr>
        <w:t xml:space="preserve">Europe with data from 2010. </w:t>
      </w:r>
    </w:p>
    <w:p w:rsidR="00A95413" w:rsidRPr="00046999" w:rsidRDefault="00583979" w:rsidP="001D4BB3">
      <w:pPr>
        <w:jc w:val="both"/>
        <w:rPr>
          <w:rFonts w:cs="Calibri"/>
          <w:sz w:val="22"/>
          <w:szCs w:val="22"/>
        </w:rPr>
      </w:pPr>
      <w:r w:rsidRPr="00ED1510">
        <w:rPr>
          <w:rFonts w:cs="Calibri"/>
          <w:sz w:val="22"/>
          <w:szCs w:val="22"/>
        </w:rPr>
        <w:t>The results can be useful for investors</w:t>
      </w:r>
      <w:r w:rsidR="00ED1510" w:rsidRPr="00ED1510">
        <w:rPr>
          <w:rFonts w:cs="Calibri"/>
          <w:sz w:val="22"/>
          <w:szCs w:val="22"/>
        </w:rPr>
        <w:t xml:space="preserve"> as they </w:t>
      </w:r>
      <w:r w:rsidR="00ED1510" w:rsidRPr="00ED1510">
        <w:rPr>
          <w:sz w:val="22"/>
          <w:szCs w:val="22"/>
        </w:rPr>
        <w:t>gain more insight in the disclosure practices of European firms</w:t>
      </w:r>
      <w:r w:rsidRPr="00ED1510">
        <w:rPr>
          <w:rFonts w:cs="Calibri"/>
          <w:sz w:val="22"/>
          <w:szCs w:val="22"/>
        </w:rPr>
        <w:t xml:space="preserve">. </w:t>
      </w:r>
      <w:r w:rsidRPr="00046999">
        <w:rPr>
          <w:rFonts w:cs="Calibri"/>
          <w:color w:val="000000"/>
          <w:sz w:val="22"/>
          <w:szCs w:val="22"/>
          <w:lang w:eastAsia="nl-NL"/>
        </w:rPr>
        <w:t>Besides investors, other users and preparers of accounting information can benefit as well as they gain more information in understanding why firms disclosure information voluntarily</w:t>
      </w:r>
      <w:r w:rsidRPr="00046999">
        <w:rPr>
          <w:rFonts w:cs="Calibri"/>
          <w:sz w:val="22"/>
          <w:szCs w:val="22"/>
        </w:rPr>
        <w:t>.</w:t>
      </w:r>
      <w:r w:rsidRPr="00046999">
        <w:rPr>
          <w:rStyle w:val="refpreview1"/>
          <w:rFonts w:cs="Calibri"/>
          <w:sz w:val="22"/>
          <w:szCs w:val="22"/>
          <w:shd w:val="clear" w:color="auto" w:fill="FFFFFF"/>
        </w:rPr>
        <w:t>).</w:t>
      </w:r>
      <w:r w:rsidRPr="00046999">
        <w:rPr>
          <w:rFonts w:cs="Calibri"/>
          <w:color w:val="000000"/>
          <w:sz w:val="22"/>
          <w:szCs w:val="22"/>
          <w:lang w:eastAsia="nl-NL"/>
        </w:rPr>
        <w:t xml:space="preserve"> </w:t>
      </w:r>
      <w:r w:rsidR="00A95413">
        <w:rPr>
          <w:rFonts w:cs="Calibri"/>
          <w:sz w:val="22"/>
          <w:szCs w:val="22"/>
        </w:rPr>
        <w:t>The results of this study show</w:t>
      </w:r>
      <w:r w:rsidR="00A95413" w:rsidRPr="00046999">
        <w:rPr>
          <w:rFonts w:cs="Calibri"/>
          <w:sz w:val="22"/>
          <w:szCs w:val="22"/>
        </w:rPr>
        <w:t xml:space="preserve"> </w:t>
      </w:r>
      <w:r>
        <w:rPr>
          <w:rFonts w:cs="Calibri"/>
          <w:sz w:val="22"/>
          <w:szCs w:val="22"/>
        </w:rPr>
        <w:t>how the selected</w:t>
      </w:r>
      <w:r w:rsidR="00A95413" w:rsidRPr="00046999">
        <w:rPr>
          <w:rFonts w:cs="Calibri"/>
          <w:sz w:val="22"/>
          <w:szCs w:val="22"/>
        </w:rPr>
        <w:t xml:space="preserve"> </w:t>
      </w:r>
      <w:r w:rsidR="00A95413">
        <w:rPr>
          <w:rFonts w:cs="Calibri"/>
          <w:sz w:val="22"/>
          <w:szCs w:val="22"/>
        </w:rPr>
        <w:t xml:space="preserve">determinants of ownership structure; </w:t>
      </w:r>
      <w:r w:rsidR="00A95413" w:rsidRPr="00046999">
        <w:rPr>
          <w:rFonts w:cs="Calibri"/>
          <w:sz w:val="22"/>
          <w:szCs w:val="22"/>
        </w:rPr>
        <w:t>blockholder</w:t>
      </w:r>
      <w:r w:rsidR="00A95413">
        <w:rPr>
          <w:rFonts w:cs="Calibri"/>
          <w:sz w:val="22"/>
          <w:szCs w:val="22"/>
        </w:rPr>
        <w:t>-</w:t>
      </w:r>
      <w:r w:rsidR="00A95413" w:rsidRPr="00046999">
        <w:rPr>
          <w:rFonts w:cs="Calibri"/>
          <w:sz w:val="22"/>
          <w:szCs w:val="22"/>
        </w:rPr>
        <w:t>, managerial</w:t>
      </w:r>
      <w:r w:rsidR="00ED1510">
        <w:rPr>
          <w:rFonts w:cs="Calibri"/>
          <w:sz w:val="22"/>
          <w:szCs w:val="22"/>
        </w:rPr>
        <w:t>- and</w:t>
      </w:r>
      <w:r w:rsidR="00A95413">
        <w:rPr>
          <w:rFonts w:cs="Calibri"/>
          <w:sz w:val="22"/>
          <w:szCs w:val="22"/>
        </w:rPr>
        <w:t xml:space="preserve"> government ownership </w:t>
      </w:r>
      <w:r>
        <w:rPr>
          <w:rFonts w:cs="Calibri"/>
          <w:sz w:val="22"/>
          <w:szCs w:val="22"/>
        </w:rPr>
        <w:t>are</w:t>
      </w:r>
      <w:r w:rsidR="00A95413" w:rsidRPr="00046999">
        <w:rPr>
          <w:rFonts w:cs="Calibri"/>
          <w:sz w:val="22"/>
          <w:szCs w:val="22"/>
        </w:rPr>
        <w:t xml:space="preserve"> </w:t>
      </w:r>
      <w:r w:rsidR="00A95413">
        <w:rPr>
          <w:rFonts w:cs="Calibri"/>
          <w:sz w:val="22"/>
          <w:szCs w:val="22"/>
        </w:rPr>
        <w:t>a</w:t>
      </w:r>
      <w:r>
        <w:rPr>
          <w:rFonts w:cs="Calibri"/>
          <w:sz w:val="22"/>
          <w:szCs w:val="22"/>
        </w:rPr>
        <w:t>ssociated</w:t>
      </w:r>
      <w:r w:rsidR="00A95413">
        <w:rPr>
          <w:rFonts w:cs="Calibri"/>
          <w:sz w:val="22"/>
          <w:szCs w:val="22"/>
        </w:rPr>
        <w:t xml:space="preserve"> with</w:t>
      </w:r>
      <w:r w:rsidR="00A95413" w:rsidRPr="00046999">
        <w:rPr>
          <w:rFonts w:cs="Calibri"/>
          <w:sz w:val="22"/>
          <w:szCs w:val="22"/>
        </w:rPr>
        <w:t xml:space="preserve"> the extent of information provided by the firm.  </w:t>
      </w:r>
      <w:r>
        <w:rPr>
          <w:rFonts w:cs="Calibri"/>
          <w:color w:val="000000"/>
          <w:sz w:val="22"/>
          <w:szCs w:val="22"/>
          <w:lang w:eastAsia="nl-NL"/>
        </w:rPr>
        <w:t xml:space="preserve">The obtained evidence </w:t>
      </w:r>
      <w:r w:rsidR="001F167D">
        <w:rPr>
          <w:rFonts w:cs="Calibri"/>
          <w:color w:val="000000"/>
          <w:sz w:val="22"/>
          <w:szCs w:val="22"/>
          <w:lang w:eastAsia="nl-NL"/>
        </w:rPr>
        <w:t>shows</w:t>
      </w:r>
      <w:r>
        <w:rPr>
          <w:rFonts w:cs="Calibri"/>
          <w:color w:val="000000"/>
          <w:sz w:val="22"/>
          <w:szCs w:val="22"/>
          <w:lang w:eastAsia="nl-NL"/>
        </w:rPr>
        <w:t xml:space="preserve"> that </w:t>
      </w:r>
      <w:r w:rsidR="00A95413" w:rsidRPr="00046999">
        <w:rPr>
          <w:rFonts w:cs="Calibri"/>
          <w:color w:val="000000"/>
          <w:sz w:val="22"/>
          <w:szCs w:val="22"/>
          <w:lang w:eastAsia="nl-NL"/>
        </w:rPr>
        <w:t xml:space="preserve">blockholder ownership is negatively </w:t>
      </w:r>
      <w:r w:rsidR="001F167D">
        <w:rPr>
          <w:rFonts w:cs="Calibri"/>
          <w:color w:val="000000"/>
          <w:sz w:val="22"/>
          <w:szCs w:val="22"/>
          <w:lang w:eastAsia="nl-NL"/>
        </w:rPr>
        <w:t>associated with</w:t>
      </w:r>
      <w:r w:rsidR="00A95413" w:rsidRPr="00046999">
        <w:rPr>
          <w:rFonts w:cs="Calibri"/>
          <w:color w:val="000000"/>
          <w:sz w:val="22"/>
          <w:szCs w:val="22"/>
          <w:lang w:eastAsia="nl-NL"/>
        </w:rPr>
        <w:t xml:space="preserve"> the extent of voluntary disclosures</w:t>
      </w:r>
      <w:r>
        <w:rPr>
          <w:rFonts w:cs="Calibri"/>
          <w:color w:val="000000"/>
          <w:sz w:val="22"/>
          <w:szCs w:val="22"/>
          <w:lang w:eastAsia="nl-NL"/>
        </w:rPr>
        <w:t>. Therefore,</w:t>
      </w:r>
      <w:r w:rsidR="00A95413" w:rsidRPr="00046999">
        <w:rPr>
          <w:rFonts w:cs="Calibri"/>
          <w:color w:val="000000"/>
          <w:sz w:val="22"/>
          <w:szCs w:val="22"/>
          <w:lang w:eastAsia="nl-NL"/>
        </w:rPr>
        <w:t xml:space="preserve"> investors can decide not to invest in a European listed company with a high degree of blockholder ownership. </w:t>
      </w:r>
      <w:r>
        <w:rPr>
          <w:rFonts w:cs="Calibri"/>
          <w:color w:val="000000"/>
          <w:sz w:val="22"/>
          <w:szCs w:val="22"/>
          <w:lang w:eastAsia="nl-NL"/>
        </w:rPr>
        <w:t>Furthermore,</w:t>
      </w:r>
      <w:r w:rsidR="00EC3280">
        <w:rPr>
          <w:rFonts w:cs="Calibri"/>
          <w:color w:val="000000"/>
          <w:sz w:val="22"/>
          <w:szCs w:val="22"/>
          <w:lang w:eastAsia="nl-NL"/>
        </w:rPr>
        <w:t xml:space="preserve"> the results show that</w:t>
      </w:r>
      <w:r>
        <w:rPr>
          <w:rFonts w:cs="Calibri"/>
          <w:color w:val="000000"/>
          <w:sz w:val="22"/>
          <w:szCs w:val="22"/>
          <w:lang w:eastAsia="nl-NL"/>
        </w:rPr>
        <w:t xml:space="preserve"> a high degree of </w:t>
      </w:r>
      <w:r w:rsidR="00A95413" w:rsidRPr="00046999">
        <w:rPr>
          <w:rFonts w:cs="Calibri"/>
          <w:sz w:val="22"/>
          <w:szCs w:val="22"/>
        </w:rPr>
        <w:t>government ownership leads to more</w:t>
      </w:r>
      <w:r>
        <w:rPr>
          <w:rFonts w:cs="Calibri"/>
          <w:sz w:val="22"/>
          <w:szCs w:val="22"/>
        </w:rPr>
        <w:t xml:space="preserve"> volu</w:t>
      </w:r>
      <w:r w:rsidR="00C91637">
        <w:rPr>
          <w:rFonts w:cs="Calibri"/>
          <w:sz w:val="22"/>
          <w:szCs w:val="22"/>
        </w:rPr>
        <w:t>ntary disclosures. As a result,</w:t>
      </w:r>
      <w:r w:rsidR="00A95413" w:rsidRPr="00046999">
        <w:rPr>
          <w:rFonts w:cs="Calibri"/>
          <w:sz w:val="22"/>
          <w:szCs w:val="22"/>
        </w:rPr>
        <w:t xml:space="preserve"> investors could decide to invest in firms where the government owns a high proportion of shares. </w:t>
      </w:r>
      <w:r>
        <w:rPr>
          <w:rFonts w:cs="Calibri"/>
          <w:sz w:val="22"/>
          <w:szCs w:val="22"/>
        </w:rPr>
        <w:t xml:space="preserve">At last, no significant association is observed between managerial </w:t>
      </w:r>
      <w:r w:rsidR="00C91637">
        <w:rPr>
          <w:rFonts w:cs="Calibri"/>
          <w:sz w:val="22"/>
          <w:szCs w:val="22"/>
        </w:rPr>
        <w:t xml:space="preserve">ownership </w:t>
      </w:r>
      <w:r>
        <w:rPr>
          <w:rFonts w:cs="Calibri"/>
          <w:sz w:val="22"/>
          <w:szCs w:val="22"/>
        </w:rPr>
        <w:t xml:space="preserve">and </w:t>
      </w:r>
      <w:r w:rsidR="00C91637">
        <w:rPr>
          <w:rFonts w:cs="Calibri"/>
          <w:sz w:val="22"/>
          <w:szCs w:val="22"/>
        </w:rPr>
        <w:t>voluntary disclosures</w:t>
      </w:r>
      <w:r>
        <w:rPr>
          <w:rFonts w:cs="Calibri"/>
          <w:sz w:val="22"/>
          <w:szCs w:val="22"/>
        </w:rPr>
        <w:t xml:space="preserve">. </w:t>
      </w:r>
    </w:p>
    <w:p w:rsidR="00A95413" w:rsidRPr="00046999" w:rsidRDefault="00A95413" w:rsidP="001D4BB3">
      <w:pPr>
        <w:pStyle w:val="Kop2"/>
        <w:jc w:val="both"/>
        <w:rPr>
          <w:rFonts w:cs="Calibri"/>
        </w:rPr>
      </w:pPr>
      <w:bookmarkStart w:id="50" w:name="_Toc287267049"/>
      <w:bookmarkStart w:id="51" w:name="_Toc320365292"/>
      <w:r w:rsidRPr="00046999">
        <w:rPr>
          <w:rFonts w:cs="Calibri"/>
        </w:rPr>
        <w:t>Research question and sub questions</w:t>
      </w:r>
      <w:bookmarkEnd w:id="50"/>
      <w:bookmarkEnd w:id="51"/>
    </w:p>
    <w:p w:rsidR="00A95413" w:rsidRPr="00046999" w:rsidRDefault="00A95413" w:rsidP="001D4BB3">
      <w:pPr>
        <w:jc w:val="both"/>
        <w:rPr>
          <w:rFonts w:cs="Calibri"/>
          <w:sz w:val="22"/>
          <w:szCs w:val="22"/>
        </w:rPr>
      </w:pPr>
      <w:r w:rsidRPr="00046999">
        <w:rPr>
          <w:rFonts w:cs="Calibri"/>
          <w:sz w:val="22"/>
          <w:szCs w:val="22"/>
        </w:rPr>
        <w:t>The main research question of this study is:</w:t>
      </w:r>
    </w:p>
    <w:p w:rsidR="00E230DF" w:rsidRPr="00E230DF" w:rsidRDefault="00A95413" w:rsidP="001D4BB3">
      <w:pPr>
        <w:jc w:val="both"/>
        <w:rPr>
          <w:rFonts w:cs="Calibri"/>
          <w:i/>
          <w:sz w:val="22"/>
          <w:szCs w:val="22"/>
        </w:rPr>
      </w:pPr>
      <w:r w:rsidRPr="00046999">
        <w:rPr>
          <w:rFonts w:cs="Calibri"/>
          <w:i/>
          <w:sz w:val="22"/>
          <w:szCs w:val="22"/>
        </w:rPr>
        <w:t>“What is the relation between ownership structure and the extent of voluntary disclosures provided by stock exchange listed firms in Europe in 2010?”</w:t>
      </w:r>
    </w:p>
    <w:p w:rsidR="00A95413" w:rsidRPr="00046999" w:rsidRDefault="00A95413" w:rsidP="001D4BB3">
      <w:pPr>
        <w:jc w:val="both"/>
        <w:rPr>
          <w:rFonts w:cs="Calibri"/>
          <w:sz w:val="22"/>
          <w:szCs w:val="22"/>
        </w:rPr>
      </w:pPr>
      <w:r w:rsidRPr="00046999">
        <w:rPr>
          <w:rFonts w:cs="Calibri"/>
          <w:sz w:val="22"/>
          <w:szCs w:val="22"/>
        </w:rPr>
        <w:t>The sub questions used to answer the main question are:</w:t>
      </w:r>
    </w:p>
    <w:p w:rsidR="00A95413" w:rsidRPr="00046999" w:rsidRDefault="00A95413" w:rsidP="001D4BB3">
      <w:pPr>
        <w:pStyle w:val="Lijstalinea"/>
        <w:numPr>
          <w:ilvl w:val="0"/>
          <w:numId w:val="2"/>
        </w:numPr>
        <w:spacing w:before="0" w:after="0"/>
        <w:jc w:val="both"/>
        <w:rPr>
          <w:rFonts w:cs="Calibri"/>
          <w:i/>
          <w:iCs/>
          <w:color w:val="000000"/>
          <w:sz w:val="22"/>
          <w:szCs w:val="22"/>
          <w:lang w:eastAsia="nl-NL"/>
        </w:rPr>
      </w:pPr>
      <w:r w:rsidRPr="00046999">
        <w:rPr>
          <w:rFonts w:cs="Calibri"/>
          <w:i/>
          <w:iCs/>
          <w:color w:val="000000"/>
          <w:sz w:val="22"/>
          <w:szCs w:val="22"/>
          <w:lang w:eastAsia="nl-NL"/>
        </w:rPr>
        <w:t>What are voluntary disclosures?</w:t>
      </w:r>
    </w:p>
    <w:p w:rsidR="00A95413" w:rsidRPr="00046999" w:rsidRDefault="00A95413" w:rsidP="001D4BB3">
      <w:pPr>
        <w:pStyle w:val="Lijstalinea"/>
        <w:numPr>
          <w:ilvl w:val="0"/>
          <w:numId w:val="2"/>
        </w:numPr>
        <w:spacing w:before="0" w:after="0"/>
        <w:jc w:val="both"/>
        <w:rPr>
          <w:rFonts w:cs="Calibri"/>
          <w:i/>
          <w:iCs/>
          <w:color w:val="000000"/>
          <w:sz w:val="22"/>
          <w:szCs w:val="22"/>
          <w:lang w:eastAsia="nl-NL"/>
        </w:rPr>
      </w:pPr>
      <w:r w:rsidRPr="00046999">
        <w:rPr>
          <w:rFonts w:cs="Calibri"/>
          <w:i/>
          <w:iCs/>
          <w:color w:val="000000"/>
          <w:sz w:val="22"/>
          <w:szCs w:val="22"/>
          <w:lang w:eastAsia="nl-NL"/>
        </w:rPr>
        <w:t xml:space="preserve">What is ownership structure? </w:t>
      </w:r>
    </w:p>
    <w:p w:rsidR="00A95413" w:rsidRPr="00046999" w:rsidRDefault="00A95413" w:rsidP="001D4BB3">
      <w:pPr>
        <w:pStyle w:val="Lijstalinea"/>
        <w:numPr>
          <w:ilvl w:val="0"/>
          <w:numId w:val="2"/>
        </w:numPr>
        <w:autoSpaceDE w:val="0"/>
        <w:autoSpaceDN w:val="0"/>
        <w:adjustRightInd w:val="0"/>
        <w:spacing w:before="0" w:after="0"/>
        <w:jc w:val="both"/>
        <w:rPr>
          <w:rFonts w:cs="Calibri"/>
          <w:i/>
          <w:iCs/>
          <w:sz w:val="22"/>
          <w:szCs w:val="22"/>
        </w:rPr>
      </w:pPr>
      <w:r w:rsidRPr="00046999">
        <w:rPr>
          <w:rFonts w:cs="Calibri"/>
          <w:i/>
          <w:iCs/>
          <w:sz w:val="22"/>
          <w:szCs w:val="22"/>
        </w:rPr>
        <w:t>Which research approach can be used to study the relation between ownership structure and voluntary disclosures?</w:t>
      </w:r>
    </w:p>
    <w:p w:rsidR="00A95413" w:rsidRPr="00046999" w:rsidRDefault="00A95413" w:rsidP="001D4BB3">
      <w:pPr>
        <w:pStyle w:val="Lijstalinea"/>
        <w:numPr>
          <w:ilvl w:val="0"/>
          <w:numId w:val="2"/>
        </w:numPr>
        <w:spacing w:before="0" w:after="0"/>
        <w:jc w:val="both"/>
        <w:rPr>
          <w:rFonts w:cs="Calibri"/>
          <w:i/>
          <w:iCs/>
          <w:color w:val="000000"/>
          <w:sz w:val="22"/>
          <w:szCs w:val="22"/>
          <w:lang w:eastAsia="nl-NL"/>
        </w:rPr>
      </w:pPr>
      <w:r w:rsidRPr="00046999">
        <w:rPr>
          <w:rFonts w:cs="Calibri"/>
          <w:i/>
          <w:iCs/>
          <w:color w:val="000000"/>
          <w:sz w:val="22"/>
          <w:szCs w:val="22"/>
          <w:lang w:eastAsia="nl-NL"/>
        </w:rPr>
        <w:t>How can voluntary disclosures be measured?</w:t>
      </w:r>
    </w:p>
    <w:p w:rsidR="00A95413" w:rsidRPr="000C7281" w:rsidRDefault="00A95413" w:rsidP="001D4BB3">
      <w:pPr>
        <w:pStyle w:val="Lijstalinea"/>
        <w:numPr>
          <w:ilvl w:val="0"/>
          <w:numId w:val="2"/>
        </w:numPr>
        <w:spacing w:before="0" w:after="0"/>
        <w:jc w:val="both"/>
        <w:rPr>
          <w:rFonts w:cs="Calibri"/>
          <w:i/>
          <w:iCs/>
          <w:color w:val="000000"/>
          <w:sz w:val="22"/>
          <w:szCs w:val="22"/>
          <w:lang w:eastAsia="nl-NL"/>
        </w:rPr>
      </w:pPr>
      <w:r w:rsidRPr="00046999">
        <w:rPr>
          <w:rFonts w:cs="Calibri"/>
          <w:i/>
          <w:iCs/>
          <w:color w:val="000000"/>
          <w:sz w:val="22"/>
          <w:szCs w:val="22"/>
          <w:lang w:eastAsia="nl-NL"/>
        </w:rPr>
        <w:t>How can ownership structure be measured?   </w:t>
      </w:r>
      <w:r w:rsidRPr="00046999">
        <w:rPr>
          <w:rFonts w:cs="Calibri"/>
          <w:color w:val="000000"/>
          <w:sz w:val="22"/>
          <w:szCs w:val="22"/>
          <w:lang w:eastAsia="nl-NL"/>
        </w:rPr>
        <w:t xml:space="preserve">  </w:t>
      </w:r>
    </w:p>
    <w:p w:rsidR="00A95413" w:rsidRPr="000C7281" w:rsidRDefault="00A95413" w:rsidP="000C7281">
      <w:pPr>
        <w:pStyle w:val="Lijstalinea"/>
        <w:numPr>
          <w:ilvl w:val="0"/>
          <w:numId w:val="2"/>
        </w:numPr>
        <w:spacing w:before="0" w:after="0"/>
        <w:jc w:val="both"/>
        <w:rPr>
          <w:rFonts w:cs="Calibri"/>
          <w:i/>
          <w:color w:val="000000"/>
          <w:sz w:val="22"/>
          <w:szCs w:val="22"/>
          <w:lang w:eastAsia="nl-NL"/>
        </w:rPr>
      </w:pPr>
      <w:r w:rsidRPr="00046999">
        <w:rPr>
          <w:rFonts w:cs="Calibri"/>
          <w:i/>
          <w:color w:val="000000"/>
          <w:sz w:val="22"/>
          <w:szCs w:val="22"/>
          <w:lang w:eastAsia="nl-NL"/>
        </w:rPr>
        <w:t>How can we measure the influence of ownership structure on voluntary disclosures?</w:t>
      </w:r>
      <w:r w:rsidRPr="000C7281">
        <w:rPr>
          <w:rFonts w:cs="Calibri"/>
          <w:color w:val="000000"/>
          <w:sz w:val="22"/>
          <w:szCs w:val="22"/>
          <w:lang w:eastAsia="nl-NL"/>
        </w:rPr>
        <w:t xml:space="preserve">  </w:t>
      </w:r>
    </w:p>
    <w:p w:rsidR="00A95413" w:rsidRPr="005604BC" w:rsidRDefault="00A95413" w:rsidP="005604BC">
      <w:pPr>
        <w:pStyle w:val="Lijstalinea"/>
        <w:numPr>
          <w:ilvl w:val="0"/>
          <w:numId w:val="2"/>
        </w:numPr>
        <w:spacing w:before="0" w:after="0"/>
        <w:jc w:val="both"/>
        <w:rPr>
          <w:rFonts w:cs="Calibri"/>
          <w:i/>
          <w:iCs/>
          <w:color w:val="000000"/>
          <w:sz w:val="22"/>
          <w:szCs w:val="22"/>
          <w:lang w:eastAsia="nl-NL"/>
        </w:rPr>
      </w:pPr>
      <w:r w:rsidRPr="00046999">
        <w:rPr>
          <w:rFonts w:cs="Calibri"/>
          <w:i/>
          <w:iCs/>
          <w:color w:val="000000"/>
          <w:sz w:val="22"/>
          <w:szCs w:val="22"/>
          <w:lang w:eastAsia="nl-NL"/>
        </w:rPr>
        <w:t>How does ownership structure affect the extent of voluntary disclosures according to prior literature?</w:t>
      </w:r>
    </w:p>
    <w:p w:rsidR="00A95413" w:rsidRPr="00046999" w:rsidRDefault="00A95413" w:rsidP="001D4BB3">
      <w:pPr>
        <w:pStyle w:val="Lijstalinea"/>
        <w:numPr>
          <w:ilvl w:val="0"/>
          <w:numId w:val="2"/>
        </w:numPr>
        <w:spacing w:before="0" w:after="0"/>
        <w:jc w:val="both"/>
        <w:rPr>
          <w:rFonts w:cs="Calibri"/>
          <w:i/>
          <w:color w:val="000000"/>
          <w:sz w:val="22"/>
          <w:szCs w:val="22"/>
          <w:lang w:eastAsia="nl-NL"/>
        </w:rPr>
      </w:pPr>
      <w:r w:rsidRPr="00046999">
        <w:rPr>
          <w:rFonts w:cs="Calibri"/>
          <w:i/>
          <w:color w:val="000000"/>
          <w:sz w:val="22"/>
          <w:szCs w:val="22"/>
          <w:lang w:eastAsia="nl-NL"/>
        </w:rPr>
        <w:t>Which research design is used to answer the research question?</w:t>
      </w:r>
    </w:p>
    <w:p w:rsidR="00A95413" w:rsidRPr="00046999" w:rsidRDefault="00A95413" w:rsidP="001D4BB3">
      <w:pPr>
        <w:pStyle w:val="Lijstalinea"/>
        <w:numPr>
          <w:ilvl w:val="0"/>
          <w:numId w:val="2"/>
        </w:numPr>
        <w:spacing w:before="0" w:after="0"/>
        <w:jc w:val="both"/>
        <w:rPr>
          <w:rFonts w:cs="Calibri"/>
          <w:i/>
          <w:color w:val="000000"/>
          <w:sz w:val="22"/>
          <w:szCs w:val="22"/>
          <w:lang w:eastAsia="nl-NL"/>
        </w:rPr>
      </w:pPr>
      <w:r w:rsidRPr="00046999">
        <w:rPr>
          <w:rFonts w:cs="Calibri"/>
          <w:i/>
          <w:color w:val="000000"/>
          <w:sz w:val="22"/>
          <w:szCs w:val="22"/>
          <w:lang w:eastAsia="nl-NL"/>
        </w:rPr>
        <w:t>What are the results of this research?</w:t>
      </w:r>
    </w:p>
    <w:p w:rsidR="00A95413" w:rsidRPr="00046999" w:rsidRDefault="00A95413" w:rsidP="001D4BB3">
      <w:pPr>
        <w:pStyle w:val="Lijstalinea"/>
        <w:numPr>
          <w:ilvl w:val="0"/>
          <w:numId w:val="2"/>
        </w:numPr>
        <w:spacing w:before="0" w:after="0"/>
        <w:jc w:val="both"/>
        <w:rPr>
          <w:rFonts w:cs="Calibri"/>
          <w:i/>
          <w:color w:val="000000"/>
          <w:sz w:val="22"/>
          <w:szCs w:val="22"/>
          <w:lang w:eastAsia="nl-NL"/>
        </w:rPr>
      </w:pPr>
      <w:r w:rsidRPr="00046999">
        <w:rPr>
          <w:rFonts w:cs="Calibri"/>
          <w:i/>
          <w:color w:val="000000"/>
          <w:sz w:val="22"/>
          <w:szCs w:val="22"/>
          <w:lang w:eastAsia="nl-NL"/>
        </w:rPr>
        <w:t>What is the influence of ownership structure on the extent of voluntary disclosures?</w:t>
      </w:r>
    </w:p>
    <w:p w:rsidR="00A95413" w:rsidRPr="00046999" w:rsidRDefault="00A95413" w:rsidP="001D4BB3">
      <w:pPr>
        <w:pStyle w:val="Kop2"/>
        <w:jc w:val="both"/>
        <w:rPr>
          <w:rFonts w:cs="Calibri"/>
          <w:lang w:eastAsia="nl-NL"/>
        </w:rPr>
      </w:pPr>
      <w:bookmarkStart w:id="52" w:name="_Toc320365293"/>
      <w:r w:rsidRPr="00046999">
        <w:rPr>
          <w:rFonts w:cs="Calibri"/>
          <w:lang w:eastAsia="nl-NL"/>
        </w:rPr>
        <w:lastRenderedPageBreak/>
        <w:t>Methodology</w:t>
      </w:r>
      <w:bookmarkEnd w:id="52"/>
    </w:p>
    <w:p w:rsidR="00A95413" w:rsidRPr="00046999" w:rsidRDefault="00A95413" w:rsidP="001D4BB3">
      <w:pPr>
        <w:jc w:val="both"/>
        <w:rPr>
          <w:rFonts w:cs="Calibri"/>
          <w:sz w:val="22"/>
          <w:szCs w:val="22"/>
        </w:rPr>
      </w:pPr>
      <w:r w:rsidRPr="00046999">
        <w:rPr>
          <w:rFonts w:cs="Calibri"/>
          <w:sz w:val="22"/>
          <w:szCs w:val="22"/>
        </w:rPr>
        <w:t xml:space="preserve">In order to measure the relation between ownership structure and voluntary disclosure, first </w:t>
      </w:r>
      <w:r>
        <w:rPr>
          <w:rFonts w:cs="Calibri"/>
          <w:sz w:val="22"/>
          <w:szCs w:val="22"/>
        </w:rPr>
        <w:t xml:space="preserve">it </w:t>
      </w:r>
      <w:r w:rsidRPr="00046999">
        <w:rPr>
          <w:rFonts w:cs="Calibri"/>
          <w:sz w:val="22"/>
          <w:szCs w:val="22"/>
        </w:rPr>
        <w:t xml:space="preserve">needs to be determined how to measure these concepts individually. Voluntary disclosures are measured by using a self created disclosure score sheet. However, all the items on the sheet are based on disclosure score sheets used in prior studies (Meek et al., (1995), Botosan (1997), Chau and Gray (2002), Eng and Mak (2003), Huafang and Jianguo (2007) and the Dutch transparency benchmark (2009)). </w:t>
      </w:r>
      <w:r>
        <w:rPr>
          <w:rFonts w:cs="Calibri"/>
          <w:sz w:val="22"/>
          <w:szCs w:val="22"/>
        </w:rPr>
        <w:t>T</w:t>
      </w:r>
      <w:r w:rsidRPr="00046999">
        <w:rPr>
          <w:rFonts w:cs="Calibri"/>
          <w:sz w:val="22"/>
          <w:szCs w:val="22"/>
        </w:rPr>
        <w:t xml:space="preserve">he annual reports of 2010 are analyzed for their presence according to this score sheet. This method </w:t>
      </w:r>
      <w:r w:rsidR="00487C72">
        <w:rPr>
          <w:rFonts w:cs="Calibri"/>
          <w:sz w:val="22"/>
          <w:szCs w:val="22"/>
        </w:rPr>
        <w:t xml:space="preserve">is a </w:t>
      </w:r>
      <w:r w:rsidR="00932C71">
        <w:rPr>
          <w:rFonts w:cs="Calibri"/>
          <w:sz w:val="22"/>
          <w:szCs w:val="22"/>
        </w:rPr>
        <w:t>type</w:t>
      </w:r>
      <w:r w:rsidR="00487C72">
        <w:rPr>
          <w:rFonts w:cs="Calibri"/>
          <w:sz w:val="22"/>
          <w:szCs w:val="22"/>
        </w:rPr>
        <w:t xml:space="preserve"> of </w:t>
      </w:r>
      <w:r w:rsidRPr="00046999">
        <w:rPr>
          <w:rFonts w:cs="Calibri"/>
          <w:sz w:val="22"/>
          <w:szCs w:val="22"/>
        </w:rPr>
        <w:t xml:space="preserve">‘content analysis’. </w:t>
      </w:r>
      <w:r w:rsidRPr="00046999">
        <w:rPr>
          <w:rFonts w:cs="Calibri"/>
          <w:color w:val="000000"/>
          <w:sz w:val="22"/>
          <w:szCs w:val="22"/>
          <w:lang w:eastAsia="nl-NL"/>
        </w:rPr>
        <w:t>‘</w:t>
      </w:r>
      <w:r w:rsidRPr="00046999">
        <w:rPr>
          <w:rFonts w:cs="Calibri"/>
          <w:i/>
          <w:sz w:val="22"/>
          <w:szCs w:val="22"/>
        </w:rPr>
        <w:t>Content analysis is a research technique for making replicable and valid inferences from texts (or other meaningful matter) to the contexts of their use</w:t>
      </w:r>
      <w:r w:rsidR="00990A33">
        <w:rPr>
          <w:rFonts w:cs="Calibri"/>
          <w:sz w:val="22"/>
          <w:szCs w:val="22"/>
        </w:rPr>
        <w:t>’ (Krippendorff,</w:t>
      </w:r>
      <w:r w:rsidRPr="00046999">
        <w:rPr>
          <w:rFonts w:cs="Calibri"/>
          <w:sz w:val="22"/>
          <w:szCs w:val="22"/>
        </w:rPr>
        <w:t xml:space="preserve"> 2004). The disclosure score</w:t>
      </w:r>
      <w:r>
        <w:rPr>
          <w:rFonts w:cs="Calibri"/>
          <w:sz w:val="22"/>
          <w:szCs w:val="22"/>
        </w:rPr>
        <w:t xml:space="preserve"> sheet is shown in appendix I</w:t>
      </w:r>
      <w:r w:rsidRPr="00046999">
        <w:rPr>
          <w:rFonts w:cs="Calibri"/>
          <w:sz w:val="22"/>
          <w:szCs w:val="22"/>
        </w:rPr>
        <w:t xml:space="preserve">. </w:t>
      </w:r>
    </w:p>
    <w:p w:rsidR="00A95413" w:rsidRPr="00650ED7" w:rsidRDefault="00A95413" w:rsidP="001D4BB3">
      <w:pPr>
        <w:jc w:val="both"/>
        <w:rPr>
          <w:rFonts w:cs="Calibri"/>
          <w:color w:val="000000"/>
          <w:sz w:val="22"/>
          <w:szCs w:val="22"/>
          <w:lang w:eastAsia="nl-NL"/>
        </w:rPr>
      </w:pPr>
      <w:r w:rsidRPr="00046999">
        <w:rPr>
          <w:rFonts w:cs="Calibri"/>
          <w:color w:val="000000"/>
          <w:sz w:val="22"/>
          <w:szCs w:val="22"/>
          <w:lang w:eastAsia="nl-NL"/>
        </w:rPr>
        <w:t xml:space="preserve">Furthermore, the research is restricted to five of </w:t>
      </w:r>
      <w:r>
        <w:rPr>
          <w:rFonts w:cs="Calibri"/>
          <w:color w:val="000000"/>
          <w:sz w:val="22"/>
          <w:szCs w:val="22"/>
          <w:lang w:eastAsia="nl-NL"/>
        </w:rPr>
        <w:t xml:space="preserve">the </w:t>
      </w:r>
      <w:r w:rsidRPr="00046999">
        <w:rPr>
          <w:rFonts w:cs="Calibri"/>
          <w:color w:val="000000"/>
          <w:sz w:val="22"/>
          <w:szCs w:val="22"/>
          <w:lang w:eastAsia="nl-NL"/>
        </w:rPr>
        <w:t xml:space="preserve">most influential countries in Europe </w:t>
      </w:r>
      <w:r w:rsidR="00FD52B7">
        <w:rPr>
          <w:rFonts w:cs="Calibri"/>
          <w:color w:val="000000"/>
          <w:sz w:val="22"/>
          <w:szCs w:val="22"/>
          <w:lang w:eastAsia="nl-NL"/>
        </w:rPr>
        <w:t>that</w:t>
      </w:r>
      <w:r w:rsidRPr="00046999">
        <w:rPr>
          <w:rFonts w:cs="Calibri"/>
          <w:color w:val="000000"/>
          <w:sz w:val="22"/>
          <w:szCs w:val="22"/>
          <w:lang w:eastAsia="nl-NL"/>
        </w:rPr>
        <w:t xml:space="preserve"> are also members of the Eurozone (Germany, France, </w:t>
      </w:r>
      <w:r>
        <w:rPr>
          <w:rFonts w:cs="Calibri"/>
          <w:color w:val="000000"/>
          <w:sz w:val="22"/>
          <w:szCs w:val="22"/>
          <w:lang w:eastAsia="nl-NL"/>
        </w:rPr>
        <w:t xml:space="preserve">Italy, </w:t>
      </w:r>
      <w:r w:rsidRPr="00046999">
        <w:rPr>
          <w:rFonts w:cs="Calibri"/>
          <w:color w:val="000000"/>
          <w:sz w:val="22"/>
          <w:szCs w:val="22"/>
          <w:lang w:eastAsia="nl-NL"/>
        </w:rPr>
        <w:t xml:space="preserve">The Netherlands, and </w:t>
      </w:r>
      <w:r>
        <w:rPr>
          <w:rFonts w:cs="Calibri"/>
          <w:color w:val="000000"/>
          <w:sz w:val="22"/>
          <w:szCs w:val="22"/>
          <w:lang w:eastAsia="nl-NL"/>
        </w:rPr>
        <w:t>Belgium</w:t>
      </w:r>
      <w:r w:rsidRPr="00046999">
        <w:rPr>
          <w:rFonts w:cs="Calibri"/>
          <w:color w:val="000000"/>
          <w:sz w:val="22"/>
          <w:szCs w:val="22"/>
          <w:lang w:eastAsia="nl-NL"/>
        </w:rPr>
        <w:t>).</w:t>
      </w:r>
      <w:r>
        <w:rPr>
          <w:rFonts w:cs="Calibri"/>
          <w:color w:val="000000"/>
          <w:sz w:val="22"/>
          <w:szCs w:val="22"/>
          <w:lang w:eastAsia="nl-NL"/>
        </w:rPr>
        <w:t xml:space="preserve"> Not all countries of the Eurozone are analyzed in this study due to time limitations. </w:t>
      </w:r>
      <w:r w:rsidR="000473B2">
        <w:rPr>
          <w:rFonts w:cs="Calibri"/>
          <w:color w:val="000000"/>
          <w:sz w:val="22"/>
          <w:szCs w:val="22"/>
          <w:lang w:eastAsia="nl-NL"/>
        </w:rPr>
        <w:t>The</w:t>
      </w:r>
      <w:r>
        <w:rPr>
          <w:rFonts w:cs="Calibri"/>
          <w:color w:val="000000"/>
          <w:sz w:val="22"/>
          <w:szCs w:val="22"/>
          <w:lang w:eastAsia="nl-NL"/>
        </w:rPr>
        <w:t xml:space="preserve"> selection chosen contains the main west-continental European countries. </w:t>
      </w:r>
      <w:r w:rsidRPr="00046999">
        <w:rPr>
          <w:rFonts w:cs="Calibri"/>
          <w:color w:val="000000"/>
          <w:sz w:val="22"/>
          <w:szCs w:val="22"/>
          <w:lang w:eastAsia="nl-NL"/>
        </w:rPr>
        <w:t xml:space="preserve"> As a result, when ‘Europe’ is mentioned the countries referred to are Germany, France,</w:t>
      </w:r>
      <w:r>
        <w:rPr>
          <w:rFonts w:cs="Calibri"/>
          <w:color w:val="000000"/>
          <w:sz w:val="22"/>
          <w:szCs w:val="22"/>
          <w:lang w:eastAsia="nl-NL"/>
        </w:rPr>
        <w:t xml:space="preserve"> Italy,</w:t>
      </w:r>
      <w:r w:rsidRPr="00046999">
        <w:rPr>
          <w:rFonts w:cs="Calibri"/>
          <w:color w:val="000000"/>
          <w:sz w:val="22"/>
          <w:szCs w:val="22"/>
          <w:lang w:eastAsia="nl-NL"/>
        </w:rPr>
        <w:t xml:space="preserve"> The Netherlands, and </w:t>
      </w:r>
      <w:r>
        <w:rPr>
          <w:rFonts w:cs="Calibri"/>
          <w:color w:val="000000"/>
          <w:sz w:val="22"/>
          <w:szCs w:val="22"/>
          <w:lang w:eastAsia="nl-NL"/>
        </w:rPr>
        <w:t>Belgium</w:t>
      </w:r>
      <w:r w:rsidRPr="00046999">
        <w:rPr>
          <w:rFonts w:cs="Calibri"/>
          <w:color w:val="000000"/>
          <w:sz w:val="22"/>
          <w:szCs w:val="22"/>
          <w:lang w:eastAsia="nl-NL"/>
        </w:rPr>
        <w:t xml:space="preserve">. </w:t>
      </w:r>
      <w:r w:rsidR="000473B2">
        <w:rPr>
          <w:rFonts w:cs="Calibri"/>
          <w:color w:val="000000"/>
          <w:sz w:val="22"/>
          <w:szCs w:val="22"/>
          <w:lang w:eastAsia="nl-NL"/>
        </w:rPr>
        <w:t>The content analysis is performed on the annual reports from 2010. This is</w:t>
      </w:r>
      <w:r w:rsidRPr="00046999">
        <w:rPr>
          <w:rFonts w:cs="Calibri"/>
          <w:color w:val="000000"/>
          <w:sz w:val="22"/>
          <w:szCs w:val="22"/>
          <w:lang w:eastAsia="nl-NL"/>
        </w:rPr>
        <w:t xml:space="preserve"> because </w:t>
      </w:r>
      <w:r w:rsidR="000473B2">
        <w:rPr>
          <w:rFonts w:cs="Calibri"/>
          <w:color w:val="000000"/>
          <w:sz w:val="22"/>
          <w:szCs w:val="22"/>
          <w:lang w:eastAsia="nl-NL"/>
        </w:rPr>
        <w:t>these</w:t>
      </w:r>
      <w:r w:rsidRPr="00046999">
        <w:rPr>
          <w:rFonts w:cs="Calibri"/>
          <w:color w:val="000000"/>
          <w:sz w:val="22"/>
          <w:szCs w:val="22"/>
          <w:lang w:eastAsia="nl-NL"/>
        </w:rPr>
        <w:t xml:space="preserve"> are the most recent</w:t>
      </w:r>
      <w:r w:rsidR="000473B2">
        <w:rPr>
          <w:rFonts w:cs="Calibri"/>
          <w:color w:val="000000"/>
          <w:sz w:val="22"/>
          <w:szCs w:val="22"/>
          <w:lang w:eastAsia="nl-NL"/>
        </w:rPr>
        <w:t xml:space="preserve"> annual reports available</w:t>
      </w:r>
      <w:r w:rsidRPr="00046999">
        <w:rPr>
          <w:rFonts w:cs="Calibri"/>
          <w:color w:val="000000"/>
          <w:sz w:val="22"/>
          <w:szCs w:val="22"/>
          <w:lang w:eastAsia="nl-NL"/>
        </w:rPr>
        <w:t>. The extent of information disclosed could be influenced by the current financial crisis. However, in this paper the most recent information is expected to provide the most accurate results</w:t>
      </w:r>
      <w:r w:rsidR="00E90433">
        <w:rPr>
          <w:rFonts w:cs="Calibri"/>
          <w:color w:val="000000"/>
          <w:sz w:val="22"/>
          <w:szCs w:val="22"/>
          <w:lang w:eastAsia="nl-NL"/>
        </w:rPr>
        <w:t xml:space="preserve">. </w:t>
      </w:r>
      <w:r>
        <w:rPr>
          <w:rFonts w:cs="Calibri"/>
          <w:sz w:val="22"/>
          <w:szCs w:val="22"/>
          <w:lang w:eastAsia="nl-NL"/>
        </w:rPr>
        <w:t>The ownership structure variables used in this s</w:t>
      </w:r>
      <w:r w:rsidR="002118E4">
        <w:rPr>
          <w:rFonts w:cs="Calibri"/>
          <w:sz w:val="22"/>
          <w:szCs w:val="22"/>
          <w:lang w:eastAsia="nl-NL"/>
        </w:rPr>
        <w:t>tudy are managerial ownership, blockholder ownership and g</w:t>
      </w:r>
      <w:r>
        <w:rPr>
          <w:rFonts w:cs="Calibri"/>
          <w:sz w:val="22"/>
          <w:szCs w:val="22"/>
          <w:lang w:eastAsia="nl-NL"/>
        </w:rPr>
        <w:t xml:space="preserve">overnment ownership. </w:t>
      </w:r>
      <w:r w:rsidRPr="00046999">
        <w:rPr>
          <w:rFonts w:cs="Calibri"/>
          <w:color w:val="000000"/>
          <w:sz w:val="22"/>
          <w:szCs w:val="22"/>
          <w:lang w:eastAsia="nl-NL"/>
        </w:rPr>
        <w:t>The control variables</w:t>
      </w:r>
      <w:r>
        <w:rPr>
          <w:rFonts w:cs="Calibri"/>
          <w:color w:val="000000"/>
          <w:sz w:val="22"/>
          <w:szCs w:val="22"/>
          <w:lang w:eastAsia="nl-NL"/>
        </w:rPr>
        <w:t xml:space="preserve"> used are firm size, leverage and profitability. </w:t>
      </w:r>
    </w:p>
    <w:p w:rsidR="00A95413" w:rsidRPr="00046999" w:rsidRDefault="00A95413" w:rsidP="001D4BB3">
      <w:pPr>
        <w:pStyle w:val="Kop2"/>
        <w:jc w:val="both"/>
        <w:rPr>
          <w:rFonts w:cs="Calibri"/>
          <w:lang w:eastAsia="nl-NL"/>
        </w:rPr>
      </w:pPr>
      <w:bookmarkStart w:id="53" w:name="_Toc320365294"/>
      <w:r w:rsidRPr="00046999">
        <w:rPr>
          <w:rFonts w:cs="Calibri"/>
          <w:lang w:eastAsia="nl-NL"/>
        </w:rPr>
        <w:t>Structure of the thesis</w:t>
      </w:r>
      <w:bookmarkEnd w:id="53"/>
    </w:p>
    <w:p w:rsidR="00A95413" w:rsidRDefault="00A95413" w:rsidP="001D4BB3">
      <w:pPr>
        <w:jc w:val="both"/>
        <w:rPr>
          <w:rFonts w:cs="Calibri"/>
          <w:sz w:val="22"/>
          <w:szCs w:val="22"/>
        </w:rPr>
      </w:pPr>
      <w:r w:rsidRPr="00046999">
        <w:rPr>
          <w:rFonts w:cs="Calibri"/>
          <w:sz w:val="22"/>
          <w:szCs w:val="22"/>
        </w:rPr>
        <w:t>In chapter one the</w:t>
      </w:r>
      <w:r>
        <w:rPr>
          <w:rFonts w:cs="Calibri"/>
          <w:sz w:val="22"/>
          <w:szCs w:val="22"/>
        </w:rPr>
        <w:t xml:space="preserve"> definition of voluntary disclosures is </w:t>
      </w:r>
      <w:r w:rsidR="006B488F">
        <w:rPr>
          <w:rFonts w:cs="Calibri"/>
          <w:sz w:val="22"/>
          <w:szCs w:val="22"/>
        </w:rPr>
        <w:t>stated</w:t>
      </w:r>
      <w:r>
        <w:rPr>
          <w:rFonts w:cs="Calibri"/>
          <w:sz w:val="22"/>
          <w:szCs w:val="22"/>
        </w:rPr>
        <w:t xml:space="preserve"> </w:t>
      </w:r>
      <w:r w:rsidR="005D44C0">
        <w:rPr>
          <w:rFonts w:cs="Calibri"/>
          <w:sz w:val="22"/>
          <w:szCs w:val="22"/>
        </w:rPr>
        <w:t xml:space="preserve">and </w:t>
      </w:r>
      <w:r>
        <w:rPr>
          <w:rFonts w:cs="Calibri"/>
          <w:sz w:val="22"/>
          <w:szCs w:val="22"/>
        </w:rPr>
        <w:t>in addition,</w:t>
      </w:r>
      <w:r w:rsidRPr="00046999">
        <w:rPr>
          <w:rFonts w:cs="Calibri"/>
          <w:sz w:val="22"/>
          <w:szCs w:val="22"/>
        </w:rPr>
        <w:t xml:space="preserve"> information is provided concerning the incentives to provide voluntary disclosures and the credibility of voluntary disclosures. In the second chapter the definition of ownership structure</w:t>
      </w:r>
      <w:r>
        <w:rPr>
          <w:rFonts w:cs="Calibri"/>
          <w:sz w:val="22"/>
          <w:szCs w:val="22"/>
        </w:rPr>
        <w:t xml:space="preserve"> is stated</w:t>
      </w:r>
      <w:r w:rsidRPr="00046999">
        <w:rPr>
          <w:rFonts w:cs="Calibri"/>
          <w:sz w:val="22"/>
          <w:szCs w:val="22"/>
        </w:rPr>
        <w:t xml:space="preserve">. </w:t>
      </w:r>
      <w:r>
        <w:rPr>
          <w:rFonts w:cs="Calibri"/>
          <w:sz w:val="22"/>
          <w:szCs w:val="22"/>
        </w:rPr>
        <w:t xml:space="preserve">Furthermore, </w:t>
      </w:r>
      <w:r w:rsidRPr="00046999">
        <w:rPr>
          <w:rFonts w:cs="Calibri"/>
          <w:sz w:val="22"/>
          <w:szCs w:val="22"/>
        </w:rPr>
        <w:t>information concerning the ownership structures inside and outside the EU is provided. In addition, the term corporate governance and how it relates to ownership structure is explained. In the third chapter multiple research approaches are described</w:t>
      </w:r>
      <w:r>
        <w:rPr>
          <w:rFonts w:cs="Calibri"/>
          <w:sz w:val="22"/>
          <w:szCs w:val="22"/>
        </w:rPr>
        <w:t xml:space="preserve"> and analyzed</w:t>
      </w:r>
      <w:r w:rsidRPr="00046999">
        <w:rPr>
          <w:rFonts w:cs="Calibri"/>
          <w:sz w:val="22"/>
          <w:szCs w:val="22"/>
        </w:rPr>
        <w:t xml:space="preserve">. </w:t>
      </w:r>
      <w:r>
        <w:rPr>
          <w:rFonts w:cs="Calibri"/>
          <w:sz w:val="22"/>
          <w:szCs w:val="22"/>
        </w:rPr>
        <w:t>In chapter four the method to measure voluntary disclosures is discussed; content analysis</w:t>
      </w:r>
      <w:r w:rsidRPr="00046999">
        <w:rPr>
          <w:rFonts w:cs="Calibri"/>
          <w:sz w:val="22"/>
          <w:szCs w:val="22"/>
        </w:rPr>
        <w:t xml:space="preserve">. </w:t>
      </w:r>
      <w:r>
        <w:rPr>
          <w:rFonts w:cs="Calibri"/>
          <w:sz w:val="22"/>
          <w:szCs w:val="22"/>
        </w:rPr>
        <w:t>C</w:t>
      </w:r>
      <w:r w:rsidRPr="00046999">
        <w:rPr>
          <w:rFonts w:cs="Calibri"/>
          <w:sz w:val="22"/>
          <w:szCs w:val="22"/>
        </w:rPr>
        <w:t xml:space="preserve">hapter five </w:t>
      </w:r>
      <w:r>
        <w:rPr>
          <w:rFonts w:cs="Calibri"/>
          <w:sz w:val="22"/>
          <w:szCs w:val="22"/>
        </w:rPr>
        <w:t xml:space="preserve">describes the methods to measure ownership structure </w:t>
      </w:r>
      <w:r w:rsidRPr="00046999">
        <w:rPr>
          <w:rFonts w:cs="Calibri"/>
          <w:sz w:val="22"/>
          <w:szCs w:val="22"/>
        </w:rPr>
        <w:t xml:space="preserve">and the </w:t>
      </w:r>
      <w:r>
        <w:rPr>
          <w:rFonts w:cs="Calibri"/>
          <w:sz w:val="22"/>
          <w:szCs w:val="22"/>
        </w:rPr>
        <w:t xml:space="preserve">measurements of the </w:t>
      </w:r>
      <w:r w:rsidRPr="00046999">
        <w:rPr>
          <w:rFonts w:cs="Calibri"/>
          <w:sz w:val="22"/>
          <w:szCs w:val="22"/>
        </w:rPr>
        <w:t>variables and relation</w:t>
      </w:r>
      <w:r>
        <w:rPr>
          <w:rFonts w:cs="Calibri"/>
          <w:sz w:val="22"/>
          <w:szCs w:val="22"/>
        </w:rPr>
        <w:t xml:space="preserve"> are explained</w:t>
      </w:r>
      <w:r w:rsidRPr="00046999">
        <w:rPr>
          <w:rFonts w:cs="Calibri"/>
          <w:sz w:val="22"/>
          <w:szCs w:val="22"/>
        </w:rPr>
        <w:t xml:space="preserve">. </w:t>
      </w:r>
      <w:r>
        <w:rPr>
          <w:rFonts w:cs="Calibri"/>
          <w:sz w:val="22"/>
          <w:szCs w:val="22"/>
        </w:rPr>
        <w:t xml:space="preserve">The literature review is provided and discussed </w:t>
      </w:r>
      <w:r w:rsidRPr="00046999">
        <w:rPr>
          <w:rFonts w:cs="Calibri"/>
          <w:sz w:val="22"/>
          <w:szCs w:val="22"/>
        </w:rPr>
        <w:t xml:space="preserve">in chapter </w:t>
      </w:r>
      <w:r>
        <w:rPr>
          <w:rFonts w:cs="Calibri"/>
          <w:sz w:val="22"/>
          <w:szCs w:val="22"/>
        </w:rPr>
        <w:t>six</w:t>
      </w:r>
      <w:r w:rsidRPr="00046999">
        <w:rPr>
          <w:rFonts w:cs="Calibri"/>
          <w:sz w:val="22"/>
          <w:szCs w:val="22"/>
        </w:rPr>
        <w:t>.</w:t>
      </w:r>
      <w:r>
        <w:rPr>
          <w:rFonts w:cs="Calibri"/>
          <w:sz w:val="22"/>
          <w:szCs w:val="22"/>
        </w:rPr>
        <w:t xml:space="preserve"> In </w:t>
      </w:r>
      <w:r w:rsidRPr="00046999">
        <w:rPr>
          <w:rFonts w:cs="Calibri"/>
          <w:sz w:val="22"/>
          <w:szCs w:val="22"/>
        </w:rPr>
        <w:t xml:space="preserve">chapter seven, the research design </w:t>
      </w:r>
      <w:r>
        <w:rPr>
          <w:rFonts w:cs="Calibri"/>
          <w:sz w:val="22"/>
          <w:szCs w:val="22"/>
        </w:rPr>
        <w:t>and</w:t>
      </w:r>
      <w:r w:rsidRPr="00046999">
        <w:rPr>
          <w:rFonts w:cs="Calibri"/>
          <w:sz w:val="22"/>
          <w:szCs w:val="22"/>
        </w:rPr>
        <w:t xml:space="preserve"> the hypotheses are stated. </w:t>
      </w:r>
      <w:r>
        <w:rPr>
          <w:rFonts w:cs="Calibri"/>
          <w:sz w:val="22"/>
          <w:szCs w:val="22"/>
        </w:rPr>
        <w:t>The</w:t>
      </w:r>
      <w:r w:rsidRPr="00046999">
        <w:rPr>
          <w:rFonts w:cs="Calibri"/>
          <w:sz w:val="22"/>
          <w:szCs w:val="22"/>
        </w:rPr>
        <w:t xml:space="preserve"> statistical results</w:t>
      </w:r>
      <w:r>
        <w:rPr>
          <w:rFonts w:cs="Calibri"/>
          <w:sz w:val="22"/>
          <w:szCs w:val="22"/>
        </w:rPr>
        <w:t xml:space="preserve"> and the analysis of the results</w:t>
      </w:r>
      <w:r w:rsidRPr="00046999">
        <w:rPr>
          <w:rFonts w:cs="Calibri"/>
          <w:sz w:val="22"/>
          <w:szCs w:val="22"/>
        </w:rPr>
        <w:t xml:space="preserve"> are presented</w:t>
      </w:r>
      <w:r w:rsidRPr="00C811FD">
        <w:rPr>
          <w:rFonts w:cs="Calibri"/>
          <w:sz w:val="22"/>
          <w:szCs w:val="22"/>
        </w:rPr>
        <w:t xml:space="preserve"> </w:t>
      </w:r>
      <w:r>
        <w:rPr>
          <w:rFonts w:cs="Calibri"/>
          <w:sz w:val="22"/>
          <w:szCs w:val="22"/>
        </w:rPr>
        <w:t xml:space="preserve">in </w:t>
      </w:r>
      <w:r w:rsidRPr="00046999">
        <w:rPr>
          <w:rFonts w:cs="Calibri"/>
          <w:sz w:val="22"/>
          <w:szCs w:val="22"/>
        </w:rPr>
        <w:t>chapter eight</w:t>
      </w:r>
      <w:r>
        <w:rPr>
          <w:rFonts w:cs="Calibri"/>
          <w:sz w:val="22"/>
          <w:szCs w:val="22"/>
        </w:rPr>
        <w:t xml:space="preserve"> and nine</w:t>
      </w:r>
      <w:r w:rsidRPr="00046999">
        <w:rPr>
          <w:rFonts w:cs="Calibri"/>
          <w:sz w:val="22"/>
          <w:szCs w:val="22"/>
        </w:rPr>
        <w:t>. At last, the main question is answered and the conclusion presented</w:t>
      </w:r>
      <w:r>
        <w:rPr>
          <w:rFonts w:cs="Calibri"/>
          <w:sz w:val="22"/>
          <w:szCs w:val="22"/>
        </w:rPr>
        <w:t xml:space="preserve"> in chapter ten</w:t>
      </w:r>
      <w:r w:rsidRPr="00046999">
        <w:rPr>
          <w:rFonts w:cs="Calibri"/>
          <w:sz w:val="22"/>
          <w:szCs w:val="22"/>
        </w:rPr>
        <w:t>.</w:t>
      </w:r>
    </w:p>
    <w:p w:rsidR="00CD3925" w:rsidRDefault="00CD3925" w:rsidP="001D4BB3">
      <w:pPr>
        <w:jc w:val="both"/>
        <w:rPr>
          <w:rFonts w:cs="Calibri"/>
          <w:sz w:val="22"/>
          <w:szCs w:val="22"/>
        </w:rPr>
      </w:pPr>
    </w:p>
    <w:p w:rsidR="00E16402" w:rsidRDefault="00E16402" w:rsidP="001D4BB3">
      <w:pPr>
        <w:jc w:val="both"/>
        <w:rPr>
          <w:rFonts w:cs="Calibri"/>
          <w:sz w:val="22"/>
          <w:szCs w:val="22"/>
        </w:rPr>
      </w:pPr>
    </w:p>
    <w:p w:rsidR="003D76A0" w:rsidRDefault="003D76A0" w:rsidP="001D4BB3">
      <w:pPr>
        <w:jc w:val="both"/>
        <w:rPr>
          <w:rFonts w:cs="Calibri"/>
          <w:sz w:val="22"/>
          <w:szCs w:val="22"/>
        </w:rPr>
      </w:pPr>
    </w:p>
    <w:p w:rsidR="000E3B5F" w:rsidRPr="00046999" w:rsidRDefault="000E3B5F" w:rsidP="001D4BB3">
      <w:pPr>
        <w:jc w:val="both"/>
        <w:rPr>
          <w:rFonts w:cs="Calibri"/>
          <w:sz w:val="22"/>
          <w:szCs w:val="22"/>
        </w:rPr>
      </w:pPr>
    </w:p>
    <w:p w:rsidR="00A95413" w:rsidRPr="00046999" w:rsidRDefault="00A95413" w:rsidP="001D4BB3">
      <w:pPr>
        <w:pStyle w:val="Kop1"/>
        <w:jc w:val="both"/>
        <w:rPr>
          <w:rFonts w:cs="Calibri"/>
          <w:lang w:eastAsia="nl-NL"/>
        </w:rPr>
      </w:pPr>
      <w:bookmarkStart w:id="54" w:name="_Toc320365295"/>
      <w:r w:rsidRPr="00046999">
        <w:rPr>
          <w:rFonts w:cs="Calibri"/>
          <w:lang w:eastAsia="nl-NL"/>
        </w:rPr>
        <w:lastRenderedPageBreak/>
        <w:t>Chapter 1. Voluntary disclosures</w:t>
      </w:r>
      <w:bookmarkEnd w:id="54"/>
    </w:p>
    <w:p w:rsidR="00A95413" w:rsidRPr="00046999" w:rsidRDefault="00A95413" w:rsidP="001D4BB3">
      <w:pPr>
        <w:pStyle w:val="Kop2"/>
        <w:jc w:val="both"/>
        <w:rPr>
          <w:rFonts w:cs="Calibri"/>
        </w:rPr>
      </w:pPr>
      <w:bookmarkStart w:id="55" w:name="_Toc320365296"/>
      <w:r w:rsidRPr="00046999">
        <w:rPr>
          <w:rFonts w:cs="Calibri"/>
        </w:rPr>
        <w:t>1.1 Introduction</w:t>
      </w:r>
      <w:bookmarkEnd w:id="55"/>
    </w:p>
    <w:p w:rsidR="00A95413" w:rsidRPr="00046999" w:rsidRDefault="00A95413" w:rsidP="001D4BB3">
      <w:pPr>
        <w:jc w:val="both"/>
        <w:rPr>
          <w:rFonts w:cs="Calibri"/>
          <w:b/>
          <w:bCs/>
          <w:sz w:val="22"/>
          <w:szCs w:val="22"/>
          <w:lang w:eastAsia="nl-NL"/>
        </w:rPr>
      </w:pPr>
      <w:r w:rsidRPr="00046999">
        <w:rPr>
          <w:rFonts w:cs="Calibri"/>
          <w:sz w:val="22"/>
          <w:szCs w:val="22"/>
          <w:lang w:eastAsia="nl-NL"/>
        </w:rPr>
        <w:t xml:space="preserve">In this chapter the definition of voluntary disclosures is stated and the main incentives to provide these are mentioned. Furthermore, it is described how the credibility of voluntary disclosures can be assessed. </w:t>
      </w:r>
    </w:p>
    <w:p w:rsidR="00A95413" w:rsidRPr="00046999" w:rsidRDefault="00A95413" w:rsidP="001D4BB3">
      <w:pPr>
        <w:pStyle w:val="Kop2"/>
        <w:jc w:val="both"/>
        <w:rPr>
          <w:rFonts w:cs="Calibri"/>
        </w:rPr>
      </w:pPr>
      <w:bookmarkStart w:id="56" w:name="_Toc287267054"/>
      <w:bookmarkStart w:id="57" w:name="_Toc320365297"/>
      <w:r w:rsidRPr="00046999">
        <w:rPr>
          <w:rFonts w:cs="Calibri"/>
        </w:rPr>
        <w:t>1.2 Voluntary disclosures</w:t>
      </w:r>
      <w:bookmarkEnd w:id="57"/>
    </w:p>
    <w:bookmarkEnd w:id="56"/>
    <w:p w:rsidR="00A95413" w:rsidRPr="00046999" w:rsidRDefault="00A95413" w:rsidP="001D4BB3">
      <w:pPr>
        <w:spacing w:after="0"/>
        <w:jc w:val="both"/>
        <w:rPr>
          <w:rFonts w:cs="Calibri"/>
          <w:color w:val="000000"/>
          <w:sz w:val="22"/>
          <w:szCs w:val="22"/>
          <w:lang w:eastAsia="nl-NL"/>
        </w:rPr>
      </w:pPr>
      <w:r w:rsidRPr="00046999">
        <w:rPr>
          <w:rFonts w:cs="Calibri"/>
          <w:color w:val="000000"/>
          <w:sz w:val="22"/>
          <w:szCs w:val="22"/>
          <w:lang w:eastAsia="nl-NL"/>
        </w:rPr>
        <w:t xml:space="preserve">As mentioned in </w:t>
      </w:r>
      <w:r>
        <w:rPr>
          <w:rFonts w:cs="Calibri"/>
          <w:color w:val="000000"/>
          <w:sz w:val="22"/>
          <w:szCs w:val="22"/>
          <w:lang w:eastAsia="nl-NL"/>
        </w:rPr>
        <w:t>the</w:t>
      </w:r>
      <w:r w:rsidRPr="00046999">
        <w:rPr>
          <w:rFonts w:cs="Calibri"/>
          <w:color w:val="000000"/>
          <w:sz w:val="22"/>
          <w:szCs w:val="22"/>
          <w:lang w:eastAsia="nl-NL"/>
        </w:rPr>
        <w:t xml:space="preserve"> introduction, in this paper voluntary disclosures are defined as disclosures of information that management of companies can provide aside of their mandatory disclosures. Mandatory disclosures </w:t>
      </w:r>
      <w:r>
        <w:rPr>
          <w:rFonts w:cs="Calibri"/>
          <w:color w:val="000000"/>
          <w:sz w:val="22"/>
          <w:szCs w:val="22"/>
          <w:lang w:eastAsia="nl-NL"/>
        </w:rPr>
        <w:t>concern</w:t>
      </w:r>
      <w:r w:rsidRPr="00046999">
        <w:rPr>
          <w:rFonts w:cs="Calibri"/>
          <w:color w:val="000000"/>
          <w:sz w:val="22"/>
          <w:szCs w:val="22"/>
          <w:lang w:eastAsia="nl-NL"/>
        </w:rPr>
        <w:t xml:space="preserve"> the required disclosures according to standard setters such as IFRS or US GAAP. Voluntary disclosures are frequently divided in three types of information: strategic, financial and non-financial. The first study to take </w:t>
      </w:r>
      <w:r>
        <w:rPr>
          <w:rFonts w:cs="Calibri"/>
          <w:color w:val="000000"/>
          <w:sz w:val="22"/>
          <w:szCs w:val="22"/>
          <w:lang w:eastAsia="nl-NL"/>
        </w:rPr>
        <w:t xml:space="preserve">these three information types </w:t>
      </w:r>
      <w:r w:rsidRPr="00046999">
        <w:rPr>
          <w:rFonts w:cs="Calibri"/>
          <w:color w:val="000000"/>
          <w:sz w:val="22"/>
          <w:szCs w:val="22"/>
          <w:lang w:eastAsia="nl-NL"/>
        </w:rPr>
        <w:t xml:space="preserve">into </w:t>
      </w:r>
      <w:r>
        <w:rPr>
          <w:rFonts w:cs="Calibri"/>
          <w:color w:val="000000"/>
          <w:sz w:val="22"/>
          <w:szCs w:val="22"/>
          <w:lang w:eastAsia="nl-NL"/>
        </w:rPr>
        <w:t>account</w:t>
      </w:r>
      <w:r w:rsidRPr="00046999">
        <w:rPr>
          <w:rFonts w:cs="Calibri"/>
          <w:color w:val="000000"/>
          <w:sz w:val="22"/>
          <w:szCs w:val="22"/>
          <w:lang w:eastAsia="nl-NL"/>
        </w:rPr>
        <w:t xml:space="preserve"> was Meek et al. (1995). Obviously, strategic and financial information are relevant to investors and other decision makers. Non-financial information focuses more on the social accountability of a firm and is</w:t>
      </w:r>
      <w:r w:rsidR="004A3BF8">
        <w:rPr>
          <w:rFonts w:cs="Calibri"/>
          <w:color w:val="000000"/>
          <w:sz w:val="22"/>
          <w:szCs w:val="22"/>
          <w:lang w:eastAsia="nl-NL"/>
        </w:rPr>
        <w:t>,</w:t>
      </w:r>
      <w:r w:rsidRPr="00046999">
        <w:rPr>
          <w:rFonts w:cs="Calibri"/>
          <w:color w:val="000000"/>
          <w:sz w:val="22"/>
          <w:szCs w:val="22"/>
          <w:lang w:eastAsia="nl-NL"/>
        </w:rPr>
        <w:t xml:space="preserve"> </w:t>
      </w:r>
      <w:r w:rsidR="00CC38BB">
        <w:rPr>
          <w:rFonts w:cs="Calibri"/>
          <w:color w:val="000000"/>
          <w:sz w:val="22"/>
          <w:szCs w:val="22"/>
          <w:lang w:eastAsia="nl-NL"/>
        </w:rPr>
        <w:t xml:space="preserve">besides for </w:t>
      </w:r>
      <w:r w:rsidR="00F80C2D">
        <w:rPr>
          <w:rFonts w:cs="Calibri"/>
          <w:color w:val="000000"/>
          <w:sz w:val="22"/>
          <w:szCs w:val="22"/>
          <w:lang w:eastAsia="nl-NL"/>
        </w:rPr>
        <w:t>investors</w:t>
      </w:r>
      <w:r w:rsidR="00CC38BB">
        <w:rPr>
          <w:rFonts w:cs="Calibri"/>
          <w:color w:val="000000"/>
          <w:sz w:val="22"/>
          <w:szCs w:val="22"/>
          <w:lang w:eastAsia="nl-NL"/>
        </w:rPr>
        <w:t xml:space="preserve">, also </w:t>
      </w:r>
      <w:r w:rsidRPr="00046999">
        <w:rPr>
          <w:rFonts w:cs="Calibri"/>
          <w:color w:val="000000"/>
          <w:sz w:val="22"/>
          <w:szCs w:val="22"/>
          <w:lang w:eastAsia="nl-NL"/>
        </w:rPr>
        <w:t xml:space="preserve">relevant to the general public. For this reason it is likely that the factors influencing disclosure choices differ among type of information. In this paper, the voluntary disclosure items are also subdivided into the three categories; strategic, non-financial and financial. Examples of strategic, non-financial and financial disclosures are respectively: information on corporate strategy, </w:t>
      </w:r>
      <w:r>
        <w:rPr>
          <w:rFonts w:cs="Calibri"/>
          <w:color w:val="000000"/>
          <w:sz w:val="22"/>
          <w:szCs w:val="22"/>
          <w:lang w:eastAsia="nl-NL"/>
        </w:rPr>
        <w:t>information on environmental policy</w:t>
      </w:r>
      <w:r w:rsidRPr="00046999">
        <w:rPr>
          <w:rFonts w:cs="Calibri"/>
          <w:color w:val="000000"/>
          <w:sz w:val="22"/>
          <w:szCs w:val="22"/>
          <w:lang w:eastAsia="nl-NL"/>
        </w:rPr>
        <w:t xml:space="preserve"> and earnings forecasts. </w:t>
      </w:r>
    </w:p>
    <w:p w:rsidR="00A95413" w:rsidRPr="00046999" w:rsidRDefault="00A95413" w:rsidP="001D4BB3">
      <w:pPr>
        <w:spacing w:after="0"/>
        <w:jc w:val="both"/>
        <w:rPr>
          <w:rFonts w:cs="Calibri"/>
          <w:color w:val="000000"/>
          <w:sz w:val="22"/>
          <w:szCs w:val="22"/>
          <w:lang w:eastAsia="nl-NL"/>
        </w:rPr>
      </w:pPr>
      <w:r w:rsidRPr="00046999">
        <w:rPr>
          <w:rFonts w:cs="Calibri"/>
          <w:color w:val="000000"/>
          <w:sz w:val="22"/>
          <w:szCs w:val="22"/>
          <w:lang w:eastAsia="nl-NL"/>
        </w:rPr>
        <w:t>There are various ways to provide voluntary disclosures; via annual, semi-annually and quarterly reports, separate sustainability reports, footnotes, interviews, press releases and more. In this study only annual reports are used. There are numerous studies investigating the incentives of management to provide these voluntary disclosures. For example, in 1990 Wagenhofer provided a theory for voluntary disclosures. It is based on the game theory where he argues: ‘</w:t>
      </w:r>
      <w:r w:rsidRPr="00046999">
        <w:rPr>
          <w:rFonts w:cs="Calibri"/>
          <w:i/>
          <w:iCs/>
          <w:color w:val="000000"/>
          <w:sz w:val="22"/>
          <w:szCs w:val="22"/>
          <w:lang w:eastAsia="nl-NL"/>
        </w:rPr>
        <w:t>Any entity contemplating making a disclosure will disclose information that is favorable to the entity, and will not disclose information that is unfavorable to then entity’</w:t>
      </w:r>
      <w:r w:rsidRPr="00046999">
        <w:rPr>
          <w:rFonts w:cs="Calibri"/>
          <w:color w:val="000000"/>
          <w:sz w:val="22"/>
          <w:szCs w:val="22"/>
          <w:lang w:eastAsia="nl-NL"/>
        </w:rPr>
        <w:t xml:space="preserve">. For decision makers this is important to keep in mind when interpreting the (absence of) voluntary disclosures (Wagenhofer, 1990). This way decision-makers can anticipate on the incentives of entities’ management. In other studies more incentives for management to provide voluntary disclosures are discovered which are explained in the next paragraph. </w:t>
      </w:r>
    </w:p>
    <w:p w:rsidR="00A95413" w:rsidRPr="00046999" w:rsidRDefault="00A95413" w:rsidP="001D4BB3">
      <w:pPr>
        <w:pStyle w:val="Kop2"/>
        <w:jc w:val="both"/>
        <w:rPr>
          <w:rFonts w:cs="Calibri"/>
        </w:rPr>
      </w:pPr>
      <w:bookmarkStart w:id="58" w:name="_Toc287267055"/>
      <w:bookmarkStart w:id="59" w:name="_Toc320365298"/>
      <w:r w:rsidRPr="00046999">
        <w:rPr>
          <w:rFonts w:cs="Calibri"/>
        </w:rPr>
        <w:t>1.3 Incentives of volun</w:t>
      </w:r>
      <w:r>
        <w:rPr>
          <w:rFonts w:cs="Calibri"/>
        </w:rPr>
        <w:t>t</w:t>
      </w:r>
      <w:r w:rsidRPr="00046999">
        <w:rPr>
          <w:rFonts w:cs="Calibri"/>
        </w:rPr>
        <w:t>ary disclosures</w:t>
      </w:r>
      <w:bookmarkEnd w:id="59"/>
    </w:p>
    <w:bookmarkEnd w:id="58"/>
    <w:p w:rsidR="00A95413" w:rsidRPr="00046999" w:rsidRDefault="00A95413" w:rsidP="001D4BB3">
      <w:pPr>
        <w:spacing w:after="0"/>
        <w:jc w:val="both"/>
        <w:rPr>
          <w:rFonts w:cs="Calibri"/>
          <w:color w:val="000000"/>
          <w:sz w:val="22"/>
          <w:szCs w:val="22"/>
          <w:lang w:eastAsia="nl-NL"/>
        </w:rPr>
      </w:pPr>
      <w:r w:rsidRPr="00046999">
        <w:rPr>
          <w:rFonts w:cs="Calibri"/>
          <w:color w:val="000000"/>
          <w:sz w:val="22"/>
          <w:szCs w:val="22"/>
          <w:lang w:eastAsia="nl-NL"/>
        </w:rPr>
        <w:t xml:space="preserve">From the research of Healy and Palepu (2001) it appears that current literature defines six separate incentives for management to provide voluntary disclosures. In this paragraph these incentives are stated and a short explanation is provided. First, the incentive of capital market transactions; when an entities’ management anticipates capital market transactions in the near future, a voluntary disclosure is used to reduce the information asymmetry between the firm and the investor. The reason for management to do so is that it could reduce the costs of external financing. Various studies also found empirical evidence for this theory. For example, in 2006 Botosan concludes that greater disclosure results in lower cost of capital.  </w:t>
      </w:r>
    </w:p>
    <w:p w:rsidR="00A95413" w:rsidRPr="00046999" w:rsidRDefault="00A95413" w:rsidP="001D4BB3">
      <w:pPr>
        <w:spacing w:after="0"/>
        <w:jc w:val="both"/>
        <w:rPr>
          <w:rFonts w:cs="Calibri"/>
          <w:color w:val="000000"/>
          <w:sz w:val="22"/>
          <w:szCs w:val="22"/>
          <w:lang w:eastAsia="nl-NL"/>
        </w:rPr>
      </w:pPr>
      <w:r w:rsidRPr="00046999">
        <w:rPr>
          <w:rFonts w:cs="Calibri"/>
          <w:color w:val="000000"/>
          <w:sz w:val="22"/>
          <w:szCs w:val="22"/>
          <w:lang w:eastAsia="nl-NL"/>
        </w:rPr>
        <w:lastRenderedPageBreak/>
        <w:t>The second incentive is the corporate control contest incentive. This incentive assumes that managers are held accountable for stock performance. Various empirical studies (e.g. Warner, Watts and Wruck 1988) show that there is a relation between poor stock performance and changes in top management. Therefore, when there is poor stock performance or poor earnings performance, management has an incentive to disclose information in order to explain the poor performances and as a result is able to maintain his job. The third incentive is the stock compensation incentive. It appears that being compensated in stock creates multiple incentives; to increase the liquidity of the firm’s stock, reduce contracting costs and to reduce the risk of misevaluation of stock. Empirically it is revealed by Noe (1999) that when firms use stock compensation (which can affect ownership structure) this would result in the entity disclosing more information.</w:t>
      </w:r>
    </w:p>
    <w:p w:rsidR="00A95413" w:rsidRDefault="00A95413" w:rsidP="001D4BB3">
      <w:pPr>
        <w:spacing w:after="0"/>
        <w:jc w:val="both"/>
        <w:rPr>
          <w:rFonts w:cs="Calibri"/>
          <w:color w:val="000000"/>
          <w:sz w:val="22"/>
          <w:szCs w:val="22"/>
          <w:lang w:eastAsia="nl-NL"/>
        </w:rPr>
      </w:pPr>
      <w:r w:rsidRPr="00046999">
        <w:rPr>
          <w:rFonts w:cs="Calibri"/>
          <w:color w:val="000000"/>
          <w:sz w:val="22"/>
          <w:szCs w:val="22"/>
          <w:lang w:eastAsia="nl-NL"/>
        </w:rPr>
        <w:t xml:space="preserve"> Furthermore, there is the litigation cost incentive which has two effects; first, managers are likely to disclose more information in order to avoid litigation costs from users blaming managers with inadequate or untimely disclosures. Second, managers are likely to disclose less voluntary information in order to avoid litigation costs from users blaming managers for incorrect information and predictions. Therefore, the results of this incentive remain ambiguous. The fifth incentive is the management signaling incentive. This is in a normative study described by Trueman (1986) who argues that talented managers have more incentives to provide voluntary disclosures such as earning forecasts to positively influence the investor’s perception about the managers’ ability of obtaining and responding to important information. A very positive perception of the manager can result in a higher market value of the firm. No empirical evidence is found for this incentive. The last incentive is the propriety cost incentive. This incentive argues that the decision to disclose information is influenced by the concern that these disclosures might damage their competitive position. This was also what Wagenhofer (1990) meant as we described previously. Most studies on this incentive are normative. However, there is some empirical evidence provided by Piotroski (2000) that supports this incentive.</w:t>
      </w:r>
    </w:p>
    <w:p w:rsidR="007708AC" w:rsidRDefault="007708AC" w:rsidP="001D4BB3">
      <w:pPr>
        <w:spacing w:after="0"/>
        <w:jc w:val="both"/>
        <w:rPr>
          <w:rFonts w:cs="Calibri"/>
          <w:color w:val="000000"/>
          <w:sz w:val="22"/>
          <w:szCs w:val="22"/>
          <w:lang w:eastAsia="nl-NL"/>
        </w:rPr>
      </w:pPr>
      <w:r>
        <w:rPr>
          <w:rFonts w:cs="Calibri"/>
          <w:color w:val="000000"/>
          <w:sz w:val="22"/>
          <w:szCs w:val="22"/>
          <w:lang w:eastAsia="nl-NL"/>
        </w:rPr>
        <w:t>In addition to the above stated incentives, several theories exist which can help to explain the provision of voluntary disclosures. These are legitimacy theory, stakeholder theory and institutional theory.</w:t>
      </w:r>
      <w:r w:rsidR="00485303">
        <w:rPr>
          <w:rFonts w:cs="Calibri"/>
          <w:color w:val="000000"/>
          <w:sz w:val="22"/>
          <w:szCs w:val="22"/>
          <w:lang w:eastAsia="nl-NL"/>
        </w:rPr>
        <w:t xml:space="preserve"> Legitimacy theory suggests that organizations act in order to ensure that they operate within the norms and bounds set by society; the so called ‘social contract’ (Deegan and Unerman, 2011). Therefore, according to this theory voluntary disclosures are provided to meet to expectations of society</w:t>
      </w:r>
      <w:r w:rsidR="006949ED">
        <w:rPr>
          <w:rFonts w:cs="Calibri"/>
          <w:color w:val="000000"/>
          <w:sz w:val="22"/>
          <w:szCs w:val="22"/>
          <w:lang w:eastAsia="nl-NL"/>
        </w:rPr>
        <w:t xml:space="preserve"> and to continue to legitimize the organization. Stakeholder </w:t>
      </w:r>
      <w:r w:rsidR="006A6A68">
        <w:rPr>
          <w:rFonts w:cs="Calibri"/>
          <w:color w:val="000000"/>
          <w:sz w:val="22"/>
          <w:szCs w:val="22"/>
          <w:lang w:eastAsia="nl-NL"/>
        </w:rPr>
        <w:t>theory suggests</w:t>
      </w:r>
      <w:r w:rsidR="006949ED">
        <w:rPr>
          <w:rFonts w:cs="Calibri"/>
          <w:color w:val="000000"/>
          <w:sz w:val="22"/>
          <w:szCs w:val="22"/>
          <w:lang w:eastAsia="nl-NL"/>
        </w:rPr>
        <w:t xml:space="preserve"> that</w:t>
      </w:r>
      <w:r w:rsidR="00CD6D34">
        <w:rPr>
          <w:rFonts w:cs="Calibri"/>
          <w:color w:val="000000"/>
          <w:sz w:val="22"/>
          <w:szCs w:val="22"/>
          <w:lang w:eastAsia="nl-NL"/>
        </w:rPr>
        <w:t xml:space="preserve"> there are various stakeholders an organization has </w:t>
      </w:r>
      <w:r w:rsidR="000E593A">
        <w:rPr>
          <w:rFonts w:cs="Calibri"/>
          <w:color w:val="000000"/>
          <w:sz w:val="22"/>
          <w:szCs w:val="22"/>
          <w:lang w:eastAsia="nl-NL"/>
        </w:rPr>
        <w:t xml:space="preserve">to maintain </w:t>
      </w:r>
      <w:r w:rsidR="00CD6D34">
        <w:rPr>
          <w:rFonts w:cs="Calibri"/>
          <w:color w:val="000000"/>
          <w:sz w:val="22"/>
          <w:szCs w:val="22"/>
          <w:lang w:eastAsia="nl-NL"/>
        </w:rPr>
        <w:t>a relation with.</w:t>
      </w:r>
      <w:r w:rsidR="00850910">
        <w:rPr>
          <w:rFonts w:cs="Calibri"/>
          <w:color w:val="000000"/>
          <w:sz w:val="22"/>
          <w:szCs w:val="22"/>
          <w:lang w:eastAsia="nl-NL"/>
        </w:rPr>
        <w:t xml:space="preserve"> Voluntary disclosures can be either provided according to the ethical branch</w:t>
      </w:r>
      <w:r w:rsidR="00E428B5">
        <w:rPr>
          <w:rFonts w:cs="Calibri"/>
          <w:color w:val="000000"/>
          <w:sz w:val="22"/>
          <w:szCs w:val="22"/>
          <w:lang w:eastAsia="nl-NL"/>
        </w:rPr>
        <w:t>; as</w:t>
      </w:r>
      <w:r w:rsidR="00850910">
        <w:rPr>
          <w:rFonts w:cs="Calibri"/>
          <w:color w:val="000000"/>
          <w:sz w:val="22"/>
          <w:szCs w:val="22"/>
          <w:lang w:eastAsia="nl-NL"/>
        </w:rPr>
        <w:t xml:space="preserve"> stakeholders have a </w:t>
      </w:r>
      <w:r w:rsidR="000E593A">
        <w:rPr>
          <w:rFonts w:cs="Calibri"/>
          <w:color w:val="000000"/>
          <w:sz w:val="22"/>
          <w:szCs w:val="22"/>
          <w:lang w:eastAsia="nl-NL"/>
        </w:rPr>
        <w:t>‘</w:t>
      </w:r>
      <w:r w:rsidR="00850910">
        <w:rPr>
          <w:rFonts w:cs="Calibri"/>
          <w:color w:val="000000"/>
          <w:sz w:val="22"/>
          <w:szCs w:val="22"/>
          <w:lang w:eastAsia="nl-NL"/>
        </w:rPr>
        <w:t>right to know</w:t>
      </w:r>
      <w:r w:rsidR="000E593A">
        <w:rPr>
          <w:rFonts w:cs="Calibri"/>
          <w:color w:val="000000"/>
          <w:sz w:val="22"/>
          <w:szCs w:val="22"/>
          <w:lang w:eastAsia="nl-NL"/>
        </w:rPr>
        <w:t>’</w:t>
      </w:r>
      <w:r w:rsidR="00850910">
        <w:rPr>
          <w:rFonts w:cs="Calibri"/>
          <w:color w:val="000000"/>
          <w:sz w:val="22"/>
          <w:szCs w:val="22"/>
          <w:lang w:eastAsia="nl-NL"/>
        </w:rPr>
        <w:t xml:space="preserve"> or according to the managerial branch</w:t>
      </w:r>
      <w:r w:rsidR="00E428B5">
        <w:rPr>
          <w:rFonts w:cs="Calibri"/>
          <w:color w:val="000000"/>
          <w:sz w:val="22"/>
          <w:szCs w:val="22"/>
          <w:lang w:eastAsia="nl-NL"/>
        </w:rPr>
        <w:t>;</w:t>
      </w:r>
      <w:r w:rsidR="00850910">
        <w:rPr>
          <w:rFonts w:cs="Calibri"/>
          <w:color w:val="000000"/>
          <w:sz w:val="22"/>
          <w:szCs w:val="22"/>
          <w:lang w:eastAsia="nl-NL"/>
        </w:rPr>
        <w:t xml:space="preserve"> to satisfy the needs of the most important stakeholders. Lastly, institutional theory explains why organizations facing the same conditions tend to </w:t>
      </w:r>
      <w:r w:rsidR="002538B2">
        <w:rPr>
          <w:rFonts w:cs="Calibri"/>
          <w:color w:val="000000"/>
          <w:sz w:val="22"/>
          <w:szCs w:val="22"/>
          <w:lang w:eastAsia="nl-NL"/>
        </w:rPr>
        <w:t>look</w:t>
      </w:r>
      <w:r w:rsidR="000E593A">
        <w:rPr>
          <w:rFonts w:cs="Calibri"/>
          <w:color w:val="000000"/>
          <w:sz w:val="22"/>
          <w:szCs w:val="22"/>
          <w:lang w:eastAsia="nl-NL"/>
        </w:rPr>
        <w:t xml:space="preserve"> and </w:t>
      </w:r>
      <w:r w:rsidR="00C20069">
        <w:rPr>
          <w:rFonts w:cs="Calibri"/>
          <w:color w:val="000000"/>
          <w:sz w:val="22"/>
          <w:szCs w:val="22"/>
          <w:lang w:eastAsia="nl-NL"/>
        </w:rPr>
        <w:t>act</w:t>
      </w:r>
      <w:r w:rsidR="002538B2">
        <w:rPr>
          <w:rFonts w:cs="Calibri"/>
          <w:color w:val="000000"/>
          <w:sz w:val="22"/>
          <w:szCs w:val="22"/>
          <w:lang w:eastAsia="nl-NL"/>
        </w:rPr>
        <w:t xml:space="preserve"> similar. According to institutional theory voluntary di</w:t>
      </w:r>
      <w:r w:rsidR="004762F5">
        <w:rPr>
          <w:rFonts w:cs="Calibri"/>
          <w:color w:val="000000"/>
          <w:sz w:val="22"/>
          <w:szCs w:val="22"/>
          <w:lang w:eastAsia="nl-NL"/>
        </w:rPr>
        <w:t>sclosures are provided because a</w:t>
      </w:r>
      <w:r w:rsidR="002538B2">
        <w:rPr>
          <w:rFonts w:cs="Calibri"/>
          <w:color w:val="000000"/>
          <w:sz w:val="22"/>
          <w:szCs w:val="22"/>
          <w:lang w:eastAsia="nl-NL"/>
        </w:rPr>
        <w:t>.</w:t>
      </w:r>
      <w:r w:rsidR="004762F5">
        <w:rPr>
          <w:rFonts w:cs="Calibri"/>
          <w:color w:val="000000"/>
          <w:sz w:val="22"/>
          <w:szCs w:val="22"/>
          <w:lang w:eastAsia="nl-NL"/>
        </w:rPr>
        <w:t xml:space="preserve"> p</w:t>
      </w:r>
      <w:r w:rsidR="002538B2">
        <w:rPr>
          <w:rFonts w:cs="Calibri"/>
          <w:color w:val="000000"/>
          <w:sz w:val="22"/>
          <w:szCs w:val="22"/>
          <w:lang w:eastAsia="nl-NL"/>
        </w:rPr>
        <w:t xml:space="preserve">ressure from institutions/stakeholders </w:t>
      </w:r>
      <w:r w:rsidR="004762F5">
        <w:rPr>
          <w:rFonts w:cs="Calibri"/>
          <w:color w:val="000000"/>
          <w:sz w:val="22"/>
          <w:szCs w:val="22"/>
          <w:lang w:eastAsia="nl-NL"/>
        </w:rPr>
        <w:t>b</w:t>
      </w:r>
      <w:r w:rsidR="002538B2">
        <w:rPr>
          <w:rFonts w:cs="Calibri"/>
          <w:color w:val="000000"/>
          <w:sz w:val="22"/>
          <w:szCs w:val="22"/>
          <w:lang w:eastAsia="nl-NL"/>
        </w:rPr>
        <w:t xml:space="preserve">. </w:t>
      </w:r>
      <w:r w:rsidR="004762F5">
        <w:rPr>
          <w:rFonts w:cs="Calibri"/>
          <w:color w:val="000000"/>
          <w:sz w:val="22"/>
          <w:szCs w:val="22"/>
          <w:lang w:eastAsia="nl-NL"/>
        </w:rPr>
        <w:t>c</w:t>
      </w:r>
      <w:r w:rsidR="002538B2">
        <w:rPr>
          <w:rFonts w:cs="Calibri"/>
          <w:color w:val="000000"/>
          <w:sz w:val="22"/>
          <w:szCs w:val="22"/>
          <w:lang w:eastAsia="nl-NL"/>
        </w:rPr>
        <w:t xml:space="preserve">ompeting firms are doing so </w:t>
      </w:r>
      <w:r w:rsidR="004762F5">
        <w:rPr>
          <w:rFonts w:cs="Calibri"/>
          <w:color w:val="000000"/>
          <w:sz w:val="22"/>
          <w:szCs w:val="22"/>
          <w:lang w:eastAsia="nl-NL"/>
        </w:rPr>
        <w:t>or c</w:t>
      </w:r>
      <w:r w:rsidR="002538B2">
        <w:rPr>
          <w:rFonts w:cs="Calibri"/>
          <w:color w:val="000000"/>
          <w:sz w:val="22"/>
          <w:szCs w:val="22"/>
          <w:lang w:eastAsia="nl-NL"/>
        </w:rPr>
        <w:t xml:space="preserve">. </w:t>
      </w:r>
      <w:r w:rsidR="004762F5">
        <w:rPr>
          <w:rFonts w:cs="Calibri"/>
          <w:color w:val="000000"/>
          <w:sz w:val="22"/>
          <w:szCs w:val="22"/>
          <w:lang w:eastAsia="nl-NL"/>
        </w:rPr>
        <w:t>pressure from group norms</w:t>
      </w:r>
      <w:r w:rsidR="00C10ECF">
        <w:rPr>
          <w:rFonts w:cs="Calibri"/>
          <w:color w:val="000000"/>
          <w:sz w:val="22"/>
          <w:szCs w:val="22"/>
          <w:lang w:eastAsia="nl-NL"/>
        </w:rPr>
        <w:t xml:space="preserve"> (Deegan and Unerman, 2011)</w:t>
      </w:r>
      <w:r w:rsidR="004762F5">
        <w:rPr>
          <w:rFonts w:cs="Calibri"/>
          <w:color w:val="000000"/>
          <w:sz w:val="22"/>
          <w:szCs w:val="22"/>
          <w:lang w:eastAsia="nl-NL"/>
        </w:rPr>
        <w:t xml:space="preserve">. </w:t>
      </w:r>
      <w:r w:rsidR="00850910">
        <w:rPr>
          <w:rFonts w:cs="Calibri"/>
          <w:color w:val="000000"/>
          <w:sz w:val="22"/>
          <w:szCs w:val="22"/>
          <w:lang w:eastAsia="nl-NL"/>
        </w:rPr>
        <w:t xml:space="preserve"> </w:t>
      </w:r>
      <w:r w:rsidR="00CD6D34">
        <w:rPr>
          <w:rFonts w:cs="Calibri"/>
          <w:color w:val="000000"/>
          <w:sz w:val="22"/>
          <w:szCs w:val="22"/>
          <w:lang w:eastAsia="nl-NL"/>
        </w:rPr>
        <w:t xml:space="preserve"> </w:t>
      </w:r>
      <w:r w:rsidR="00485303">
        <w:rPr>
          <w:rFonts w:cs="Calibri"/>
          <w:color w:val="000000"/>
          <w:sz w:val="22"/>
          <w:szCs w:val="22"/>
          <w:lang w:eastAsia="nl-NL"/>
        </w:rPr>
        <w:t xml:space="preserve"> </w:t>
      </w:r>
    </w:p>
    <w:p w:rsidR="00A95413" w:rsidRPr="007708AC" w:rsidRDefault="00A95413" w:rsidP="001D4BB3">
      <w:pPr>
        <w:spacing w:after="0"/>
        <w:jc w:val="both"/>
        <w:rPr>
          <w:rStyle w:val="Kop2Char"/>
          <w:rFonts w:cs="Calibri"/>
          <w:caps w:val="0"/>
          <w:color w:val="000000"/>
          <w:spacing w:val="0"/>
          <w:sz w:val="22"/>
          <w:szCs w:val="22"/>
          <w:shd w:val="clear" w:color="auto" w:fill="auto"/>
          <w:lang w:eastAsia="nl-NL"/>
        </w:rPr>
      </w:pPr>
      <w:r w:rsidRPr="00046999">
        <w:rPr>
          <w:rFonts w:cs="Calibri"/>
          <w:color w:val="000000"/>
          <w:sz w:val="22"/>
          <w:szCs w:val="22"/>
          <w:lang w:eastAsia="nl-NL"/>
        </w:rPr>
        <w:t>Now the incentives for voluntary disclosures are described in this paragraph it is important to describe how one can determine the reliability and relevance of voluntary disclosures. Therefore, the credibility of voluntary disclosures is outlined in the next paragraph.</w:t>
      </w:r>
    </w:p>
    <w:p w:rsidR="00A95413" w:rsidRPr="00046999" w:rsidRDefault="00A95413" w:rsidP="001D4BB3">
      <w:pPr>
        <w:pStyle w:val="Kop2"/>
        <w:jc w:val="both"/>
        <w:rPr>
          <w:rFonts w:cs="Calibri"/>
        </w:rPr>
      </w:pPr>
      <w:bookmarkStart w:id="60" w:name="_Toc320365299"/>
      <w:r>
        <w:rPr>
          <w:rFonts w:cs="Calibri"/>
        </w:rPr>
        <w:lastRenderedPageBreak/>
        <w:t>1.4 C</w:t>
      </w:r>
      <w:r w:rsidRPr="00046999">
        <w:rPr>
          <w:rFonts w:cs="Calibri"/>
        </w:rPr>
        <w:t>redibility of voluntary disclosures</w:t>
      </w:r>
      <w:bookmarkEnd w:id="60"/>
    </w:p>
    <w:p w:rsidR="00A95413" w:rsidRPr="00046999" w:rsidRDefault="00A95413" w:rsidP="001D4BB3">
      <w:pPr>
        <w:spacing w:after="0"/>
        <w:jc w:val="both"/>
        <w:rPr>
          <w:rFonts w:cs="Calibri"/>
          <w:b/>
          <w:bCs/>
          <w:color w:val="000000"/>
          <w:sz w:val="22"/>
          <w:szCs w:val="22"/>
          <w:lang w:eastAsia="nl-NL"/>
        </w:rPr>
      </w:pPr>
      <w:r w:rsidRPr="00046999">
        <w:rPr>
          <w:rFonts w:cs="Calibri"/>
          <w:color w:val="000000"/>
          <w:sz w:val="22"/>
          <w:szCs w:val="22"/>
          <w:lang w:eastAsia="nl-NL"/>
        </w:rPr>
        <w:t>The incentives provided above describe that, the main reason why voluntary disclosures are provided, is because the firm or management appears to benefit from providing this information. Therefore, it makes sense to question the credibility of voluntary disclosures. To increase the credibility one can do two things according to Healy and Palepu (2001); either let an independent third party provide assurance about the quality of the disclosure or assess the quality of prior voluntary disclosures. The second method is most effective when there are consequences for managers who knowingly prepare incorrect voluntary disclosures. Empirical evidence shows that voluntary disclosures, for example management forecasts, are generally seen as credible. For example, Waymire (1984) and Ajinkya and Gift (1984) show that when there is a  management forecast of an expected increase in earnings the stock price also increases, hence, it is believed that the expected increase is correct. Waymire (1984) used for his study 479 projections of earnings per share. These projections were published in the Wall Street Journal during the period 1969-1973. Ajinkya and Gift (1984) used a sample of 259 observations of management forecasts. The forecasts were also obtained from the Wall Street Journal in period 1970-1977. In addition, Pownall and Waymire (1989) discover that the magnitude of the reaction to a forecast of unexpected increased earnings is similar to the actual announcement of the increased earnings itself. This advocates that the disclosures of earnings forecasts are generally seen as credible.  For their study also the management forecasts form the Wall Street Journal were used. Their final sample consisted of 313 forecasts from 314 companies. Furthermore, a study from Frost (1997) also showed that the credibility of a disclosure declines when the firm is in a financially stressed situation. It appears from these studies that in general voluntary disclosures are seen as credible but perhaps less credible when the firm is in a difficult financial situation.</w:t>
      </w:r>
    </w:p>
    <w:p w:rsidR="00A95413" w:rsidRPr="00046999" w:rsidRDefault="00A95413" w:rsidP="001D4BB3">
      <w:pPr>
        <w:pStyle w:val="Kop2"/>
        <w:jc w:val="both"/>
        <w:rPr>
          <w:rFonts w:cs="Calibri"/>
        </w:rPr>
      </w:pPr>
      <w:bookmarkStart w:id="61" w:name="_Toc287267057"/>
      <w:bookmarkStart w:id="62" w:name="_Toc320365300"/>
      <w:r w:rsidRPr="00046999">
        <w:rPr>
          <w:rFonts w:cs="Calibri"/>
        </w:rPr>
        <w:t>1.5 Conclusion</w:t>
      </w:r>
      <w:bookmarkEnd w:id="61"/>
      <w:bookmarkEnd w:id="62"/>
    </w:p>
    <w:p w:rsidR="00256488" w:rsidRDefault="00A95413" w:rsidP="001D4BB3">
      <w:pPr>
        <w:spacing w:after="0"/>
        <w:jc w:val="both"/>
        <w:rPr>
          <w:rFonts w:cs="Calibri"/>
          <w:color w:val="000000"/>
          <w:sz w:val="22"/>
          <w:szCs w:val="22"/>
          <w:lang w:eastAsia="nl-NL"/>
        </w:rPr>
      </w:pPr>
      <w:r w:rsidRPr="00046999">
        <w:rPr>
          <w:rFonts w:cs="Calibri"/>
          <w:color w:val="000000"/>
          <w:sz w:val="22"/>
          <w:szCs w:val="22"/>
          <w:lang w:eastAsia="nl-NL"/>
        </w:rPr>
        <w:t>In this chapter information about the main theme</w:t>
      </w:r>
      <w:r>
        <w:rPr>
          <w:rFonts w:cs="Calibri"/>
          <w:color w:val="000000"/>
          <w:sz w:val="22"/>
          <w:szCs w:val="22"/>
          <w:lang w:eastAsia="nl-NL"/>
        </w:rPr>
        <w:t xml:space="preserve"> of this study ‘voluntary d</w:t>
      </w:r>
      <w:r w:rsidRPr="00046999">
        <w:rPr>
          <w:rFonts w:cs="Calibri"/>
          <w:color w:val="000000"/>
          <w:sz w:val="22"/>
          <w:szCs w:val="22"/>
          <w:lang w:eastAsia="nl-NL"/>
        </w:rPr>
        <w:t xml:space="preserve">isclosures’ is provided. Voluntary disclosures are defined as: the disclosures of information that management of companies can provide aside of their mandatory disclosures. Furthermore, the main incentives of management to voluntary disclose information are </w:t>
      </w:r>
      <w:r>
        <w:rPr>
          <w:rFonts w:cs="Calibri"/>
          <w:color w:val="000000"/>
          <w:sz w:val="22"/>
          <w:szCs w:val="22"/>
          <w:lang w:eastAsia="nl-NL"/>
        </w:rPr>
        <w:t>described</w:t>
      </w:r>
      <w:r w:rsidRPr="00046999">
        <w:rPr>
          <w:rFonts w:cs="Calibri"/>
          <w:color w:val="000000"/>
          <w:sz w:val="22"/>
          <w:szCs w:val="22"/>
          <w:lang w:eastAsia="nl-NL"/>
        </w:rPr>
        <w:t>. This study is related to the stock compensation incentive. As empirically argued by Noe (1999); when firms use stock compensation (which affect</w:t>
      </w:r>
      <w:r>
        <w:rPr>
          <w:rFonts w:cs="Calibri"/>
          <w:color w:val="000000"/>
          <w:sz w:val="22"/>
          <w:szCs w:val="22"/>
          <w:lang w:eastAsia="nl-NL"/>
        </w:rPr>
        <w:t>s managerial</w:t>
      </w:r>
      <w:r w:rsidRPr="00046999">
        <w:rPr>
          <w:rFonts w:cs="Calibri"/>
          <w:color w:val="000000"/>
          <w:sz w:val="22"/>
          <w:szCs w:val="22"/>
          <w:lang w:eastAsia="nl-NL"/>
        </w:rPr>
        <w:t xml:space="preserve"> ownership) this results in the firm disclosing more information. As this incentive is related to the way ‘ownership structure’ affects the disclosure of information, the results of this study might add relevant insights to the empirical literature related to this incentive. Regarding the credibility of voluntary disclosure research shows that in general voluntary disclosures are seen as credible. To improve the credibility even further one can ask an independent third party to provide assurance on the voluntary disclosure or analyze the results from prior voluntary disclosures to see for example, if the disclosed earnings forecast from last year was indeed correct.</w:t>
      </w:r>
      <w:r>
        <w:rPr>
          <w:rFonts w:cs="Calibri"/>
          <w:color w:val="000000"/>
          <w:sz w:val="22"/>
          <w:szCs w:val="22"/>
          <w:lang w:eastAsia="nl-NL"/>
        </w:rPr>
        <w:t xml:space="preserve"> As this chapter elaborated on the topic voluntary disclosures, the next chapter describes the topic ownership structure.</w:t>
      </w:r>
    </w:p>
    <w:p w:rsidR="00A95413" w:rsidRPr="00256488" w:rsidRDefault="00256488" w:rsidP="00256488">
      <w:pPr>
        <w:spacing w:before="0" w:after="0" w:line="240" w:lineRule="auto"/>
        <w:rPr>
          <w:rFonts w:cs="Calibri"/>
          <w:color w:val="000000"/>
          <w:sz w:val="22"/>
          <w:szCs w:val="22"/>
          <w:lang w:eastAsia="nl-NL"/>
        </w:rPr>
      </w:pPr>
      <w:r>
        <w:rPr>
          <w:rFonts w:cs="Calibri"/>
          <w:color w:val="000000"/>
          <w:sz w:val="22"/>
          <w:szCs w:val="22"/>
          <w:lang w:eastAsia="nl-NL"/>
        </w:rPr>
        <w:br w:type="page"/>
      </w:r>
    </w:p>
    <w:p w:rsidR="00A95413" w:rsidRPr="00046999" w:rsidRDefault="00A95413" w:rsidP="001D4BB3">
      <w:pPr>
        <w:pStyle w:val="Kop1"/>
        <w:jc w:val="both"/>
        <w:rPr>
          <w:rFonts w:cs="Calibri"/>
          <w:lang w:eastAsia="nl-NL"/>
        </w:rPr>
      </w:pPr>
      <w:bookmarkStart w:id="63" w:name="_Toc320365301"/>
      <w:r w:rsidRPr="00046999">
        <w:rPr>
          <w:rFonts w:cs="Calibri"/>
          <w:lang w:eastAsia="nl-NL"/>
        </w:rPr>
        <w:lastRenderedPageBreak/>
        <w:t>Chapter 2. Ownership structure</w:t>
      </w:r>
      <w:bookmarkEnd w:id="63"/>
    </w:p>
    <w:p w:rsidR="00A95413" w:rsidRPr="00046999" w:rsidRDefault="00A95413" w:rsidP="001D4BB3">
      <w:pPr>
        <w:pStyle w:val="Kop2"/>
        <w:jc w:val="both"/>
        <w:rPr>
          <w:rFonts w:cs="Calibri"/>
          <w:lang w:eastAsia="nl-NL"/>
        </w:rPr>
      </w:pPr>
      <w:bookmarkStart w:id="64" w:name="_Toc320365302"/>
      <w:r w:rsidRPr="00046999">
        <w:rPr>
          <w:rFonts w:cs="Calibri"/>
          <w:lang w:eastAsia="nl-NL"/>
        </w:rPr>
        <w:t>2.1 Introduction</w:t>
      </w:r>
      <w:bookmarkEnd w:id="64"/>
    </w:p>
    <w:p w:rsidR="00A95413" w:rsidRPr="00046999" w:rsidRDefault="00A95413" w:rsidP="001D4BB3">
      <w:pPr>
        <w:jc w:val="both"/>
        <w:rPr>
          <w:rFonts w:cs="Calibri"/>
          <w:sz w:val="22"/>
          <w:szCs w:val="22"/>
          <w:lang w:eastAsia="nl-NL"/>
        </w:rPr>
      </w:pPr>
      <w:r w:rsidRPr="00046999">
        <w:rPr>
          <w:rFonts w:cs="Calibri"/>
          <w:sz w:val="22"/>
          <w:szCs w:val="22"/>
          <w:lang w:eastAsia="nl-NL"/>
        </w:rPr>
        <w:t xml:space="preserve">In this chapter ownership structure is defined and information is </w:t>
      </w:r>
      <w:r>
        <w:rPr>
          <w:rFonts w:cs="Calibri"/>
          <w:sz w:val="22"/>
          <w:szCs w:val="22"/>
          <w:lang w:eastAsia="nl-NL"/>
        </w:rPr>
        <w:t>provided</w:t>
      </w:r>
      <w:r w:rsidRPr="00046999">
        <w:rPr>
          <w:rFonts w:cs="Calibri"/>
          <w:sz w:val="22"/>
          <w:szCs w:val="22"/>
          <w:lang w:eastAsia="nl-NL"/>
        </w:rPr>
        <w:t xml:space="preserve"> regarding the current ownership structure in the </w:t>
      </w:r>
      <w:r>
        <w:rPr>
          <w:rFonts w:cs="Calibri"/>
          <w:sz w:val="22"/>
          <w:szCs w:val="22"/>
          <w:lang w:eastAsia="nl-NL"/>
        </w:rPr>
        <w:t>most influential</w:t>
      </w:r>
      <w:r w:rsidRPr="00046999">
        <w:rPr>
          <w:rFonts w:cs="Calibri"/>
          <w:sz w:val="22"/>
          <w:szCs w:val="22"/>
          <w:lang w:eastAsia="nl-NL"/>
        </w:rPr>
        <w:t xml:space="preserve"> European countries. Furthermore, a comparison is made </w:t>
      </w:r>
      <w:r>
        <w:rPr>
          <w:rFonts w:cs="Calibri"/>
          <w:sz w:val="22"/>
          <w:szCs w:val="22"/>
          <w:lang w:eastAsia="nl-NL"/>
        </w:rPr>
        <w:t>between</w:t>
      </w:r>
      <w:r w:rsidRPr="00046999">
        <w:rPr>
          <w:rFonts w:cs="Calibri"/>
          <w:sz w:val="22"/>
          <w:szCs w:val="22"/>
          <w:lang w:eastAsia="nl-NL"/>
        </w:rPr>
        <w:t xml:space="preserve"> ownership structure </w:t>
      </w:r>
      <w:r>
        <w:rPr>
          <w:rFonts w:cs="Calibri"/>
          <w:sz w:val="22"/>
          <w:szCs w:val="22"/>
          <w:lang w:eastAsia="nl-NL"/>
        </w:rPr>
        <w:t xml:space="preserve">in the </w:t>
      </w:r>
      <w:r w:rsidRPr="00046999">
        <w:rPr>
          <w:rFonts w:cs="Calibri"/>
          <w:sz w:val="22"/>
          <w:szCs w:val="22"/>
          <w:lang w:eastAsia="nl-NL"/>
        </w:rPr>
        <w:t xml:space="preserve">EU </w:t>
      </w:r>
      <w:r>
        <w:rPr>
          <w:rFonts w:cs="Calibri"/>
          <w:sz w:val="22"/>
          <w:szCs w:val="22"/>
          <w:lang w:eastAsia="nl-NL"/>
        </w:rPr>
        <w:t>and outside the EU</w:t>
      </w:r>
      <w:r w:rsidRPr="00046999">
        <w:rPr>
          <w:rFonts w:cs="Calibri"/>
          <w:sz w:val="22"/>
          <w:szCs w:val="22"/>
          <w:lang w:eastAsia="nl-NL"/>
        </w:rPr>
        <w:t xml:space="preserve">. In addition, corporate governance, an aspect related to ownership structure is explained. </w:t>
      </w:r>
    </w:p>
    <w:p w:rsidR="00A95413" w:rsidRPr="00046999" w:rsidRDefault="00A95413" w:rsidP="001D4BB3">
      <w:pPr>
        <w:pStyle w:val="Kop2"/>
        <w:jc w:val="both"/>
        <w:rPr>
          <w:rFonts w:cs="Calibri"/>
          <w:lang w:eastAsia="nl-NL"/>
        </w:rPr>
      </w:pPr>
      <w:bookmarkStart w:id="65" w:name="_Toc320365303"/>
      <w:r w:rsidRPr="00046999">
        <w:rPr>
          <w:rFonts w:cs="Calibri"/>
          <w:lang w:eastAsia="nl-NL"/>
        </w:rPr>
        <w:t>2.2 Ownership structure</w:t>
      </w:r>
      <w:bookmarkEnd w:id="65"/>
    </w:p>
    <w:p w:rsidR="00A95413" w:rsidRPr="00046999" w:rsidRDefault="00A95413" w:rsidP="001D4BB3">
      <w:pPr>
        <w:jc w:val="both"/>
        <w:rPr>
          <w:rFonts w:cs="Calibri"/>
          <w:sz w:val="22"/>
          <w:szCs w:val="22"/>
        </w:rPr>
      </w:pPr>
      <w:r w:rsidRPr="00046999">
        <w:rPr>
          <w:rFonts w:cs="Calibri"/>
          <w:sz w:val="22"/>
          <w:szCs w:val="22"/>
        </w:rPr>
        <w:t>In this study, ownership structure of listed firms is defined as the distribution of shares to amongst owners similar to the definition employed in prior studies such as Jensen and Meckling (1976) and Eng and Mak (2003). Ownership structure can influence the incentives of managers. These incentives are discussed in the agency theory in chapter three.  Eng and Mak (2003) use in their study three different determinants for ownership structure; managerial, blockholder and government ownership. They provide the following definitions:</w:t>
      </w:r>
      <w:r w:rsidRPr="00046999">
        <w:rPr>
          <w:rFonts w:cs="Calibri"/>
          <w:color w:val="000000"/>
          <w:sz w:val="22"/>
          <w:szCs w:val="22"/>
          <w:lang w:eastAsia="nl-NL"/>
        </w:rPr>
        <w:t xml:space="preserve"> ‘</w:t>
      </w:r>
      <w:r w:rsidRPr="00046999">
        <w:rPr>
          <w:rFonts w:cs="Calibri"/>
          <w:i/>
          <w:color w:val="000000"/>
          <w:sz w:val="22"/>
          <w:szCs w:val="22"/>
          <w:lang w:eastAsia="nl-NL"/>
        </w:rPr>
        <w:t>Blockholder ownership is the proportion of ordinary shares owned by substantial shareholders (with equity of 5% or more)</w:t>
      </w:r>
      <w:r w:rsidRPr="00046999">
        <w:rPr>
          <w:rFonts w:cs="Calibri"/>
          <w:color w:val="000000"/>
          <w:sz w:val="22"/>
          <w:szCs w:val="22"/>
          <w:lang w:eastAsia="nl-NL"/>
        </w:rPr>
        <w:t xml:space="preserve">. </w:t>
      </w:r>
      <w:r w:rsidRPr="00046999">
        <w:rPr>
          <w:rFonts w:cs="Calibri"/>
          <w:i/>
          <w:color w:val="000000"/>
          <w:sz w:val="22"/>
          <w:szCs w:val="22"/>
          <w:lang w:eastAsia="nl-NL"/>
        </w:rPr>
        <w:t>Government ownership is the proportion of ordinary shares owned by the government. Managerial ownership is the proportion of ordinary shares held by CEO and executive directors and shares in which they are deemed to have interest</w:t>
      </w:r>
      <w:r w:rsidRPr="00046999">
        <w:rPr>
          <w:rFonts w:cs="Calibri"/>
          <w:color w:val="000000"/>
          <w:sz w:val="22"/>
          <w:szCs w:val="22"/>
          <w:lang w:eastAsia="nl-NL"/>
        </w:rPr>
        <w:t xml:space="preserve">’ (Eng, Mak, 2003). The last words can be interpreted as share options. In this study the same determinants are used. </w:t>
      </w:r>
      <w:r w:rsidRPr="00046999">
        <w:rPr>
          <w:rFonts w:cs="Calibri"/>
          <w:sz w:val="22"/>
          <w:szCs w:val="22"/>
          <w:lang w:eastAsia="nl-NL"/>
        </w:rPr>
        <w:t xml:space="preserve">In chapter five is explained how </w:t>
      </w:r>
      <w:r w:rsidRPr="00046999">
        <w:rPr>
          <w:rFonts w:cs="Calibri"/>
          <w:sz w:val="22"/>
          <w:szCs w:val="22"/>
        </w:rPr>
        <w:t>managerial-, blockholder and government ownership are measured</w:t>
      </w:r>
      <w:r>
        <w:rPr>
          <w:rFonts w:cs="Calibri"/>
          <w:sz w:val="22"/>
          <w:szCs w:val="22"/>
        </w:rPr>
        <w:t xml:space="preserve"> in this study</w:t>
      </w:r>
      <w:r w:rsidRPr="00046999">
        <w:rPr>
          <w:rFonts w:cs="Calibri"/>
          <w:sz w:val="22"/>
          <w:szCs w:val="22"/>
        </w:rPr>
        <w:t xml:space="preserve">. </w:t>
      </w:r>
    </w:p>
    <w:p w:rsidR="00A95413" w:rsidRPr="00046999" w:rsidRDefault="00A95413" w:rsidP="001D4BB3">
      <w:pPr>
        <w:pStyle w:val="Kop2"/>
        <w:jc w:val="both"/>
        <w:rPr>
          <w:rFonts w:cs="Calibri"/>
        </w:rPr>
      </w:pPr>
      <w:bookmarkStart w:id="66" w:name="_Toc320365304"/>
      <w:r w:rsidRPr="00046999">
        <w:rPr>
          <w:rFonts w:cs="Calibri"/>
        </w:rPr>
        <w:t>2.3 Corporate governance</w:t>
      </w:r>
      <w:bookmarkEnd w:id="66"/>
    </w:p>
    <w:p w:rsidR="00A95413" w:rsidRPr="00046999" w:rsidRDefault="00A95413" w:rsidP="001D4BB3">
      <w:pPr>
        <w:jc w:val="both"/>
        <w:rPr>
          <w:rFonts w:cs="Calibri"/>
          <w:sz w:val="22"/>
          <w:szCs w:val="22"/>
        </w:rPr>
      </w:pPr>
      <w:r w:rsidRPr="00046999">
        <w:rPr>
          <w:rFonts w:cs="Calibri"/>
          <w:sz w:val="22"/>
          <w:szCs w:val="22"/>
          <w:lang w:eastAsia="nl-NL"/>
        </w:rPr>
        <w:t xml:space="preserve">According to Blair (2004) corporate governance refers </w:t>
      </w:r>
      <w:r w:rsidRPr="00046999">
        <w:rPr>
          <w:rFonts w:cs="Calibri"/>
          <w:sz w:val="22"/>
          <w:szCs w:val="22"/>
        </w:rPr>
        <w:t>to ‘</w:t>
      </w:r>
      <w:r w:rsidRPr="00046999">
        <w:rPr>
          <w:rFonts w:cs="Calibri"/>
          <w:i/>
          <w:sz w:val="22"/>
          <w:szCs w:val="22"/>
        </w:rPr>
        <w:t>the legal rules, institutional arrangements, and practices that determine who controls business corporations and who gets the benefits that flow from them</w:t>
      </w:r>
      <w:r w:rsidRPr="00046999">
        <w:rPr>
          <w:rFonts w:cs="Calibri"/>
          <w:sz w:val="22"/>
          <w:szCs w:val="22"/>
        </w:rPr>
        <w:t xml:space="preserve">. </w:t>
      </w:r>
      <w:r w:rsidRPr="00046999">
        <w:rPr>
          <w:rFonts w:cs="Calibri"/>
          <w:i/>
          <w:sz w:val="22"/>
          <w:szCs w:val="22"/>
        </w:rPr>
        <w:t xml:space="preserve">Corporate governance issues also include how major policy decisions are made in business corporations, how various stakeholders can influence the process, who is held accountable for performance, and what performance standards are applied.’ </w:t>
      </w:r>
      <w:r w:rsidRPr="00046999">
        <w:rPr>
          <w:rFonts w:cs="Calibri"/>
          <w:sz w:val="22"/>
          <w:szCs w:val="22"/>
        </w:rPr>
        <w:t xml:space="preserve">As this statement shows, corporate governance is a broad topic relating to the way a firm is organized. Subcomponents of corporate governance are among others the board of directors, independent auditors and ownership structure. Ownership structure is a subcomponent of corporate governance as it is also related to the way a firm is organized and how stakeholders can influence the processes of a firm. </w:t>
      </w:r>
    </w:p>
    <w:p w:rsidR="00A95413" w:rsidRPr="00046999" w:rsidRDefault="00A95413" w:rsidP="001D4BB3">
      <w:pPr>
        <w:jc w:val="both"/>
        <w:rPr>
          <w:rFonts w:cs="Calibri"/>
          <w:sz w:val="22"/>
          <w:szCs w:val="22"/>
        </w:rPr>
      </w:pPr>
      <w:r w:rsidRPr="00046999">
        <w:rPr>
          <w:rFonts w:cs="Calibri"/>
          <w:sz w:val="22"/>
          <w:szCs w:val="22"/>
        </w:rPr>
        <w:t xml:space="preserve">Corporate governance is also related to investor protection </w:t>
      </w:r>
      <w:r>
        <w:rPr>
          <w:rFonts w:cs="Calibri"/>
          <w:sz w:val="22"/>
          <w:szCs w:val="22"/>
        </w:rPr>
        <w:t>because</w:t>
      </w:r>
      <w:r w:rsidRPr="00046999">
        <w:rPr>
          <w:rFonts w:cs="Calibri"/>
          <w:sz w:val="22"/>
          <w:szCs w:val="22"/>
        </w:rPr>
        <w:t xml:space="preserve"> when an investor invests in a firm he obtains certain rights that are usually protected through the enforcement of laws and policies (La Porta et a</w:t>
      </w:r>
      <w:r w:rsidR="000E593A">
        <w:rPr>
          <w:rFonts w:cs="Calibri"/>
          <w:sz w:val="22"/>
          <w:szCs w:val="22"/>
        </w:rPr>
        <w:t>l</w:t>
      </w:r>
      <w:r w:rsidRPr="00046999">
        <w:rPr>
          <w:rFonts w:cs="Calibri"/>
          <w:sz w:val="22"/>
          <w:szCs w:val="22"/>
        </w:rPr>
        <w:t>., 2000). Such rights can contain regulations to disclose certain information necessary for investors or to let investors take part in shareholder’s meetings. Investor protection is important because otherwise insiders would have no legal reasons to pay dividends and repay loans to investors</w:t>
      </w:r>
      <w:r>
        <w:rPr>
          <w:rFonts w:cs="Calibri"/>
          <w:sz w:val="22"/>
          <w:szCs w:val="22"/>
        </w:rPr>
        <w:t xml:space="preserve"> and could expropriate investors</w:t>
      </w:r>
      <w:r w:rsidRPr="00046999">
        <w:rPr>
          <w:rFonts w:cs="Calibri"/>
          <w:sz w:val="22"/>
          <w:szCs w:val="22"/>
        </w:rPr>
        <w:t xml:space="preserve">. A good corporate governance structure is </w:t>
      </w:r>
      <w:r>
        <w:rPr>
          <w:rFonts w:cs="Calibri"/>
          <w:sz w:val="22"/>
          <w:szCs w:val="22"/>
        </w:rPr>
        <w:t>crucial</w:t>
      </w:r>
      <w:r w:rsidRPr="00046999">
        <w:rPr>
          <w:rFonts w:cs="Calibri"/>
          <w:sz w:val="22"/>
          <w:szCs w:val="22"/>
        </w:rPr>
        <w:t xml:space="preserve"> for a proper enforcement of laws and regulations to protect investors. </w:t>
      </w:r>
    </w:p>
    <w:p w:rsidR="00DD28B0" w:rsidRDefault="00A95413" w:rsidP="001D4BB3">
      <w:pPr>
        <w:jc w:val="both"/>
        <w:rPr>
          <w:rFonts w:cs="Calibri"/>
          <w:sz w:val="22"/>
          <w:szCs w:val="22"/>
          <w:lang w:eastAsia="nl-NL"/>
        </w:rPr>
      </w:pPr>
      <w:r w:rsidRPr="00046999">
        <w:rPr>
          <w:rFonts w:cs="Calibri"/>
          <w:sz w:val="22"/>
          <w:szCs w:val="22"/>
          <w:lang w:eastAsia="nl-NL"/>
        </w:rPr>
        <w:lastRenderedPageBreak/>
        <w:t xml:space="preserve">A difference in corporate governance is the distinction between the frequently described models: Anglo-American- and Rhineland model. </w:t>
      </w:r>
      <w:r w:rsidR="00DD28B0" w:rsidRPr="00046999">
        <w:rPr>
          <w:rFonts w:cs="Calibri"/>
          <w:sz w:val="22"/>
          <w:szCs w:val="22"/>
        </w:rPr>
        <w:t xml:space="preserve">One of the main differences is that the Anglo-American model is rule-based and the Rhineland model is principle-based. </w:t>
      </w:r>
      <w:r w:rsidRPr="00046999">
        <w:rPr>
          <w:rFonts w:cs="Calibri"/>
          <w:sz w:val="22"/>
          <w:szCs w:val="22"/>
        </w:rPr>
        <w:t xml:space="preserve">According to van den Berghe (2002) ownership in countries with the Anglo-American model is greatly diffused among multiple shareholders whereas ownership in countries with the Rhineland model is more concentrated. Most European countries belong to the Rhineland model, an exception is the UK which belongs to the Anglo-American model (van den Berghe, 2002). </w:t>
      </w:r>
      <w:r w:rsidRPr="00046999">
        <w:rPr>
          <w:rFonts w:cs="Calibri"/>
          <w:sz w:val="22"/>
          <w:szCs w:val="22"/>
          <w:lang w:eastAsia="nl-NL"/>
        </w:rPr>
        <w:t xml:space="preserve">Therefore </w:t>
      </w:r>
      <w:r w:rsidR="000A346B">
        <w:rPr>
          <w:rFonts w:cs="Calibri"/>
          <w:sz w:val="22"/>
          <w:szCs w:val="22"/>
          <w:lang w:eastAsia="nl-NL"/>
        </w:rPr>
        <w:t>this</w:t>
      </w:r>
      <w:r w:rsidRPr="00046999">
        <w:rPr>
          <w:rFonts w:cs="Calibri"/>
          <w:sz w:val="22"/>
          <w:szCs w:val="22"/>
          <w:lang w:eastAsia="nl-NL"/>
        </w:rPr>
        <w:t xml:space="preserve"> study of the most influential European countries can provide results </w:t>
      </w:r>
      <w:r>
        <w:rPr>
          <w:rFonts w:cs="Calibri"/>
          <w:sz w:val="22"/>
          <w:szCs w:val="22"/>
          <w:lang w:eastAsia="nl-NL"/>
        </w:rPr>
        <w:t>that differ</w:t>
      </w:r>
      <w:r w:rsidRPr="00046999">
        <w:rPr>
          <w:rFonts w:cs="Calibri"/>
          <w:sz w:val="22"/>
          <w:szCs w:val="22"/>
          <w:lang w:eastAsia="nl-NL"/>
        </w:rPr>
        <w:t xml:space="preserve"> from the UK and other countries. </w:t>
      </w:r>
    </w:p>
    <w:p w:rsidR="00683C68" w:rsidRPr="00046999" w:rsidRDefault="00A95413" w:rsidP="001D4BB3">
      <w:pPr>
        <w:jc w:val="both"/>
        <w:rPr>
          <w:rFonts w:cs="Calibri"/>
          <w:sz w:val="22"/>
          <w:szCs w:val="22"/>
        </w:rPr>
      </w:pPr>
      <w:r w:rsidRPr="00046999">
        <w:rPr>
          <w:rFonts w:cs="Calibri"/>
          <w:sz w:val="22"/>
          <w:szCs w:val="22"/>
        </w:rPr>
        <w:t>Each member state of the EU has its own traditions and its own approach to corporate governance, which has resulted in a mixture of practices within the EU. Although European companies are allowed to depart from the national corporate governance code, they have to explain why they deviate (comply or explain model) (EU, 2009).</w:t>
      </w:r>
    </w:p>
    <w:p w:rsidR="00A95413" w:rsidRPr="00046999" w:rsidRDefault="00A95413" w:rsidP="001D4BB3">
      <w:pPr>
        <w:pStyle w:val="Kop2"/>
        <w:jc w:val="both"/>
        <w:rPr>
          <w:rFonts w:cs="Calibri"/>
        </w:rPr>
      </w:pPr>
      <w:bookmarkStart w:id="67" w:name="_Toc320365305"/>
      <w:r w:rsidRPr="00046999">
        <w:rPr>
          <w:rFonts w:cs="Calibri"/>
        </w:rPr>
        <w:t>2.4 Ownership structure within Europe</w:t>
      </w:r>
      <w:bookmarkEnd w:id="67"/>
    </w:p>
    <w:p w:rsidR="00A95413" w:rsidRPr="00046999" w:rsidRDefault="00A95413" w:rsidP="001D4BB3">
      <w:pPr>
        <w:spacing w:after="0"/>
        <w:jc w:val="both"/>
        <w:rPr>
          <w:rFonts w:cs="Calibri"/>
          <w:sz w:val="22"/>
          <w:szCs w:val="22"/>
        </w:rPr>
      </w:pPr>
      <w:r w:rsidRPr="00046999">
        <w:rPr>
          <w:rFonts w:cs="Calibri"/>
          <w:sz w:val="22"/>
          <w:szCs w:val="22"/>
        </w:rPr>
        <w:t>For this paragraph a study of the E</w:t>
      </w:r>
      <w:r>
        <w:rPr>
          <w:rFonts w:cs="Calibri"/>
          <w:sz w:val="22"/>
          <w:szCs w:val="22"/>
        </w:rPr>
        <w:t xml:space="preserve">uropean </w:t>
      </w:r>
      <w:r w:rsidRPr="00046999">
        <w:rPr>
          <w:rFonts w:cs="Calibri"/>
          <w:sz w:val="22"/>
          <w:szCs w:val="22"/>
        </w:rPr>
        <w:t>U</w:t>
      </w:r>
      <w:r>
        <w:rPr>
          <w:rFonts w:cs="Calibri"/>
          <w:sz w:val="22"/>
          <w:szCs w:val="22"/>
        </w:rPr>
        <w:t>nion</w:t>
      </w:r>
      <w:r w:rsidRPr="00046999">
        <w:rPr>
          <w:rFonts w:cs="Calibri"/>
          <w:sz w:val="22"/>
          <w:szCs w:val="22"/>
        </w:rPr>
        <w:t xml:space="preserve"> (2009) concerning ownership structure in Europe is utilized. This study was conducted in order </w:t>
      </w:r>
      <w:r>
        <w:rPr>
          <w:rFonts w:cs="Calibri"/>
          <w:sz w:val="22"/>
          <w:szCs w:val="22"/>
        </w:rPr>
        <w:t xml:space="preserve">of the European Union with the goal </w:t>
      </w:r>
      <w:r w:rsidRPr="00046999">
        <w:rPr>
          <w:rFonts w:cs="Calibri"/>
          <w:sz w:val="22"/>
          <w:szCs w:val="22"/>
        </w:rPr>
        <w:t>to obtain a clearer understanding of presence and workings of the various corporate governance codes in the European member states.</w:t>
      </w:r>
      <w:r w:rsidR="003F5161">
        <w:rPr>
          <w:rFonts w:cs="Calibri"/>
          <w:sz w:val="22"/>
          <w:szCs w:val="22"/>
        </w:rPr>
        <w:t xml:space="preserve"> Furthermore, i</w:t>
      </w:r>
      <w:r w:rsidRPr="00046999">
        <w:rPr>
          <w:rFonts w:cs="Calibri"/>
          <w:sz w:val="22"/>
          <w:szCs w:val="22"/>
        </w:rPr>
        <w:t xml:space="preserve">n this study attention </w:t>
      </w:r>
      <w:r w:rsidR="002A7D16">
        <w:rPr>
          <w:rFonts w:cs="Calibri"/>
          <w:sz w:val="22"/>
          <w:szCs w:val="22"/>
        </w:rPr>
        <w:t>is</w:t>
      </w:r>
      <w:r w:rsidRPr="00046999">
        <w:rPr>
          <w:rFonts w:cs="Calibri"/>
          <w:sz w:val="22"/>
          <w:szCs w:val="22"/>
        </w:rPr>
        <w:t xml:space="preserve"> paid to ownership structures within the European member states. The results related to the countries of </w:t>
      </w:r>
      <w:r>
        <w:rPr>
          <w:rFonts w:cs="Calibri"/>
          <w:sz w:val="22"/>
          <w:szCs w:val="22"/>
        </w:rPr>
        <w:t>this study are described</w:t>
      </w:r>
      <w:r w:rsidRPr="00046999">
        <w:rPr>
          <w:rFonts w:cs="Calibri"/>
          <w:sz w:val="22"/>
          <w:szCs w:val="22"/>
        </w:rPr>
        <w:t>. First of all the results showed that in Italy and Germany ownership is usually concentrated. In France and The Netherlands there is a lower level of ownership concentration and Belgium lies in an intermediate position. The most diffused ownership was observed in the UK, which could be due to their different corporate governance structu</w:t>
      </w:r>
      <w:r w:rsidR="001975EE">
        <w:rPr>
          <w:rFonts w:cs="Calibri"/>
          <w:sz w:val="22"/>
          <w:szCs w:val="22"/>
        </w:rPr>
        <w:t xml:space="preserve">re as explained in </w:t>
      </w:r>
      <w:r w:rsidR="00E90C37">
        <w:rPr>
          <w:rFonts w:cs="Calibri"/>
          <w:sz w:val="22"/>
          <w:szCs w:val="22"/>
        </w:rPr>
        <w:t>the prior paragraph</w:t>
      </w:r>
      <w:r w:rsidRPr="00046999">
        <w:rPr>
          <w:rFonts w:cs="Calibri"/>
          <w:sz w:val="22"/>
          <w:szCs w:val="22"/>
        </w:rPr>
        <w:t>.</w:t>
      </w:r>
    </w:p>
    <w:p w:rsidR="00A95413" w:rsidRPr="00046999" w:rsidRDefault="00A95413" w:rsidP="001D4BB3">
      <w:pPr>
        <w:spacing w:after="0"/>
        <w:jc w:val="both"/>
        <w:rPr>
          <w:rFonts w:cs="Calibri"/>
          <w:sz w:val="22"/>
          <w:szCs w:val="22"/>
        </w:rPr>
      </w:pPr>
      <w:r w:rsidRPr="00046999">
        <w:rPr>
          <w:rFonts w:cs="Calibri"/>
          <w:sz w:val="22"/>
          <w:szCs w:val="22"/>
        </w:rPr>
        <w:t>The nature of ownership, such as blockholder ownership also varies per country. Blockholders in listed firms in Italy and Belgium are typically individual or family shareholders. In Germany blockholders are a mix of non-financial institutions and family. Typical blockholders in France, the Netherlands and to an even greater extent in the UK are financial institutions. The origin of the ownership str</w:t>
      </w:r>
      <w:r w:rsidR="00A50E3F">
        <w:rPr>
          <w:rFonts w:cs="Calibri"/>
          <w:sz w:val="22"/>
          <w:szCs w:val="22"/>
        </w:rPr>
        <w:t>uctures is also noteworthy. In t</w:t>
      </w:r>
      <w:r w:rsidRPr="00046999">
        <w:rPr>
          <w:rFonts w:cs="Calibri"/>
          <w:sz w:val="22"/>
          <w:szCs w:val="22"/>
        </w:rPr>
        <w:t xml:space="preserve">he Netherlands ownership is mainly held by foreigners (foreign ownership), whereas other member states such as Germany and Italy, rely on a significant domestic ownership (EU, 2009). France and the UK remain around the European average with about 40 percent foreign ownership. These differences in ownership structure and its nature might be visible in the results obtained in study. The results found regarding the differences per country are compared with the results </w:t>
      </w:r>
      <w:r>
        <w:rPr>
          <w:rFonts w:cs="Calibri"/>
          <w:sz w:val="22"/>
          <w:szCs w:val="22"/>
        </w:rPr>
        <w:t>from this study.</w:t>
      </w:r>
    </w:p>
    <w:p w:rsidR="00A95413" w:rsidRPr="00046999" w:rsidRDefault="00A95413" w:rsidP="001D4BB3">
      <w:pPr>
        <w:pStyle w:val="Kop2"/>
        <w:jc w:val="both"/>
        <w:rPr>
          <w:rFonts w:cs="Calibri"/>
        </w:rPr>
      </w:pPr>
      <w:bookmarkStart w:id="68" w:name="_Toc320365306"/>
      <w:r w:rsidRPr="00046999">
        <w:rPr>
          <w:rFonts w:cs="Calibri"/>
        </w:rPr>
        <w:t>2.5 Ownership structure outside Europe</w:t>
      </w:r>
      <w:bookmarkEnd w:id="68"/>
    </w:p>
    <w:p w:rsidR="00A95413" w:rsidRPr="00046999" w:rsidRDefault="00A95413" w:rsidP="001D4BB3">
      <w:pPr>
        <w:pStyle w:val="Default"/>
        <w:spacing w:line="276" w:lineRule="auto"/>
        <w:jc w:val="both"/>
        <w:rPr>
          <w:rFonts w:ascii="Calibri" w:hAnsi="Calibri" w:cs="Calibri"/>
          <w:sz w:val="22"/>
          <w:szCs w:val="22"/>
        </w:rPr>
      </w:pPr>
    </w:p>
    <w:p w:rsidR="00A95413" w:rsidRDefault="00A95413" w:rsidP="001D4BB3">
      <w:pPr>
        <w:autoSpaceDE w:val="0"/>
        <w:autoSpaceDN w:val="0"/>
        <w:adjustRightInd w:val="0"/>
        <w:spacing w:before="0" w:after="0"/>
        <w:jc w:val="both"/>
        <w:rPr>
          <w:rFonts w:cs="Calibri"/>
          <w:sz w:val="22"/>
          <w:szCs w:val="22"/>
        </w:rPr>
      </w:pPr>
      <w:r w:rsidRPr="00046999">
        <w:rPr>
          <w:rFonts w:cs="Calibri"/>
          <w:sz w:val="22"/>
          <w:szCs w:val="22"/>
        </w:rPr>
        <w:t>Besides the Anglo-American and R</w:t>
      </w:r>
      <w:r w:rsidR="002F466A">
        <w:rPr>
          <w:rFonts w:cs="Calibri"/>
          <w:sz w:val="22"/>
          <w:szCs w:val="22"/>
        </w:rPr>
        <w:t xml:space="preserve">hineland model </w:t>
      </w:r>
      <w:r w:rsidRPr="00046999">
        <w:rPr>
          <w:rFonts w:cs="Calibri"/>
          <w:sz w:val="22"/>
          <w:szCs w:val="22"/>
        </w:rPr>
        <w:t xml:space="preserve">another difference exists in the so called ‘stakeholder’ and ‘shareholder’ governance model. The stakeholder model applies to firms where there is heavy political involvement from multiple stakeholders. Here </w:t>
      </w:r>
      <w:r>
        <w:rPr>
          <w:rFonts w:cs="Calibri"/>
          <w:sz w:val="22"/>
          <w:szCs w:val="22"/>
        </w:rPr>
        <w:t>it can be noted that</w:t>
      </w:r>
      <w:r w:rsidRPr="00046999">
        <w:rPr>
          <w:rFonts w:cs="Calibri"/>
          <w:sz w:val="22"/>
          <w:szCs w:val="22"/>
        </w:rPr>
        <w:t xml:space="preserve"> various agents </w:t>
      </w:r>
      <w:r>
        <w:rPr>
          <w:rFonts w:cs="Calibri"/>
          <w:sz w:val="22"/>
          <w:szCs w:val="22"/>
        </w:rPr>
        <w:t xml:space="preserve">are </w:t>
      </w:r>
      <w:r w:rsidRPr="00046999">
        <w:rPr>
          <w:rFonts w:cs="Calibri"/>
          <w:sz w:val="22"/>
          <w:szCs w:val="22"/>
        </w:rPr>
        <w:t>contracting with the firm (Ball et al.</w:t>
      </w:r>
      <w:r>
        <w:rPr>
          <w:rFonts w:cs="Calibri"/>
          <w:sz w:val="22"/>
          <w:szCs w:val="22"/>
        </w:rPr>
        <w:t>, 20</w:t>
      </w:r>
      <w:r w:rsidRPr="00046999">
        <w:rPr>
          <w:rFonts w:cs="Calibri"/>
          <w:sz w:val="22"/>
          <w:szCs w:val="22"/>
        </w:rPr>
        <w:t xml:space="preserve">00). The stakeholder model is mainly seen in code law countries; here exists a strong political influence on a national and firm level’s accounting policies and practices. </w:t>
      </w:r>
      <w:r w:rsidRPr="00046999">
        <w:rPr>
          <w:rFonts w:cs="Calibri"/>
          <w:sz w:val="22"/>
          <w:szCs w:val="22"/>
        </w:rPr>
        <w:lastRenderedPageBreak/>
        <w:t>The income of the firm in the stakeholder model tends to be seen as a pie which is shared among the stakeholders; shareholders, governmental institutions, employees etc. (Ball et al., 2000)</w:t>
      </w:r>
      <w:r>
        <w:rPr>
          <w:rFonts w:cs="Calibri"/>
          <w:sz w:val="22"/>
          <w:szCs w:val="22"/>
        </w:rPr>
        <w:t>.</w:t>
      </w:r>
      <w:r w:rsidRPr="00046999">
        <w:rPr>
          <w:rFonts w:cs="Calibri"/>
          <w:sz w:val="22"/>
          <w:szCs w:val="22"/>
        </w:rPr>
        <w:t xml:space="preserve"> The shareholder model is mainly seen in common law countries; here there is not so much political influence, for example, only the shareholders elect the members of the board of directors. Here the shareholders are the main agent contracting with the firm. </w:t>
      </w:r>
    </w:p>
    <w:p w:rsidR="00A95413" w:rsidRPr="00046999" w:rsidRDefault="00A95413" w:rsidP="001D4BB3">
      <w:pPr>
        <w:autoSpaceDE w:val="0"/>
        <w:autoSpaceDN w:val="0"/>
        <w:adjustRightInd w:val="0"/>
        <w:spacing w:before="0" w:after="0"/>
        <w:jc w:val="both"/>
        <w:rPr>
          <w:rFonts w:cs="Calibri"/>
          <w:sz w:val="22"/>
          <w:szCs w:val="22"/>
        </w:rPr>
      </w:pPr>
    </w:p>
    <w:p w:rsidR="00A95413" w:rsidRDefault="00A95413" w:rsidP="001D4BB3">
      <w:pPr>
        <w:autoSpaceDE w:val="0"/>
        <w:autoSpaceDN w:val="0"/>
        <w:adjustRightInd w:val="0"/>
        <w:spacing w:before="0" w:after="0"/>
        <w:jc w:val="both"/>
        <w:rPr>
          <w:rFonts w:cs="Calibri"/>
          <w:sz w:val="22"/>
          <w:szCs w:val="22"/>
        </w:rPr>
      </w:pPr>
      <w:r w:rsidRPr="00046999">
        <w:rPr>
          <w:rFonts w:cs="Calibri"/>
          <w:sz w:val="22"/>
          <w:szCs w:val="22"/>
        </w:rPr>
        <w:t>In both models an information asymmetry problem</w:t>
      </w:r>
      <w:r>
        <w:rPr>
          <w:rFonts w:cs="Calibri"/>
          <w:sz w:val="22"/>
          <w:szCs w:val="22"/>
        </w:rPr>
        <w:t xml:space="preserve"> exists</w:t>
      </w:r>
      <w:r w:rsidRPr="00046999">
        <w:rPr>
          <w:rFonts w:cs="Calibri"/>
          <w:sz w:val="22"/>
          <w:szCs w:val="22"/>
        </w:rPr>
        <w:t xml:space="preserve">. However, both </w:t>
      </w:r>
      <w:r>
        <w:rPr>
          <w:rFonts w:cs="Calibri"/>
          <w:sz w:val="22"/>
          <w:szCs w:val="22"/>
        </w:rPr>
        <w:t xml:space="preserve">models </w:t>
      </w:r>
      <w:r w:rsidRPr="00046999">
        <w:rPr>
          <w:rFonts w:cs="Calibri"/>
          <w:sz w:val="22"/>
          <w:szCs w:val="22"/>
        </w:rPr>
        <w:t>provide different solutions</w:t>
      </w:r>
      <w:r>
        <w:rPr>
          <w:rFonts w:cs="Calibri"/>
          <w:sz w:val="22"/>
          <w:szCs w:val="22"/>
        </w:rPr>
        <w:t xml:space="preserve"> to this problem</w:t>
      </w:r>
      <w:r w:rsidRPr="00046999">
        <w:rPr>
          <w:rFonts w:cs="Calibri"/>
          <w:sz w:val="22"/>
          <w:szCs w:val="22"/>
        </w:rPr>
        <w:t xml:space="preserve">. The information </w:t>
      </w:r>
      <w:r>
        <w:rPr>
          <w:rFonts w:cs="Calibri"/>
          <w:sz w:val="22"/>
          <w:szCs w:val="22"/>
        </w:rPr>
        <w:t>asymmetry problem in</w:t>
      </w:r>
      <w:r w:rsidRPr="00046999">
        <w:rPr>
          <w:rFonts w:cs="Calibri"/>
          <w:sz w:val="22"/>
          <w:szCs w:val="22"/>
        </w:rPr>
        <w:t xml:space="preserve"> the stakeholder model arises because multiple stakeholders all possess different information which causes the information asymmetry. This problem can be solved by public disclosure. The information asymmetry problem in the shareholder model exists because of the different information gap between managers and stakeholders. This can be solved by </w:t>
      </w:r>
      <w:r>
        <w:rPr>
          <w:rFonts w:cs="Calibri"/>
          <w:sz w:val="22"/>
          <w:szCs w:val="22"/>
        </w:rPr>
        <w:t>insider</w:t>
      </w:r>
      <w:r w:rsidRPr="00046999">
        <w:rPr>
          <w:rFonts w:cs="Calibri"/>
          <w:sz w:val="22"/>
          <w:szCs w:val="22"/>
        </w:rPr>
        <w:t xml:space="preserve"> communication</w:t>
      </w:r>
      <w:r>
        <w:rPr>
          <w:rFonts w:cs="Calibri"/>
          <w:sz w:val="22"/>
          <w:szCs w:val="22"/>
        </w:rPr>
        <w:t xml:space="preserve"> so no additional disclosure is necessary</w:t>
      </w:r>
      <w:r w:rsidRPr="00046999">
        <w:rPr>
          <w:rFonts w:cs="Calibri"/>
          <w:sz w:val="22"/>
          <w:szCs w:val="22"/>
        </w:rPr>
        <w:t xml:space="preserve"> (Ball et al., 2000).  As can </w:t>
      </w:r>
      <w:r>
        <w:rPr>
          <w:rFonts w:cs="Calibri"/>
          <w:sz w:val="22"/>
          <w:szCs w:val="22"/>
        </w:rPr>
        <w:t xml:space="preserve">be concluded </w:t>
      </w:r>
      <w:r w:rsidRPr="00046999">
        <w:rPr>
          <w:rFonts w:cs="Calibri"/>
          <w:sz w:val="22"/>
          <w:szCs w:val="22"/>
        </w:rPr>
        <w:t>from this difference; it is expected that in firms with</w:t>
      </w:r>
      <w:r>
        <w:rPr>
          <w:rFonts w:cs="Calibri"/>
          <w:sz w:val="22"/>
          <w:szCs w:val="22"/>
        </w:rPr>
        <w:t xml:space="preserve"> a stakeholder model (code</w:t>
      </w:r>
      <w:r w:rsidRPr="00046999">
        <w:rPr>
          <w:rFonts w:cs="Calibri"/>
          <w:sz w:val="22"/>
          <w:szCs w:val="22"/>
        </w:rPr>
        <w:t xml:space="preserve"> law countries</w:t>
      </w:r>
      <w:r>
        <w:rPr>
          <w:rFonts w:cs="Calibri"/>
          <w:sz w:val="22"/>
          <w:szCs w:val="22"/>
        </w:rPr>
        <w:t>)</w:t>
      </w:r>
      <w:r w:rsidRPr="00046999">
        <w:rPr>
          <w:rFonts w:cs="Calibri"/>
          <w:sz w:val="22"/>
          <w:szCs w:val="22"/>
        </w:rPr>
        <w:t xml:space="preserve"> firms disclose more information as there is more demand for the disclosure </w:t>
      </w:r>
      <w:r>
        <w:rPr>
          <w:rFonts w:cs="Calibri"/>
          <w:sz w:val="22"/>
          <w:szCs w:val="22"/>
        </w:rPr>
        <w:t>from various stakeholders</w:t>
      </w:r>
      <w:r w:rsidRPr="00046999">
        <w:rPr>
          <w:rFonts w:cs="Calibri"/>
          <w:sz w:val="22"/>
          <w:szCs w:val="22"/>
        </w:rPr>
        <w:t xml:space="preserve">. </w:t>
      </w:r>
      <w:r w:rsidR="00BE6350">
        <w:rPr>
          <w:rFonts w:cs="Calibri"/>
          <w:sz w:val="22"/>
          <w:szCs w:val="22"/>
        </w:rPr>
        <w:t>Subsequently, in common law countries less voluntary disclosures are expected</w:t>
      </w:r>
      <w:r w:rsidR="006E6554">
        <w:rPr>
          <w:rFonts w:cs="Calibri"/>
          <w:sz w:val="22"/>
          <w:szCs w:val="22"/>
        </w:rPr>
        <w:t xml:space="preserve"> as the information asymmetry problem is solved by insider communication</w:t>
      </w:r>
      <w:r w:rsidR="00BE6350">
        <w:rPr>
          <w:rFonts w:cs="Calibri"/>
          <w:sz w:val="22"/>
          <w:szCs w:val="22"/>
        </w:rPr>
        <w:t xml:space="preserve">. </w:t>
      </w:r>
      <w:r w:rsidRPr="00046999">
        <w:rPr>
          <w:rFonts w:cs="Calibri"/>
          <w:sz w:val="22"/>
          <w:szCs w:val="22"/>
        </w:rPr>
        <w:t>In the sample of Ball et al. (2000) Germany, France and Japan are categorized as code</w:t>
      </w:r>
      <w:r w:rsidR="006E6554">
        <w:rPr>
          <w:rFonts w:cs="Calibri"/>
          <w:sz w:val="22"/>
          <w:szCs w:val="22"/>
        </w:rPr>
        <w:t xml:space="preserve"> </w:t>
      </w:r>
      <w:r w:rsidRPr="00046999">
        <w:rPr>
          <w:rFonts w:cs="Calibri"/>
          <w:sz w:val="22"/>
          <w:szCs w:val="22"/>
        </w:rPr>
        <w:t xml:space="preserve">law countries and Australia, Canada, UK and USA are categorized as common law countries. </w:t>
      </w:r>
    </w:p>
    <w:p w:rsidR="00A95413" w:rsidRDefault="00A95413" w:rsidP="001D4BB3">
      <w:pPr>
        <w:autoSpaceDE w:val="0"/>
        <w:autoSpaceDN w:val="0"/>
        <w:adjustRightInd w:val="0"/>
        <w:spacing w:before="0" w:after="0"/>
        <w:jc w:val="both"/>
        <w:rPr>
          <w:rFonts w:cs="Calibri"/>
          <w:sz w:val="22"/>
          <w:szCs w:val="22"/>
        </w:rPr>
      </w:pPr>
    </w:p>
    <w:p w:rsidR="00A95413" w:rsidRPr="00046999" w:rsidRDefault="00A95413" w:rsidP="001D4BB3">
      <w:pPr>
        <w:autoSpaceDE w:val="0"/>
        <w:autoSpaceDN w:val="0"/>
        <w:adjustRightInd w:val="0"/>
        <w:spacing w:before="0" w:after="0"/>
        <w:jc w:val="both"/>
        <w:rPr>
          <w:rFonts w:cs="Calibri"/>
          <w:sz w:val="22"/>
          <w:szCs w:val="22"/>
        </w:rPr>
      </w:pPr>
      <w:r>
        <w:rPr>
          <w:rFonts w:cs="Calibri"/>
          <w:sz w:val="22"/>
          <w:szCs w:val="22"/>
        </w:rPr>
        <w:t>That investor protection is important was al</w:t>
      </w:r>
      <w:r w:rsidR="007F5CE8">
        <w:rPr>
          <w:rFonts w:cs="Calibri"/>
          <w:sz w:val="22"/>
          <w:szCs w:val="22"/>
        </w:rPr>
        <w:t>ready mentioned in paragraph 2.3</w:t>
      </w:r>
      <w:r>
        <w:rPr>
          <w:rFonts w:cs="Calibri"/>
          <w:sz w:val="22"/>
          <w:szCs w:val="22"/>
        </w:rPr>
        <w:t xml:space="preserve"> but how investors are protected in west-European countries is stated here. As Germany and France are code law countries it is noted that in code law countries shareholder protection is usually lower compared to rich common law countries (La Porta et al., 1999). Common law countries usually have good legal protection for minority shareholders. Here shareholders do not have to fear expropriation and hence do not need to be a controlling shareholder to ensure their investment (La Porta et al., 1999). Therefore, they are willing to accept a lower stake or can even prefer a low stake in order to diversify their portfolio. This results that in situation where there is high share holder protection ownership is usually more diversified (La Porta et al., 1999).</w:t>
      </w:r>
    </w:p>
    <w:p w:rsidR="00A95413" w:rsidRPr="00046999" w:rsidRDefault="00A95413" w:rsidP="001D4BB3">
      <w:pPr>
        <w:pStyle w:val="Kop2"/>
        <w:jc w:val="both"/>
        <w:rPr>
          <w:rFonts w:cs="Calibri"/>
          <w:lang w:eastAsia="nl-NL"/>
        </w:rPr>
      </w:pPr>
      <w:bookmarkStart w:id="69" w:name="_Toc320365307"/>
      <w:r w:rsidRPr="00046999">
        <w:rPr>
          <w:rFonts w:cs="Calibri"/>
          <w:lang w:eastAsia="nl-NL"/>
        </w:rPr>
        <w:t>2.6 Conclusion</w:t>
      </w:r>
      <w:bookmarkEnd w:id="69"/>
    </w:p>
    <w:p w:rsidR="00591623" w:rsidRDefault="00A95413" w:rsidP="001D4BB3">
      <w:pPr>
        <w:jc w:val="both"/>
        <w:rPr>
          <w:rFonts w:cs="Calibri"/>
          <w:sz w:val="22"/>
          <w:szCs w:val="22"/>
        </w:rPr>
      </w:pPr>
      <w:bookmarkStart w:id="70" w:name="_Toc286066278"/>
      <w:bookmarkStart w:id="71" w:name="_Toc286152860"/>
      <w:bookmarkStart w:id="72" w:name="_Toc286153691"/>
      <w:bookmarkStart w:id="73" w:name="_Toc286227986"/>
      <w:bookmarkStart w:id="74" w:name="_Toc287267066"/>
      <w:r w:rsidRPr="00046999">
        <w:rPr>
          <w:rFonts w:cs="Calibri"/>
          <w:sz w:val="22"/>
          <w:szCs w:val="22"/>
        </w:rPr>
        <w:t>In this chapter the definitions of ownership structure and corporate governance are stated. Ownership structure of listed firms is the distribution of shares to amongst owners. Corporate governance is the way the firm is organized and handles various problems/decisions/processes.</w:t>
      </w:r>
      <w:bookmarkEnd w:id="70"/>
      <w:bookmarkEnd w:id="71"/>
      <w:bookmarkEnd w:id="72"/>
      <w:bookmarkEnd w:id="73"/>
      <w:bookmarkEnd w:id="74"/>
      <w:r w:rsidRPr="00046999">
        <w:rPr>
          <w:rFonts w:cs="Calibri"/>
          <w:sz w:val="22"/>
          <w:szCs w:val="22"/>
        </w:rPr>
        <w:t xml:space="preserve"> Regarding ownership structure within Europe it was shown by the study of the EU(2009) that ownership in Italy and Germany is usually concentrated, The Netherlands and France have a lower ownership concentration and Belgium lies in an intermediate position. By comparing the European countries with countries outside the EU, </w:t>
      </w:r>
      <w:r>
        <w:rPr>
          <w:rFonts w:cs="Calibri"/>
          <w:sz w:val="22"/>
          <w:szCs w:val="22"/>
        </w:rPr>
        <w:t>it is noted that</w:t>
      </w:r>
      <w:r w:rsidRPr="00046999">
        <w:rPr>
          <w:rFonts w:cs="Calibri"/>
          <w:sz w:val="22"/>
          <w:szCs w:val="22"/>
        </w:rPr>
        <w:t xml:space="preserve"> according to Ball et al. (2000) the most influential west- European countries (France and Germany) belong to the code-law countries where there is a stakeholder model. In stakeholder models there is information asymmetry between the various stakeholders which is resolved by public disclosure. Hence, it can be expected that in regards to the stakeholder and shareholder model, that west-European firms disclose more information.</w:t>
      </w:r>
      <w:r>
        <w:rPr>
          <w:rFonts w:cs="Calibri"/>
          <w:sz w:val="22"/>
          <w:szCs w:val="22"/>
        </w:rPr>
        <w:t xml:space="preserve"> However, as investors are usually not very well protected in </w:t>
      </w:r>
      <w:r>
        <w:rPr>
          <w:rFonts w:cs="Calibri"/>
          <w:sz w:val="22"/>
          <w:szCs w:val="22"/>
        </w:rPr>
        <w:lastRenderedPageBreak/>
        <w:t>code law countries it can be expected that in this study ownership is relatively concentrated as investors aim to ensure that they their investment is safeguarded  and therefore hold larger stakes (La Porta et al., 1999). In the next chapter several research approaches are analyzed to find out which one is best to use for this research.</w:t>
      </w:r>
    </w:p>
    <w:p w:rsidR="00A95413" w:rsidRPr="00046999" w:rsidRDefault="00591623" w:rsidP="00591623">
      <w:pPr>
        <w:spacing w:before="0" w:after="0" w:line="240" w:lineRule="auto"/>
        <w:rPr>
          <w:rFonts w:cs="Calibri"/>
          <w:sz w:val="22"/>
          <w:szCs w:val="22"/>
        </w:rPr>
      </w:pPr>
      <w:r>
        <w:rPr>
          <w:rFonts w:cs="Calibri"/>
          <w:sz w:val="22"/>
          <w:szCs w:val="22"/>
        </w:rPr>
        <w:br w:type="page"/>
      </w:r>
    </w:p>
    <w:p w:rsidR="00A95413" w:rsidRPr="00046999" w:rsidRDefault="00A95413" w:rsidP="001D4BB3">
      <w:pPr>
        <w:pStyle w:val="Kop1"/>
        <w:jc w:val="both"/>
        <w:rPr>
          <w:rFonts w:cs="Calibri"/>
          <w:lang w:eastAsia="nl-NL"/>
        </w:rPr>
      </w:pPr>
      <w:bookmarkStart w:id="75" w:name="_Toc320365308"/>
      <w:r w:rsidRPr="00046999">
        <w:rPr>
          <w:rFonts w:cs="Calibri"/>
          <w:lang w:eastAsia="nl-NL"/>
        </w:rPr>
        <w:lastRenderedPageBreak/>
        <w:t>Chapter 3. Research approach</w:t>
      </w:r>
      <w:bookmarkEnd w:id="75"/>
    </w:p>
    <w:p w:rsidR="00A95413" w:rsidRPr="00046999" w:rsidRDefault="00A95413" w:rsidP="001D4BB3">
      <w:pPr>
        <w:pStyle w:val="Kop2"/>
        <w:jc w:val="both"/>
        <w:rPr>
          <w:rFonts w:cs="Calibri"/>
        </w:rPr>
      </w:pPr>
      <w:bookmarkStart w:id="76" w:name="_Toc287267068"/>
      <w:bookmarkStart w:id="77" w:name="_Toc320365309"/>
      <w:r w:rsidRPr="00046999">
        <w:rPr>
          <w:rFonts w:cs="Calibri"/>
        </w:rPr>
        <w:t>3.1 Introduction</w:t>
      </w:r>
      <w:bookmarkEnd w:id="76"/>
      <w:bookmarkEnd w:id="77"/>
    </w:p>
    <w:p w:rsidR="00A95413" w:rsidRPr="00046999" w:rsidRDefault="00A95413" w:rsidP="001D4BB3">
      <w:pPr>
        <w:tabs>
          <w:tab w:val="left" w:pos="360"/>
        </w:tabs>
        <w:jc w:val="both"/>
        <w:rPr>
          <w:rFonts w:cs="Calibri"/>
          <w:b/>
          <w:iCs/>
          <w:sz w:val="22"/>
          <w:szCs w:val="22"/>
        </w:rPr>
      </w:pPr>
      <w:r w:rsidRPr="00046999">
        <w:rPr>
          <w:rFonts w:cs="Calibri"/>
          <w:iCs/>
          <w:sz w:val="22"/>
          <w:szCs w:val="22"/>
        </w:rPr>
        <w:t xml:space="preserve">In this chapter several research approaches are </w:t>
      </w:r>
      <w:r w:rsidR="00E461F3">
        <w:rPr>
          <w:rFonts w:cs="Calibri"/>
          <w:iCs/>
          <w:sz w:val="22"/>
          <w:szCs w:val="22"/>
        </w:rPr>
        <w:t xml:space="preserve">described and </w:t>
      </w:r>
      <w:r w:rsidRPr="00046999">
        <w:rPr>
          <w:rFonts w:cs="Calibri"/>
          <w:iCs/>
          <w:sz w:val="22"/>
          <w:szCs w:val="22"/>
        </w:rPr>
        <w:t xml:space="preserve">explained. Subsequently, the research approach </w:t>
      </w:r>
      <w:r w:rsidR="00E461F3">
        <w:rPr>
          <w:rFonts w:cs="Calibri"/>
          <w:iCs/>
          <w:sz w:val="22"/>
          <w:szCs w:val="22"/>
        </w:rPr>
        <w:t>for</w:t>
      </w:r>
      <w:r w:rsidRPr="00046999">
        <w:rPr>
          <w:rFonts w:cs="Calibri"/>
          <w:iCs/>
          <w:sz w:val="22"/>
          <w:szCs w:val="22"/>
        </w:rPr>
        <w:t xml:space="preserve"> study is determined. Furthermore, the Agency Theory is described as it is related to this </w:t>
      </w:r>
      <w:r w:rsidR="009A46C5">
        <w:rPr>
          <w:rFonts w:cs="Calibri"/>
          <w:iCs/>
          <w:sz w:val="22"/>
          <w:szCs w:val="22"/>
        </w:rPr>
        <w:t>research</w:t>
      </w:r>
      <w:r w:rsidRPr="00046999">
        <w:rPr>
          <w:rFonts w:cs="Calibri"/>
          <w:iCs/>
          <w:sz w:val="22"/>
          <w:szCs w:val="22"/>
        </w:rPr>
        <w:t xml:space="preserve">. </w:t>
      </w:r>
    </w:p>
    <w:p w:rsidR="00A95413" w:rsidRPr="00046999" w:rsidRDefault="00A95413" w:rsidP="001D4BB3">
      <w:pPr>
        <w:pStyle w:val="Kop2"/>
        <w:jc w:val="both"/>
        <w:rPr>
          <w:rFonts w:cs="Calibri"/>
        </w:rPr>
      </w:pPr>
      <w:bookmarkStart w:id="78" w:name="_Toc287267069"/>
      <w:bookmarkStart w:id="79" w:name="_Toc320365310"/>
      <w:r w:rsidRPr="00046999">
        <w:rPr>
          <w:rFonts w:cs="Calibri"/>
        </w:rPr>
        <w:t xml:space="preserve">3.2 </w:t>
      </w:r>
      <w:bookmarkEnd w:id="78"/>
      <w:r w:rsidRPr="00046999">
        <w:rPr>
          <w:rFonts w:cs="Calibri"/>
        </w:rPr>
        <w:t>Research approaches</w:t>
      </w:r>
      <w:bookmarkEnd w:id="79"/>
    </w:p>
    <w:p w:rsidR="00A95413" w:rsidRPr="00046999" w:rsidRDefault="00A95413" w:rsidP="001D4BB3">
      <w:pPr>
        <w:tabs>
          <w:tab w:val="left" w:pos="360"/>
        </w:tabs>
        <w:jc w:val="both"/>
        <w:rPr>
          <w:rFonts w:cs="Calibri"/>
          <w:iCs/>
          <w:sz w:val="22"/>
          <w:szCs w:val="22"/>
        </w:rPr>
      </w:pPr>
      <w:r w:rsidRPr="00046999">
        <w:rPr>
          <w:rFonts w:cs="Calibri"/>
          <w:iCs/>
          <w:sz w:val="22"/>
          <w:szCs w:val="22"/>
        </w:rPr>
        <w:t xml:space="preserve">For this study the empirical approach is used in order to provide strong evidence and to make sure a profound conclusion can be drawn from the obtained results. </w:t>
      </w:r>
      <w:r>
        <w:rPr>
          <w:rFonts w:cs="Calibri"/>
          <w:iCs/>
          <w:sz w:val="22"/>
          <w:szCs w:val="22"/>
        </w:rPr>
        <w:t>The empirical approach is preferred to the normative approach, because here the</w:t>
      </w:r>
      <w:r w:rsidRPr="00046999">
        <w:rPr>
          <w:rFonts w:cs="Calibri"/>
          <w:iCs/>
          <w:sz w:val="22"/>
          <w:szCs w:val="22"/>
        </w:rPr>
        <w:t xml:space="preserve"> results are based on empirical evidence </w:t>
      </w:r>
      <w:r>
        <w:rPr>
          <w:rFonts w:cs="Calibri"/>
          <w:iCs/>
          <w:sz w:val="22"/>
          <w:szCs w:val="22"/>
        </w:rPr>
        <w:t>and not just on</w:t>
      </w:r>
      <w:r w:rsidRPr="00046999">
        <w:rPr>
          <w:rFonts w:cs="Calibri"/>
          <w:iCs/>
          <w:sz w:val="22"/>
          <w:szCs w:val="22"/>
        </w:rPr>
        <w:t xml:space="preserve"> literature and expectations. There are various empirical approaches. In this paragraph three main empirical approaches are described; the Market-Based Accounting Research approach, the Behavioral Accounting Theory approach and the Positive Accounting Theory approach. </w:t>
      </w:r>
    </w:p>
    <w:p w:rsidR="00A95413" w:rsidRPr="00046999" w:rsidRDefault="00A95413" w:rsidP="001D4BB3">
      <w:pPr>
        <w:tabs>
          <w:tab w:val="left" w:pos="360"/>
        </w:tabs>
        <w:jc w:val="both"/>
        <w:rPr>
          <w:rFonts w:cs="Calibri"/>
          <w:iCs/>
          <w:sz w:val="22"/>
          <w:szCs w:val="22"/>
        </w:rPr>
      </w:pPr>
      <w:r w:rsidRPr="00046999">
        <w:rPr>
          <w:rFonts w:cs="Calibri"/>
          <w:iCs/>
          <w:sz w:val="22"/>
          <w:szCs w:val="22"/>
        </w:rPr>
        <w:t>The Market-Based Accounting Research approach examines the market reaction to changes/observations in accounting data.  This approach is used for analyzing relations between stock performance and financial infor</w:t>
      </w:r>
      <w:r w:rsidR="009C621F">
        <w:rPr>
          <w:rFonts w:cs="Calibri"/>
          <w:iCs/>
          <w:sz w:val="22"/>
          <w:szCs w:val="22"/>
        </w:rPr>
        <w:t>mation (Deegan and Unerman, 2011</w:t>
      </w:r>
      <w:r w:rsidRPr="00046999">
        <w:rPr>
          <w:rFonts w:cs="Calibri"/>
          <w:iCs/>
          <w:sz w:val="22"/>
          <w:szCs w:val="22"/>
        </w:rPr>
        <w:t xml:space="preserve">). As in this study stock performance is not examined, this approach is not appropriate for this study. </w:t>
      </w:r>
    </w:p>
    <w:p w:rsidR="00A95413" w:rsidRPr="00046999" w:rsidRDefault="00A95413" w:rsidP="001D4BB3">
      <w:pPr>
        <w:tabs>
          <w:tab w:val="left" w:pos="360"/>
        </w:tabs>
        <w:jc w:val="both"/>
        <w:rPr>
          <w:rFonts w:cs="Calibri"/>
          <w:iCs/>
          <w:sz w:val="22"/>
          <w:szCs w:val="22"/>
        </w:rPr>
      </w:pPr>
      <w:r w:rsidRPr="00046999">
        <w:rPr>
          <w:rFonts w:cs="Calibri"/>
          <w:iCs/>
          <w:sz w:val="22"/>
          <w:szCs w:val="22"/>
        </w:rPr>
        <w:t>The Behavioral Accounting Theory approach examines how individuals react and behave when they obtain information. This approach is used in a so called ‘laboratory setting’ where the reactions and behavior of the participants can be ob</w:t>
      </w:r>
      <w:r w:rsidR="009C621F">
        <w:rPr>
          <w:rFonts w:cs="Calibri"/>
          <w:iCs/>
          <w:sz w:val="22"/>
          <w:szCs w:val="22"/>
        </w:rPr>
        <w:t>served (Deegan and Unerman, 2011</w:t>
      </w:r>
      <w:r w:rsidRPr="00046999">
        <w:rPr>
          <w:rFonts w:cs="Calibri"/>
          <w:iCs/>
          <w:sz w:val="22"/>
          <w:szCs w:val="22"/>
        </w:rPr>
        <w:t xml:space="preserve">). As this study does not examine the behavior of individuals but the disclosure behavior of the firm as a whole this approach is not the most appropriate for this study. </w:t>
      </w:r>
    </w:p>
    <w:p w:rsidR="00A27C3C" w:rsidRDefault="00A95413" w:rsidP="001D4BB3">
      <w:pPr>
        <w:autoSpaceDE w:val="0"/>
        <w:autoSpaceDN w:val="0"/>
        <w:adjustRightInd w:val="0"/>
        <w:spacing w:before="0" w:after="0"/>
        <w:jc w:val="both"/>
        <w:rPr>
          <w:rFonts w:cs="Calibri"/>
          <w:sz w:val="22"/>
          <w:szCs w:val="22"/>
        </w:rPr>
      </w:pPr>
      <w:r w:rsidRPr="00046999">
        <w:rPr>
          <w:rFonts w:cs="Calibri"/>
          <w:iCs/>
          <w:sz w:val="22"/>
          <w:szCs w:val="22"/>
        </w:rPr>
        <w:t xml:space="preserve">Positive theories consider all theories based on empirical observations. Positive Accounting Theory, first described by Watts and Zimmerman (1978), tries to explain and predict actual accounting practices based on empirical evidence. </w:t>
      </w:r>
      <w:r w:rsidRPr="00046999">
        <w:rPr>
          <w:rFonts w:cs="Calibri"/>
          <w:sz w:val="22"/>
          <w:szCs w:val="22"/>
        </w:rPr>
        <w:t xml:space="preserve">From a positive accounting perspective it can be examined what factors explain the behavior of management concerning the provision of voluntary disclosures. As this study analyzes the relation of ownership structure and voluntary disclosures, we try to </w:t>
      </w:r>
      <w:r w:rsidR="00B271B8">
        <w:rPr>
          <w:rFonts w:cs="Calibri"/>
          <w:sz w:val="22"/>
          <w:szCs w:val="22"/>
        </w:rPr>
        <w:t xml:space="preserve">describe and </w:t>
      </w:r>
      <w:r w:rsidRPr="00046999">
        <w:rPr>
          <w:rFonts w:cs="Calibri"/>
          <w:sz w:val="22"/>
          <w:szCs w:val="22"/>
        </w:rPr>
        <w:t>explain what the association between ownership structure and voluntary disclosures is. Therefore, the positive accounting theory is appropriate for this study. In addition, positive accounting theory helps explain choices of managers regarding accounting methods (Beattie et al., 1994). The choices are based on the underlying trade-off between multiple incentives. This study seeks to explain the choice of managers’ disclosure</w:t>
      </w:r>
      <w:r>
        <w:rPr>
          <w:rFonts w:cs="Calibri"/>
          <w:sz w:val="22"/>
          <w:szCs w:val="22"/>
        </w:rPr>
        <w:t xml:space="preserve"> practices</w:t>
      </w:r>
      <w:r w:rsidRPr="00046999">
        <w:rPr>
          <w:rFonts w:cs="Calibri"/>
          <w:sz w:val="22"/>
          <w:szCs w:val="22"/>
        </w:rPr>
        <w:t>. In the next paragraph the assumptions of this theory and three hypotheses related to the positive accounting theory are explained.</w:t>
      </w:r>
    </w:p>
    <w:p w:rsidR="00591623" w:rsidRDefault="00591623" w:rsidP="001D4BB3">
      <w:pPr>
        <w:autoSpaceDE w:val="0"/>
        <w:autoSpaceDN w:val="0"/>
        <w:adjustRightInd w:val="0"/>
        <w:spacing w:before="0" w:after="0"/>
        <w:jc w:val="both"/>
        <w:rPr>
          <w:rFonts w:cs="Calibri"/>
          <w:sz w:val="22"/>
          <w:szCs w:val="22"/>
        </w:rPr>
      </w:pPr>
    </w:p>
    <w:p w:rsidR="00591623" w:rsidRDefault="00591623" w:rsidP="001D4BB3">
      <w:pPr>
        <w:autoSpaceDE w:val="0"/>
        <w:autoSpaceDN w:val="0"/>
        <w:adjustRightInd w:val="0"/>
        <w:spacing w:before="0" w:after="0"/>
        <w:jc w:val="both"/>
        <w:rPr>
          <w:rFonts w:cs="Calibri"/>
          <w:sz w:val="22"/>
          <w:szCs w:val="22"/>
        </w:rPr>
      </w:pPr>
    </w:p>
    <w:p w:rsidR="00591623" w:rsidRPr="00046999" w:rsidRDefault="00591623" w:rsidP="001D4BB3">
      <w:pPr>
        <w:autoSpaceDE w:val="0"/>
        <w:autoSpaceDN w:val="0"/>
        <w:adjustRightInd w:val="0"/>
        <w:spacing w:before="0" w:after="0"/>
        <w:jc w:val="both"/>
        <w:rPr>
          <w:rFonts w:cs="Calibri"/>
          <w:sz w:val="22"/>
          <w:szCs w:val="22"/>
        </w:rPr>
      </w:pPr>
    </w:p>
    <w:p w:rsidR="00A95413" w:rsidRPr="00046999" w:rsidRDefault="00A95413" w:rsidP="001D4BB3">
      <w:pPr>
        <w:pStyle w:val="Kop2"/>
        <w:jc w:val="both"/>
        <w:rPr>
          <w:rFonts w:cs="Calibri"/>
        </w:rPr>
      </w:pPr>
      <w:bookmarkStart w:id="80" w:name="_Toc320365311"/>
      <w:r w:rsidRPr="00046999">
        <w:rPr>
          <w:rFonts w:cs="Calibri"/>
        </w:rPr>
        <w:lastRenderedPageBreak/>
        <w:t>3.3 Positive Accounting Theory</w:t>
      </w:r>
      <w:bookmarkEnd w:id="80"/>
    </w:p>
    <w:p w:rsidR="00A95413" w:rsidRPr="00046999" w:rsidRDefault="00A95413" w:rsidP="001D4BB3">
      <w:pPr>
        <w:tabs>
          <w:tab w:val="left" w:pos="360"/>
        </w:tabs>
        <w:jc w:val="both"/>
        <w:rPr>
          <w:rFonts w:cs="Calibri"/>
          <w:iCs/>
          <w:sz w:val="22"/>
          <w:szCs w:val="22"/>
        </w:rPr>
      </w:pPr>
      <w:r w:rsidRPr="00046999">
        <w:rPr>
          <w:rFonts w:cs="Calibri"/>
          <w:iCs/>
          <w:sz w:val="22"/>
          <w:szCs w:val="22"/>
        </w:rPr>
        <w:t xml:space="preserve">There are two underlying assumptions in the Positive Accounting Theory; information asymmetry and </w:t>
      </w:r>
      <w:r w:rsidR="00150DE3">
        <w:rPr>
          <w:rFonts w:cs="Calibri"/>
          <w:iCs/>
          <w:sz w:val="22"/>
          <w:szCs w:val="22"/>
        </w:rPr>
        <w:t>the</w:t>
      </w:r>
      <w:r w:rsidRPr="00046999">
        <w:rPr>
          <w:rFonts w:cs="Calibri"/>
          <w:iCs/>
          <w:sz w:val="22"/>
          <w:szCs w:val="22"/>
        </w:rPr>
        <w:t xml:space="preserve"> self-interest</w:t>
      </w:r>
      <w:r w:rsidR="00150DE3">
        <w:rPr>
          <w:rFonts w:cs="Calibri"/>
          <w:iCs/>
          <w:sz w:val="22"/>
          <w:szCs w:val="22"/>
        </w:rPr>
        <w:t xml:space="preserve"> assumption</w:t>
      </w:r>
      <w:r w:rsidRPr="00046999">
        <w:rPr>
          <w:rFonts w:cs="Calibri"/>
          <w:iCs/>
          <w:sz w:val="22"/>
          <w:szCs w:val="22"/>
        </w:rPr>
        <w:t xml:space="preserve"> (Beattie et al., 1994). The first assumption means that there exists information asymmetry between the owners and the managers. The manager is hired by the owners and possesses valuable knowledge about the firm which the owner might not possess hence; the information of the owner and manager </w:t>
      </w:r>
      <w:r>
        <w:rPr>
          <w:rFonts w:cs="Calibri"/>
          <w:iCs/>
          <w:sz w:val="22"/>
          <w:szCs w:val="22"/>
        </w:rPr>
        <w:t>is</w:t>
      </w:r>
      <w:r w:rsidRPr="00046999">
        <w:rPr>
          <w:rFonts w:cs="Calibri"/>
          <w:iCs/>
          <w:sz w:val="22"/>
          <w:szCs w:val="22"/>
        </w:rPr>
        <w:t xml:space="preserve"> dissimilar/asymmetric. The second assumption is that people act in self-interest to maximize their personal welfare. Because the manager and the owner have different interests (conflicting interests) the manager might not act in the interest of the owner. Hence, the manager might not act in the best interest of the firm. The assumption that people act in self-interest is closely related to the agency theory which is explained in the following paragraph. Frequently related to the positive accounting theory are the following three hypotheses (Watts and Zimmerman 1990): </w:t>
      </w:r>
    </w:p>
    <w:p w:rsidR="00A95413" w:rsidRPr="00046999" w:rsidRDefault="00A95413" w:rsidP="001D4BB3">
      <w:pPr>
        <w:numPr>
          <w:ilvl w:val="0"/>
          <w:numId w:val="5"/>
        </w:numPr>
        <w:tabs>
          <w:tab w:val="left" w:pos="360"/>
        </w:tabs>
        <w:spacing w:before="0"/>
        <w:jc w:val="both"/>
        <w:rPr>
          <w:rFonts w:cs="Calibri"/>
          <w:iCs/>
          <w:sz w:val="22"/>
          <w:szCs w:val="22"/>
        </w:rPr>
      </w:pPr>
      <w:r w:rsidRPr="00046999">
        <w:rPr>
          <w:rFonts w:cs="Calibri"/>
          <w:iCs/>
          <w:sz w:val="22"/>
          <w:szCs w:val="22"/>
        </w:rPr>
        <w:t>Bonus plan Hypothesis</w:t>
      </w:r>
    </w:p>
    <w:p w:rsidR="00A95413" w:rsidRPr="00046999" w:rsidRDefault="00A95413" w:rsidP="001D4BB3">
      <w:pPr>
        <w:numPr>
          <w:ilvl w:val="0"/>
          <w:numId w:val="5"/>
        </w:numPr>
        <w:tabs>
          <w:tab w:val="left" w:pos="360"/>
        </w:tabs>
        <w:spacing w:before="0"/>
        <w:jc w:val="both"/>
        <w:rPr>
          <w:rFonts w:cs="Calibri"/>
          <w:iCs/>
          <w:sz w:val="22"/>
          <w:szCs w:val="22"/>
        </w:rPr>
      </w:pPr>
      <w:r w:rsidRPr="00046999">
        <w:rPr>
          <w:rFonts w:cs="Calibri"/>
          <w:iCs/>
          <w:sz w:val="22"/>
          <w:szCs w:val="22"/>
        </w:rPr>
        <w:t>Debt/equity Hypothesis</w:t>
      </w:r>
    </w:p>
    <w:p w:rsidR="00A95413" w:rsidRPr="00046999" w:rsidRDefault="00A95413" w:rsidP="001D4BB3">
      <w:pPr>
        <w:numPr>
          <w:ilvl w:val="0"/>
          <w:numId w:val="5"/>
        </w:numPr>
        <w:tabs>
          <w:tab w:val="left" w:pos="360"/>
        </w:tabs>
        <w:spacing w:before="0"/>
        <w:jc w:val="both"/>
        <w:rPr>
          <w:rFonts w:cs="Calibri"/>
          <w:iCs/>
          <w:sz w:val="22"/>
          <w:szCs w:val="22"/>
        </w:rPr>
      </w:pPr>
      <w:r w:rsidRPr="00046999">
        <w:rPr>
          <w:rFonts w:cs="Calibri"/>
          <w:iCs/>
          <w:sz w:val="22"/>
          <w:szCs w:val="22"/>
        </w:rPr>
        <w:t>Political cost Hypothesis</w:t>
      </w:r>
    </w:p>
    <w:p w:rsidR="00A95413" w:rsidRPr="00046999" w:rsidRDefault="00A95413" w:rsidP="001D4BB3">
      <w:pPr>
        <w:tabs>
          <w:tab w:val="left" w:pos="360"/>
        </w:tabs>
        <w:jc w:val="both"/>
        <w:rPr>
          <w:rFonts w:cs="Calibri"/>
          <w:iCs/>
          <w:sz w:val="22"/>
          <w:szCs w:val="22"/>
        </w:rPr>
      </w:pPr>
      <w:r w:rsidRPr="00046999">
        <w:rPr>
          <w:rFonts w:cs="Calibri"/>
          <w:iCs/>
          <w:sz w:val="22"/>
          <w:szCs w:val="22"/>
        </w:rPr>
        <w:t>The bonus plan hypothesis implies that managers of a firm with compensation schemes are more likely to use accounting methods that imp</w:t>
      </w:r>
      <w:r w:rsidR="00B07480">
        <w:rPr>
          <w:rFonts w:cs="Calibri"/>
          <w:iCs/>
          <w:sz w:val="22"/>
          <w:szCs w:val="22"/>
        </w:rPr>
        <w:t>rove reported income to ensure or increase</w:t>
      </w:r>
      <w:r w:rsidRPr="00046999">
        <w:rPr>
          <w:rFonts w:cs="Calibri"/>
          <w:iCs/>
          <w:sz w:val="22"/>
          <w:szCs w:val="22"/>
        </w:rPr>
        <w:t xml:space="preserve"> their compensation/bonus. The debt/equity hypothesis entails that when the firm’s debt/equity ratio is high managers are more likely to use accounting methods which increase income. This is because when the debt/equity ratio is high and certain agreements</w:t>
      </w:r>
      <w:r w:rsidR="00A27C3C">
        <w:rPr>
          <w:rFonts w:cs="Calibri"/>
          <w:iCs/>
          <w:sz w:val="22"/>
          <w:szCs w:val="22"/>
        </w:rPr>
        <w:t xml:space="preserve">/covenants </w:t>
      </w:r>
      <w:r w:rsidRPr="00046999">
        <w:rPr>
          <w:rFonts w:cs="Calibri"/>
          <w:iCs/>
          <w:sz w:val="22"/>
          <w:szCs w:val="22"/>
        </w:rPr>
        <w:t xml:space="preserve">have been made with </w:t>
      </w:r>
      <w:r w:rsidR="00A27C3C">
        <w:rPr>
          <w:rFonts w:cs="Calibri"/>
          <w:iCs/>
          <w:sz w:val="22"/>
          <w:szCs w:val="22"/>
        </w:rPr>
        <w:t>lenders</w:t>
      </w:r>
      <w:r w:rsidRPr="00046999">
        <w:rPr>
          <w:rFonts w:cs="Calibri"/>
          <w:iCs/>
          <w:sz w:val="22"/>
          <w:szCs w:val="22"/>
        </w:rPr>
        <w:t xml:space="preserve"> that for example, the debt/equity ratio will not exceed a certain value, management might be under a high pressure to meet these agreements. Due to this high pressure accounting methods which increase income and cause the debt constraint to loosen are chosen. However, sometimes the contract agreements are violated which lead</w:t>
      </w:r>
      <w:r w:rsidR="009F1F32">
        <w:rPr>
          <w:rFonts w:cs="Calibri"/>
          <w:iCs/>
          <w:sz w:val="22"/>
          <w:szCs w:val="22"/>
        </w:rPr>
        <w:t>s</w:t>
      </w:r>
      <w:r w:rsidRPr="00046999">
        <w:rPr>
          <w:rFonts w:cs="Calibri"/>
          <w:iCs/>
          <w:sz w:val="22"/>
          <w:szCs w:val="22"/>
        </w:rPr>
        <w:t xml:space="preserve"> to unexpected costs. These costs can consist of an immediate increase in interest expense or in an immediate repay of the loan. </w:t>
      </w:r>
    </w:p>
    <w:p w:rsidR="00A95413" w:rsidRPr="00046999" w:rsidRDefault="00A95413" w:rsidP="001D4BB3">
      <w:pPr>
        <w:tabs>
          <w:tab w:val="left" w:pos="360"/>
        </w:tabs>
        <w:jc w:val="both"/>
        <w:rPr>
          <w:rFonts w:cs="Calibri"/>
          <w:iCs/>
          <w:sz w:val="22"/>
          <w:szCs w:val="22"/>
        </w:rPr>
      </w:pPr>
      <w:r w:rsidRPr="00046999">
        <w:rPr>
          <w:rFonts w:cs="Calibri"/>
          <w:iCs/>
          <w:sz w:val="22"/>
          <w:szCs w:val="22"/>
        </w:rPr>
        <w:t>Furthermore, the political cost hypothesis assumes that large, susceptible, highly profitable or notable firms are more likely to employ accounting methods that reduce reported profits for the current year compared to opposite type of firms. The reason for this is that these firms are expected to receive more political</w:t>
      </w:r>
      <w:r>
        <w:rPr>
          <w:rFonts w:cs="Calibri"/>
          <w:iCs/>
          <w:sz w:val="22"/>
          <w:szCs w:val="22"/>
        </w:rPr>
        <w:t>/public</w:t>
      </w:r>
      <w:r w:rsidRPr="00046999">
        <w:rPr>
          <w:rFonts w:cs="Calibri"/>
          <w:iCs/>
          <w:sz w:val="22"/>
          <w:szCs w:val="22"/>
        </w:rPr>
        <w:t xml:space="preserve"> attention and hence, have higher political costs. Furthermore,</w:t>
      </w:r>
      <w:r w:rsidRPr="00046999">
        <w:rPr>
          <w:rFonts w:cs="Calibri"/>
          <w:bCs/>
          <w:sz w:val="22"/>
          <w:szCs w:val="22"/>
        </w:rPr>
        <w:t xml:space="preserve"> this hypothesis assumes that it is costly for individuals to assess whether the accounting profits are correct (Watts and Zimmerman 1990).</w:t>
      </w:r>
    </w:p>
    <w:p w:rsidR="00256488" w:rsidRPr="00046999" w:rsidRDefault="00A95413" w:rsidP="001D4BB3">
      <w:pPr>
        <w:tabs>
          <w:tab w:val="left" w:pos="360"/>
        </w:tabs>
        <w:jc w:val="both"/>
        <w:rPr>
          <w:rFonts w:cs="Calibri"/>
          <w:bCs/>
          <w:sz w:val="22"/>
          <w:szCs w:val="22"/>
        </w:rPr>
      </w:pPr>
      <w:r w:rsidRPr="00046999">
        <w:rPr>
          <w:rFonts w:cs="Calibri"/>
          <w:bCs/>
          <w:sz w:val="22"/>
          <w:szCs w:val="22"/>
        </w:rPr>
        <w:t xml:space="preserve">All </w:t>
      </w:r>
      <w:r>
        <w:rPr>
          <w:rFonts w:cs="Calibri"/>
          <w:bCs/>
          <w:sz w:val="22"/>
          <w:szCs w:val="22"/>
        </w:rPr>
        <w:t xml:space="preserve">three </w:t>
      </w:r>
      <w:r w:rsidRPr="00046999">
        <w:rPr>
          <w:rFonts w:cs="Calibri"/>
          <w:bCs/>
          <w:sz w:val="22"/>
          <w:szCs w:val="22"/>
        </w:rPr>
        <w:t>hypotheses are related to this study; if more voluntary disclosures increase firm performance, managers will disclose mor</w:t>
      </w:r>
      <w:r>
        <w:rPr>
          <w:rFonts w:cs="Calibri"/>
          <w:bCs/>
          <w:sz w:val="22"/>
          <w:szCs w:val="22"/>
        </w:rPr>
        <w:t>e information according to the b</w:t>
      </w:r>
      <w:r w:rsidRPr="00046999">
        <w:rPr>
          <w:rFonts w:cs="Calibri"/>
          <w:bCs/>
          <w:sz w:val="22"/>
          <w:szCs w:val="22"/>
        </w:rPr>
        <w:t>onus plan hypothesis. Continuously, if voluntary disclosures reduce risk for investors which results in lower costs of attracting new capital or looser contract constraints, managers will disclose mor</w:t>
      </w:r>
      <w:r>
        <w:rPr>
          <w:rFonts w:cs="Calibri"/>
          <w:bCs/>
          <w:sz w:val="22"/>
          <w:szCs w:val="22"/>
        </w:rPr>
        <w:t>e information according to the d</w:t>
      </w:r>
      <w:r w:rsidRPr="00046999">
        <w:rPr>
          <w:rFonts w:cs="Calibri"/>
          <w:bCs/>
          <w:sz w:val="22"/>
          <w:szCs w:val="22"/>
        </w:rPr>
        <w:t xml:space="preserve">ebt/equity hypothesis. Furthermore, in order to reduce political costs managers might disclose more information to reduce media attention regarding some ambiguities. </w:t>
      </w:r>
    </w:p>
    <w:p w:rsidR="00A95413" w:rsidRPr="00046999" w:rsidRDefault="00A95413" w:rsidP="008A719B">
      <w:pPr>
        <w:pStyle w:val="Kop2"/>
        <w:jc w:val="both"/>
        <w:rPr>
          <w:rFonts w:cs="Calibri"/>
        </w:rPr>
      </w:pPr>
      <w:bookmarkStart w:id="81" w:name="_Toc287267070"/>
      <w:bookmarkStart w:id="82" w:name="_Toc320365312"/>
      <w:r w:rsidRPr="00046999">
        <w:rPr>
          <w:rFonts w:cs="Calibri"/>
        </w:rPr>
        <w:lastRenderedPageBreak/>
        <w:t>3.4 Agency Theory</w:t>
      </w:r>
      <w:bookmarkEnd w:id="81"/>
      <w:bookmarkEnd w:id="82"/>
      <w:r w:rsidRPr="00046999">
        <w:rPr>
          <w:rFonts w:cs="Calibri"/>
        </w:rPr>
        <w:t xml:space="preserve"> </w:t>
      </w:r>
    </w:p>
    <w:p w:rsidR="008A719B" w:rsidRDefault="008A719B" w:rsidP="001D4BB3">
      <w:pPr>
        <w:autoSpaceDE w:val="0"/>
        <w:autoSpaceDN w:val="0"/>
        <w:adjustRightInd w:val="0"/>
        <w:spacing w:before="0" w:after="0"/>
        <w:jc w:val="both"/>
        <w:rPr>
          <w:rFonts w:cs="Calibri"/>
          <w:sz w:val="22"/>
          <w:szCs w:val="22"/>
          <w:lang w:eastAsia="nl-NL"/>
        </w:rPr>
      </w:pPr>
    </w:p>
    <w:p w:rsidR="00A95413" w:rsidRPr="00046999" w:rsidRDefault="00A95413" w:rsidP="001D4BB3">
      <w:pPr>
        <w:autoSpaceDE w:val="0"/>
        <w:autoSpaceDN w:val="0"/>
        <w:adjustRightInd w:val="0"/>
        <w:spacing w:before="0" w:after="0"/>
        <w:jc w:val="both"/>
        <w:rPr>
          <w:rFonts w:cs="Calibri"/>
          <w:b/>
          <w:bCs/>
          <w:i/>
          <w:iCs/>
          <w:sz w:val="22"/>
          <w:szCs w:val="22"/>
          <w:lang w:eastAsia="nl-NL"/>
        </w:rPr>
      </w:pPr>
      <w:r w:rsidRPr="00046999">
        <w:rPr>
          <w:rFonts w:cs="Calibri"/>
          <w:sz w:val="22"/>
          <w:szCs w:val="22"/>
          <w:lang w:eastAsia="nl-NL"/>
        </w:rPr>
        <w:t>As mentioned above positive accounting theory and agency theory both assume that all individuals act in self-interest.</w:t>
      </w:r>
      <w:r w:rsidRPr="00046999">
        <w:rPr>
          <w:rFonts w:cs="Calibri"/>
          <w:sz w:val="22"/>
          <w:szCs w:val="22"/>
        </w:rPr>
        <w:t xml:space="preserve"> According to </w:t>
      </w:r>
      <w:r w:rsidRPr="00046999">
        <w:rPr>
          <w:rFonts w:cs="Calibri"/>
          <w:sz w:val="22"/>
          <w:szCs w:val="22"/>
          <w:lang w:eastAsia="nl-NL"/>
        </w:rPr>
        <w:t>Jensen and Meckling (1976) t</w:t>
      </w:r>
      <w:r w:rsidRPr="00046999">
        <w:rPr>
          <w:rFonts w:cs="Calibri"/>
          <w:sz w:val="22"/>
          <w:szCs w:val="22"/>
        </w:rPr>
        <w:t xml:space="preserve">he agency problem arises in a situation where the managers (agents) and the owners (principals) have different interests. It is believed that the agent and principal both act in self-interest to maximize their personal welfare. The underlying assumption is again that there is information asymmetry between the agents and principals. Continuously, as the principal hires the agent for some kind of decision making purposes it is expected that the agent will not always act in the best interest of the principal. </w:t>
      </w:r>
      <w:r w:rsidRPr="00046999">
        <w:rPr>
          <w:rFonts w:cs="Calibri"/>
          <w:sz w:val="22"/>
          <w:szCs w:val="22"/>
          <w:lang w:eastAsia="nl-NL"/>
        </w:rPr>
        <w:t>Agency costs arise due to this inefficient relation between the agent and the principal. The reduction in welfare caused by the agent who does not act in the best interest of the principals is called ‘residual loss’ by Jensen and Meckling (1976). Total agency costs include the residual loss, the costs of monitoring and the bonding expenditures by the agent (Jensen and Meckling, 1976). With monitoring expenditures is referred to the costs of monitoring the behavior of the agent and performing efforts to control this behavior via setting budget restrictions or establishing compensation policies etc. (Jenson and Meckling, 1976). Bonding expenditures consists of: ‘</w:t>
      </w:r>
      <w:r w:rsidRPr="00046999">
        <w:rPr>
          <w:rFonts w:cs="Calibri"/>
          <w:i/>
          <w:sz w:val="22"/>
          <w:szCs w:val="22"/>
          <w:lang w:eastAsia="nl-NL"/>
        </w:rPr>
        <w:t xml:space="preserve">resources spend by </w:t>
      </w:r>
      <w:r w:rsidRPr="00046999">
        <w:rPr>
          <w:rFonts w:cs="Calibri"/>
          <w:i/>
          <w:sz w:val="22"/>
          <w:szCs w:val="22"/>
        </w:rPr>
        <w:t>the agent (bonding costs) to guarantee that he will not</w:t>
      </w:r>
      <w:r>
        <w:rPr>
          <w:rFonts w:cs="Calibri"/>
          <w:i/>
          <w:sz w:val="22"/>
          <w:szCs w:val="22"/>
        </w:rPr>
        <w:t xml:space="preserve"> </w:t>
      </w:r>
      <w:r w:rsidRPr="00046999">
        <w:rPr>
          <w:rFonts w:cs="Calibri"/>
          <w:i/>
          <w:sz w:val="22"/>
          <w:szCs w:val="22"/>
        </w:rPr>
        <w:t>take certain actions which would harm the principal or to ensure that the principal will be compensated if he does take such actions’</w:t>
      </w:r>
      <w:r w:rsidRPr="00046999">
        <w:rPr>
          <w:rFonts w:cs="Calibri"/>
          <w:sz w:val="22"/>
          <w:szCs w:val="22"/>
        </w:rPr>
        <w:t xml:space="preserve"> (Jensen and Meckling, 1976).</w:t>
      </w:r>
    </w:p>
    <w:p w:rsidR="00A95413" w:rsidRDefault="00A95413" w:rsidP="001D4BB3">
      <w:pPr>
        <w:jc w:val="both"/>
        <w:rPr>
          <w:rFonts w:cs="Calibri"/>
          <w:sz w:val="22"/>
          <w:szCs w:val="22"/>
        </w:rPr>
      </w:pPr>
      <w:r w:rsidRPr="00046999">
        <w:rPr>
          <w:rFonts w:cs="Calibri"/>
          <w:sz w:val="22"/>
          <w:szCs w:val="22"/>
        </w:rPr>
        <w:t>Solutions to the agency problem are provided by, among others, Healy and Palepu (2001). They suggest creating optimal contracts between the agent and the principal as a potential solution. An optimal contract can align the interests of the principal and the agent in for example, a compensation agreement. In addition, the agent is monitored to observe his compliance with the contractual agreement. Another solution is to let the Board of Directors</w:t>
      </w:r>
      <w:r>
        <w:rPr>
          <w:rFonts w:cs="Calibri"/>
          <w:sz w:val="22"/>
          <w:szCs w:val="22"/>
        </w:rPr>
        <w:t xml:space="preserve"> or an audit committee</w:t>
      </w:r>
      <w:r w:rsidRPr="00046999">
        <w:rPr>
          <w:rFonts w:cs="Calibri"/>
          <w:sz w:val="22"/>
          <w:szCs w:val="22"/>
        </w:rPr>
        <w:t xml:space="preserve"> actively service as an intermediary and monitoring instrument for the owners. </w:t>
      </w:r>
      <w:r w:rsidRPr="00046999">
        <w:rPr>
          <w:rFonts w:cs="Calibri"/>
          <w:sz w:val="22"/>
          <w:szCs w:val="22"/>
          <w:lang w:eastAsia="nl-NL"/>
        </w:rPr>
        <w:t xml:space="preserve">The last solution Healy and Palepu (2001) examined is the role of information intermediaries such as external analysts. Analysts can be used to obtain private information about potential misbehavior or misuse of resources by a manager. Therefore, information intermediaries can reduce information asymmetry. Financial intermediaries such as banks can also reduce information asymmetry by putting constraints on a loan and monitoring the agent.  Another solution provided by several researchers, for example </w:t>
      </w:r>
      <w:r w:rsidRPr="00046999">
        <w:rPr>
          <w:rFonts w:cs="Calibri"/>
          <w:sz w:val="22"/>
          <w:szCs w:val="22"/>
        </w:rPr>
        <w:t>Huafang and Jianguo (2007) is that because agents and principals have different interests; giving the agent partial ownership (shares) reduces the agency problem by aligning the interests of the agent and the principal and that therefore a more widely held ownership structure would lead to a larger extent of voluntary disclosures.</w:t>
      </w:r>
    </w:p>
    <w:p w:rsidR="00A95413" w:rsidRPr="00046999" w:rsidRDefault="00A95413" w:rsidP="001D4BB3">
      <w:pPr>
        <w:pStyle w:val="Kop2"/>
        <w:jc w:val="both"/>
        <w:rPr>
          <w:rFonts w:cs="Calibri"/>
        </w:rPr>
      </w:pPr>
      <w:bookmarkStart w:id="83" w:name="_Toc287267071"/>
      <w:bookmarkStart w:id="84" w:name="_Toc320365313"/>
      <w:r w:rsidRPr="00046999">
        <w:rPr>
          <w:rFonts w:cs="Calibri"/>
        </w:rPr>
        <w:t>3.5 Conclusion</w:t>
      </w:r>
      <w:bookmarkEnd w:id="83"/>
      <w:bookmarkEnd w:id="84"/>
    </w:p>
    <w:p w:rsidR="00A95413" w:rsidRPr="00046999" w:rsidRDefault="00A95413" w:rsidP="001D4BB3">
      <w:pPr>
        <w:jc w:val="both"/>
        <w:rPr>
          <w:rFonts w:cs="Calibri"/>
          <w:sz w:val="22"/>
          <w:szCs w:val="22"/>
        </w:rPr>
      </w:pPr>
      <w:bookmarkStart w:id="85" w:name="_Toc286066283"/>
      <w:bookmarkStart w:id="86" w:name="_Toc286153697"/>
      <w:bookmarkStart w:id="87" w:name="_Toc286227992"/>
      <w:bookmarkStart w:id="88" w:name="_Toc287267072"/>
      <w:r w:rsidRPr="00046999">
        <w:rPr>
          <w:rStyle w:val="GeenafstandChar"/>
          <w:rFonts w:cs="Calibri"/>
          <w:sz w:val="22"/>
          <w:szCs w:val="22"/>
        </w:rPr>
        <w:t>To conclude</w:t>
      </w:r>
      <w:r>
        <w:rPr>
          <w:rStyle w:val="GeenafstandChar"/>
          <w:rFonts w:cs="Calibri"/>
          <w:sz w:val="22"/>
          <w:szCs w:val="22"/>
        </w:rPr>
        <w:t>,</w:t>
      </w:r>
      <w:r w:rsidRPr="00046999">
        <w:rPr>
          <w:rStyle w:val="GeenafstandChar"/>
          <w:rFonts w:cs="Calibri"/>
          <w:sz w:val="22"/>
          <w:szCs w:val="22"/>
        </w:rPr>
        <w:t xml:space="preserve"> the positive </w:t>
      </w:r>
      <w:r w:rsidRPr="00046999">
        <w:rPr>
          <w:rFonts w:cs="Calibri"/>
          <w:sz w:val="22"/>
          <w:szCs w:val="22"/>
        </w:rPr>
        <w:t>accounting theory</w:t>
      </w:r>
      <w:r>
        <w:rPr>
          <w:rFonts w:cs="Calibri"/>
          <w:sz w:val="22"/>
          <w:szCs w:val="22"/>
        </w:rPr>
        <w:t xml:space="preserve"> approach</w:t>
      </w:r>
      <w:r w:rsidRPr="00046999">
        <w:rPr>
          <w:rFonts w:cs="Calibri"/>
          <w:sz w:val="22"/>
          <w:szCs w:val="22"/>
        </w:rPr>
        <w:t xml:space="preserve"> is used </w:t>
      </w:r>
      <w:r>
        <w:rPr>
          <w:rFonts w:cs="Calibri"/>
          <w:sz w:val="22"/>
          <w:szCs w:val="22"/>
        </w:rPr>
        <w:t>in</w:t>
      </w:r>
      <w:r w:rsidRPr="00046999">
        <w:rPr>
          <w:rFonts w:cs="Calibri"/>
          <w:sz w:val="22"/>
          <w:szCs w:val="22"/>
        </w:rPr>
        <w:t xml:space="preserve"> study.</w:t>
      </w:r>
      <w:bookmarkEnd w:id="85"/>
      <w:bookmarkEnd w:id="86"/>
      <w:bookmarkEnd w:id="87"/>
      <w:bookmarkEnd w:id="88"/>
      <w:r w:rsidRPr="00046999">
        <w:rPr>
          <w:rFonts w:cs="Calibri"/>
          <w:sz w:val="22"/>
          <w:szCs w:val="22"/>
        </w:rPr>
        <w:t xml:space="preserve"> From a positive accounting perspective </w:t>
      </w:r>
      <w:r>
        <w:rPr>
          <w:rFonts w:cs="Calibri"/>
          <w:sz w:val="22"/>
          <w:szCs w:val="22"/>
        </w:rPr>
        <w:t>it can be</w:t>
      </w:r>
      <w:r w:rsidRPr="00046999">
        <w:rPr>
          <w:rFonts w:cs="Calibri"/>
          <w:sz w:val="22"/>
          <w:szCs w:val="22"/>
        </w:rPr>
        <w:t xml:space="preserve"> examine</w:t>
      </w:r>
      <w:r>
        <w:rPr>
          <w:rFonts w:cs="Calibri"/>
          <w:sz w:val="22"/>
          <w:szCs w:val="22"/>
        </w:rPr>
        <w:t>d</w:t>
      </w:r>
      <w:r w:rsidRPr="00046999">
        <w:rPr>
          <w:rFonts w:cs="Calibri"/>
          <w:sz w:val="22"/>
          <w:szCs w:val="22"/>
        </w:rPr>
        <w:t xml:space="preserve"> what factors can explain </w:t>
      </w:r>
      <w:r>
        <w:rPr>
          <w:rFonts w:cs="Calibri"/>
          <w:sz w:val="22"/>
          <w:szCs w:val="22"/>
        </w:rPr>
        <w:t xml:space="preserve">and predict </w:t>
      </w:r>
      <w:r w:rsidRPr="00046999">
        <w:rPr>
          <w:rFonts w:cs="Calibri"/>
          <w:sz w:val="22"/>
          <w:szCs w:val="22"/>
        </w:rPr>
        <w:t xml:space="preserve">the behavior of management concerning voluntary disclosures. Here the factor ‘ownership structure’ is examined. It is assumed that all individuals act in self-interest and aim to maximize their personal welfare. This closely relates to the agency theory. Agency theory describes the agency problem which arises due to conflicting interests of the manager (agent) and owner (principal). To align these interests a solution is to provide the managers </w:t>
      </w:r>
      <w:r w:rsidRPr="00046999">
        <w:rPr>
          <w:rFonts w:cs="Calibri"/>
          <w:sz w:val="22"/>
          <w:szCs w:val="22"/>
        </w:rPr>
        <w:lastRenderedPageBreak/>
        <w:t xml:space="preserve">partial ownership (shares). This way the ownership structure is more widely held and it is expected that as managers now have the same interests as the owners they will disclose more information. Therefore, </w:t>
      </w:r>
      <w:r w:rsidRPr="00046999">
        <w:rPr>
          <w:rFonts w:cs="Calibri"/>
          <w:iCs/>
          <w:sz w:val="22"/>
          <w:szCs w:val="22"/>
        </w:rPr>
        <w:t>Huafang and Jianguo (2007)</w:t>
      </w:r>
      <w:r w:rsidRPr="00046999">
        <w:rPr>
          <w:rFonts w:cs="Calibri"/>
          <w:sz w:val="22"/>
          <w:szCs w:val="22"/>
        </w:rPr>
        <w:t xml:space="preserve"> hypothesize that there is a </w:t>
      </w:r>
      <w:r w:rsidRPr="00046999">
        <w:rPr>
          <w:rFonts w:cs="Calibri"/>
          <w:b/>
          <w:sz w:val="22"/>
          <w:szCs w:val="22"/>
        </w:rPr>
        <w:t>positive</w:t>
      </w:r>
      <w:r w:rsidRPr="00046999">
        <w:rPr>
          <w:rFonts w:cs="Calibri"/>
          <w:sz w:val="22"/>
          <w:szCs w:val="22"/>
        </w:rPr>
        <w:t xml:space="preserve"> relation between managerial ownership and the extent of voluntary disclosure.</w:t>
      </w:r>
    </w:p>
    <w:p w:rsidR="00A95413" w:rsidRPr="00046999" w:rsidRDefault="00A95413" w:rsidP="001D4BB3">
      <w:pPr>
        <w:spacing w:after="0"/>
        <w:jc w:val="both"/>
        <w:rPr>
          <w:rFonts w:cs="Calibri"/>
          <w:sz w:val="22"/>
          <w:szCs w:val="22"/>
        </w:rPr>
      </w:pPr>
      <w:r w:rsidRPr="00046999">
        <w:rPr>
          <w:rFonts w:cs="Calibri"/>
          <w:sz w:val="22"/>
          <w:szCs w:val="22"/>
        </w:rPr>
        <w:t xml:space="preserve">On the other hand, Eng and Mak (2003) argue that, based on the agency theory, there is a negative relation between managerial ownership and voluntary disclosures. The reason for this is if there is low managerial ownership and the manager and the owners have different interests, the manager might not act in the best interest of the company. Subsequently, the owners (shareholders) will increasingly monitor the manager to observe if the manager acts in the best interest of the company (reduce the agency problem). However, monitoring introduces the costs to the firm. These monitoring costs can be reduced if voluntary disclosures are provided by managers. Therefore, Eng and Mak (2003) argue that voluntary disclosure can be a substitute for monitoring and when managerial ownership is low, the extent of voluntary disclosures is high. This reasoning is also where Eng and Mak (2003) and Zourarakis (2009) based their hypotheses on; that when managerial ownership is low, voluntary disclosures are high. So when managerial ownership increases less monitoring (voluntary disclosures) is required and the extent of voluntary disclosures decreases. Therefore, they argue that is a </w:t>
      </w:r>
      <w:r w:rsidRPr="00046999">
        <w:rPr>
          <w:rFonts w:cs="Calibri"/>
          <w:b/>
          <w:sz w:val="22"/>
          <w:szCs w:val="22"/>
        </w:rPr>
        <w:t>negative</w:t>
      </w:r>
      <w:r w:rsidRPr="00046999">
        <w:rPr>
          <w:rFonts w:cs="Calibri"/>
          <w:sz w:val="22"/>
          <w:szCs w:val="22"/>
        </w:rPr>
        <w:t xml:space="preserve"> relation between managerial ownership and the extent of voluntary disclosures. </w:t>
      </w:r>
    </w:p>
    <w:p w:rsidR="001074C6" w:rsidRDefault="00A95413" w:rsidP="001D4BB3">
      <w:pPr>
        <w:spacing w:after="0"/>
        <w:jc w:val="both"/>
        <w:rPr>
          <w:rFonts w:cs="Calibri"/>
          <w:sz w:val="22"/>
          <w:szCs w:val="22"/>
        </w:rPr>
      </w:pPr>
      <w:r w:rsidRPr="00046999">
        <w:rPr>
          <w:rFonts w:cs="Calibri"/>
          <w:sz w:val="22"/>
          <w:szCs w:val="22"/>
        </w:rPr>
        <w:t xml:space="preserve">As </w:t>
      </w:r>
      <w:r>
        <w:rPr>
          <w:rFonts w:cs="Calibri"/>
          <w:sz w:val="22"/>
          <w:szCs w:val="22"/>
        </w:rPr>
        <w:t>can be noted</w:t>
      </w:r>
      <w:r w:rsidRPr="00046999">
        <w:rPr>
          <w:rFonts w:cs="Calibri"/>
          <w:sz w:val="22"/>
          <w:szCs w:val="22"/>
        </w:rPr>
        <w:t xml:space="preserve"> the agency theory is used to ground both a positive and a negative relation.  In this study the </w:t>
      </w:r>
      <w:r w:rsidR="00D44B99">
        <w:rPr>
          <w:rFonts w:cs="Calibri"/>
          <w:sz w:val="22"/>
          <w:szCs w:val="22"/>
        </w:rPr>
        <w:t>first</w:t>
      </w:r>
      <w:r w:rsidRPr="00046999">
        <w:rPr>
          <w:rFonts w:cs="Calibri"/>
          <w:sz w:val="22"/>
          <w:szCs w:val="22"/>
        </w:rPr>
        <w:t xml:space="preserve"> interpretation of the agency theory is used, so it is expected that when managerial ownership increases </w:t>
      </w:r>
      <w:r w:rsidR="00D44B99">
        <w:rPr>
          <w:rFonts w:cs="Calibri"/>
          <w:sz w:val="22"/>
          <w:szCs w:val="22"/>
        </w:rPr>
        <w:t xml:space="preserve">the interests of the owners and managers are more alike and hence, managers will disclose more information. </w:t>
      </w:r>
      <w:r w:rsidR="00E176D2">
        <w:rPr>
          <w:rFonts w:cs="Calibri"/>
          <w:sz w:val="22"/>
          <w:szCs w:val="22"/>
        </w:rPr>
        <w:t>Thereby assuming that owners prefer more information disclosure</w:t>
      </w:r>
      <w:r w:rsidR="00E62EDB">
        <w:rPr>
          <w:rFonts w:cs="Calibri"/>
          <w:sz w:val="22"/>
          <w:szCs w:val="22"/>
        </w:rPr>
        <w:t>s</w:t>
      </w:r>
      <w:r w:rsidR="00E176D2">
        <w:rPr>
          <w:rFonts w:cs="Calibri"/>
          <w:sz w:val="22"/>
          <w:szCs w:val="22"/>
        </w:rPr>
        <w:t xml:space="preserve"> over less. </w:t>
      </w:r>
      <w:r>
        <w:rPr>
          <w:rFonts w:cs="Calibri"/>
          <w:sz w:val="22"/>
          <w:szCs w:val="22"/>
        </w:rPr>
        <w:t>In the next chapter it is explained how voluntary disclosures are measured in this research.</w:t>
      </w:r>
    </w:p>
    <w:p w:rsidR="00A95413" w:rsidRPr="00046999" w:rsidRDefault="001074C6" w:rsidP="001074C6">
      <w:pPr>
        <w:spacing w:before="0" w:after="0" w:line="240" w:lineRule="auto"/>
        <w:rPr>
          <w:rFonts w:cs="Calibri"/>
          <w:sz w:val="22"/>
          <w:szCs w:val="22"/>
        </w:rPr>
      </w:pPr>
      <w:r>
        <w:rPr>
          <w:rFonts w:cs="Calibri"/>
          <w:sz w:val="22"/>
          <w:szCs w:val="22"/>
        </w:rPr>
        <w:br w:type="page"/>
      </w:r>
    </w:p>
    <w:p w:rsidR="00A95413" w:rsidRPr="00046999" w:rsidRDefault="00A95413" w:rsidP="001D4BB3">
      <w:pPr>
        <w:pStyle w:val="Kop1"/>
        <w:jc w:val="both"/>
        <w:rPr>
          <w:rFonts w:cs="Calibri"/>
          <w:lang w:eastAsia="nl-NL"/>
        </w:rPr>
      </w:pPr>
      <w:bookmarkStart w:id="89" w:name="_Toc320365314"/>
      <w:r w:rsidRPr="00046999">
        <w:rPr>
          <w:rFonts w:cs="Calibri"/>
          <w:lang w:eastAsia="nl-NL"/>
        </w:rPr>
        <w:lastRenderedPageBreak/>
        <w:t>Chapter 4. Content Analysis</w:t>
      </w:r>
      <w:bookmarkEnd w:id="89"/>
    </w:p>
    <w:p w:rsidR="00A95413" w:rsidRPr="00046999" w:rsidRDefault="00A95413" w:rsidP="001D4BB3">
      <w:pPr>
        <w:pStyle w:val="Kop2"/>
        <w:jc w:val="both"/>
        <w:rPr>
          <w:rFonts w:cs="Calibri"/>
          <w:lang w:eastAsia="nl-NL"/>
        </w:rPr>
      </w:pPr>
      <w:bookmarkStart w:id="90" w:name="_Toc320365315"/>
      <w:r>
        <w:rPr>
          <w:rFonts w:cs="Calibri"/>
          <w:lang w:eastAsia="nl-NL"/>
        </w:rPr>
        <w:t>4.1 I</w:t>
      </w:r>
      <w:r w:rsidRPr="00046999">
        <w:rPr>
          <w:rFonts w:cs="Calibri"/>
          <w:lang w:eastAsia="nl-NL"/>
        </w:rPr>
        <w:t>ntroduction</w:t>
      </w:r>
      <w:bookmarkEnd w:id="90"/>
    </w:p>
    <w:p w:rsidR="00A95413" w:rsidRPr="00046999" w:rsidRDefault="00A95413" w:rsidP="001D4BB3">
      <w:pPr>
        <w:jc w:val="both"/>
        <w:rPr>
          <w:rFonts w:cs="Calibri"/>
          <w:sz w:val="22"/>
          <w:szCs w:val="22"/>
          <w:lang w:eastAsia="nl-NL"/>
        </w:rPr>
      </w:pPr>
      <w:r w:rsidRPr="00046999">
        <w:rPr>
          <w:rFonts w:cs="Calibri"/>
          <w:sz w:val="22"/>
          <w:szCs w:val="22"/>
          <w:lang w:eastAsia="nl-NL"/>
        </w:rPr>
        <w:t xml:space="preserve">In this chapter information about how voluntary disclosures </w:t>
      </w:r>
      <w:r>
        <w:rPr>
          <w:rFonts w:cs="Calibri"/>
          <w:sz w:val="22"/>
          <w:szCs w:val="22"/>
          <w:lang w:eastAsia="nl-NL"/>
        </w:rPr>
        <w:t>can be</w:t>
      </w:r>
      <w:r w:rsidRPr="00046999">
        <w:rPr>
          <w:rFonts w:cs="Calibri"/>
          <w:sz w:val="22"/>
          <w:szCs w:val="22"/>
          <w:lang w:eastAsia="nl-NL"/>
        </w:rPr>
        <w:t xml:space="preserve"> measured is provided. </w:t>
      </w:r>
      <w:r>
        <w:rPr>
          <w:rFonts w:cs="Calibri"/>
          <w:sz w:val="22"/>
          <w:szCs w:val="22"/>
          <w:lang w:eastAsia="nl-NL"/>
        </w:rPr>
        <w:t xml:space="preserve">Prior research showed that content analysis is the main technique used for measuring the degree of voluntary disclosures. These prior studies are described in the literature review in chapter six. </w:t>
      </w:r>
      <w:r w:rsidRPr="00046999">
        <w:rPr>
          <w:rFonts w:cs="Calibri"/>
          <w:sz w:val="22"/>
          <w:szCs w:val="22"/>
          <w:lang w:eastAsia="nl-NL"/>
        </w:rPr>
        <w:t xml:space="preserve">Furthermore, the limitations of this approach are stated and </w:t>
      </w:r>
      <w:r>
        <w:rPr>
          <w:rFonts w:cs="Calibri"/>
          <w:sz w:val="22"/>
          <w:szCs w:val="22"/>
          <w:lang w:eastAsia="nl-NL"/>
        </w:rPr>
        <w:t xml:space="preserve">the </w:t>
      </w:r>
      <w:r w:rsidRPr="00046999">
        <w:rPr>
          <w:rFonts w:cs="Calibri"/>
          <w:sz w:val="22"/>
          <w:szCs w:val="22"/>
          <w:lang w:eastAsia="nl-NL"/>
        </w:rPr>
        <w:t xml:space="preserve">measurement of voluntary disclosures used for this study is explained, including the selection process of the </w:t>
      </w:r>
      <w:r>
        <w:rPr>
          <w:rFonts w:cs="Calibri"/>
          <w:sz w:val="22"/>
          <w:szCs w:val="22"/>
          <w:lang w:eastAsia="nl-NL"/>
        </w:rPr>
        <w:t xml:space="preserve">disclosure score sheet, </w:t>
      </w:r>
      <w:r w:rsidRPr="00046999">
        <w:rPr>
          <w:rFonts w:cs="Calibri"/>
          <w:sz w:val="22"/>
          <w:szCs w:val="22"/>
          <w:lang w:eastAsia="nl-NL"/>
        </w:rPr>
        <w:t xml:space="preserve">voluntary disclosure items and the allocation of </w:t>
      </w:r>
      <w:r>
        <w:rPr>
          <w:rFonts w:cs="Calibri"/>
          <w:sz w:val="22"/>
          <w:szCs w:val="22"/>
          <w:lang w:eastAsia="nl-NL"/>
        </w:rPr>
        <w:t xml:space="preserve">the </w:t>
      </w:r>
      <w:r w:rsidRPr="00046999">
        <w:rPr>
          <w:rFonts w:cs="Calibri"/>
          <w:sz w:val="22"/>
          <w:szCs w:val="22"/>
          <w:lang w:eastAsia="nl-NL"/>
        </w:rPr>
        <w:t>points.</w:t>
      </w:r>
    </w:p>
    <w:p w:rsidR="00A95413" w:rsidRPr="00046999" w:rsidRDefault="00A95413" w:rsidP="001D4BB3">
      <w:pPr>
        <w:pStyle w:val="Kop2"/>
        <w:jc w:val="both"/>
        <w:rPr>
          <w:rFonts w:cs="Calibri"/>
        </w:rPr>
      </w:pPr>
      <w:bookmarkStart w:id="91" w:name="_Toc287267080"/>
      <w:bookmarkStart w:id="92" w:name="_Toc320365316"/>
      <w:r w:rsidRPr="00046999">
        <w:rPr>
          <w:rFonts w:cs="Calibri"/>
        </w:rPr>
        <w:t>4</w:t>
      </w:r>
      <w:r>
        <w:rPr>
          <w:rFonts w:cs="Calibri"/>
        </w:rPr>
        <w:t>.2</w:t>
      </w:r>
      <w:r w:rsidRPr="00046999">
        <w:rPr>
          <w:rFonts w:cs="Calibri"/>
        </w:rPr>
        <w:t xml:space="preserve"> </w:t>
      </w:r>
      <w:bookmarkEnd w:id="91"/>
      <w:r w:rsidRPr="00046999">
        <w:rPr>
          <w:rFonts w:cs="Calibri"/>
        </w:rPr>
        <w:t>Measuring voluntary disclosures according to prior literature</w:t>
      </w:r>
      <w:bookmarkEnd w:id="92"/>
    </w:p>
    <w:p w:rsidR="00A95413" w:rsidRPr="00046999" w:rsidRDefault="00A95413" w:rsidP="001D4BB3">
      <w:pPr>
        <w:pStyle w:val="Geenafstand"/>
        <w:spacing w:line="276" w:lineRule="auto"/>
        <w:jc w:val="both"/>
        <w:rPr>
          <w:rFonts w:cs="Calibri"/>
          <w:color w:val="000000"/>
          <w:sz w:val="22"/>
          <w:szCs w:val="22"/>
          <w:lang w:eastAsia="nl-NL"/>
        </w:rPr>
      </w:pPr>
    </w:p>
    <w:p w:rsidR="00A95413" w:rsidRPr="00046999" w:rsidRDefault="00A95413" w:rsidP="001D4BB3">
      <w:pPr>
        <w:pStyle w:val="Geenafstand"/>
        <w:spacing w:line="276" w:lineRule="auto"/>
        <w:jc w:val="both"/>
        <w:rPr>
          <w:rFonts w:cs="Calibri"/>
          <w:sz w:val="22"/>
          <w:szCs w:val="22"/>
        </w:rPr>
      </w:pPr>
      <w:r w:rsidRPr="00046999">
        <w:rPr>
          <w:rFonts w:cs="Calibri"/>
          <w:color w:val="000000"/>
          <w:sz w:val="22"/>
          <w:szCs w:val="22"/>
          <w:lang w:eastAsia="nl-NL"/>
        </w:rPr>
        <w:t>As mentioned in the introduction several studies already investigated voluntary disclosures and potential influences on the provision of voluntary disclosures. In order to measure voluntary disclosures one can make use of content analysis. ‘</w:t>
      </w:r>
      <w:r w:rsidRPr="00046999">
        <w:rPr>
          <w:rFonts w:cs="Calibri"/>
          <w:i/>
          <w:sz w:val="22"/>
          <w:szCs w:val="22"/>
        </w:rPr>
        <w:t>Content analysis is a research technique for making replicable and valid inferences from texts (or other meaningful matter) to the contexts of their use</w:t>
      </w:r>
      <w:r w:rsidRPr="00046999">
        <w:rPr>
          <w:rFonts w:cs="Calibri"/>
          <w:sz w:val="22"/>
          <w:szCs w:val="22"/>
        </w:rPr>
        <w:t>’ (Krippendorff, 2004). Babbie (2007) adds to this ‘</w:t>
      </w:r>
      <w:r w:rsidRPr="00815353">
        <w:rPr>
          <w:rFonts w:cs="Calibri"/>
          <w:i/>
          <w:sz w:val="22"/>
          <w:szCs w:val="22"/>
        </w:rPr>
        <w:t>it is the study of recorded human communication’</w:t>
      </w:r>
      <w:r w:rsidRPr="00046999">
        <w:rPr>
          <w:rFonts w:cs="Calibri"/>
          <w:sz w:val="22"/>
          <w:szCs w:val="22"/>
        </w:rPr>
        <w:t>. There are various types of content analysis as can</w:t>
      </w:r>
      <w:r>
        <w:rPr>
          <w:rFonts w:cs="Calibri"/>
          <w:sz w:val="22"/>
          <w:szCs w:val="22"/>
        </w:rPr>
        <w:t xml:space="preserve"> be observed</w:t>
      </w:r>
      <w:r w:rsidRPr="00046999">
        <w:rPr>
          <w:rFonts w:cs="Calibri"/>
          <w:sz w:val="22"/>
          <w:szCs w:val="22"/>
        </w:rPr>
        <w:t xml:space="preserve"> in the following figure from Beattie et al. (2004). </w:t>
      </w:r>
    </w:p>
    <w:p w:rsidR="00A95413" w:rsidRPr="00046999" w:rsidRDefault="0080569A" w:rsidP="001D4BB3">
      <w:pPr>
        <w:pStyle w:val="Geenafstand"/>
        <w:keepNext/>
        <w:spacing w:line="276" w:lineRule="auto"/>
        <w:jc w:val="both"/>
        <w:rPr>
          <w:rFonts w:cs="Calibri"/>
          <w:sz w:val="22"/>
          <w:szCs w:val="22"/>
        </w:rPr>
      </w:pPr>
      <w:r>
        <w:rPr>
          <w:rFonts w:cs="Calibri"/>
          <w:noProof/>
          <w:sz w:val="22"/>
          <w:szCs w:val="22"/>
          <w:lang w:val="nl-NL" w:eastAsia="nl-NL"/>
        </w:rPr>
        <w:drawing>
          <wp:inline distT="0" distB="0" distL="0" distR="0">
            <wp:extent cx="5935979" cy="3733165"/>
            <wp:effectExtent l="76200" t="0" r="45721" b="0"/>
            <wp:docPr id="2" name="Organization Chart 60"/>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A95413" w:rsidRPr="007477ED" w:rsidRDefault="00A95413" w:rsidP="001D4BB3">
      <w:pPr>
        <w:pStyle w:val="Bijschrift"/>
        <w:jc w:val="both"/>
        <w:rPr>
          <w:rFonts w:cs="Calibri"/>
          <w:sz w:val="22"/>
          <w:szCs w:val="22"/>
        </w:rPr>
      </w:pPr>
      <w:r w:rsidRPr="007477ED">
        <w:rPr>
          <w:rFonts w:cs="Calibri"/>
          <w:sz w:val="22"/>
          <w:szCs w:val="22"/>
        </w:rPr>
        <w:t xml:space="preserve">Figure </w:t>
      </w:r>
      <w:r w:rsidR="00E0784B" w:rsidRPr="007477ED">
        <w:rPr>
          <w:rFonts w:cs="Calibri"/>
          <w:sz w:val="22"/>
          <w:szCs w:val="22"/>
        </w:rPr>
        <w:fldChar w:fldCharType="begin"/>
      </w:r>
      <w:r w:rsidRPr="007477ED">
        <w:rPr>
          <w:rFonts w:cs="Calibri"/>
          <w:sz w:val="22"/>
          <w:szCs w:val="22"/>
        </w:rPr>
        <w:instrText xml:space="preserve"> SEQ Figure \* ARABIC </w:instrText>
      </w:r>
      <w:r w:rsidR="00E0784B" w:rsidRPr="007477ED">
        <w:rPr>
          <w:rFonts w:cs="Calibri"/>
          <w:sz w:val="22"/>
          <w:szCs w:val="22"/>
        </w:rPr>
        <w:fldChar w:fldCharType="separate"/>
      </w:r>
      <w:r>
        <w:rPr>
          <w:rFonts w:cs="Calibri"/>
          <w:noProof/>
          <w:sz w:val="22"/>
          <w:szCs w:val="22"/>
        </w:rPr>
        <w:t>1</w:t>
      </w:r>
      <w:r w:rsidR="00E0784B" w:rsidRPr="007477ED">
        <w:rPr>
          <w:rFonts w:cs="Calibri"/>
          <w:sz w:val="22"/>
          <w:szCs w:val="22"/>
        </w:rPr>
        <w:fldChar w:fldCharType="end"/>
      </w:r>
      <w:r w:rsidRPr="007477ED">
        <w:rPr>
          <w:rFonts w:cs="Calibri"/>
          <w:sz w:val="22"/>
          <w:szCs w:val="22"/>
        </w:rPr>
        <w:t>: Approaches to the Analysis of Narratives in Annual Reports (Beattie et al., 2004)</w:t>
      </w:r>
    </w:p>
    <w:p w:rsidR="00A95413" w:rsidRPr="00046999" w:rsidRDefault="00A95413" w:rsidP="001D4BB3">
      <w:pPr>
        <w:jc w:val="both"/>
        <w:rPr>
          <w:rFonts w:cs="Calibri"/>
          <w:sz w:val="22"/>
          <w:szCs w:val="22"/>
        </w:rPr>
      </w:pPr>
      <w:r w:rsidRPr="00046999">
        <w:rPr>
          <w:rFonts w:cs="Calibri"/>
          <w:sz w:val="22"/>
          <w:szCs w:val="22"/>
        </w:rPr>
        <w:lastRenderedPageBreak/>
        <w:t xml:space="preserve">As the table shows a division is made between the subjective and semi-objective approach. Subjective refers to subjective ratings by analysts, which has been commonly used in the US to determine disclose quality. These ratings were disclosed by The Association of Investment Management and Research (AIMR) until 1995. Major critics were that the ratings are based on the perception of the analyst and not as a direct measure of the actual disclosure (Lang and Lundhold, 1993). In addition, critics from Healy and Palepu (2001) were that it was unclear whether ‘the analysts took the ratings seriously, what the basis was for the selection process for firms to be included and what biases the analysts bring to the ratings’.  </w:t>
      </w:r>
    </w:p>
    <w:p w:rsidR="00A95413" w:rsidRPr="00046999" w:rsidRDefault="00A95413" w:rsidP="001D4BB3">
      <w:pPr>
        <w:jc w:val="both"/>
        <w:rPr>
          <w:rFonts w:cs="Calibri"/>
          <w:sz w:val="22"/>
          <w:szCs w:val="22"/>
        </w:rPr>
      </w:pPr>
      <w:r w:rsidRPr="00046999">
        <w:rPr>
          <w:rFonts w:cs="Calibri"/>
          <w:sz w:val="22"/>
          <w:szCs w:val="22"/>
        </w:rPr>
        <w:t>Currently the semi-objective approach is most used; this approach uses the amount of disclosure as a proxy for the quality of disclosure (Beattie et al., 2004). In addition, ‘</w:t>
      </w:r>
      <w:r w:rsidRPr="00831E0C">
        <w:rPr>
          <w:rFonts w:cs="Calibri"/>
          <w:i/>
          <w:sz w:val="22"/>
          <w:szCs w:val="22"/>
        </w:rPr>
        <w:t>often a list of items is made ex ante and subsequently the text is scrutinized for their presence, ignoring sections of text that do not relate to this list</w:t>
      </w:r>
      <w:r w:rsidRPr="00046999">
        <w:rPr>
          <w:rFonts w:cs="Calibri"/>
          <w:sz w:val="22"/>
          <w:szCs w:val="22"/>
        </w:rPr>
        <w:t xml:space="preserve">’ (Beattie et al., 2004). The semi-objective approach is again divided in Textual analysis and Disclosure Index Studies. Textual analysis is, as its name entails, the analysis of text; this can be in the form of thematic content analysis, readability studies and linguistic analysis. Thematic content analysis looks at which themes are stated in the text, </w:t>
      </w:r>
      <w:r>
        <w:rPr>
          <w:rFonts w:cs="Calibri"/>
          <w:sz w:val="22"/>
          <w:szCs w:val="22"/>
        </w:rPr>
        <w:t xml:space="preserve">this </w:t>
      </w:r>
      <w:r w:rsidRPr="00046999">
        <w:rPr>
          <w:rFonts w:cs="Calibri"/>
          <w:sz w:val="22"/>
          <w:szCs w:val="22"/>
        </w:rPr>
        <w:t>can be either in the whole text or in a certain section. Readability studies assess the difficulty of text which is usually done by using a readability formula (Beattie et al., 2004). The obtained scores are then compared to external benchmarks to determine the level of difficulty/readability. Linguistic analysis is also called ‘the texture index’, ‘</w:t>
      </w:r>
      <w:r w:rsidRPr="00390FCA">
        <w:rPr>
          <w:rFonts w:cs="Calibri"/>
          <w:i/>
          <w:sz w:val="22"/>
          <w:szCs w:val="22"/>
        </w:rPr>
        <w:t>a text-focused method of scoring narratives</w:t>
      </w:r>
      <w:r w:rsidRPr="00046999">
        <w:rPr>
          <w:rFonts w:cs="Calibri"/>
          <w:sz w:val="22"/>
          <w:szCs w:val="22"/>
        </w:rPr>
        <w:t>’ (Beattie et al., 2004). There are two main limitations regarding textual analysis according to Beattie et al. (2004); the analysis is one-dimensional as the focus is mainly on the classification of the topic and the absence or presence of information on this topic. Secondly, usually not the entire content of the annual report is analyzed and therefore the analysis is partial.</w:t>
      </w:r>
    </w:p>
    <w:p w:rsidR="00A95413" w:rsidRPr="00046999" w:rsidRDefault="00A95413" w:rsidP="001D4BB3">
      <w:pPr>
        <w:jc w:val="both"/>
        <w:rPr>
          <w:rFonts w:cs="Calibri"/>
          <w:sz w:val="22"/>
          <w:szCs w:val="22"/>
        </w:rPr>
      </w:pPr>
      <w:r w:rsidRPr="00046999">
        <w:rPr>
          <w:rFonts w:cs="Calibri"/>
          <w:sz w:val="22"/>
          <w:szCs w:val="22"/>
        </w:rPr>
        <w:t xml:space="preserve">Another semi-objective approach is Disclosure Index Studies. Here, the </w:t>
      </w:r>
      <w:r w:rsidR="009B7A07">
        <w:rPr>
          <w:rFonts w:cs="Calibri"/>
          <w:sz w:val="22"/>
          <w:szCs w:val="22"/>
        </w:rPr>
        <w:t>quantity of information</w:t>
      </w:r>
      <w:r w:rsidRPr="00046999">
        <w:rPr>
          <w:rFonts w:cs="Calibri"/>
          <w:sz w:val="22"/>
          <w:szCs w:val="22"/>
        </w:rPr>
        <w:t xml:space="preserve"> provided in the annual report regarding a specific topic is measured and used as a proxy for the quality of disclosure (Beattie et al., 2004). </w:t>
      </w:r>
      <w:r w:rsidR="00906901" w:rsidRPr="00046999">
        <w:rPr>
          <w:rFonts w:cs="Calibri"/>
          <w:sz w:val="22"/>
          <w:szCs w:val="22"/>
        </w:rPr>
        <w:t>Disclosure index studies have</w:t>
      </w:r>
      <w:r w:rsidRPr="00046999">
        <w:rPr>
          <w:rFonts w:cs="Calibri"/>
          <w:sz w:val="22"/>
          <w:szCs w:val="22"/>
        </w:rPr>
        <w:t xml:space="preserve"> two common forms; binary/ordinal measurement of items and</w:t>
      </w:r>
      <w:r w:rsidR="009B7A07">
        <w:rPr>
          <w:rFonts w:cs="Calibri"/>
          <w:sz w:val="22"/>
          <w:szCs w:val="22"/>
        </w:rPr>
        <w:t xml:space="preserve"> the weighted/unweigthed index. </w:t>
      </w:r>
      <w:r w:rsidRPr="00046999">
        <w:rPr>
          <w:rFonts w:cs="Calibri"/>
          <w:sz w:val="22"/>
          <w:szCs w:val="22"/>
        </w:rPr>
        <w:t>The binary measurement is relatively simple, here a coding scheme is used which records the presence or absence of</w:t>
      </w:r>
      <w:r w:rsidR="009B7A07">
        <w:rPr>
          <w:rFonts w:cs="Calibri"/>
          <w:sz w:val="22"/>
          <w:szCs w:val="22"/>
        </w:rPr>
        <w:t xml:space="preserve"> an item. Ordinal measurement is</w:t>
      </w:r>
      <w:r w:rsidRPr="00046999">
        <w:rPr>
          <w:rFonts w:cs="Calibri"/>
          <w:sz w:val="22"/>
          <w:szCs w:val="22"/>
        </w:rPr>
        <w:t xml:space="preserve"> </w:t>
      </w:r>
      <w:r w:rsidR="009B7A07">
        <w:rPr>
          <w:rFonts w:cs="Calibri"/>
          <w:sz w:val="22"/>
          <w:szCs w:val="22"/>
        </w:rPr>
        <w:t>rank-ordered and the interval between the measurements is not meaningful, for example</w:t>
      </w:r>
      <w:r w:rsidR="00321D18">
        <w:rPr>
          <w:rFonts w:cs="Calibri"/>
          <w:sz w:val="22"/>
          <w:szCs w:val="22"/>
        </w:rPr>
        <w:t>;</w:t>
      </w:r>
      <w:r w:rsidR="009B7A07">
        <w:rPr>
          <w:rFonts w:cs="Calibri"/>
          <w:sz w:val="22"/>
          <w:szCs w:val="22"/>
        </w:rPr>
        <w:t xml:space="preserve"> good-better-best.</w:t>
      </w:r>
      <w:r w:rsidRPr="00046999">
        <w:rPr>
          <w:rFonts w:cs="Calibri"/>
          <w:sz w:val="22"/>
          <w:szCs w:val="22"/>
        </w:rPr>
        <w:t xml:space="preserve"> The weighted approach is when various weights (for example from 1-10) are assigned to the information. The unweighted approach is when only two weights are assigned; either ‘0’ or ‘1’; ‘1’ when the information is present and ‘0’ if not. The unweighted approach is seen as a less subjective method </w:t>
      </w:r>
      <w:r w:rsidRPr="00046999">
        <w:rPr>
          <w:rFonts w:cs="Calibri"/>
          <w:color w:val="000000"/>
          <w:sz w:val="22"/>
          <w:szCs w:val="22"/>
          <w:lang w:eastAsia="nl-NL"/>
        </w:rPr>
        <w:t xml:space="preserve">(Babbie, 2007). </w:t>
      </w:r>
    </w:p>
    <w:p w:rsidR="00A95413" w:rsidRPr="00046999" w:rsidRDefault="00A95413" w:rsidP="001D4BB3">
      <w:pPr>
        <w:pStyle w:val="Geenafstand"/>
        <w:spacing w:line="276" w:lineRule="auto"/>
        <w:jc w:val="both"/>
        <w:rPr>
          <w:rFonts w:cs="Calibri"/>
          <w:color w:val="000000"/>
          <w:sz w:val="22"/>
          <w:szCs w:val="22"/>
          <w:lang w:eastAsia="nl-NL"/>
        </w:rPr>
      </w:pPr>
      <w:r w:rsidRPr="00046999">
        <w:rPr>
          <w:rFonts w:cs="Calibri"/>
          <w:color w:val="000000"/>
          <w:sz w:val="22"/>
          <w:szCs w:val="22"/>
          <w:lang w:eastAsia="nl-NL"/>
        </w:rPr>
        <w:t>According to Krippendorff (2004) it is highly important to have a reliable and valid coding method and procedure of allocating the scores when using content analysis. With valid is meant that ‘</w:t>
      </w:r>
      <w:r w:rsidRPr="00224E71">
        <w:rPr>
          <w:rFonts w:cs="Calibri"/>
          <w:i/>
          <w:color w:val="000000"/>
          <w:sz w:val="22"/>
          <w:szCs w:val="22"/>
          <w:lang w:eastAsia="nl-NL"/>
        </w:rPr>
        <w:t>the variables generated from the classification procedure represent what the researcher intended to represent</w:t>
      </w:r>
      <w:r w:rsidRPr="00046999">
        <w:rPr>
          <w:rFonts w:cs="Calibri"/>
          <w:color w:val="000000"/>
          <w:sz w:val="22"/>
          <w:szCs w:val="22"/>
          <w:lang w:eastAsia="nl-NL"/>
        </w:rPr>
        <w:t xml:space="preserve">’ (Beattie et al., 2004). With reliable is meant that every coder uses the same coding procedures to arrive at the same outcomes. There are three types of reliability that Krippendorff (2004) defines: stability, reproducibility and accuracy. Stability refers to which extent consistent coding takes place over time by the same coder; this is known as the weakest form of reliability. Reproducibility is a stronger form and refers to which extent different coders can reproduce the same outcome when coding the same text. </w:t>
      </w:r>
      <w:r w:rsidRPr="00046999">
        <w:rPr>
          <w:rFonts w:cs="Calibri"/>
          <w:color w:val="000000"/>
          <w:sz w:val="22"/>
          <w:szCs w:val="22"/>
          <w:lang w:eastAsia="nl-NL"/>
        </w:rPr>
        <w:lastRenderedPageBreak/>
        <w:t xml:space="preserve">Accuracy is the most appropriate form to create reliability and refers to which extent coding </w:t>
      </w:r>
      <w:r>
        <w:rPr>
          <w:rFonts w:cs="Calibri"/>
          <w:color w:val="000000"/>
          <w:sz w:val="22"/>
          <w:szCs w:val="22"/>
          <w:lang w:eastAsia="nl-NL"/>
        </w:rPr>
        <w:t xml:space="preserve">a </w:t>
      </w:r>
      <w:r w:rsidRPr="00046999">
        <w:rPr>
          <w:rFonts w:cs="Calibri"/>
          <w:color w:val="000000"/>
          <w:sz w:val="22"/>
          <w:szCs w:val="22"/>
          <w:lang w:eastAsia="nl-NL"/>
        </w:rPr>
        <w:t xml:space="preserve">content corresponds to a predetermined standard or known standard from prior studies. </w:t>
      </w:r>
    </w:p>
    <w:p w:rsidR="00A95413" w:rsidRPr="00046999" w:rsidRDefault="00A95413" w:rsidP="001D4BB3">
      <w:pPr>
        <w:pStyle w:val="Geenafstand"/>
        <w:spacing w:line="276" w:lineRule="auto"/>
        <w:jc w:val="both"/>
        <w:rPr>
          <w:rFonts w:cs="Calibri"/>
          <w:color w:val="000000"/>
          <w:sz w:val="22"/>
          <w:szCs w:val="22"/>
          <w:lang w:eastAsia="nl-NL"/>
        </w:rPr>
      </w:pPr>
    </w:p>
    <w:p w:rsidR="00A95413" w:rsidRPr="00046999" w:rsidRDefault="00A95413" w:rsidP="001D4BB3">
      <w:pPr>
        <w:pStyle w:val="Geenafstand"/>
        <w:spacing w:line="276" w:lineRule="auto"/>
        <w:jc w:val="both"/>
        <w:rPr>
          <w:rFonts w:cs="Calibri"/>
          <w:color w:val="000000"/>
          <w:sz w:val="22"/>
          <w:szCs w:val="22"/>
          <w:lang w:eastAsia="nl-NL"/>
        </w:rPr>
      </w:pPr>
      <w:r w:rsidRPr="00046999">
        <w:rPr>
          <w:rFonts w:cs="Calibri"/>
          <w:color w:val="000000"/>
          <w:sz w:val="22"/>
          <w:szCs w:val="22"/>
          <w:lang w:eastAsia="nl-NL"/>
        </w:rPr>
        <w:t>Whereas Krippendorff (2004) argues that content analysis should be both valid and reliable, Babbie (2007) states that a choice has to be made between validity and reliability; latent coding or manifest coding. Latent coding refers to interpretive reading and scoring the items accordingly, whereas manifest coding is coding the elements that are physically present and countable in the annual reports. Latent coding is better designed for ‘</w:t>
      </w:r>
      <w:r w:rsidRPr="006C4CB8">
        <w:rPr>
          <w:rFonts w:cs="Calibri"/>
          <w:i/>
          <w:color w:val="000000"/>
          <w:sz w:val="22"/>
          <w:szCs w:val="22"/>
          <w:lang w:eastAsia="nl-NL"/>
        </w:rPr>
        <w:t>tapping the underlying meaning of communications’</w:t>
      </w:r>
      <w:r>
        <w:rPr>
          <w:rFonts w:cs="Calibri"/>
          <w:color w:val="000000"/>
          <w:sz w:val="22"/>
          <w:szCs w:val="22"/>
          <w:lang w:eastAsia="nl-NL"/>
        </w:rPr>
        <w:t xml:space="preserve"> (Babbie, 2007)</w:t>
      </w:r>
      <w:r w:rsidRPr="00046999">
        <w:rPr>
          <w:rFonts w:cs="Calibri"/>
          <w:color w:val="000000"/>
          <w:sz w:val="22"/>
          <w:szCs w:val="22"/>
          <w:lang w:eastAsia="nl-NL"/>
        </w:rPr>
        <w:t>. However, this might lead to more valid coding but is less reliable as one person might interpret the text different than the other which can lead to different outcomes (Babbie, 2007). Manifest coding is relatively simple and reliable but might be less valid. For example, information is provided about environment protection activities of a firm. However, the information provided is that they do not engage in any environment protection as they think this is unnecessary. In manifest coding they would obtain a score as there is information present regarding ‘environment protection’, however, in latent coding they would not obtain a score as the information shows that the firm is not engaging in environment protection (Babbie, 2007). In this study the extent of voluntary disclosures in general is analyzed. Therefore, whether the information is positive or negative is not most relevant, only that the information is provided. This study only analyzes if ownership structure can influence the extent of voluntary disclosures (the level of transparency of the firm) and therefore manifest coding is used.</w:t>
      </w:r>
    </w:p>
    <w:p w:rsidR="00A95413" w:rsidRPr="00046999" w:rsidRDefault="00A95413" w:rsidP="001D4BB3">
      <w:pPr>
        <w:pStyle w:val="Kop2"/>
        <w:jc w:val="both"/>
        <w:rPr>
          <w:rFonts w:cs="Calibri"/>
          <w:lang w:eastAsia="nl-NL"/>
        </w:rPr>
      </w:pPr>
      <w:bookmarkStart w:id="93" w:name="_Toc320365317"/>
      <w:r w:rsidRPr="00046999">
        <w:rPr>
          <w:rFonts w:cs="Calibri"/>
          <w:lang w:eastAsia="nl-NL"/>
        </w:rPr>
        <w:t>4</w:t>
      </w:r>
      <w:r>
        <w:rPr>
          <w:rFonts w:cs="Calibri"/>
          <w:lang w:eastAsia="nl-NL"/>
        </w:rPr>
        <w:t>.3</w:t>
      </w:r>
      <w:r w:rsidRPr="00046999">
        <w:rPr>
          <w:rFonts w:cs="Calibri"/>
          <w:lang w:eastAsia="nl-NL"/>
        </w:rPr>
        <w:t xml:space="preserve"> Measuring voluntary disclosures</w:t>
      </w:r>
      <w:bookmarkEnd w:id="93"/>
    </w:p>
    <w:p w:rsidR="00A95413" w:rsidRDefault="00A95413" w:rsidP="001D4BB3">
      <w:pPr>
        <w:jc w:val="both"/>
        <w:rPr>
          <w:rFonts w:cs="Calibri"/>
          <w:color w:val="000000"/>
          <w:sz w:val="22"/>
          <w:szCs w:val="22"/>
          <w:lang w:eastAsia="nl-NL"/>
        </w:rPr>
      </w:pPr>
      <w:r w:rsidRPr="00046999">
        <w:rPr>
          <w:rFonts w:cs="Calibri"/>
          <w:color w:val="000000"/>
          <w:sz w:val="22"/>
          <w:szCs w:val="22"/>
          <w:lang w:eastAsia="nl-NL"/>
        </w:rPr>
        <w:t xml:space="preserve">In order to determine which approach is best to measure voluntary disclosures for this study, it can be noted that subjective ratings are no longer available and also were only available in US which automatically means a semi-objective approach is used. Regarding the choice between textual analysis and disclosure index studies it can be argued that disclosure index studies are more appropriate for this research as it is the aim to create an amount/score regarding the information provided on specific items by means of an index. This approach is also commonly used in prior studies. Subsequently, the unweighted approach is employed as </w:t>
      </w:r>
      <w:r>
        <w:rPr>
          <w:rFonts w:cs="Calibri"/>
          <w:color w:val="000000"/>
          <w:sz w:val="22"/>
          <w:szCs w:val="22"/>
          <w:lang w:eastAsia="nl-NL"/>
        </w:rPr>
        <w:t>this study</w:t>
      </w:r>
      <w:r w:rsidRPr="00046999">
        <w:rPr>
          <w:rFonts w:cs="Calibri"/>
          <w:color w:val="000000"/>
          <w:sz w:val="22"/>
          <w:szCs w:val="22"/>
          <w:lang w:eastAsia="nl-NL"/>
        </w:rPr>
        <w:t xml:space="preserve"> aim</w:t>
      </w:r>
      <w:r>
        <w:rPr>
          <w:rFonts w:cs="Calibri"/>
          <w:color w:val="000000"/>
          <w:sz w:val="22"/>
          <w:szCs w:val="22"/>
          <w:lang w:eastAsia="nl-NL"/>
        </w:rPr>
        <w:t>s</w:t>
      </w:r>
      <w:r w:rsidRPr="00046999">
        <w:rPr>
          <w:rFonts w:cs="Calibri"/>
          <w:color w:val="000000"/>
          <w:sz w:val="22"/>
          <w:szCs w:val="22"/>
          <w:lang w:eastAsia="nl-NL"/>
        </w:rPr>
        <w:t xml:space="preserve"> to assign a score to the amount of information provided, but </w:t>
      </w:r>
      <w:r>
        <w:rPr>
          <w:rFonts w:cs="Calibri"/>
          <w:color w:val="000000"/>
          <w:sz w:val="22"/>
          <w:szCs w:val="22"/>
          <w:lang w:eastAsia="nl-NL"/>
        </w:rPr>
        <w:t>it is not preferred</w:t>
      </w:r>
      <w:r w:rsidRPr="00046999">
        <w:rPr>
          <w:rFonts w:cs="Calibri"/>
          <w:color w:val="000000"/>
          <w:sz w:val="22"/>
          <w:szCs w:val="22"/>
          <w:lang w:eastAsia="nl-NL"/>
        </w:rPr>
        <w:t xml:space="preserve"> to assess the quality of that information by assigning different amounts to the information (for example, one obtains a score of ‘8’and the other one a score of ‘2’) as</w:t>
      </w:r>
      <w:r>
        <w:rPr>
          <w:rFonts w:cs="Calibri"/>
          <w:color w:val="000000"/>
          <w:sz w:val="22"/>
          <w:szCs w:val="22"/>
          <w:lang w:eastAsia="nl-NL"/>
        </w:rPr>
        <w:t xml:space="preserve"> this</w:t>
      </w:r>
      <w:r w:rsidRPr="00046999">
        <w:rPr>
          <w:rFonts w:cs="Calibri"/>
          <w:color w:val="000000"/>
          <w:sz w:val="22"/>
          <w:szCs w:val="22"/>
          <w:lang w:eastAsia="nl-NL"/>
        </w:rPr>
        <w:t xml:space="preserve"> is very subjective. Therefore in this study the unweighted approach is used.</w:t>
      </w:r>
    </w:p>
    <w:p w:rsidR="00A95413" w:rsidRPr="000F16F8" w:rsidRDefault="00A95413" w:rsidP="000F16F8">
      <w:pPr>
        <w:pStyle w:val="Kop3"/>
        <w:rPr>
          <w:lang w:eastAsia="nl-NL"/>
        </w:rPr>
      </w:pPr>
      <w:bookmarkStart w:id="94" w:name="_Toc320365318"/>
      <w:r w:rsidRPr="000F16F8">
        <w:rPr>
          <w:lang w:eastAsia="nl-NL"/>
        </w:rPr>
        <w:t>4.3.1 Selection of Disclosure Score Sheet</w:t>
      </w:r>
      <w:bookmarkEnd w:id="94"/>
    </w:p>
    <w:p w:rsidR="00A95413" w:rsidRPr="00831958" w:rsidRDefault="00A95413" w:rsidP="001D4BB3">
      <w:pPr>
        <w:jc w:val="both"/>
        <w:rPr>
          <w:rFonts w:cs="Calibri"/>
          <w:sz w:val="22"/>
          <w:szCs w:val="22"/>
        </w:rPr>
      </w:pPr>
      <w:r w:rsidRPr="000F16F8">
        <w:rPr>
          <w:rFonts w:cs="Calibri"/>
          <w:sz w:val="22"/>
          <w:szCs w:val="22"/>
        </w:rPr>
        <w:t>Various disclosure score sheets were already established at the start</w:t>
      </w:r>
      <w:r w:rsidRPr="00046999">
        <w:rPr>
          <w:rFonts w:cs="Calibri"/>
          <w:sz w:val="22"/>
          <w:szCs w:val="22"/>
        </w:rPr>
        <w:t xml:space="preserve"> of this </w:t>
      </w:r>
      <w:r w:rsidR="00E87B45">
        <w:rPr>
          <w:rFonts w:cs="Calibri"/>
          <w:sz w:val="22"/>
          <w:szCs w:val="22"/>
        </w:rPr>
        <w:t>research</w:t>
      </w:r>
      <w:r w:rsidRPr="00046999">
        <w:rPr>
          <w:rFonts w:cs="Calibri"/>
          <w:sz w:val="22"/>
          <w:szCs w:val="22"/>
        </w:rPr>
        <w:t>. Unfortunately, due to constant changes in accounting standards and changes in mandatory and voluntary information in the annual reports and the differences between IFRS in Europe and the accounting standards used abroad, a new disclosure score sheet had to be established.</w:t>
      </w:r>
      <w:r>
        <w:rPr>
          <w:rFonts w:cs="Calibri"/>
          <w:sz w:val="22"/>
          <w:szCs w:val="22"/>
        </w:rPr>
        <w:t xml:space="preserve"> Nowadays, a score sheet from the Netherlands is frequently used: the Dutch Transparency Benchmark. </w:t>
      </w:r>
      <w:r w:rsidRPr="00046999">
        <w:rPr>
          <w:rFonts w:cs="Calibri"/>
          <w:sz w:val="22"/>
          <w:szCs w:val="22"/>
        </w:rPr>
        <w:t>The Du</w:t>
      </w:r>
      <w:r>
        <w:rPr>
          <w:rFonts w:cs="Calibri"/>
          <w:sz w:val="22"/>
          <w:szCs w:val="22"/>
        </w:rPr>
        <w:t xml:space="preserve">tch transparency benchmark is a </w:t>
      </w:r>
      <w:r w:rsidRPr="00046999">
        <w:rPr>
          <w:rFonts w:cs="Calibri"/>
          <w:sz w:val="22"/>
          <w:szCs w:val="22"/>
        </w:rPr>
        <w:t xml:space="preserve">research conducted by PwC </w:t>
      </w:r>
      <w:r>
        <w:rPr>
          <w:rFonts w:cs="Calibri"/>
          <w:sz w:val="22"/>
          <w:szCs w:val="22"/>
        </w:rPr>
        <w:t>commissioned by</w:t>
      </w:r>
      <w:r w:rsidRPr="00046999">
        <w:rPr>
          <w:rFonts w:cs="Calibri"/>
          <w:sz w:val="22"/>
          <w:szCs w:val="22"/>
        </w:rPr>
        <w:t xml:space="preserve"> the Dutch ministry of Economic Affairs in order to determine the degree of transparency of the largest Dutch firms regarding corporate social responsibility. As their </w:t>
      </w:r>
      <w:r w:rsidRPr="00046999">
        <w:rPr>
          <w:rFonts w:cs="Calibri"/>
          <w:sz w:val="22"/>
          <w:szCs w:val="22"/>
        </w:rPr>
        <w:lastRenderedPageBreak/>
        <w:t xml:space="preserve">score sheet is rather extensive and mainly focused on non-financial information (CSR), it is not applicable for this study as </w:t>
      </w:r>
      <w:r>
        <w:rPr>
          <w:rFonts w:cs="Calibri"/>
          <w:sz w:val="22"/>
          <w:szCs w:val="22"/>
        </w:rPr>
        <w:t>here</w:t>
      </w:r>
      <w:r w:rsidRPr="00046999">
        <w:rPr>
          <w:rFonts w:cs="Calibri"/>
          <w:sz w:val="22"/>
          <w:szCs w:val="22"/>
        </w:rPr>
        <w:t xml:space="preserve"> the degree of disclosure in general</w:t>
      </w:r>
      <w:r>
        <w:rPr>
          <w:rFonts w:cs="Calibri"/>
          <w:sz w:val="22"/>
          <w:szCs w:val="22"/>
        </w:rPr>
        <w:t xml:space="preserve"> is examined, so</w:t>
      </w:r>
      <w:r w:rsidRPr="00046999">
        <w:rPr>
          <w:rFonts w:cs="Calibri"/>
          <w:sz w:val="22"/>
          <w:szCs w:val="22"/>
        </w:rPr>
        <w:t xml:space="preserve"> also financial and strategic</w:t>
      </w:r>
      <w:r>
        <w:rPr>
          <w:rFonts w:cs="Calibri"/>
          <w:sz w:val="22"/>
          <w:szCs w:val="22"/>
        </w:rPr>
        <w:t xml:space="preserve"> information</w:t>
      </w:r>
      <w:r w:rsidRPr="00046999">
        <w:rPr>
          <w:rFonts w:cs="Calibri"/>
          <w:sz w:val="22"/>
          <w:szCs w:val="22"/>
        </w:rPr>
        <w:t xml:space="preserve"> disclosures</w:t>
      </w:r>
      <w:r>
        <w:rPr>
          <w:rFonts w:cs="Calibri"/>
          <w:sz w:val="22"/>
          <w:szCs w:val="22"/>
        </w:rPr>
        <w:t xml:space="preserve"> are taken into account</w:t>
      </w:r>
      <w:r w:rsidRPr="00046999">
        <w:rPr>
          <w:rFonts w:cs="Calibri"/>
          <w:sz w:val="22"/>
          <w:szCs w:val="22"/>
        </w:rPr>
        <w:t xml:space="preserve">. </w:t>
      </w:r>
      <w:r>
        <w:rPr>
          <w:rFonts w:cs="Calibri"/>
          <w:sz w:val="22"/>
          <w:szCs w:val="22"/>
        </w:rPr>
        <w:t xml:space="preserve">Therefore the disclosure score sheet in this study is self-created. </w:t>
      </w:r>
    </w:p>
    <w:p w:rsidR="00A95413" w:rsidRPr="000F16F8" w:rsidRDefault="00A95413" w:rsidP="001D4BB3">
      <w:pPr>
        <w:pStyle w:val="Kop3"/>
        <w:jc w:val="both"/>
        <w:rPr>
          <w:rFonts w:cs="Calibri"/>
        </w:rPr>
      </w:pPr>
      <w:bookmarkStart w:id="95" w:name="_Toc320365319"/>
      <w:r w:rsidRPr="000F16F8">
        <w:rPr>
          <w:rFonts w:cs="Calibri"/>
        </w:rPr>
        <w:t>4.3.2 Selection of voluntary disclosure items</w:t>
      </w:r>
      <w:bookmarkEnd w:id="95"/>
    </w:p>
    <w:p w:rsidR="00A95413" w:rsidRPr="00046999" w:rsidRDefault="00A95413" w:rsidP="001D4BB3">
      <w:pPr>
        <w:jc w:val="both"/>
        <w:rPr>
          <w:rFonts w:cs="Calibri"/>
          <w:sz w:val="22"/>
          <w:szCs w:val="22"/>
        </w:rPr>
      </w:pPr>
      <w:r w:rsidRPr="00046999">
        <w:rPr>
          <w:rFonts w:cs="Calibri"/>
          <w:sz w:val="22"/>
          <w:szCs w:val="22"/>
        </w:rPr>
        <w:t xml:space="preserve">The </w:t>
      </w:r>
      <w:r>
        <w:rPr>
          <w:rFonts w:cs="Calibri"/>
          <w:sz w:val="22"/>
          <w:szCs w:val="22"/>
        </w:rPr>
        <w:t xml:space="preserve">self-created disclosure </w:t>
      </w:r>
      <w:r w:rsidRPr="00046999">
        <w:rPr>
          <w:rFonts w:cs="Calibri"/>
          <w:sz w:val="22"/>
          <w:szCs w:val="22"/>
        </w:rPr>
        <w:t>score sheet is based on five prior score sheets from Meek et al., (1995), Botosan (1997),  Chau and Gray (2002), Eng and Mak (2003), Huafang and Jianguo (2007) and the Dutch transparency benchmark (2009)</w:t>
      </w:r>
      <w:r w:rsidRPr="00046999">
        <w:rPr>
          <w:rStyle w:val="Voetnootmarkering"/>
          <w:rFonts w:cs="Calibri"/>
          <w:sz w:val="22"/>
          <w:szCs w:val="22"/>
        </w:rPr>
        <w:footnoteReference w:id="2"/>
      </w:r>
      <w:r w:rsidRPr="00046999">
        <w:rPr>
          <w:rFonts w:cs="Calibri"/>
          <w:sz w:val="22"/>
          <w:szCs w:val="22"/>
        </w:rPr>
        <w:t xml:space="preserve">. All thirty items on the score sheet are from at least one of these studies. Furthermore, the items </w:t>
      </w:r>
      <w:r>
        <w:rPr>
          <w:rFonts w:cs="Calibri"/>
          <w:sz w:val="22"/>
          <w:szCs w:val="22"/>
        </w:rPr>
        <w:t>are</w:t>
      </w:r>
      <w:r w:rsidRPr="00046999">
        <w:rPr>
          <w:rFonts w:cs="Calibri"/>
          <w:sz w:val="22"/>
          <w:szCs w:val="22"/>
        </w:rPr>
        <w:t xml:space="preserve"> checked with the current IFRS standards to see if the items are still voluntary. Therefore</w:t>
      </w:r>
      <w:r>
        <w:rPr>
          <w:rFonts w:cs="Calibri"/>
          <w:sz w:val="22"/>
          <w:szCs w:val="22"/>
        </w:rPr>
        <w:t>,</w:t>
      </w:r>
      <w:r w:rsidRPr="00046999">
        <w:rPr>
          <w:rFonts w:cs="Calibri"/>
          <w:sz w:val="22"/>
          <w:szCs w:val="22"/>
        </w:rPr>
        <w:t xml:space="preserve"> the KPMG Disclosure checklist from June 2010 was employed. As the disclosure score sheet is </w:t>
      </w:r>
      <w:r>
        <w:rPr>
          <w:rFonts w:cs="Calibri"/>
          <w:sz w:val="22"/>
          <w:szCs w:val="22"/>
        </w:rPr>
        <w:t xml:space="preserve">especially </w:t>
      </w:r>
      <w:r w:rsidRPr="00046999">
        <w:rPr>
          <w:rFonts w:cs="Calibri"/>
          <w:sz w:val="22"/>
          <w:szCs w:val="22"/>
        </w:rPr>
        <w:t xml:space="preserve">created for this study, the sheet is undeniably subjective. However, in order to reduce the subjectivity as </w:t>
      </w:r>
      <w:r>
        <w:rPr>
          <w:rFonts w:cs="Calibri"/>
          <w:sz w:val="22"/>
          <w:szCs w:val="22"/>
        </w:rPr>
        <w:t>much</w:t>
      </w:r>
      <w:r w:rsidRPr="00046999">
        <w:rPr>
          <w:rFonts w:cs="Calibri"/>
          <w:sz w:val="22"/>
          <w:szCs w:val="22"/>
        </w:rPr>
        <w:t xml:space="preserve"> as possible, no items are on the list are self-created; all came from at least on</w:t>
      </w:r>
      <w:r>
        <w:rPr>
          <w:rFonts w:cs="Calibri"/>
          <w:sz w:val="22"/>
          <w:szCs w:val="22"/>
        </w:rPr>
        <w:t>e</w:t>
      </w:r>
      <w:r w:rsidRPr="00046999">
        <w:rPr>
          <w:rFonts w:cs="Calibri"/>
          <w:sz w:val="22"/>
          <w:szCs w:val="22"/>
        </w:rPr>
        <w:t xml:space="preserve"> prior disclosure score sheet. </w:t>
      </w:r>
      <w:r>
        <w:rPr>
          <w:rFonts w:cs="Calibri"/>
          <w:sz w:val="22"/>
          <w:szCs w:val="22"/>
        </w:rPr>
        <w:t xml:space="preserve">From which study the item is obtained can be found in appendix II. </w:t>
      </w:r>
      <w:r w:rsidRPr="00046999">
        <w:rPr>
          <w:rFonts w:cs="Calibri"/>
          <w:sz w:val="22"/>
          <w:szCs w:val="22"/>
        </w:rPr>
        <w:t>Furthermore, the items that were in most score sheets (and voluntary according to IFRS) were immediately included. However, there are still some it</w:t>
      </w:r>
      <w:r>
        <w:rPr>
          <w:rFonts w:cs="Calibri"/>
          <w:sz w:val="22"/>
          <w:szCs w:val="22"/>
        </w:rPr>
        <w:t>ems on the list that are only derived from</w:t>
      </w:r>
      <w:r w:rsidRPr="00046999">
        <w:rPr>
          <w:rFonts w:cs="Calibri"/>
          <w:sz w:val="22"/>
          <w:szCs w:val="22"/>
        </w:rPr>
        <w:t xml:space="preserve"> one other score sheet. The list of disclosure items can be found in appendix I. In order to allocate the points consistently a protocol of when to allocate the points is established. The protocol for allocating the points can be found in appendix II.</w:t>
      </w:r>
    </w:p>
    <w:p w:rsidR="00A95413" w:rsidRPr="00046999" w:rsidRDefault="00A95413" w:rsidP="001D4BB3">
      <w:pPr>
        <w:pStyle w:val="Kop3"/>
        <w:jc w:val="both"/>
        <w:rPr>
          <w:rFonts w:cs="Calibri"/>
        </w:rPr>
      </w:pPr>
      <w:bookmarkStart w:id="96" w:name="_Toc320365320"/>
      <w:r w:rsidRPr="00046999">
        <w:rPr>
          <w:rFonts w:cs="Calibri"/>
        </w:rPr>
        <w:t>4.</w:t>
      </w:r>
      <w:r>
        <w:rPr>
          <w:rFonts w:cs="Calibri"/>
        </w:rPr>
        <w:t>3</w:t>
      </w:r>
      <w:r w:rsidRPr="00046999">
        <w:rPr>
          <w:rFonts w:cs="Calibri"/>
        </w:rPr>
        <w:t>.</w:t>
      </w:r>
      <w:r>
        <w:rPr>
          <w:rFonts w:cs="Calibri"/>
        </w:rPr>
        <w:t>3</w:t>
      </w:r>
      <w:r w:rsidRPr="00046999">
        <w:rPr>
          <w:rFonts w:cs="Calibri"/>
        </w:rPr>
        <w:t xml:space="preserve"> Allocation of points</w:t>
      </w:r>
      <w:bookmarkEnd w:id="96"/>
    </w:p>
    <w:p w:rsidR="00A95413" w:rsidRPr="00046999" w:rsidRDefault="00A95413" w:rsidP="001D4BB3">
      <w:pPr>
        <w:jc w:val="both"/>
        <w:rPr>
          <w:rFonts w:cs="Calibri"/>
          <w:sz w:val="22"/>
          <w:szCs w:val="22"/>
        </w:rPr>
      </w:pPr>
      <w:r w:rsidRPr="00046999">
        <w:rPr>
          <w:rFonts w:cs="Calibri"/>
          <w:sz w:val="22"/>
          <w:szCs w:val="22"/>
        </w:rPr>
        <w:t xml:space="preserve">Here is explained how the annual reports were analyzed and the scores assigned. The first step of the analysis was to clearly assess the table of contents of the annual report in order to understand were the voluntary disclosure items could potentially be stated. According to this method several points were obtained already. In order to make sure that the information was not stated elsewhere in the annual report a set of keywords was used. </w:t>
      </w:r>
      <w:r>
        <w:rPr>
          <w:rFonts w:cs="Calibri"/>
          <w:sz w:val="22"/>
          <w:szCs w:val="22"/>
        </w:rPr>
        <w:t xml:space="preserve">All annual reports are available in pdf format and here the keywords are typed in the search format. </w:t>
      </w:r>
      <w:r w:rsidRPr="00046999">
        <w:rPr>
          <w:rFonts w:cs="Calibri"/>
          <w:sz w:val="22"/>
          <w:szCs w:val="22"/>
        </w:rPr>
        <w:t>The keywords are mentioned in appendix II. If no information by analyzing the table of contents and by using the keywords was obtained; the item obtained the score ‘0’. If there was information concerning the item, the score of ‘1’ is assigned if the information sufficed the standards of the protocol</w:t>
      </w:r>
      <w:r>
        <w:rPr>
          <w:rFonts w:cs="Calibri"/>
          <w:sz w:val="22"/>
          <w:szCs w:val="22"/>
        </w:rPr>
        <w:t xml:space="preserve"> (see appendix II)</w:t>
      </w:r>
      <w:r w:rsidRPr="00046999">
        <w:rPr>
          <w:rFonts w:cs="Calibri"/>
          <w:sz w:val="22"/>
          <w:szCs w:val="22"/>
        </w:rPr>
        <w:t xml:space="preserve">. If the information does not suffice the standards a score of ‘0’ is assigned.  As the points are either ‘0’ or ‘1’, the maximum amount of obtainable points is ‘30’. </w:t>
      </w:r>
    </w:p>
    <w:p w:rsidR="00A95413" w:rsidRPr="00046999" w:rsidRDefault="00A95413" w:rsidP="001D4BB3">
      <w:pPr>
        <w:pStyle w:val="Kop2"/>
        <w:jc w:val="both"/>
        <w:rPr>
          <w:rFonts w:cs="Calibri"/>
        </w:rPr>
      </w:pPr>
      <w:bookmarkStart w:id="97" w:name="_Toc320365321"/>
      <w:r w:rsidRPr="00046999">
        <w:rPr>
          <w:rFonts w:cs="Calibri"/>
        </w:rPr>
        <w:t>4</w:t>
      </w:r>
      <w:r>
        <w:rPr>
          <w:rFonts w:cs="Calibri"/>
        </w:rPr>
        <w:t>.4</w:t>
      </w:r>
      <w:r w:rsidRPr="00046999">
        <w:rPr>
          <w:rFonts w:cs="Calibri"/>
        </w:rPr>
        <w:t xml:space="preserve"> Limitations</w:t>
      </w:r>
      <w:bookmarkEnd w:id="97"/>
    </w:p>
    <w:p w:rsidR="00A95413" w:rsidRPr="00046999" w:rsidRDefault="00A95413" w:rsidP="001D4BB3">
      <w:pPr>
        <w:pStyle w:val="Geenafstand"/>
        <w:spacing w:line="276" w:lineRule="auto"/>
        <w:jc w:val="both"/>
        <w:rPr>
          <w:rFonts w:cs="Calibri"/>
          <w:color w:val="000000"/>
          <w:sz w:val="22"/>
          <w:szCs w:val="22"/>
          <w:lang w:eastAsia="nl-NL"/>
        </w:rPr>
      </w:pPr>
    </w:p>
    <w:p w:rsidR="00A95413" w:rsidRPr="00046999" w:rsidRDefault="00A95413" w:rsidP="001D4BB3">
      <w:pPr>
        <w:pStyle w:val="Voetnoottekst"/>
        <w:jc w:val="both"/>
        <w:rPr>
          <w:rFonts w:cs="Calibri"/>
          <w:sz w:val="22"/>
          <w:szCs w:val="22"/>
        </w:rPr>
      </w:pPr>
      <w:r w:rsidRPr="00046999">
        <w:rPr>
          <w:rFonts w:cs="Calibri"/>
          <w:color w:val="000000"/>
          <w:sz w:val="22"/>
          <w:szCs w:val="22"/>
          <w:lang w:eastAsia="nl-NL"/>
        </w:rPr>
        <w:t xml:space="preserve">Concerning the content analysis there are various important limitations that are brought to attention in this paragraph. A common accepted disadvantage of content analysis is that </w:t>
      </w:r>
      <w:r>
        <w:rPr>
          <w:rFonts w:cs="Calibri"/>
          <w:color w:val="000000"/>
          <w:sz w:val="22"/>
          <w:szCs w:val="22"/>
          <w:lang w:eastAsia="nl-NL"/>
        </w:rPr>
        <w:t>one does</w:t>
      </w:r>
      <w:r w:rsidRPr="00046999">
        <w:rPr>
          <w:rFonts w:cs="Calibri"/>
          <w:color w:val="000000"/>
          <w:sz w:val="22"/>
          <w:szCs w:val="22"/>
          <w:lang w:eastAsia="nl-NL"/>
        </w:rPr>
        <w:t xml:space="preserve"> not measure</w:t>
      </w:r>
      <w:r>
        <w:rPr>
          <w:rFonts w:cs="Calibri"/>
          <w:color w:val="000000"/>
          <w:sz w:val="22"/>
          <w:szCs w:val="22"/>
          <w:lang w:eastAsia="nl-NL"/>
        </w:rPr>
        <w:t xml:space="preserve"> what</w:t>
      </w:r>
      <w:r w:rsidRPr="00046999">
        <w:rPr>
          <w:rFonts w:cs="Calibri"/>
          <w:color w:val="000000"/>
          <w:sz w:val="22"/>
          <w:szCs w:val="22"/>
          <w:lang w:eastAsia="nl-NL"/>
        </w:rPr>
        <w:t xml:space="preserve"> </w:t>
      </w:r>
      <w:r w:rsidRPr="00046999">
        <w:rPr>
          <w:rFonts w:cs="Calibri"/>
          <w:color w:val="000000"/>
          <w:sz w:val="22"/>
          <w:szCs w:val="22"/>
          <w:lang w:eastAsia="nl-NL"/>
        </w:rPr>
        <w:lastRenderedPageBreak/>
        <w:t xml:space="preserve">an organization does, but only what the organization </w:t>
      </w:r>
      <w:r w:rsidRPr="00046999">
        <w:rPr>
          <w:rFonts w:cs="Calibri"/>
          <w:i/>
          <w:iCs/>
          <w:color w:val="000000"/>
          <w:sz w:val="22"/>
          <w:szCs w:val="22"/>
          <w:lang w:eastAsia="nl-NL"/>
        </w:rPr>
        <w:t>says</w:t>
      </w:r>
      <w:r w:rsidRPr="00046999">
        <w:rPr>
          <w:rFonts w:cs="Calibri"/>
          <w:color w:val="000000"/>
          <w:sz w:val="22"/>
          <w:szCs w:val="22"/>
          <w:lang w:eastAsia="nl-NL"/>
        </w:rPr>
        <w:t xml:space="preserve"> what it does. For example, a firm might state that it engages in various research and develop</w:t>
      </w:r>
      <w:r>
        <w:rPr>
          <w:rFonts w:cs="Calibri"/>
          <w:color w:val="000000"/>
          <w:sz w:val="22"/>
          <w:szCs w:val="22"/>
          <w:lang w:eastAsia="nl-NL"/>
        </w:rPr>
        <w:t>ment projects but in fact this information could be false</w:t>
      </w:r>
      <w:r w:rsidRPr="00046999">
        <w:rPr>
          <w:rFonts w:cs="Calibri"/>
          <w:color w:val="000000"/>
          <w:sz w:val="22"/>
          <w:szCs w:val="22"/>
          <w:lang w:eastAsia="nl-NL"/>
        </w:rPr>
        <w:t xml:space="preserve"> or the information could be exaggerated. </w:t>
      </w:r>
      <w:r>
        <w:rPr>
          <w:rFonts w:cs="Calibri"/>
          <w:color w:val="000000"/>
          <w:sz w:val="22"/>
          <w:szCs w:val="22"/>
          <w:lang w:eastAsia="nl-NL"/>
        </w:rPr>
        <w:t>E</w:t>
      </w:r>
      <w:r w:rsidRPr="00046999">
        <w:rPr>
          <w:rFonts w:cs="Calibri"/>
          <w:color w:val="000000"/>
          <w:sz w:val="22"/>
          <w:szCs w:val="22"/>
          <w:lang w:eastAsia="nl-NL"/>
        </w:rPr>
        <w:t xml:space="preserve">ven </w:t>
      </w:r>
      <w:r>
        <w:rPr>
          <w:rFonts w:cs="Calibri"/>
          <w:color w:val="000000"/>
          <w:sz w:val="22"/>
          <w:szCs w:val="22"/>
          <w:lang w:eastAsia="nl-NL"/>
        </w:rPr>
        <w:t>though this study uses a</w:t>
      </w:r>
      <w:r w:rsidRPr="00046999">
        <w:rPr>
          <w:rFonts w:cs="Calibri"/>
          <w:color w:val="000000"/>
          <w:sz w:val="22"/>
          <w:szCs w:val="22"/>
          <w:lang w:eastAsia="nl-NL"/>
        </w:rPr>
        <w:t xml:space="preserve"> </w:t>
      </w:r>
      <w:r>
        <w:rPr>
          <w:rFonts w:cs="Calibri"/>
          <w:color w:val="000000"/>
          <w:sz w:val="22"/>
          <w:szCs w:val="22"/>
          <w:lang w:eastAsia="nl-NL"/>
        </w:rPr>
        <w:t>less</w:t>
      </w:r>
      <w:r w:rsidRPr="00046999">
        <w:rPr>
          <w:rFonts w:cs="Calibri"/>
          <w:color w:val="000000"/>
          <w:sz w:val="22"/>
          <w:szCs w:val="22"/>
          <w:lang w:eastAsia="nl-NL"/>
        </w:rPr>
        <w:t xml:space="preserve"> subjective approach</w:t>
      </w:r>
      <w:r>
        <w:rPr>
          <w:rFonts w:cs="Calibri"/>
          <w:color w:val="000000"/>
          <w:sz w:val="22"/>
          <w:szCs w:val="22"/>
          <w:lang w:eastAsia="nl-NL"/>
        </w:rPr>
        <w:t xml:space="preserve"> of content analysis</w:t>
      </w:r>
      <w:r w:rsidRPr="00046999">
        <w:rPr>
          <w:rFonts w:cs="Calibri"/>
          <w:color w:val="000000"/>
          <w:sz w:val="22"/>
          <w:szCs w:val="22"/>
          <w:lang w:eastAsia="nl-NL"/>
        </w:rPr>
        <w:t>,</w:t>
      </w:r>
      <w:r>
        <w:rPr>
          <w:rFonts w:cs="Calibri"/>
          <w:color w:val="000000"/>
          <w:sz w:val="22"/>
          <w:szCs w:val="22"/>
          <w:lang w:eastAsia="nl-NL"/>
        </w:rPr>
        <w:t xml:space="preserve"> it</w:t>
      </w:r>
      <w:r w:rsidRPr="00046999">
        <w:rPr>
          <w:rFonts w:cs="Calibri"/>
          <w:color w:val="000000"/>
          <w:sz w:val="22"/>
          <w:szCs w:val="22"/>
          <w:lang w:eastAsia="nl-NL"/>
        </w:rPr>
        <w:t xml:space="preserve"> is still always subjective to a certain degree. In order to reduce this subjectivity a protocol is created (appendix II). </w:t>
      </w:r>
      <w:r w:rsidRPr="00046999">
        <w:rPr>
          <w:rFonts w:cs="Calibri"/>
          <w:sz w:val="22"/>
          <w:szCs w:val="22"/>
        </w:rPr>
        <w:t xml:space="preserve">The total annual reports from the year 2010 were analyzed. This includes also the unaudited part of the annual report which means that this information </w:t>
      </w:r>
      <w:r>
        <w:rPr>
          <w:rFonts w:cs="Calibri"/>
          <w:sz w:val="22"/>
          <w:szCs w:val="22"/>
        </w:rPr>
        <w:t>is</w:t>
      </w:r>
      <w:r w:rsidRPr="00046999">
        <w:rPr>
          <w:rFonts w:cs="Calibri"/>
          <w:sz w:val="22"/>
          <w:szCs w:val="22"/>
        </w:rPr>
        <w:t xml:space="preserve"> less reliable as no independent third party verified the accuracy of this information. </w:t>
      </w:r>
    </w:p>
    <w:p w:rsidR="00A95413" w:rsidRPr="00046999" w:rsidRDefault="00A95413" w:rsidP="001D4BB3">
      <w:pPr>
        <w:pStyle w:val="Geenafstand"/>
        <w:spacing w:line="276" w:lineRule="auto"/>
        <w:jc w:val="both"/>
        <w:rPr>
          <w:rFonts w:cs="Calibri"/>
          <w:color w:val="000000"/>
          <w:sz w:val="22"/>
          <w:szCs w:val="22"/>
          <w:lang w:eastAsia="nl-NL"/>
        </w:rPr>
      </w:pPr>
      <w:r>
        <w:rPr>
          <w:rFonts w:cs="Calibri"/>
          <w:sz w:val="22"/>
          <w:szCs w:val="22"/>
        </w:rPr>
        <w:t>T</w:t>
      </w:r>
      <w:r w:rsidRPr="00046999">
        <w:rPr>
          <w:rFonts w:cs="Calibri"/>
          <w:sz w:val="22"/>
          <w:szCs w:val="22"/>
        </w:rPr>
        <w:t xml:space="preserve">he requirements </w:t>
      </w:r>
      <w:r>
        <w:rPr>
          <w:rFonts w:cs="Calibri"/>
          <w:sz w:val="22"/>
          <w:szCs w:val="22"/>
        </w:rPr>
        <w:t>for a proper content analysis according to</w:t>
      </w:r>
      <w:r w:rsidRPr="00046999">
        <w:rPr>
          <w:rFonts w:cs="Calibri"/>
          <w:sz w:val="22"/>
          <w:szCs w:val="22"/>
        </w:rPr>
        <w:t xml:space="preserve"> Krippendorff (2004)</w:t>
      </w:r>
      <w:r>
        <w:rPr>
          <w:rFonts w:cs="Calibri"/>
          <w:sz w:val="22"/>
          <w:szCs w:val="22"/>
        </w:rPr>
        <w:t xml:space="preserve"> are:</w:t>
      </w:r>
      <w:r w:rsidRPr="00046999">
        <w:rPr>
          <w:rFonts w:cs="Calibri"/>
          <w:sz w:val="22"/>
          <w:szCs w:val="22"/>
        </w:rPr>
        <w:t xml:space="preserve"> validity and reliability</w:t>
      </w:r>
      <w:r>
        <w:rPr>
          <w:rFonts w:cs="Calibri"/>
          <w:sz w:val="22"/>
          <w:szCs w:val="22"/>
        </w:rPr>
        <w:t>. T</w:t>
      </w:r>
      <w:r w:rsidRPr="00046999">
        <w:rPr>
          <w:rFonts w:cs="Calibri"/>
          <w:sz w:val="22"/>
          <w:szCs w:val="22"/>
        </w:rPr>
        <w:t xml:space="preserve">he content analysis in this study is expected to be </w:t>
      </w:r>
      <w:r>
        <w:rPr>
          <w:rFonts w:cs="Calibri"/>
          <w:sz w:val="22"/>
          <w:szCs w:val="22"/>
        </w:rPr>
        <w:t>both</w:t>
      </w:r>
      <w:r w:rsidRPr="00046999">
        <w:rPr>
          <w:rFonts w:cs="Calibri"/>
          <w:sz w:val="22"/>
          <w:szCs w:val="22"/>
        </w:rPr>
        <w:t xml:space="preserve"> valid and reliable. The intention is to measure the extent of voluntary disclosures provided by the firm and even though only a selection of thirty information items </w:t>
      </w:r>
      <w:r>
        <w:rPr>
          <w:rFonts w:cs="Calibri"/>
          <w:sz w:val="22"/>
          <w:szCs w:val="22"/>
        </w:rPr>
        <w:t xml:space="preserve">is measured </w:t>
      </w:r>
      <w:r w:rsidRPr="00046999">
        <w:rPr>
          <w:rFonts w:cs="Calibri"/>
          <w:sz w:val="22"/>
          <w:szCs w:val="22"/>
        </w:rPr>
        <w:t>it is expected that the outcome reasonably reflects the degree of transparency of the firm. A list of thirty items was chosen in order to keep this study attainable within the given period to complete this thesis. It could be that the validity further increases if the number of information items increased. However, not all items can be included in the score sheet</w:t>
      </w:r>
      <w:r>
        <w:rPr>
          <w:rFonts w:cs="Calibri"/>
          <w:sz w:val="22"/>
          <w:szCs w:val="22"/>
        </w:rPr>
        <w:t>,</w:t>
      </w:r>
      <w:r w:rsidRPr="00046999">
        <w:rPr>
          <w:rFonts w:cs="Calibri"/>
          <w:sz w:val="22"/>
          <w:szCs w:val="22"/>
        </w:rPr>
        <w:t xml:space="preserve"> at some point a selection has to be made. Overall, this selection is expected to represent the information provided in the annual report. Furthermore looking at reliability, this study suffices the norms for stability; </w:t>
      </w:r>
      <w:r w:rsidRPr="00046999">
        <w:rPr>
          <w:rFonts w:cs="Calibri"/>
          <w:color w:val="000000"/>
          <w:sz w:val="22"/>
          <w:szCs w:val="22"/>
          <w:lang w:eastAsia="nl-NL"/>
        </w:rPr>
        <w:t xml:space="preserve">consistent coding takes place over time by the same coder by means of the protocol and the keywords used. Furthermore, regarding reproducibility it is harder to determine whether the outcomes would be similar if this research would be carried out by more persons. However, due to the protocol and set of keywords it is expected that (almost) the same outcomes would be generated. At last looking at accuracy, due to the self generated disclosure score sheet the level of accuracy is low. It would be better to for example, completely make use of the score sheet in the Dutch transparency benchmark. Due to prior mentioned reasons this was however unfortunately not appropriate for this study. However, because all information items </w:t>
      </w:r>
      <w:r>
        <w:rPr>
          <w:rFonts w:cs="Calibri"/>
          <w:color w:val="000000"/>
          <w:sz w:val="22"/>
          <w:szCs w:val="22"/>
          <w:lang w:eastAsia="nl-NL"/>
        </w:rPr>
        <w:t>come</w:t>
      </w:r>
      <w:r w:rsidRPr="00046999">
        <w:rPr>
          <w:rFonts w:cs="Calibri"/>
          <w:color w:val="000000"/>
          <w:sz w:val="22"/>
          <w:szCs w:val="22"/>
          <w:lang w:eastAsia="nl-NL"/>
        </w:rPr>
        <w:t xml:space="preserve"> from prior </w:t>
      </w:r>
      <w:r>
        <w:rPr>
          <w:rFonts w:cs="Calibri"/>
          <w:color w:val="000000"/>
          <w:sz w:val="22"/>
          <w:szCs w:val="22"/>
          <w:lang w:eastAsia="nl-NL"/>
        </w:rPr>
        <w:t>studies</w:t>
      </w:r>
      <w:r w:rsidRPr="00046999">
        <w:rPr>
          <w:rFonts w:cs="Calibri"/>
          <w:color w:val="000000"/>
          <w:sz w:val="22"/>
          <w:szCs w:val="22"/>
          <w:lang w:eastAsia="nl-NL"/>
        </w:rPr>
        <w:t xml:space="preserve"> or the </w:t>
      </w:r>
      <w:r>
        <w:rPr>
          <w:rFonts w:cs="Calibri"/>
          <w:color w:val="000000"/>
          <w:sz w:val="22"/>
          <w:szCs w:val="22"/>
          <w:lang w:eastAsia="nl-NL"/>
        </w:rPr>
        <w:t xml:space="preserve">Dutch transparency </w:t>
      </w:r>
      <w:r w:rsidRPr="00046999">
        <w:rPr>
          <w:rFonts w:cs="Calibri"/>
          <w:color w:val="000000"/>
          <w:sz w:val="22"/>
          <w:szCs w:val="22"/>
          <w:lang w:eastAsia="nl-NL"/>
        </w:rPr>
        <w:t>benchmark</w:t>
      </w:r>
      <w:r>
        <w:rPr>
          <w:rFonts w:cs="Calibri"/>
          <w:color w:val="000000"/>
          <w:sz w:val="22"/>
          <w:szCs w:val="22"/>
          <w:lang w:eastAsia="nl-NL"/>
        </w:rPr>
        <w:t>,</w:t>
      </w:r>
      <w:r w:rsidRPr="00046999">
        <w:rPr>
          <w:rFonts w:cs="Calibri"/>
          <w:color w:val="000000"/>
          <w:sz w:val="22"/>
          <w:szCs w:val="22"/>
          <w:lang w:eastAsia="nl-NL"/>
        </w:rPr>
        <w:t xml:space="preserve"> the content analysis is expected to be reasonably accurate. </w:t>
      </w:r>
    </w:p>
    <w:p w:rsidR="00A95413" w:rsidRPr="00046999" w:rsidRDefault="00A95413" w:rsidP="001D4BB3">
      <w:pPr>
        <w:pStyle w:val="Geenafstand"/>
        <w:spacing w:line="276" w:lineRule="auto"/>
        <w:jc w:val="both"/>
        <w:rPr>
          <w:rFonts w:cs="Calibri"/>
          <w:color w:val="000000"/>
          <w:sz w:val="22"/>
          <w:szCs w:val="22"/>
          <w:lang w:eastAsia="nl-NL"/>
        </w:rPr>
      </w:pPr>
    </w:p>
    <w:p w:rsidR="00591623" w:rsidRDefault="00A95413" w:rsidP="001D4BB3">
      <w:pPr>
        <w:pStyle w:val="Geenafstand"/>
        <w:spacing w:line="276" w:lineRule="auto"/>
        <w:jc w:val="both"/>
        <w:rPr>
          <w:rFonts w:cs="Calibri"/>
          <w:sz w:val="22"/>
          <w:szCs w:val="22"/>
        </w:rPr>
      </w:pPr>
      <w:r w:rsidRPr="00046999">
        <w:rPr>
          <w:rFonts w:cs="Calibri"/>
          <w:sz w:val="22"/>
          <w:szCs w:val="22"/>
        </w:rPr>
        <w:t xml:space="preserve">Another limitation in this study is that only the annual reports are analyzed. As mentioned before disclosure can take place in many forms; </w:t>
      </w:r>
      <w:r w:rsidRPr="00046999">
        <w:rPr>
          <w:rFonts w:cs="Calibri"/>
          <w:color w:val="000000"/>
          <w:sz w:val="22"/>
          <w:szCs w:val="22"/>
          <w:lang w:eastAsia="nl-NL"/>
        </w:rPr>
        <w:t>via annual, half-yearly and quarterly reports, separate sustainability reports, footnotes, interviews, press releases and more. So i</w:t>
      </w:r>
      <w:r w:rsidRPr="00046999">
        <w:rPr>
          <w:rFonts w:cs="Calibri"/>
          <w:sz w:val="22"/>
          <w:szCs w:val="22"/>
        </w:rPr>
        <w:t>s analyzing annual reports best way to measure voluntary disclosures? Maybe more information is provided in half-yearly reports, forecasts etc. This is an important limitation however, in most prior studies annual reports were used as well</w:t>
      </w:r>
      <w:r w:rsidR="000A5BFD">
        <w:rPr>
          <w:rFonts w:cs="Calibri"/>
          <w:sz w:val="22"/>
          <w:szCs w:val="22"/>
        </w:rPr>
        <w:t>.</w:t>
      </w:r>
      <w:r w:rsidRPr="00046999">
        <w:rPr>
          <w:rFonts w:cs="Calibri"/>
          <w:sz w:val="22"/>
          <w:szCs w:val="22"/>
        </w:rPr>
        <w:t xml:space="preserve"> </w:t>
      </w:r>
      <w:r>
        <w:rPr>
          <w:rFonts w:cs="Calibri"/>
          <w:sz w:val="22"/>
          <w:szCs w:val="22"/>
        </w:rPr>
        <w:t xml:space="preserve">From this it appears </w:t>
      </w:r>
      <w:r w:rsidRPr="00046999">
        <w:rPr>
          <w:rFonts w:cs="Calibri"/>
          <w:sz w:val="22"/>
          <w:szCs w:val="22"/>
        </w:rPr>
        <w:t xml:space="preserve">that annual reports can be useful for measuring the degree of voluntary disclosures. </w:t>
      </w:r>
      <w:r>
        <w:rPr>
          <w:rFonts w:cs="Calibri"/>
          <w:sz w:val="22"/>
          <w:szCs w:val="22"/>
        </w:rPr>
        <w:t>In addition</w:t>
      </w:r>
      <w:r w:rsidRPr="00046999">
        <w:rPr>
          <w:rFonts w:cs="Calibri"/>
          <w:sz w:val="22"/>
          <w:szCs w:val="22"/>
        </w:rPr>
        <w:t>, annual reports remain the main annual document available for investors to obtain useful information. Therefore, it can be expected that the information in the annual report is relevant for the investor and that a degree of firm transparency can be obtained whilst analyzing the annual reports.</w:t>
      </w:r>
    </w:p>
    <w:p w:rsidR="00A95413" w:rsidRPr="00046999" w:rsidRDefault="00591623" w:rsidP="00591623">
      <w:pPr>
        <w:spacing w:before="0" w:after="0" w:line="240" w:lineRule="auto"/>
        <w:rPr>
          <w:rFonts w:cs="Calibri"/>
          <w:sz w:val="22"/>
          <w:szCs w:val="22"/>
        </w:rPr>
      </w:pPr>
      <w:r>
        <w:rPr>
          <w:rFonts w:cs="Calibri"/>
          <w:sz w:val="22"/>
          <w:szCs w:val="22"/>
        </w:rPr>
        <w:br w:type="page"/>
      </w:r>
    </w:p>
    <w:p w:rsidR="00A95413" w:rsidRPr="00046999" w:rsidRDefault="00A95413" w:rsidP="001D4BB3">
      <w:pPr>
        <w:pStyle w:val="Kop2"/>
        <w:jc w:val="both"/>
        <w:rPr>
          <w:rFonts w:cs="Calibri"/>
        </w:rPr>
      </w:pPr>
      <w:bookmarkStart w:id="98" w:name="_Toc320365322"/>
      <w:r w:rsidRPr="00046999">
        <w:rPr>
          <w:rFonts w:cs="Calibri"/>
        </w:rPr>
        <w:lastRenderedPageBreak/>
        <w:t>4</w:t>
      </w:r>
      <w:r>
        <w:rPr>
          <w:rFonts w:cs="Calibri"/>
        </w:rPr>
        <w:t>.5</w:t>
      </w:r>
      <w:r w:rsidRPr="00046999">
        <w:rPr>
          <w:rFonts w:cs="Calibri"/>
        </w:rPr>
        <w:t xml:space="preserve"> Conclusion</w:t>
      </w:r>
      <w:bookmarkEnd w:id="98"/>
    </w:p>
    <w:p w:rsidR="00A95413" w:rsidRPr="00046999" w:rsidRDefault="00A95413" w:rsidP="001D4BB3">
      <w:pPr>
        <w:pStyle w:val="Geenafstand"/>
        <w:spacing w:line="276" w:lineRule="auto"/>
        <w:jc w:val="both"/>
        <w:rPr>
          <w:rFonts w:cs="Calibri"/>
          <w:color w:val="000000"/>
          <w:sz w:val="22"/>
          <w:szCs w:val="22"/>
          <w:lang w:eastAsia="nl-NL"/>
        </w:rPr>
      </w:pPr>
    </w:p>
    <w:p w:rsidR="000A5BFD" w:rsidRDefault="00A95413" w:rsidP="001D4BB3">
      <w:pPr>
        <w:pStyle w:val="Geenafstand"/>
        <w:spacing w:line="276" w:lineRule="auto"/>
        <w:jc w:val="both"/>
        <w:rPr>
          <w:rFonts w:cs="Calibri"/>
          <w:color w:val="000000"/>
          <w:sz w:val="22"/>
          <w:szCs w:val="22"/>
          <w:lang w:eastAsia="nl-NL"/>
        </w:rPr>
      </w:pPr>
      <w:r w:rsidRPr="00046999">
        <w:rPr>
          <w:rFonts w:cs="Calibri"/>
          <w:color w:val="000000"/>
          <w:sz w:val="22"/>
          <w:szCs w:val="22"/>
          <w:lang w:eastAsia="nl-NL"/>
        </w:rPr>
        <w:t xml:space="preserve">There are various approaches to perform content analysis as is shown in figure 1. In this study the unweighted index approach is used because this study aims to assign a score to the amount of information provided by firms whilst maintaining a low degree of subjectivity. Krippendorff (2004) and Babbie (2007) showed that validity and reliability are important terms in the process of content analysis and are therefore considerably taken into account in the process of determining the execution of the content analysis of this study. However some limitations regarding content analysis remain inevitable. To sum up the limitations regarding the content analysis of this study; it is still subjective to a certain degree, it is not completely valid and reliable, it could be that the information is included in other documents than the annual report, firms might state false or overstated/understated information in the annual report. As can </w:t>
      </w:r>
      <w:r>
        <w:rPr>
          <w:rFonts w:cs="Calibri"/>
          <w:color w:val="000000"/>
          <w:sz w:val="22"/>
          <w:szCs w:val="22"/>
          <w:lang w:eastAsia="nl-NL"/>
        </w:rPr>
        <w:t>be noted</w:t>
      </w:r>
      <w:r w:rsidRPr="00046999">
        <w:rPr>
          <w:rFonts w:cs="Calibri"/>
          <w:color w:val="000000"/>
          <w:sz w:val="22"/>
          <w:szCs w:val="22"/>
          <w:lang w:eastAsia="nl-NL"/>
        </w:rPr>
        <w:t xml:space="preserve"> content analysis is a far from perfect research method. However, due to a lack of alternatives it is ‘</w:t>
      </w:r>
      <w:r w:rsidRPr="00390FCA">
        <w:rPr>
          <w:rFonts w:cs="Calibri"/>
          <w:i/>
          <w:color w:val="000000"/>
          <w:sz w:val="22"/>
          <w:szCs w:val="22"/>
          <w:lang w:eastAsia="nl-NL"/>
        </w:rPr>
        <w:t>one of the most important research techniques in social sciences</w:t>
      </w:r>
      <w:r w:rsidRPr="00046999">
        <w:rPr>
          <w:rFonts w:cs="Calibri"/>
          <w:color w:val="000000"/>
          <w:sz w:val="22"/>
          <w:szCs w:val="22"/>
          <w:lang w:eastAsia="nl-NL"/>
        </w:rPr>
        <w:t>’ (Krippendorff, 2004) and also used in this study. However, as major efforts were conducted to lower the degree of subjectivity and improve the extent of validity and reliability I expect that the outcomes of the content analysis are in fact useful.</w:t>
      </w:r>
      <w:r>
        <w:rPr>
          <w:rFonts w:cs="Calibri"/>
          <w:color w:val="000000"/>
          <w:sz w:val="22"/>
          <w:szCs w:val="22"/>
          <w:lang w:eastAsia="nl-NL"/>
        </w:rPr>
        <w:t xml:space="preserve"> After explaining how voluntary disclosures are measured, the next chapter will explain how ownership structure is measured in this research.</w:t>
      </w:r>
    </w:p>
    <w:p w:rsidR="000A5BFD" w:rsidRDefault="000A5BFD">
      <w:pPr>
        <w:spacing w:before="0" w:after="0" w:line="240" w:lineRule="auto"/>
        <w:rPr>
          <w:rFonts w:cs="Calibri"/>
          <w:color w:val="000000"/>
          <w:sz w:val="22"/>
          <w:szCs w:val="22"/>
          <w:lang w:eastAsia="nl-NL"/>
        </w:rPr>
      </w:pPr>
      <w:r>
        <w:rPr>
          <w:rFonts w:cs="Calibri"/>
          <w:color w:val="000000"/>
          <w:sz w:val="22"/>
          <w:szCs w:val="22"/>
          <w:lang w:eastAsia="nl-NL"/>
        </w:rPr>
        <w:br w:type="page"/>
      </w:r>
    </w:p>
    <w:p w:rsidR="00A95413" w:rsidRPr="00046999" w:rsidRDefault="00A95413" w:rsidP="001D4BB3">
      <w:pPr>
        <w:pStyle w:val="Kop1"/>
        <w:jc w:val="both"/>
        <w:rPr>
          <w:rFonts w:cs="Calibri"/>
          <w:lang w:eastAsia="nl-NL"/>
        </w:rPr>
      </w:pPr>
      <w:bookmarkStart w:id="99" w:name="_Toc320365323"/>
      <w:r w:rsidRPr="00046999">
        <w:rPr>
          <w:rFonts w:cs="Calibri"/>
          <w:lang w:eastAsia="nl-NL"/>
        </w:rPr>
        <w:lastRenderedPageBreak/>
        <w:t>Chapter 5.</w:t>
      </w:r>
      <w:r>
        <w:rPr>
          <w:rFonts w:cs="Calibri"/>
          <w:lang w:eastAsia="nl-NL"/>
        </w:rPr>
        <w:t xml:space="preserve"> M</w:t>
      </w:r>
      <w:r w:rsidRPr="00046999">
        <w:rPr>
          <w:rFonts w:cs="Calibri"/>
          <w:lang w:eastAsia="nl-NL"/>
        </w:rPr>
        <w:t>easuring Ownership structure</w:t>
      </w:r>
      <w:bookmarkEnd w:id="99"/>
      <w:r w:rsidRPr="00046999">
        <w:rPr>
          <w:rFonts w:cs="Calibri"/>
          <w:lang w:eastAsia="nl-NL"/>
        </w:rPr>
        <w:t xml:space="preserve"> </w:t>
      </w:r>
    </w:p>
    <w:p w:rsidR="00A95413" w:rsidRPr="00046999" w:rsidRDefault="00A95413" w:rsidP="001D4BB3">
      <w:pPr>
        <w:pStyle w:val="Kop2"/>
        <w:jc w:val="both"/>
        <w:rPr>
          <w:rFonts w:cs="Calibri"/>
          <w:lang w:eastAsia="nl-NL"/>
        </w:rPr>
      </w:pPr>
      <w:bookmarkStart w:id="100" w:name="_Toc320365324"/>
      <w:r w:rsidRPr="00046999">
        <w:rPr>
          <w:rFonts w:cs="Calibri"/>
          <w:lang w:eastAsia="nl-NL"/>
        </w:rPr>
        <w:t>5.1 Introduction</w:t>
      </w:r>
      <w:bookmarkEnd w:id="100"/>
    </w:p>
    <w:p w:rsidR="00A95413" w:rsidRDefault="00A95413" w:rsidP="001D4BB3">
      <w:pPr>
        <w:jc w:val="both"/>
        <w:rPr>
          <w:rFonts w:cs="Calibri"/>
          <w:sz w:val="22"/>
          <w:szCs w:val="22"/>
          <w:lang w:eastAsia="nl-NL"/>
        </w:rPr>
      </w:pPr>
      <w:r w:rsidRPr="00046999">
        <w:rPr>
          <w:rFonts w:cs="Calibri"/>
          <w:sz w:val="22"/>
          <w:szCs w:val="22"/>
          <w:lang w:eastAsia="nl-NL"/>
        </w:rPr>
        <w:t>In this chapter it is explained how ownership structure is measured</w:t>
      </w:r>
      <w:r>
        <w:rPr>
          <w:rFonts w:cs="Calibri"/>
          <w:sz w:val="22"/>
          <w:szCs w:val="22"/>
          <w:lang w:eastAsia="nl-NL"/>
        </w:rPr>
        <w:t xml:space="preserve"> according to prior literature and in this study</w:t>
      </w:r>
      <w:r w:rsidRPr="00046999">
        <w:rPr>
          <w:rFonts w:cs="Calibri"/>
          <w:sz w:val="22"/>
          <w:szCs w:val="22"/>
          <w:lang w:eastAsia="nl-NL"/>
        </w:rPr>
        <w:t xml:space="preserve">. Furthermore, it is </w:t>
      </w:r>
      <w:r>
        <w:rPr>
          <w:rFonts w:cs="Calibri"/>
          <w:sz w:val="22"/>
          <w:szCs w:val="22"/>
          <w:lang w:eastAsia="nl-NL"/>
        </w:rPr>
        <w:t>shown</w:t>
      </w:r>
      <w:r w:rsidRPr="00046999">
        <w:rPr>
          <w:rFonts w:cs="Calibri"/>
          <w:sz w:val="22"/>
          <w:szCs w:val="22"/>
          <w:lang w:eastAsia="nl-NL"/>
        </w:rPr>
        <w:t xml:space="preserve"> how the control variables are measured and how the relation between voluntary disclosure, ownership structure and the control variables is </w:t>
      </w:r>
      <w:r>
        <w:rPr>
          <w:rFonts w:cs="Calibri"/>
          <w:sz w:val="22"/>
          <w:szCs w:val="22"/>
          <w:lang w:eastAsia="nl-NL"/>
        </w:rPr>
        <w:t>examined</w:t>
      </w:r>
      <w:r w:rsidRPr="00046999">
        <w:rPr>
          <w:rFonts w:cs="Calibri"/>
          <w:sz w:val="22"/>
          <w:szCs w:val="22"/>
          <w:lang w:eastAsia="nl-NL"/>
        </w:rPr>
        <w:t xml:space="preserve">. </w:t>
      </w:r>
      <w:r>
        <w:rPr>
          <w:rFonts w:cs="Calibri"/>
          <w:sz w:val="22"/>
          <w:szCs w:val="22"/>
          <w:lang w:eastAsia="nl-NL"/>
        </w:rPr>
        <w:t>These measurements are based on the methods used in prior research which is further explained in chapter six.</w:t>
      </w:r>
    </w:p>
    <w:p w:rsidR="00A95413" w:rsidRDefault="00A95413" w:rsidP="00FC1F58">
      <w:pPr>
        <w:pStyle w:val="Kop2"/>
        <w:rPr>
          <w:lang w:eastAsia="nl-NL"/>
        </w:rPr>
      </w:pPr>
      <w:bookmarkStart w:id="101" w:name="_Toc320365325"/>
      <w:r>
        <w:rPr>
          <w:lang w:eastAsia="nl-NL"/>
        </w:rPr>
        <w:t>5.2 Measuring ownership structure according to prior literature</w:t>
      </w:r>
      <w:bookmarkEnd w:id="101"/>
    </w:p>
    <w:p w:rsidR="00A95413" w:rsidRDefault="00A95413" w:rsidP="008A719B">
      <w:pPr>
        <w:jc w:val="both"/>
        <w:rPr>
          <w:rFonts w:cs="Calibri"/>
          <w:sz w:val="22"/>
          <w:szCs w:val="22"/>
        </w:rPr>
      </w:pPr>
      <w:r w:rsidRPr="00FC1F58">
        <w:rPr>
          <w:sz w:val="22"/>
          <w:szCs w:val="22"/>
          <w:lang w:eastAsia="nl-NL"/>
        </w:rPr>
        <w:t>Several studies</w:t>
      </w:r>
      <w:r>
        <w:rPr>
          <w:sz w:val="22"/>
          <w:szCs w:val="22"/>
          <w:lang w:eastAsia="nl-NL"/>
        </w:rPr>
        <w:t xml:space="preserve"> have investigated the association between ownership structure and voluntary disclosure</w:t>
      </w:r>
      <w:r w:rsidR="00E363D0">
        <w:rPr>
          <w:sz w:val="22"/>
          <w:szCs w:val="22"/>
          <w:lang w:eastAsia="nl-NL"/>
        </w:rPr>
        <w:t>s</w:t>
      </w:r>
      <w:r>
        <w:rPr>
          <w:sz w:val="22"/>
          <w:szCs w:val="22"/>
          <w:lang w:eastAsia="nl-NL"/>
        </w:rPr>
        <w:t xml:space="preserve">. Here the measurements they used for obtaining the ownership structure data </w:t>
      </w:r>
      <w:r w:rsidR="000C2C9D">
        <w:rPr>
          <w:sz w:val="22"/>
          <w:szCs w:val="22"/>
          <w:lang w:eastAsia="nl-NL"/>
        </w:rPr>
        <w:t>are</w:t>
      </w:r>
      <w:r>
        <w:rPr>
          <w:sz w:val="22"/>
          <w:szCs w:val="22"/>
          <w:lang w:eastAsia="nl-NL"/>
        </w:rPr>
        <w:t xml:space="preserve"> briefly mentioned. This information is also available in the literature review in chapter six. </w:t>
      </w:r>
      <w:r w:rsidR="00302F8B">
        <w:rPr>
          <w:sz w:val="22"/>
          <w:szCs w:val="22"/>
          <w:lang w:eastAsia="nl-NL"/>
        </w:rPr>
        <w:t>In t</w:t>
      </w:r>
      <w:r>
        <w:rPr>
          <w:sz w:val="22"/>
          <w:szCs w:val="22"/>
          <w:lang w:eastAsia="nl-NL"/>
        </w:rPr>
        <w:t>he study of Haniffa and Cooke (2001) ownership structure</w:t>
      </w:r>
      <w:r w:rsidR="00302F8B">
        <w:rPr>
          <w:sz w:val="22"/>
          <w:szCs w:val="22"/>
          <w:lang w:eastAsia="nl-NL"/>
        </w:rPr>
        <w:t xml:space="preserve"> is measured</w:t>
      </w:r>
      <w:r>
        <w:rPr>
          <w:sz w:val="22"/>
          <w:szCs w:val="22"/>
          <w:lang w:eastAsia="nl-NL"/>
        </w:rPr>
        <w:t xml:space="preserve"> </w:t>
      </w:r>
      <w:r w:rsidRPr="00046999">
        <w:rPr>
          <w:rFonts w:cs="Calibri"/>
          <w:sz w:val="22"/>
          <w:szCs w:val="22"/>
        </w:rPr>
        <w:t xml:space="preserve">by </w:t>
      </w:r>
      <w:r>
        <w:rPr>
          <w:rFonts w:cs="Calibri"/>
          <w:sz w:val="22"/>
          <w:szCs w:val="22"/>
        </w:rPr>
        <w:t>analyzing the</w:t>
      </w:r>
      <w:r w:rsidRPr="00046999">
        <w:rPr>
          <w:rFonts w:cs="Calibri"/>
          <w:sz w:val="22"/>
          <w:szCs w:val="22"/>
        </w:rPr>
        <w:t xml:space="preserve"> proportion of shares owned by the ten largest shareholders.</w:t>
      </w:r>
      <w:r>
        <w:rPr>
          <w:rFonts w:cs="Calibri"/>
          <w:sz w:val="22"/>
          <w:szCs w:val="22"/>
        </w:rPr>
        <w:t xml:space="preserve"> Subsequently Chau and Grey (2002) used</w:t>
      </w:r>
      <w:r w:rsidRPr="00046999">
        <w:rPr>
          <w:rFonts w:cs="Calibri"/>
          <w:sz w:val="22"/>
          <w:szCs w:val="22"/>
        </w:rPr>
        <w:t xml:space="preserve"> </w:t>
      </w:r>
      <w:r>
        <w:rPr>
          <w:rFonts w:cs="Calibri"/>
          <w:sz w:val="22"/>
          <w:szCs w:val="22"/>
        </w:rPr>
        <w:t xml:space="preserve">the </w:t>
      </w:r>
      <w:r w:rsidRPr="00046999">
        <w:rPr>
          <w:rFonts w:cs="Calibri"/>
          <w:sz w:val="22"/>
          <w:szCs w:val="22"/>
        </w:rPr>
        <w:t>proportion of shares owned by outsiders (non directors or dominant shareholders)</w:t>
      </w:r>
      <w:r>
        <w:rPr>
          <w:rFonts w:cs="Calibri"/>
          <w:sz w:val="22"/>
          <w:szCs w:val="22"/>
        </w:rPr>
        <w:t xml:space="preserve"> to measure ownership structure</w:t>
      </w:r>
      <w:r w:rsidRPr="00046999">
        <w:rPr>
          <w:rFonts w:cs="Calibri"/>
          <w:sz w:val="22"/>
          <w:szCs w:val="22"/>
        </w:rPr>
        <w:t>.</w:t>
      </w:r>
      <w:r>
        <w:rPr>
          <w:rFonts w:cs="Calibri"/>
          <w:sz w:val="22"/>
          <w:szCs w:val="22"/>
        </w:rPr>
        <w:t xml:space="preserve"> Eng and Mak (2003) used three proxies to measure ownership structure: </w:t>
      </w:r>
      <w:r w:rsidRPr="00046999">
        <w:rPr>
          <w:rFonts w:cs="Calibri"/>
          <w:sz w:val="22"/>
          <w:szCs w:val="22"/>
        </w:rPr>
        <w:t>managerial, blockholder and government ownership. They measured managerial ownership as the proportion of shares held by the CEO and inside directors, blockholder ownership is measured by the proportion of shares held by substantial shareholders (5% or more) and government ownership is measured by a dummy variable; whether the firm is a governm</w:t>
      </w:r>
      <w:r>
        <w:rPr>
          <w:rFonts w:cs="Calibri"/>
          <w:sz w:val="22"/>
          <w:szCs w:val="22"/>
        </w:rPr>
        <w:t xml:space="preserve">ent-linked company (GLC) or not (Eng and Mak, 2003). </w:t>
      </w:r>
    </w:p>
    <w:p w:rsidR="00A95413" w:rsidRDefault="00A95413" w:rsidP="008A719B">
      <w:pPr>
        <w:jc w:val="both"/>
        <w:rPr>
          <w:rFonts w:cs="Calibri"/>
          <w:color w:val="000000"/>
          <w:sz w:val="22"/>
          <w:szCs w:val="22"/>
          <w:lang w:eastAsia="nl-NL"/>
        </w:rPr>
      </w:pPr>
      <w:r>
        <w:rPr>
          <w:rFonts w:cs="Calibri"/>
          <w:sz w:val="22"/>
          <w:szCs w:val="22"/>
        </w:rPr>
        <w:t xml:space="preserve">The study of Barako et al. (2006) analyzed shareholder concentration. </w:t>
      </w:r>
      <w:r w:rsidRPr="00046999">
        <w:rPr>
          <w:rFonts w:cs="Calibri"/>
          <w:color w:val="000000"/>
          <w:sz w:val="22"/>
          <w:szCs w:val="22"/>
          <w:lang w:eastAsia="nl-NL"/>
        </w:rPr>
        <w:t>Shareholder concentration is measured by the proportion held by the top twenty shareholders.</w:t>
      </w:r>
      <w:r>
        <w:rPr>
          <w:rFonts w:cs="Calibri"/>
          <w:color w:val="000000"/>
          <w:sz w:val="22"/>
          <w:szCs w:val="22"/>
          <w:lang w:eastAsia="nl-NL"/>
        </w:rPr>
        <w:t xml:space="preserve"> In addition they also examined institutional ownership and foreign ownership. Continuously, the study of Huafang and Jianguo (2007)</w:t>
      </w:r>
      <w:r w:rsidR="00302F8B">
        <w:rPr>
          <w:rFonts w:cs="Calibri"/>
          <w:color w:val="000000"/>
          <w:sz w:val="22"/>
          <w:szCs w:val="22"/>
          <w:lang w:eastAsia="nl-NL"/>
        </w:rPr>
        <w:t xml:space="preserve"> </w:t>
      </w:r>
      <w:r>
        <w:rPr>
          <w:rFonts w:cs="Calibri"/>
          <w:color w:val="000000"/>
          <w:sz w:val="22"/>
          <w:szCs w:val="22"/>
          <w:lang w:eastAsia="nl-NL"/>
        </w:rPr>
        <w:t xml:space="preserve">examined </w:t>
      </w:r>
      <w:r w:rsidRPr="00046999">
        <w:rPr>
          <w:rFonts w:cs="Calibri"/>
          <w:sz w:val="22"/>
          <w:szCs w:val="22"/>
        </w:rPr>
        <w:t>blockholder, managerial, state, legal-person and foreign ownership</w:t>
      </w:r>
      <w:r>
        <w:rPr>
          <w:rFonts w:cs="Calibri"/>
          <w:sz w:val="22"/>
          <w:szCs w:val="22"/>
        </w:rPr>
        <w:t xml:space="preserve"> as proxies for ownership structure</w:t>
      </w:r>
      <w:r w:rsidRPr="00046999">
        <w:rPr>
          <w:rFonts w:cs="Calibri"/>
          <w:sz w:val="22"/>
          <w:szCs w:val="22"/>
        </w:rPr>
        <w:t>. Blockholder ownership is measured by the proportion of shares held by substantial shareholders (5% or more). Managerial ownership is measured by the proportion of shares held by senior managers, including directors and supervisors. State ownership is measured by the proportion of shares owned by the state.</w:t>
      </w:r>
      <w:r>
        <w:rPr>
          <w:rFonts w:cs="Calibri"/>
          <w:sz w:val="22"/>
          <w:szCs w:val="22"/>
        </w:rPr>
        <w:t xml:space="preserve"> Legal-person shares are shares owned by separate legal entities and cannot be traded on the stock exchange (Huafang and Jianguo,</w:t>
      </w:r>
      <w:r w:rsidR="00302F8B">
        <w:rPr>
          <w:rFonts w:cs="Calibri"/>
          <w:sz w:val="22"/>
          <w:szCs w:val="22"/>
        </w:rPr>
        <w:t xml:space="preserve"> </w:t>
      </w:r>
      <w:r>
        <w:rPr>
          <w:rFonts w:cs="Calibri"/>
          <w:sz w:val="22"/>
          <w:szCs w:val="22"/>
        </w:rPr>
        <w:t xml:space="preserve">2007). Foreign ownership is the proportion of shares held by foreigners. At last, the study of Zourarakis (2009) analyzed managerial ownership and ownership structure. </w:t>
      </w:r>
      <w:r w:rsidRPr="00046999">
        <w:rPr>
          <w:rFonts w:cs="Calibri"/>
          <w:color w:val="000000"/>
          <w:sz w:val="22"/>
          <w:szCs w:val="22"/>
          <w:lang w:eastAsia="nl-NL"/>
        </w:rPr>
        <w:t>Managerial ownership is measured by the proportion of shares held by executive directors. Ownership structure is measured by the sum of substantial shareholders (more than 3%).</w:t>
      </w:r>
    </w:p>
    <w:p w:rsidR="00A95413" w:rsidRDefault="00A95413" w:rsidP="008A719B">
      <w:pPr>
        <w:jc w:val="both"/>
        <w:rPr>
          <w:rFonts w:cs="Calibri"/>
          <w:color w:val="000000"/>
          <w:sz w:val="22"/>
          <w:szCs w:val="22"/>
          <w:lang w:eastAsia="nl-NL"/>
        </w:rPr>
      </w:pPr>
      <w:r>
        <w:rPr>
          <w:rFonts w:cs="Calibri"/>
          <w:color w:val="000000"/>
          <w:sz w:val="22"/>
          <w:szCs w:val="22"/>
          <w:lang w:eastAsia="nl-NL"/>
        </w:rPr>
        <w:t xml:space="preserve">As can be observed, in some cases the methods of measuring are almost alike but the definition given differs. For example the sum of substantial shareholders is used by Eng and Mak (2003) as blockholder ownership but by Zourarakis (2009) as ownership structure. In the next paragraph is explained which proxies for ownership structure are used in this study. </w:t>
      </w:r>
    </w:p>
    <w:p w:rsidR="00256488" w:rsidRPr="00FC1F58" w:rsidRDefault="00256488" w:rsidP="008A719B">
      <w:pPr>
        <w:jc w:val="both"/>
        <w:rPr>
          <w:sz w:val="22"/>
          <w:szCs w:val="22"/>
          <w:lang w:eastAsia="nl-NL"/>
        </w:rPr>
      </w:pPr>
    </w:p>
    <w:p w:rsidR="00A95413" w:rsidRPr="00046999" w:rsidRDefault="00A95413" w:rsidP="001D4BB3">
      <w:pPr>
        <w:pStyle w:val="Kop2"/>
        <w:jc w:val="both"/>
        <w:rPr>
          <w:rFonts w:cs="Calibri"/>
        </w:rPr>
      </w:pPr>
      <w:bookmarkStart w:id="102" w:name="_Toc287267082"/>
      <w:bookmarkStart w:id="103" w:name="_Toc320365326"/>
      <w:r w:rsidRPr="00046999">
        <w:rPr>
          <w:rFonts w:cs="Calibri"/>
        </w:rPr>
        <w:lastRenderedPageBreak/>
        <w:t>5</w:t>
      </w:r>
      <w:r>
        <w:rPr>
          <w:rFonts w:cs="Calibri"/>
        </w:rPr>
        <w:t>.3 Measuring</w:t>
      </w:r>
      <w:r w:rsidRPr="00046999">
        <w:rPr>
          <w:rFonts w:cs="Calibri"/>
        </w:rPr>
        <w:t xml:space="preserve"> Ownership structure</w:t>
      </w:r>
      <w:bookmarkEnd w:id="103"/>
      <w:r w:rsidRPr="00046999">
        <w:rPr>
          <w:rFonts w:cs="Calibri"/>
        </w:rPr>
        <w:t xml:space="preserve"> </w:t>
      </w:r>
      <w:bookmarkEnd w:id="102"/>
    </w:p>
    <w:p w:rsidR="00A95413" w:rsidRDefault="00A95413" w:rsidP="001D4BB3">
      <w:pPr>
        <w:pStyle w:val="Geenafstand"/>
        <w:spacing w:line="276" w:lineRule="auto"/>
        <w:jc w:val="both"/>
        <w:rPr>
          <w:rFonts w:cs="Calibri"/>
          <w:color w:val="000000"/>
          <w:sz w:val="22"/>
          <w:szCs w:val="22"/>
          <w:lang w:eastAsia="nl-NL"/>
        </w:rPr>
      </w:pPr>
    </w:p>
    <w:p w:rsidR="00A95413" w:rsidRDefault="00A95413" w:rsidP="001D4BB3">
      <w:pPr>
        <w:pStyle w:val="Geenafstand"/>
        <w:spacing w:line="276" w:lineRule="auto"/>
        <w:jc w:val="both"/>
        <w:rPr>
          <w:rFonts w:cs="Calibri"/>
          <w:color w:val="000000"/>
          <w:sz w:val="22"/>
          <w:szCs w:val="22"/>
          <w:lang w:eastAsia="nl-NL"/>
        </w:rPr>
      </w:pPr>
      <w:r>
        <w:rPr>
          <w:rFonts w:cs="Calibri"/>
          <w:color w:val="000000"/>
          <w:sz w:val="22"/>
          <w:szCs w:val="22"/>
          <w:lang w:eastAsia="nl-NL"/>
        </w:rPr>
        <w:t xml:space="preserve">After analyzing the methods used in prior studies for measuring ownership structure it can be noted that most studies analyzed some type of shareholder concentration; either by measuring the proportion of shares owned by the ten/twenty largest shareholders or by measuring the proportion of substantial shareholders (larger than 3% or 5%). This proxy is also taken into account in this study (as blockholder ownership). After analyzing the ownership data available for European listed firms the proxies blockholder, managerial and government ownership were chosen. As these proxies are also used by Eng and Mak (2003) and Huafang and Jianguo (2007) this study is most related to these studies. Legal-person ownership used by Huafang and Jianguo (2007) is not applicable in </w:t>
      </w:r>
      <w:r w:rsidR="00E363D0">
        <w:rPr>
          <w:rFonts w:cs="Calibri"/>
          <w:color w:val="000000"/>
          <w:sz w:val="22"/>
          <w:szCs w:val="22"/>
          <w:lang w:eastAsia="nl-NL"/>
        </w:rPr>
        <w:t>Europe;</w:t>
      </w:r>
      <w:r>
        <w:rPr>
          <w:rFonts w:cs="Calibri"/>
          <w:color w:val="000000"/>
          <w:sz w:val="22"/>
          <w:szCs w:val="22"/>
          <w:lang w:eastAsia="nl-NL"/>
        </w:rPr>
        <w:t xml:space="preserve"> their study was conducted in China. In addition, foreign ownership is not analyzed in this study as this data is very hard to obtain but for future research it can be interesting to use this proxy as well. Hereafter the methods of measuring these proxies in this research are stated. Further the control variables used in this study are also explained. The control variables used are firm size, leverage and profitability. These control variables have also been used in prior studies as can be observed in chapter six.</w:t>
      </w:r>
    </w:p>
    <w:p w:rsidR="00A95413" w:rsidRPr="00046999" w:rsidRDefault="00A95413" w:rsidP="001D4BB3">
      <w:pPr>
        <w:pStyle w:val="Geenafstand"/>
        <w:spacing w:line="276" w:lineRule="auto"/>
        <w:jc w:val="both"/>
        <w:rPr>
          <w:rFonts w:cs="Calibri"/>
          <w:i/>
          <w:iCs/>
          <w:color w:val="000000"/>
          <w:sz w:val="22"/>
          <w:szCs w:val="22"/>
          <w:lang w:eastAsia="nl-NL"/>
        </w:rPr>
      </w:pPr>
    </w:p>
    <w:p w:rsidR="00A95413" w:rsidRPr="00046999" w:rsidRDefault="00A95413" w:rsidP="0078743E">
      <w:pPr>
        <w:pStyle w:val="Geenafstand"/>
        <w:spacing w:line="276" w:lineRule="auto"/>
        <w:rPr>
          <w:rFonts w:cs="Calibri"/>
          <w:color w:val="000000"/>
          <w:sz w:val="22"/>
          <w:szCs w:val="22"/>
          <w:lang w:eastAsia="nl-NL"/>
        </w:rPr>
      </w:pPr>
      <w:bookmarkStart w:id="104" w:name="_Toc287267083"/>
      <w:r w:rsidRPr="00046999">
        <w:rPr>
          <w:rFonts w:cs="Calibri"/>
          <w:sz w:val="22"/>
          <w:szCs w:val="22"/>
          <w:u w:val="single"/>
        </w:rPr>
        <w:t>Blockholder</w:t>
      </w:r>
      <w:r w:rsidR="00C77F54">
        <w:rPr>
          <w:rFonts w:cs="Calibri"/>
          <w:sz w:val="22"/>
          <w:szCs w:val="22"/>
          <w:u w:val="single"/>
        </w:rPr>
        <w:t xml:space="preserve"> </w:t>
      </w:r>
      <w:r w:rsidRPr="00046999">
        <w:rPr>
          <w:rFonts w:cs="Calibri"/>
          <w:sz w:val="22"/>
          <w:szCs w:val="22"/>
          <w:u w:val="single"/>
        </w:rPr>
        <w:t>ownership</w:t>
      </w:r>
      <w:bookmarkEnd w:id="104"/>
      <w:r w:rsidRPr="00046999">
        <w:rPr>
          <w:rStyle w:val="Kop3Char"/>
          <w:rFonts w:cs="Calibri"/>
          <w:sz w:val="22"/>
          <w:szCs w:val="22"/>
        </w:rPr>
        <w:br/>
      </w:r>
      <w:r w:rsidRPr="00046999">
        <w:rPr>
          <w:rFonts w:cs="Calibri"/>
          <w:color w:val="000000"/>
          <w:sz w:val="22"/>
          <w:szCs w:val="22"/>
          <w:lang w:eastAsia="nl-NL"/>
        </w:rPr>
        <w:t>‘</w:t>
      </w:r>
      <w:r w:rsidRPr="00046999">
        <w:rPr>
          <w:rFonts w:cs="Calibri"/>
          <w:i/>
          <w:color w:val="000000"/>
          <w:sz w:val="22"/>
          <w:szCs w:val="22"/>
          <w:lang w:eastAsia="nl-NL"/>
        </w:rPr>
        <w:t xml:space="preserve">Blockholder ownership is the proportion of ordinary shares owned by substantial shareholders (with equity of 5% or more)’ </w:t>
      </w:r>
      <w:r w:rsidRPr="00046999">
        <w:rPr>
          <w:rFonts w:cs="Calibri"/>
          <w:color w:val="000000"/>
          <w:sz w:val="22"/>
          <w:szCs w:val="22"/>
          <w:lang w:eastAsia="nl-NL"/>
        </w:rPr>
        <w:t xml:space="preserve">(Eng and Mak, 2003). In this research the same definition of blockholder ownership as Eng and Mak (2003) is employed. Information concerning blockholders is available at Orbis; the total proportion per firm has to be obtained manually by adding up the percentages of the substantial blockholders. </w:t>
      </w:r>
      <w:bookmarkStart w:id="105" w:name="_Toc287267084"/>
    </w:p>
    <w:p w:rsidR="00A95413" w:rsidRPr="00046999" w:rsidRDefault="00A95413" w:rsidP="001D4BB3">
      <w:pPr>
        <w:pStyle w:val="Geenafstand"/>
        <w:spacing w:line="276" w:lineRule="auto"/>
        <w:jc w:val="both"/>
        <w:rPr>
          <w:rFonts w:cs="Calibri"/>
          <w:i/>
          <w:sz w:val="22"/>
          <w:szCs w:val="22"/>
        </w:rPr>
      </w:pPr>
    </w:p>
    <w:p w:rsidR="00A95413" w:rsidRPr="00046999" w:rsidRDefault="00A95413" w:rsidP="0078743E">
      <w:pPr>
        <w:pStyle w:val="Geenafstand"/>
        <w:spacing w:line="276" w:lineRule="auto"/>
        <w:rPr>
          <w:rFonts w:cs="Calibri"/>
          <w:sz w:val="22"/>
          <w:szCs w:val="22"/>
          <w:lang w:eastAsia="nl-NL"/>
        </w:rPr>
      </w:pPr>
      <w:r w:rsidRPr="00046999">
        <w:rPr>
          <w:rFonts w:cs="Calibri"/>
          <w:sz w:val="22"/>
          <w:szCs w:val="22"/>
          <w:u w:val="single"/>
        </w:rPr>
        <w:t>Government ownership</w:t>
      </w:r>
      <w:bookmarkEnd w:id="105"/>
      <w:r w:rsidRPr="00046999">
        <w:rPr>
          <w:rStyle w:val="Kop3Char"/>
          <w:rFonts w:cs="Calibri"/>
          <w:sz w:val="22"/>
          <w:szCs w:val="22"/>
        </w:rPr>
        <w:br/>
      </w:r>
      <w:r w:rsidRPr="00046999">
        <w:rPr>
          <w:rFonts w:cs="Calibri"/>
          <w:i/>
          <w:color w:val="000000"/>
          <w:sz w:val="22"/>
          <w:szCs w:val="22"/>
          <w:lang w:eastAsia="nl-NL"/>
        </w:rPr>
        <w:t>‘Government ownership is the proportion of ordinary shares owned by the government’</w:t>
      </w:r>
      <w:r w:rsidRPr="00046999">
        <w:rPr>
          <w:rFonts w:cs="Calibri"/>
          <w:color w:val="000000"/>
          <w:sz w:val="22"/>
          <w:szCs w:val="22"/>
          <w:lang w:eastAsia="nl-NL"/>
        </w:rPr>
        <w:t xml:space="preserve"> (Eng and Mak, 2003). </w:t>
      </w:r>
      <w:r w:rsidRPr="00046999">
        <w:rPr>
          <w:rFonts w:cs="Calibri"/>
          <w:sz w:val="22"/>
          <w:szCs w:val="22"/>
          <w:lang w:eastAsia="nl-NL"/>
        </w:rPr>
        <w:t>In this research the definition of government ownership is similar to the one from Eng and Mak (2003). Government ownership information is available at the program Orbis; similar to blockholder ownership the individual percentages of government ownership have to be added up manually to obtain the necessary percentage.</w:t>
      </w:r>
      <w:bookmarkStart w:id="106" w:name="_Toc287267085"/>
      <w:r w:rsidRPr="00046999">
        <w:rPr>
          <w:rFonts w:cs="Calibri"/>
          <w:sz w:val="22"/>
          <w:szCs w:val="22"/>
          <w:lang w:eastAsia="nl-NL"/>
        </w:rPr>
        <w:t xml:space="preserve"> </w:t>
      </w:r>
    </w:p>
    <w:p w:rsidR="00A95413" w:rsidRPr="00046999" w:rsidRDefault="00A95413" w:rsidP="001D4BB3">
      <w:pPr>
        <w:jc w:val="both"/>
        <w:rPr>
          <w:rStyle w:val="Kop1Char"/>
          <w:rFonts w:cs="Calibri"/>
          <w:b w:val="0"/>
          <w:bCs w:val="0"/>
          <w:i/>
          <w:caps w:val="0"/>
          <w:color w:val="auto"/>
          <w:spacing w:val="0"/>
          <w:sz w:val="22"/>
          <w:szCs w:val="22"/>
          <w:shd w:val="clear" w:color="auto" w:fill="auto"/>
        </w:rPr>
      </w:pPr>
      <w:r w:rsidRPr="00046999">
        <w:rPr>
          <w:rFonts w:cs="Calibri"/>
          <w:sz w:val="22"/>
          <w:szCs w:val="22"/>
          <w:u w:val="single"/>
        </w:rPr>
        <w:t>Managerial ownership</w:t>
      </w:r>
      <w:bookmarkEnd w:id="106"/>
      <w:r w:rsidRPr="003E60C5">
        <w:rPr>
          <w:rFonts w:cs="Calibri"/>
          <w:sz w:val="22"/>
          <w:szCs w:val="22"/>
        </w:rPr>
        <w:t xml:space="preserve">    </w:t>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t xml:space="preserve">              </w:t>
      </w:r>
      <w:r w:rsidRPr="00046999">
        <w:rPr>
          <w:rFonts w:cs="Calibri"/>
          <w:color w:val="000000"/>
          <w:sz w:val="22"/>
          <w:szCs w:val="22"/>
          <w:lang w:eastAsia="nl-NL"/>
        </w:rPr>
        <w:t>Whereas the definitions of blockholder and government ownership are the same among prior studies, for managerial ownership some differences exist. Eng and Mak (2003) describe managerial ownership as ‘</w:t>
      </w:r>
      <w:r w:rsidRPr="00046999">
        <w:rPr>
          <w:rFonts w:cs="Calibri"/>
          <w:i/>
          <w:color w:val="000000"/>
          <w:sz w:val="22"/>
          <w:szCs w:val="22"/>
          <w:lang w:eastAsia="nl-NL"/>
        </w:rPr>
        <w:t>the proportion of ordinary shares held by CEO and executive directors and shares in which they are deemed to have interest’</w:t>
      </w:r>
      <w:r w:rsidRPr="00046999">
        <w:rPr>
          <w:rFonts w:cs="Calibri"/>
          <w:color w:val="000000"/>
          <w:sz w:val="22"/>
          <w:szCs w:val="22"/>
          <w:lang w:eastAsia="nl-NL"/>
        </w:rPr>
        <w:t xml:space="preserve">. According to Huafang and Jianguo (2007) </w:t>
      </w:r>
      <w:r w:rsidRPr="00046999">
        <w:rPr>
          <w:rFonts w:cs="Calibri"/>
          <w:sz w:val="22"/>
          <w:szCs w:val="22"/>
        </w:rPr>
        <w:t>managerial ownership is measured by the ‘</w:t>
      </w:r>
      <w:r w:rsidRPr="00046999">
        <w:rPr>
          <w:rFonts w:cs="Calibri"/>
          <w:i/>
          <w:sz w:val="22"/>
          <w:szCs w:val="22"/>
        </w:rPr>
        <w:t xml:space="preserve">proportion of shares held by senior managers, including directors and supervisors’. </w:t>
      </w:r>
      <w:r w:rsidRPr="00046999">
        <w:rPr>
          <w:rFonts w:cs="Calibri"/>
          <w:color w:val="000000"/>
          <w:sz w:val="22"/>
          <w:szCs w:val="22"/>
          <w:lang w:eastAsia="nl-NL"/>
        </w:rPr>
        <w:t>And by Zourarakis (2009) as ‘</w:t>
      </w:r>
      <w:r w:rsidRPr="00046999">
        <w:rPr>
          <w:rFonts w:cs="Calibri"/>
          <w:i/>
          <w:color w:val="000000"/>
          <w:sz w:val="22"/>
          <w:szCs w:val="22"/>
          <w:lang w:eastAsia="nl-NL"/>
        </w:rPr>
        <w:t>the proportion of shares held by executive directors’</w:t>
      </w:r>
      <w:r w:rsidRPr="00046999">
        <w:rPr>
          <w:rFonts w:cs="Calibri"/>
          <w:color w:val="000000"/>
          <w:sz w:val="22"/>
          <w:szCs w:val="22"/>
          <w:lang w:eastAsia="nl-NL"/>
        </w:rPr>
        <w:t xml:space="preserve">. For measuring managerial ownership in this </w:t>
      </w:r>
      <w:r>
        <w:rPr>
          <w:rFonts w:cs="Calibri"/>
          <w:color w:val="000000"/>
          <w:sz w:val="22"/>
          <w:szCs w:val="22"/>
          <w:lang w:eastAsia="nl-NL"/>
        </w:rPr>
        <w:t xml:space="preserve">study a proxy was found via the database </w:t>
      </w:r>
      <w:r w:rsidRPr="00046999">
        <w:rPr>
          <w:rFonts w:cs="Calibri"/>
          <w:color w:val="000000"/>
          <w:sz w:val="22"/>
          <w:szCs w:val="22"/>
          <w:lang w:eastAsia="nl-NL"/>
        </w:rPr>
        <w:t>Thomson One Banker</w:t>
      </w:r>
      <w:r>
        <w:rPr>
          <w:rFonts w:cs="Calibri"/>
          <w:color w:val="000000"/>
          <w:sz w:val="22"/>
          <w:szCs w:val="22"/>
          <w:lang w:eastAsia="nl-NL"/>
        </w:rPr>
        <w:t xml:space="preserve"> </w:t>
      </w:r>
      <w:r w:rsidRPr="00C27974">
        <w:rPr>
          <w:rFonts w:cs="Calibri"/>
          <w:color w:val="000000"/>
          <w:sz w:val="22"/>
          <w:szCs w:val="22"/>
          <w:lang w:eastAsia="nl-NL"/>
        </w:rPr>
        <w:t>(</w:t>
      </w:r>
      <w:r w:rsidRPr="00C27974">
        <w:rPr>
          <w:rFonts w:cs="Calibri"/>
          <w:bCs/>
          <w:color w:val="000000"/>
          <w:sz w:val="22"/>
          <w:szCs w:val="22"/>
          <w:lang w:eastAsia="nl-NL"/>
        </w:rPr>
        <w:t>TF.CloselyHeldSharesPct)</w:t>
      </w:r>
      <w:r w:rsidRPr="00C27974">
        <w:rPr>
          <w:rFonts w:cs="Calibri"/>
          <w:color w:val="000000"/>
          <w:sz w:val="22"/>
          <w:szCs w:val="22"/>
          <w:lang w:eastAsia="nl-NL"/>
        </w:rPr>
        <w:t>.</w:t>
      </w:r>
      <w:r w:rsidRPr="00046999">
        <w:rPr>
          <w:rFonts w:cs="Calibri"/>
          <w:color w:val="000000"/>
          <w:sz w:val="22"/>
          <w:szCs w:val="22"/>
          <w:lang w:eastAsia="nl-NL"/>
        </w:rPr>
        <w:t xml:space="preserve"> This is the number of closely held shares; the proportion of shares held by officers, directors and immediate family. Thomson One Banker does not state what includes immediate family so unfortunately no further information can be provided regarding this definition. </w:t>
      </w:r>
    </w:p>
    <w:p w:rsidR="00A95413" w:rsidRPr="00046999" w:rsidRDefault="00A95413" w:rsidP="001D4BB3">
      <w:pPr>
        <w:jc w:val="both"/>
        <w:rPr>
          <w:rFonts w:cs="Calibri"/>
          <w:i/>
          <w:sz w:val="22"/>
          <w:szCs w:val="22"/>
        </w:rPr>
      </w:pPr>
      <w:r w:rsidRPr="00046999">
        <w:rPr>
          <w:rFonts w:cs="Calibri"/>
          <w:sz w:val="22"/>
          <w:szCs w:val="22"/>
          <w:u w:val="single"/>
        </w:rPr>
        <w:lastRenderedPageBreak/>
        <w:t>Firm size</w:t>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t xml:space="preserve">             </w:t>
      </w:r>
      <w:r w:rsidRPr="00046999">
        <w:rPr>
          <w:rFonts w:cs="Calibri"/>
          <w:i/>
          <w:sz w:val="22"/>
          <w:szCs w:val="22"/>
        </w:rPr>
        <w:tab/>
        <w:t xml:space="preserve">              </w:t>
      </w:r>
      <w:r w:rsidRPr="00046999">
        <w:rPr>
          <w:rFonts w:cs="Calibri"/>
          <w:sz w:val="22"/>
          <w:szCs w:val="22"/>
        </w:rPr>
        <w:t xml:space="preserve">Foster (1986) noted that </w:t>
      </w:r>
      <w:r>
        <w:rPr>
          <w:rFonts w:cs="Calibri"/>
          <w:sz w:val="22"/>
          <w:szCs w:val="22"/>
        </w:rPr>
        <w:t>‘</w:t>
      </w:r>
      <w:r w:rsidRPr="00046999">
        <w:rPr>
          <w:rFonts w:cs="Calibri"/>
          <w:i/>
          <w:sz w:val="22"/>
          <w:szCs w:val="22"/>
        </w:rPr>
        <w:t>the variable most consistently reported as significant in studies examining differences across firms in their disclosure policy is firm size</w:t>
      </w:r>
      <w:r>
        <w:rPr>
          <w:rFonts w:cs="Calibri"/>
          <w:sz w:val="22"/>
          <w:szCs w:val="22"/>
        </w:rPr>
        <w:t>.’</w:t>
      </w:r>
      <w:r w:rsidRPr="00046999">
        <w:rPr>
          <w:rFonts w:cs="Calibri"/>
          <w:sz w:val="22"/>
          <w:szCs w:val="22"/>
        </w:rPr>
        <w:t xml:space="preserve"> Meek et al. (1995) argue that large firms usually disclose more information compared to smaller companies. This is because large firms have more agency costs and a wider ownership distribution so they are triggered to disclose more information. </w:t>
      </w:r>
      <w:r>
        <w:rPr>
          <w:rFonts w:cs="Calibri"/>
          <w:sz w:val="22"/>
          <w:szCs w:val="22"/>
        </w:rPr>
        <w:t xml:space="preserve">Nearly all prior studies controlled their regression for firm size as can be observed in the literature review. </w:t>
      </w:r>
      <w:r w:rsidRPr="00046999">
        <w:rPr>
          <w:rFonts w:cs="Calibri"/>
          <w:sz w:val="22"/>
          <w:szCs w:val="22"/>
        </w:rPr>
        <w:t xml:space="preserve">In this study ‘sales’ is used to determine firm size. </w:t>
      </w:r>
      <w:r>
        <w:rPr>
          <w:rFonts w:cs="Calibri"/>
          <w:sz w:val="22"/>
          <w:szCs w:val="22"/>
        </w:rPr>
        <w:t>(In ThomsonOneBanker: TF.Sales)</w:t>
      </w:r>
    </w:p>
    <w:p w:rsidR="00A95413" w:rsidRPr="009B5006" w:rsidRDefault="00A95413" w:rsidP="001D4BB3">
      <w:pPr>
        <w:jc w:val="both"/>
        <w:rPr>
          <w:rFonts w:cs="Calibri"/>
          <w:sz w:val="22"/>
          <w:szCs w:val="22"/>
        </w:rPr>
      </w:pPr>
      <w:r w:rsidRPr="00046999">
        <w:rPr>
          <w:rFonts w:cs="Calibri"/>
          <w:sz w:val="22"/>
          <w:szCs w:val="22"/>
          <w:u w:val="single"/>
        </w:rPr>
        <w:t>Leverage</w:t>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t xml:space="preserve">        </w:t>
      </w:r>
      <w:r>
        <w:rPr>
          <w:rFonts w:cs="Calibri"/>
          <w:sz w:val="22"/>
          <w:szCs w:val="22"/>
        </w:rPr>
        <w:t xml:space="preserve">     </w:t>
      </w:r>
      <w:r>
        <w:rPr>
          <w:rFonts w:cs="Calibri"/>
          <w:sz w:val="22"/>
          <w:szCs w:val="22"/>
        </w:rPr>
        <w:tab/>
      </w:r>
      <w:r>
        <w:rPr>
          <w:rFonts w:cs="Calibri"/>
          <w:sz w:val="22"/>
          <w:szCs w:val="22"/>
        </w:rPr>
        <w:tab/>
      </w:r>
      <w:r>
        <w:rPr>
          <w:rFonts w:cs="Calibri"/>
          <w:sz w:val="22"/>
          <w:szCs w:val="22"/>
        </w:rPr>
        <w:tab/>
      </w:r>
      <w:r>
        <w:rPr>
          <w:rFonts w:cs="Calibri"/>
          <w:sz w:val="22"/>
          <w:szCs w:val="22"/>
        </w:rPr>
        <w:tab/>
      </w:r>
      <w:r>
        <w:rPr>
          <w:rFonts w:cs="Calibri"/>
          <w:sz w:val="22"/>
          <w:szCs w:val="22"/>
        </w:rPr>
        <w:tab/>
        <w:t xml:space="preserve">   Several studies also included the variable leverage as a control variable (Chau and Grey (2002), Eng and Mak (2003), Huafang and Jianguo (2007) and Zourarakis (2009)). In this study leverage is also included as a control variable because firms with high debt levels are expected to be monitored closely by the owners. Continuously, in order to decrease the associated monitoring costs managers of high debt firms disclose more information (Huafang and Jianguo, 2007). </w:t>
      </w:r>
      <w:r w:rsidRPr="00046999">
        <w:rPr>
          <w:rFonts w:cs="Calibri"/>
          <w:sz w:val="22"/>
          <w:szCs w:val="22"/>
        </w:rPr>
        <w:t xml:space="preserve">In this study leverage is measured </w:t>
      </w:r>
      <w:r>
        <w:rPr>
          <w:rFonts w:cs="Calibri"/>
          <w:sz w:val="22"/>
          <w:szCs w:val="22"/>
        </w:rPr>
        <w:t xml:space="preserve">as the </w:t>
      </w:r>
      <w:r w:rsidRPr="00046999">
        <w:rPr>
          <w:rFonts w:cs="Calibri"/>
          <w:sz w:val="22"/>
          <w:szCs w:val="22"/>
        </w:rPr>
        <w:t>percentage of total debt to total assets. (</w:t>
      </w:r>
      <w:r>
        <w:rPr>
          <w:rFonts w:cs="Calibri"/>
          <w:sz w:val="22"/>
          <w:szCs w:val="22"/>
        </w:rPr>
        <w:t xml:space="preserve">In ThomsonOneBanker: </w:t>
      </w:r>
      <w:r w:rsidRPr="00046999">
        <w:rPr>
          <w:rFonts w:cs="Calibri"/>
          <w:bCs/>
          <w:color w:val="000000"/>
          <w:sz w:val="22"/>
          <w:szCs w:val="22"/>
        </w:rPr>
        <w:t>TF.TotalDebtPctTotalAssets)</w:t>
      </w:r>
      <w:r>
        <w:rPr>
          <w:rFonts w:cs="Calibri"/>
          <w:bCs/>
          <w:color w:val="000000"/>
          <w:sz w:val="22"/>
          <w:szCs w:val="22"/>
        </w:rPr>
        <w:t xml:space="preserve">. </w:t>
      </w:r>
    </w:p>
    <w:p w:rsidR="00A95413" w:rsidRPr="00046999" w:rsidRDefault="00A95413" w:rsidP="001D4BB3">
      <w:pPr>
        <w:jc w:val="both"/>
        <w:rPr>
          <w:rFonts w:cs="Calibri"/>
          <w:sz w:val="22"/>
          <w:szCs w:val="22"/>
          <w:u w:val="single"/>
        </w:rPr>
      </w:pPr>
      <w:r w:rsidRPr="00046999">
        <w:rPr>
          <w:rFonts w:cs="Calibri"/>
          <w:sz w:val="22"/>
          <w:szCs w:val="22"/>
          <w:u w:val="single"/>
        </w:rPr>
        <w:t>Profitability</w:t>
      </w:r>
      <w:r w:rsidRPr="00046999">
        <w:rPr>
          <w:rFonts w:cs="Calibr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r>
      <w:r w:rsidRPr="00046999">
        <w:rPr>
          <w:rFonts w:cs="Calibri"/>
          <w:i/>
          <w:sz w:val="22"/>
          <w:szCs w:val="22"/>
        </w:rPr>
        <w:tab/>
        <w:t xml:space="preserve">          </w:t>
      </w:r>
      <w:r w:rsidRPr="00D9428E">
        <w:rPr>
          <w:rFonts w:cs="Calibri"/>
          <w:sz w:val="22"/>
          <w:szCs w:val="22"/>
        </w:rPr>
        <w:t xml:space="preserve">Under the political cost </w:t>
      </w:r>
      <w:r w:rsidRPr="00D9428E">
        <w:rPr>
          <w:rFonts w:cs="Calibri"/>
          <w:sz w:val="22"/>
          <w:szCs w:val="22"/>
          <w:lang w:eastAsia="nl-NL"/>
        </w:rPr>
        <w:t xml:space="preserve">hypothesis it </w:t>
      </w:r>
      <w:r>
        <w:rPr>
          <w:rFonts w:cs="Calibri"/>
          <w:sz w:val="22"/>
          <w:szCs w:val="22"/>
          <w:lang w:eastAsia="nl-NL"/>
        </w:rPr>
        <w:t>can be</w:t>
      </w:r>
      <w:r w:rsidRPr="00D9428E">
        <w:rPr>
          <w:rFonts w:cs="Calibri"/>
          <w:sz w:val="22"/>
          <w:szCs w:val="22"/>
          <w:lang w:eastAsia="nl-NL"/>
        </w:rPr>
        <w:t xml:space="preserve"> argued that more profitable firms are under more political</w:t>
      </w:r>
      <w:r>
        <w:rPr>
          <w:rFonts w:cs="Calibri"/>
          <w:sz w:val="22"/>
          <w:szCs w:val="22"/>
          <w:lang w:eastAsia="nl-NL"/>
        </w:rPr>
        <w:t>/public</w:t>
      </w:r>
      <w:r w:rsidRPr="00D9428E">
        <w:rPr>
          <w:rFonts w:cs="Calibri"/>
          <w:sz w:val="22"/>
          <w:szCs w:val="22"/>
          <w:lang w:eastAsia="nl-NL"/>
        </w:rPr>
        <w:t xml:space="preserve"> attention, to decrease this attention and prevent potential investigations they increase </w:t>
      </w:r>
      <w:r>
        <w:rPr>
          <w:rFonts w:cs="Calibri"/>
          <w:sz w:val="22"/>
          <w:szCs w:val="22"/>
          <w:lang w:eastAsia="nl-NL"/>
        </w:rPr>
        <w:t xml:space="preserve">their </w:t>
      </w:r>
      <w:r w:rsidRPr="00D9428E">
        <w:rPr>
          <w:rFonts w:cs="Calibri"/>
          <w:sz w:val="22"/>
          <w:szCs w:val="22"/>
          <w:lang w:eastAsia="nl-NL"/>
        </w:rPr>
        <w:t>voluntary disclosures.</w:t>
      </w:r>
      <w:r w:rsidRPr="00046999">
        <w:rPr>
          <w:rFonts w:cs="Calibri"/>
          <w:color w:val="000000"/>
          <w:sz w:val="22"/>
          <w:szCs w:val="22"/>
          <w:lang w:eastAsia="nl-NL"/>
        </w:rPr>
        <w:t xml:space="preserve"> To measure profitability the ‘Return on Assets’ (ROA) ratio</w:t>
      </w:r>
      <w:r>
        <w:rPr>
          <w:rFonts w:cs="Calibri"/>
          <w:color w:val="000000"/>
          <w:sz w:val="22"/>
          <w:szCs w:val="22"/>
          <w:lang w:eastAsia="nl-NL"/>
        </w:rPr>
        <w:t xml:space="preserve"> is used</w:t>
      </w:r>
      <w:r w:rsidRPr="00046999">
        <w:rPr>
          <w:rFonts w:cs="Calibri"/>
          <w:color w:val="000000"/>
          <w:sz w:val="22"/>
          <w:szCs w:val="22"/>
          <w:lang w:eastAsia="nl-NL"/>
        </w:rPr>
        <w:t xml:space="preserve">. This is the net profit plus interest costs divided by the total assets. </w:t>
      </w:r>
      <w:r>
        <w:rPr>
          <w:rFonts w:cs="Calibri"/>
          <w:color w:val="000000"/>
          <w:sz w:val="22"/>
          <w:szCs w:val="22"/>
          <w:lang w:eastAsia="nl-NL"/>
        </w:rPr>
        <w:t>(In ThomsonOneBanker: TF.ReturnOnAssets). ROA as a proxy of profitability has also been used in multiple prior studies such as Eng and Mak (2003) and Zourarakis (2009).</w:t>
      </w:r>
    </w:p>
    <w:p w:rsidR="00A95413" w:rsidRPr="00046999" w:rsidRDefault="00A95413" w:rsidP="001D4BB3">
      <w:pPr>
        <w:pStyle w:val="Kop2"/>
        <w:jc w:val="both"/>
        <w:rPr>
          <w:rFonts w:cs="Calibri"/>
          <w:lang w:eastAsia="nl-NL"/>
        </w:rPr>
      </w:pPr>
      <w:bookmarkStart w:id="107" w:name="_Toc320365327"/>
      <w:r w:rsidRPr="00046999">
        <w:rPr>
          <w:rFonts w:cs="Calibri"/>
          <w:lang w:eastAsia="nl-NL"/>
        </w:rPr>
        <w:t>5.3 Measurement of the relation</w:t>
      </w:r>
      <w:bookmarkEnd w:id="107"/>
    </w:p>
    <w:p w:rsidR="00A95413" w:rsidRPr="00046999" w:rsidRDefault="00A95413" w:rsidP="001D4BB3">
      <w:pPr>
        <w:jc w:val="both"/>
        <w:rPr>
          <w:rFonts w:cs="Calibri"/>
          <w:sz w:val="22"/>
          <w:szCs w:val="22"/>
          <w:lang w:eastAsia="nl-NL"/>
        </w:rPr>
      </w:pPr>
      <w:r w:rsidRPr="00046999">
        <w:rPr>
          <w:rFonts w:cs="Calibri"/>
          <w:sz w:val="22"/>
          <w:szCs w:val="22"/>
          <w:lang w:eastAsia="nl-NL"/>
        </w:rPr>
        <w:t>The data is compared with using a least squares regression similar to the approach of many previous studies</w:t>
      </w:r>
      <w:r>
        <w:rPr>
          <w:rFonts w:cs="Calibri"/>
          <w:sz w:val="22"/>
          <w:szCs w:val="22"/>
          <w:lang w:eastAsia="nl-NL"/>
        </w:rPr>
        <w:t xml:space="preserve"> as can be observed in the literature review in chapter six</w:t>
      </w:r>
      <w:r w:rsidRPr="00046999">
        <w:rPr>
          <w:rFonts w:cs="Calibri"/>
          <w:sz w:val="22"/>
          <w:szCs w:val="22"/>
          <w:lang w:eastAsia="nl-NL"/>
        </w:rPr>
        <w:t xml:space="preserve">. The regression model for this study is based on the models from prior studies. </w:t>
      </w:r>
      <w:r w:rsidRPr="00046999">
        <w:rPr>
          <w:rFonts w:cs="Calibri"/>
          <w:sz w:val="22"/>
          <w:szCs w:val="22"/>
        </w:rPr>
        <w:t>The model is a</w:t>
      </w:r>
      <w:r w:rsidRPr="00046999">
        <w:rPr>
          <w:rFonts w:cs="Calibri"/>
          <w:sz w:val="22"/>
          <w:szCs w:val="22"/>
          <w:lang w:eastAsia="nl-NL"/>
        </w:rPr>
        <w:t xml:space="preserve"> linear multiple regression analysis:</w:t>
      </w:r>
    </w:p>
    <w:p w:rsidR="00A95413" w:rsidRPr="00046999" w:rsidRDefault="00A95413" w:rsidP="001D4BB3">
      <w:pPr>
        <w:autoSpaceDE w:val="0"/>
        <w:autoSpaceDN w:val="0"/>
        <w:adjustRightInd w:val="0"/>
        <w:spacing w:after="0"/>
        <w:jc w:val="both"/>
        <w:rPr>
          <w:rStyle w:val="fdnolabel1"/>
          <w:rFonts w:cs="Calibri"/>
          <w:sz w:val="22"/>
          <w:szCs w:val="22"/>
          <w:bdr w:val="none" w:sz="0" w:space="0" w:color="auto" w:frame="1"/>
        </w:rPr>
      </w:pPr>
      <w:r w:rsidRPr="00046999">
        <w:rPr>
          <w:rStyle w:val="fdnolabel1"/>
          <w:rFonts w:cs="Calibri"/>
          <w:sz w:val="22"/>
          <w:szCs w:val="22"/>
          <w:bdr w:val="none" w:sz="0" w:space="0" w:color="auto" w:frame="1"/>
        </w:rPr>
        <w:t>DSCORE=β</w:t>
      </w:r>
      <w:r w:rsidRPr="00046999">
        <w:rPr>
          <w:rStyle w:val="fdnolabel1"/>
          <w:rFonts w:cs="Calibri"/>
          <w:sz w:val="22"/>
          <w:szCs w:val="22"/>
          <w:bdr w:val="none" w:sz="0" w:space="0" w:color="auto" w:frame="1"/>
          <w:vertAlign w:val="subscript"/>
        </w:rPr>
        <w:t>0</w:t>
      </w:r>
      <w:r w:rsidRPr="00046999">
        <w:rPr>
          <w:rStyle w:val="fdnolabel1"/>
          <w:rFonts w:cs="Calibri"/>
          <w:sz w:val="22"/>
          <w:szCs w:val="22"/>
          <w:bdr w:val="none" w:sz="0" w:space="0" w:color="auto" w:frame="1"/>
        </w:rPr>
        <w:t>+β</w:t>
      </w:r>
      <w:r w:rsidRPr="00046999">
        <w:rPr>
          <w:rStyle w:val="fdnolabel1"/>
          <w:rFonts w:cs="Calibri"/>
          <w:sz w:val="22"/>
          <w:szCs w:val="22"/>
          <w:bdr w:val="none" w:sz="0" w:space="0" w:color="auto" w:frame="1"/>
          <w:vertAlign w:val="subscript"/>
        </w:rPr>
        <w:t>1</w:t>
      </w:r>
      <w:r w:rsidRPr="00046999">
        <w:rPr>
          <w:rStyle w:val="fdnolabel1"/>
          <w:rFonts w:cs="Calibri"/>
          <w:sz w:val="22"/>
          <w:szCs w:val="22"/>
          <w:bdr w:val="none" w:sz="0" w:space="0" w:color="auto" w:frame="1"/>
        </w:rPr>
        <w:t>MOWN+β</w:t>
      </w:r>
      <w:r w:rsidRPr="00046999">
        <w:rPr>
          <w:rStyle w:val="fdnolabel1"/>
          <w:rFonts w:cs="Calibri"/>
          <w:sz w:val="22"/>
          <w:szCs w:val="22"/>
          <w:bdr w:val="none" w:sz="0" w:space="0" w:color="auto" w:frame="1"/>
          <w:vertAlign w:val="subscript"/>
        </w:rPr>
        <w:t>2</w:t>
      </w:r>
      <w:r w:rsidRPr="00046999">
        <w:rPr>
          <w:rStyle w:val="fdnolabel1"/>
          <w:rFonts w:cs="Calibri"/>
          <w:sz w:val="22"/>
          <w:szCs w:val="22"/>
          <w:bdr w:val="none" w:sz="0" w:space="0" w:color="auto" w:frame="1"/>
        </w:rPr>
        <w:t>BOWN+β</w:t>
      </w:r>
      <w:r w:rsidRPr="00046999">
        <w:rPr>
          <w:rStyle w:val="fdnolabel1"/>
          <w:rFonts w:cs="Calibri"/>
          <w:sz w:val="22"/>
          <w:szCs w:val="22"/>
          <w:bdr w:val="none" w:sz="0" w:space="0" w:color="auto" w:frame="1"/>
          <w:vertAlign w:val="subscript"/>
        </w:rPr>
        <w:t>3</w:t>
      </w:r>
      <w:r w:rsidRPr="00046999">
        <w:rPr>
          <w:rStyle w:val="fdnolabel1"/>
          <w:rFonts w:cs="Calibri"/>
          <w:sz w:val="22"/>
          <w:szCs w:val="22"/>
          <w:bdr w:val="none" w:sz="0" w:space="0" w:color="auto" w:frame="1"/>
        </w:rPr>
        <w:t>GOWN+ β</w:t>
      </w:r>
      <w:r w:rsidRPr="00046999">
        <w:rPr>
          <w:rStyle w:val="fdnolabel1"/>
          <w:rFonts w:cs="Calibri"/>
          <w:sz w:val="22"/>
          <w:szCs w:val="22"/>
          <w:bdr w:val="none" w:sz="0" w:space="0" w:color="auto" w:frame="1"/>
          <w:vertAlign w:val="subscript"/>
        </w:rPr>
        <w:t>4</w:t>
      </w:r>
      <w:r w:rsidRPr="00046999">
        <w:rPr>
          <w:rStyle w:val="fdnolabel1"/>
          <w:rFonts w:cs="Calibri"/>
          <w:sz w:val="22"/>
          <w:szCs w:val="22"/>
          <w:bdr w:val="none" w:sz="0" w:space="0" w:color="auto" w:frame="1"/>
        </w:rPr>
        <w:t>SIZE+β</w:t>
      </w:r>
      <w:r w:rsidRPr="00046999">
        <w:rPr>
          <w:rStyle w:val="fdnolabel1"/>
          <w:rFonts w:cs="Calibri"/>
          <w:sz w:val="22"/>
          <w:szCs w:val="22"/>
          <w:bdr w:val="none" w:sz="0" w:space="0" w:color="auto" w:frame="1"/>
          <w:vertAlign w:val="subscript"/>
        </w:rPr>
        <w:t>5</w:t>
      </w:r>
      <w:r w:rsidRPr="00046999">
        <w:rPr>
          <w:rStyle w:val="fdnolabel1"/>
          <w:rFonts w:cs="Calibri"/>
          <w:sz w:val="22"/>
          <w:szCs w:val="22"/>
          <w:bdr w:val="none" w:sz="0" w:space="0" w:color="auto" w:frame="1"/>
        </w:rPr>
        <w:t>LEV+β</w:t>
      </w:r>
      <w:r w:rsidRPr="00046999">
        <w:rPr>
          <w:rStyle w:val="fdnolabel1"/>
          <w:rFonts w:cs="Calibri"/>
          <w:sz w:val="22"/>
          <w:szCs w:val="22"/>
          <w:bdr w:val="none" w:sz="0" w:space="0" w:color="auto" w:frame="1"/>
          <w:vertAlign w:val="subscript"/>
        </w:rPr>
        <w:t>6</w:t>
      </w:r>
      <w:r w:rsidRPr="00046999">
        <w:rPr>
          <w:rStyle w:val="fdnolabel1"/>
          <w:rFonts w:cs="Calibri"/>
          <w:sz w:val="22"/>
          <w:szCs w:val="22"/>
          <w:bdr w:val="none" w:sz="0" w:space="0" w:color="auto" w:frame="1"/>
        </w:rPr>
        <w:t>PROF+</w:t>
      </w:r>
      <w:r w:rsidR="0080569A">
        <w:rPr>
          <w:rFonts w:cs="Calibri"/>
          <w:noProof/>
          <w:sz w:val="22"/>
          <w:szCs w:val="22"/>
          <w:bdr w:val="none" w:sz="0" w:space="0" w:color="auto" w:frame="1"/>
          <w:lang w:val="nl-NL" w:eastAsia="nl-NL"/>
        </w:rPr>
        <w:drawing>
          <wp:inline distT="0" distB="0" distL="0" distR="0">
            <wp:extent cx="85090" cy="56515"/>
            <wp:effectExtent l="19050" t="0" r="0" b="0"/>
            <wp:docPr id="3" name="Picture 3" descr="var epsi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ar epsilon"/>
                    <pic:cNvPicPr>
                      <a:picLocks noChangeAspect="1" noChangeArrowheads="1"/>
                    </pic:cNvPicPr>
                  </pic:nvPicPr>
                  <pic:blipFill>
                    <a:blip r:embed="rId14"/>
                    <a:srcRect/>
                    <a:stretch>
                      <a:fillRect/>
                    </a:stretch>
                  </pic:blipFill>
                  <pic:spPr bwMode="auto">
                    <a:xfrm>
                      <a:off x="0" y="0"/>
                      <a:ext cx="85090" cy="56515"/>
                    </a:xfrm>
                    <a:prstGeom prst="rect">
                      <a:avLst/>
                    </a:prstGeom>
                    <a:noFill/>
                    <a:ln w="9525">
                      <a:noFill/>
                      <a:miter lim="800000"/>
                      <a:headEnd/>
                      <a:tailEnd/>
                    </a:ln>
                  </pic:spPr>
                </pic:pic>
              </a:graphicData>
            </a:graphic>
          </wp:inline>
        </w:drawing>
      </w:r>
    </w:p>
    <w:p w:rsidR="00A95413" w:rsidRPr="00046999" w:rsidRDefault="00A95413" w:rsidP="001D4BB3">
      <w:pPr>
        <w:autoSpaceDE w:val="0"/>
        <w:autoSpaceDN w:val="0"/>
        <w:adjustRightInd w:val="0"/>
        <w:spacing w:after="0"/>
        <w:jc w:val="both"/>
        <w:rPr>
          <w:rStyle w:val="fdnolabel1"/>
          <w:rFonts w:cs="Calibri"/>
          <w:sz w:val="22"/>
          <w:szCs w:val="22"/>
          <w:bdr w:val="none" w:sz="0" w:space="0" w:color="auto" w:frame="1"/>
        </w:rPr>
      </w:pPr>
      <w:r w:rsidRPr="00046999">
        <w:rPr>
          <w:rStyle w:val="fdnolabel1"/>
          <w:rFonts w:cs="Calibri"/>
          <w:sz w:val="22"/>
          <w:szCs w:val="22"/>
          <w:bdr w:val="none" w:sz="0" w:space="0" w:color="auto" w:frame="1"/>
        </w:rPr>
        <w:t>Where:</w:t>
      </w:r>
    </w:p>
    <w:p w:rsidR="00A95413" w:rsidRPr="00687E45" w:rsidRDefault="00A95413" w:rsidP="001D4BB3">
      <w:pPr>
        <w:shd w:val="clear" w:color="auto" w:fill="FFFFFF"/>
        <w:spacing w:line="240" w:lineRule="auto"/>
        <w:jc w:val="both"/>
        <w:rPr>
          <w:rFonts w:cs="Calibri"/>
        </w:rPr>
      </w:pPr>
      <w:r w:rsidRPr="00687E45">
        <w:rPr>
          <w:rFonts w:cs="Calibri"/>
        </w:rPr>
        <w:t>DSCORE</w:t>
      </w:r>
      <w:r w:rsidRPr="00687E45">
        <w:rPr>
          <w:rFonts w:cs="Calibri"/>
        </w:rPr>
        <w:tab/>
      </w:r>
      <w:r>
        <w:rPr>
          <w:rFonts w:cs="Calibri"/>
        </w:rPr>
        <w:tab/>
      </w:r>
      <w:r w:rsidRPr="00687E45">
        <w:rPr>
          <w:rFonts w:cs="Calibri"/>
        </w:rPr>
        <w:t>=</w:t>
      </w:r>
      <w:r w:rsidR="00E363D0">
        <w:rPr>
          <w:rFonts w:cs="Calibri"/>
        </w:rPr>
        <w:t xml:space="preserve"> </w:t>
      </w:r>
      <w:r w:rsidRPr="00687E45">
        <w:rPr>
          <w:rFonts w:cs="Calibri"/>
        </w:rPr>
        <w:t>extent of voluntary disclosure scores</w:t>
      </w:r>
    </w:p>
    <w:p w:rsidR="00A95413" w:rsidRPr="00687E45" w:rsidRDefault="00A95413" w:rsidP="001D4BB3">
      <w:pPr>
        <w:shd w:val="clear" w:color="auto" w:fill="FFFFFF"/>
        <w:spacing w:line="240" w:lineRule="auto"/>
        <w:jc w:val="both"/>
        <w:rPr>
          <w:rFonts w:cs="Calibri"/>
        </w:rPr>
      </w:pPr>
      <w:r w:rsidRPr="00687E45">
        <w:rPr>
          <w:rFonts w:cs="Calibri"/>
          <w:i/>
          <w:iCs/>
        </w:rPr>
        <w:t>β</w:t>
      </w:r>
      <w:r w:rsidRPr="00687E45">
        <w:rPr>
          <w:rFonts w:cs="Calibri"/>
          <w:vertAlign w:val="subscript"/>
        </w:rPr>
        <w:t>0</w:t>
      </w:r>
      <w:r w:rsidRPr="00687E45">
        <w:rPr>
          <w:rFonts w:cs="Calibri"/>
          <w:vertAlign w:val="subscript"/>
        </w:rPr>
        <w:tab/>
      </w:r>
      <w:r w:rsidRPr="00687E45">
        <w:rPr>
          <w:rFonts w:cs="Calibri"/>
          <w:vertAlign w:val="subscript"/>
        </w:rPr>
        <w:tab/>
      </w:r>
      <w:r w:rsidRPr="00687E45">
        <w:rPr>
          <w:rFonts w:cs="Calibri"/>
        </w:rPr>
        <w:t xml:space="preserve">= regression intercept; </w:t>
      </w:r>
    </w:p>
    <w:p w:rsidR="00A95413" w:rsidRPr="00687E45" w:rsidRDefault="00A95413" w:rsidP="001D4BB3">
      <w:pPr>
        <w:shd w:val="clear" w:color="auto" w:fill="FFFFFF"/>
        <w:spacing w:line="240" w:lineRule="auto"/>
        <w:jc w:val="both"/>
        <w:rPr>
          <w:rFonts w:cs="Calibri"/>
        </w:rPr>
      </w:pPr>
      <w:r w:rsidRPr="00687E45">
        <w:rPr>
          <w:rFonts w:cs="Calibri"/>
          <w:i/>
          <w:iCs/>
        </w:rPr>
        <w:t>β</w:t>
      </w:r>
      <w:r w:rsidRPr="00687E45">
        <w:rPr>
          <w:rFonts w:cs="Calibri"/>
          <w:vertAlign w:val="subscript"/>
        </w:rPr>
        <w:t>i</w:t>
      </w:r>
      <w:r w:rsidRPr="00687E45">
        <w:rPr>
          <w:rFonts w:cs="Calibri"/>
          <w:vertAlign w:val="subscript"/>
        </w:rPr>
        <w:tab/>
      </w:r>
      <w:r w:rsidRPr="00687E45">
        <w:rPr>
          <w:rFonts w:cs="Calibri"/>
          <w:vertAlign w:val="subscript"/>
        </w:rPr>
        <w:tab/>
      </w:r>
      <w:r w:rsidRPr="00687E45">
        <w:rPr>
          <w:rFonts w:cs="Calibri"/>
        </w:rPr>
        <w:t xml:space="preserve">= parameters to be estimated; </w:t>
      </w:r>
      <w:r w:rsidRPr="00687E45">
        <w:rPr>
          <w:rFonts w:cs="Calibri"/>
          <w:i/>
          <w:iCs/>
        </w:rPr>
        <w:t>i</w:t>
      </w:r>
      <w:r w:rsidRPr="00687E45">
        <w:rPr>
          <w:rFonts w:cs="Calibri"/>
        </w:rPr>
        <w:t>=1, …, 6.</w:t>
      </w:r>
    </w:p>
    <w:p w:rsidR="00A95413" w:rsidRPr="00687E45" w:rsidRDefault="00A95413" w:rsidP="001D4BB3">
      <w:pPr>
        <w:shd w:val="clear" w:color="auto" w:fill="FFFFFF"/>
        <w:spacing w:line="240" w:lineRule="auto"/>
        <w:jc w:val="both"/>
        <w:rPr>
          <w:rFonts w:cs="Calibri"/>
        </w:rPr>
      </w:pPr>
      <w:r w:rsidRPr="00687E45">
        <w:rPr>
          <w:rFonts w:cs="Calibri"/>
        </w:rPr>
        <w:t>MOWN</w:t>
      </w:r>
      <w:r w:rsidRPr="00687E45">
        <w:rPr>
          <w:rFonts w:cs="Calibri"/>
        </w:rPr>
        <w:tab/>
      </w:r>
      <w:r w:rsidRPr="00687E45">
        <w:rPr>
          <w:rFonts w:cs="Calibri"/>
        </w:rPr>
        <w:tab/>
        <w:t xml:space="preserve">= managerial ownership; number of closely held shares </w:t>
      </w:r>
    </w:p>
    <w:p w:rsidR="00A95413" w:rsidRPr="00687E45" w:rsidRDefault="00A95413" w:rsidP="001D4BB3">
      <w:pPr>
        <w:shd w:val="clear" w:color="auto" w:fill="FFFFFF"/>
        <w:spacing w:line="240" w:lineRule="auto"/>
        <w:jc w:val="both"/>
        <w:rPr>
          <w:rFonts w:cs="Calibri"/>
        </w:rPr>
      </w:pPr>
      <w:r w:rsidRPr="00687E45">
        <w:rPr>
          <w:rFonts w:cs="Calibri"/>
        </w:rPr>
        <w:t xml:space="preserve">BOWN </w:t>
      </w:r>
      <w:r w:rsidRPr="00687E45">
        <w:rPr>
          <w:rFonts w:cs="Calibri"/>
        </w:rPr>
        <w:tab/>
      </w:r>
      <w:r w:rsidRPr="00687E45">
        <w:rPr>
          <w:rFonts w:cs="Calibri"/>
        </w:rPr>
        <w:tab/>
        <w:t>=</w:t>
      </w:r>
      <w:r w:rsidR="00E363D0">
        <w:rPr>
          <w:rFonts w:cs="Calibri"/>
        </w:rPr>
        <w:t xml:space="preserve"> </w:t>
      </w:r>
      <w:r w:rsidRPr="00687E45">
        <w:rPr>
          <w:rFonts w:cs="Calibri"/>
        </w:rPr>
        <w:t>blockholder ownership; the proportion of equity ownership by substantial shareholders (5% or more)</w:t>
      </w:r>
    </w:p>
    <w:p w:rsidR="00A95413" w:rsidRPr="00687E45" w:rsidRDefault="00A95413" w:rsidP="001D4BB3">
      <w:pPr>
        <w:shd w:val="clear" w:color="auto" w:fill="FFFFFF"/>
        <w:spacing w:line="240" w:lineRule="auto"/>
        <w:jc w:val="both"/>
        <w:rPr>
          <w:rFonts w:cs="Calibri"/>
        </w:rPr>
      </w:pPr>
      <w:r w:rsidRPr="00687E45">
        <w:rPr>
          <w:rFonts w:cs="Calibri"/>
        </w:rPr>
        <w:t>GOWN</w:t>
      </w:r>
      <w:r w:rsidRPr="00687E45">
        <w:rPr>
          <w:rFonts w:cs="Calibri"/>
        </w:rPr>
        <w:tab/>
      </w:r>
      <w:r w:rsidRPr="00687E45">
        <w:rPr>
          <w:rFonts w:cs="Calibri"/>
        </w:rPr>
        <w:tab/>
        <w:t>= government ownership; the proportion of shares held by the government</w:t>
      </w:r>
    </w:p>
    <w:p w:rsidR="00A95413" w:rsidRPr="00687E45" w:rsidRDefault="00A95413" w:rsidP="001D4BB3">
      <w:pPr>
        <w:shd w:val="clear" w:color="auto" w:fill="FFFFFF"/>
        <w:spacing w:line="240" w:lineRule="auto"/>
        <w:jc w:val="both"/>
        <w:rPr>
          <w:rFonts w:cs="Calibri"/>
        </w:rPr>
      </w:pPr>
      <w:r w:rsidRPr="00687E45">
        <w:rPr>
          <w:rFonts w:cs="Calibri"/>
        </w:rPr>
        <w:lastRenderedPageBreak/>
        <w:t>SIZE</w:t>
      </w:r>
      <w:r w:rsidRPr="00687E45">
        <w:rPr>
          <w:rFonts w:cs="Calibri"/>
        </w:rPr>
        <w:tab/>
      </w:r>
      <w:r w:rsidRPr="00687E45">
        <w:rPr>
          <w:rFonts w:cs="Calibri"/>
        </w:rPr>
        <w:tab/>
        <w:t>= firm size; sales</w:t>
      </w:r>
    </w:p>
    <w:p w:rsidR="00A95413" w:rsidRPr="00687E45" w:rsidRDefault="00A95413" w:rsidP="001D4BB3">
      <w:pPr>
        <w:shd w:val="clear" w:color="auto" w:fill="FFFFFF"/>
        <w:spacing w:line="240" w:lineRule="auto"/>
        <w:jc w:val="both"/>
        <w:rPr>
          <w:rFonts w:cs="Calibri"/>
        </w:rPr>
      </w:pPr>
      <w:r w:rsidRPr="00687E45">
        <w:rPr>
          <w:rFonts w:cs="Calibri"/>
        </w:rPr>
        <w:t>LEV</w:t>
      </w:r>
      <w:r w:rsidRPr="00687E45">
        <w:rPr>
          <w:rFonts w:cs="Calibri"/>
        </w:rPr>
        <w:tab/>
      </w:r>
      <w:r w:rsidRPr="00687E45">
        <w:rPr>
          <w:rFonts w:cs="Calibri"/>
        </w:rPr>
        <w:tab/>
        <w:t>= leverage; total debt to total assets</w:t>
      </w:r>
    </w:p>
    <w:p w:rsidR="00A95413" w:rsidRPr="00687E45" w:rsidRDefault="00A95413" w:rsidP="001D4BB3">
      <w:pPr>
        <w:shd w:val="clear" w:color="auto" w:fill="FFFFFF"/>
        <w:spacing w:line="240" w:lineRule="auto"/>
        <w:jc w:val="both"/>
        <w:rPr>
          <w:rFonts w:cs="Calibri"/>
        </w:rPr>
      </w:pPr>
      <w:r w:rsidRPr="00687E45">
        <w:rPr>
          <w:rFonts w:cs="Calibri"/>
        </w:rPr>
        <w:t>PROF</w:t>
      </w:r>
      <w:r w:rsidRPr="00687E45">
        <w:rPr>
          <w:rFonts w:cs="Calibri"/>
        </w:rPr>
        <w:tab/>
      </w:r>
      <w:r w:rsidRPr="00687E45">
        <w:rPr>
          <w:rFonts w:cs="Calibri"/>
        </w:rPr>
        <w:tab/>
        <w:t>= profitability; return on assets (ROA)</w:t>
      </w:r>
    </w:p>
    <w:p w:rsidR="00A95413" w:rsidRPr="00687E45" w:rsidRDefault="0080569A" w:rsidP="001D4BB3">
      <w:pPr>
        <w:shd w:val="clear" w:color="auto" w:fill="FFFFFF"/>
        <w:spacing w:line="240" w:lineRule="auto"/>
        <w:jc w:val="both"/>
        <w:rPr>
          <w:rFonts w:cs="Calibri"/>
        </w:rPr>
      </w:pPr>
      <w:r>
        <w:rPr>
          <w:rFonts w:cs="Calibri"/>
          <w:noProof/>
          <w:lang w:val="nl-NL" w:eastAsia="nl-NL"/>
        </w:rPr>
        <w:drawing>
          <wp:inline distT="0" distB="0" distL="0" distR="0">
            <wp:extent cx="85090" cy="56515"/>
            <wp:effectExtent l="19050" t="0" r="0" b="0"/>
            <wp:docPr id="4" name="Picture 6" descr="var epsi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ar epsilon"/>
                    <pic:cNvPicPr>
                      <a:picLocks noChangeAspect="1" noChangeArrowheads="1"/>
                    </pic:cNvPicPr>
                  </pic:nvPicPr>
                  <pic:blipFill>
                    <a:blip r:embed="rId14"/>
                    <a:srcRect/>
                    <a:stretch>
                      <a:fillRect/>
                    </a:stretch>
                  </pic:blipFill>
                  <pic:spPr bwMode="auto">
                    <a:xfrm>
                      <a:off x="0" y="0"/>
                      <a:ext cx="85090" cy="56515"/>
                    </a:xfrm>
                    <a:prstGeom prst="rect">
                      <a:avLst/>
                    </a:prstGeom>
                    <a:noFill/>
                    <a:ln w="9525">
                      <a:noFill/>
                      <a:miter lim="800000"/>
                      <a:headEnd/>
                      <a:tailEnd/>
                    </a:ln>
                  </pic:spPr>
                </pic:pic>
              </a:graphicData>
            </a:graphic>
          </wp:inline>
        </w:drawing>
      </w:r>
      <w:r w:rsidR="00A95413" w:rsidRPr="00687E45">
        <w:rPr>
          <w:rFonts w:cs="Calibri"/>
        </w:rPr>
        <w:tab/>
      </w:r>
      <w:r w:rsidR="00A95413" w:rsidRPr="00687E45">
        <w:rPr>
          <w:rFonts w:cs="Calibri"/>
        </w:rPr>
        <w:tab/>
        <w:t>= error term</w:t>
      </w:r>
    </w:p>
    <w:p w:rsidR="00A95413" w:rsidRPr="00046999" w:rsidRDefault="00A95413" w:rsidP="001D4BB3">
      <w:pPr>
        <w:shd w:val="clear" w:color="auto" w:fill="FFFFFF"/>
        <w:jc w:val="both"/>
        <w:rPr>
          <w:rFonts w:cs="Calibri"/>
          <w:sz w:val="22"/>
          <w:szCs w:val="22"/>
        </w:rPr>
      </w:pPr>
      <w:r w:rsidRPr="00046999">
        <w:rPr>
          <w:rFonts w:cs="Calibri"/>
          <w:sz w:val="22"/>
          <w:szCs w:val="22"/>
        </w:rPr>
        <w:t>In this regression model DSCORE is the y- or response variable and MOWN, BOWN, GOWN, SIZE, LEV, &amp; PROF are the x- or explanatory variables. From the data histogram</w:t>
      </w:r>
      <w:r>
        <w:rPr>
          <w:rFonts w:cs="Calibri"/>
          <w:sz w:val="22"/>
          <w:szCs w:val="22"/>
        </w:rPr>
        <w:t>s, box plots</w:t>
      </w:r>
      <w:r w:rsidRPr="00046999">
        <w:rPr>
          <w:rFonts w:cs="Calibri"/>
          <w:sz w:val="22"/>
          <w:szCs w:val="22"/>
        </w:rPr>
        <w:t xml:space="preserve"> and Q-Q plot</w:t>
      </w:r>
      <w:r>
        <w:rPr>
          <w:rFonts w:cs="Calibri"/>
          <w:sz w:val="22"/>
          <w:szCs w:val="22"/>
        </w:rPr>
        <w:t>s</w:t>
      </w:r>
      <w:r w:rsidRPr="00046999">
        <w:rPr>
          <w:rFonts w:cs="Calibri"/>
          <w:sz w:val="22"/>
          <w:szCs w:val="22"/>
        </w:rPr>
        <w:t xml:space="preserve"> </w:t>
      </w:r>
      <w:r>
        <w:rPr>
          <w:rFonts w:cs="Calibri"/>
          <w:sz w:val="22"/>
          <w:szCs w:val="22"/>
        </w:rPr>
        <w:t>are</w:t>
      </w:r>
      <w:r w:rsidRPr="00046999">
        <w:rPr>
          <w:rFonts w:cs="Calibri"/>
          <w:sz w:val="22"/>
          <w:szCs w:val="22"/>
        </w:rPr>
        <w:t xml:space="preserve"> drawn to look if the data is normally distributed and look at the general trend. Furthermore potential data-entry errors or outliers </w:t>
      </w:r>
      <w:r>
        <w:rPr>
          <w:rFonts w:cs="Calibri"/>
          <w:sz w:val="22"/>
          <w:szCs w:val="22"/>
        </w:rPr>
        <w:t>are</w:t>
      </w:r>
      <w:r w:rsidRPr="00046999">
        <w:rPr>
          <w:rFonts w:cs="Calibri"/>
          <w:sz w:val="22"/>
          <w:szCs w:val="22"/>
        </w:rPr>
        <w:t xml:space="preserve"> </w:t>
      </w:r>
      <w:r>
        <w:rPr>
          <w:rFonts w:cs="Calibri"/>
          <w:sz w:val="22"/>
          <w:szCs w:val="22"/>
        </w:rPr>
        <w:t>corrected for</w:t>
      </w:r>
      <w:r w:rsidRPr="00046999">
        <w:rPr>
          <w:rFonts w:cs="Calibri"/>
          <w:sz w:val="22"/>
          <w:szCs w:val="22"/>
        </w:rPr>
        <w:t xml:space="preserve">. If the data is not normally distributed, the data is corrected to </w:t>
      </w:r>
      <w:r>
        <w:rPr>
          <w:rFonts w:cs="Calibri"/>
          <w:sz w:val="22"/>
          <w:szCs w:val="22"/>
        </w:rPr>
        <w:t>allow for a normal distribution.</w:t>
      </w:r>
      <w:r w:rsidRPr="00046999">
        <w:rPr>
          <w:rFonts w:cs="Calibri"/>
          <w:sz w:val="22"/>
          <w:szCs w:val="22"/>
        </w:rPr>
        <w:t xml:space="preserve"> Subsequently </w:t>
      </w:r>
      <w:r>
        <w:rPr>
          <w:rFonts w:cs="Calibri"/>
          <w:sz w:val="22"/>
          <w:szCs w:val="22"/>
        </w:rPr>
        <w:t>a correlation table is</w:t>
      </w:r>
      <w:r w:rsidRPr="00046999">
        <w:rPr>
          <w:rFonts w:cs="Calibri"/>
          <w:sz w:val="22"/>
          <w:szCs w:val="22"/>
        </w:rPr>
        <w:t xml:space="preserve"> made to view the relations between the variables. The coefficients </w:t>
      </w:r>
      <w:r w:rsidRPr="00046999">
        <w:rPr>
          <w:rStyle w:val="fdnolabel1"/>
          <w:rFonts w:cs="Calibri"/>
          <w:sz w:val="22"/>
          <w:szCs w:val="22"/>
          <w:bdr w:val="none" w:sz="0" w:space="0" w:color="auto" w:frame="1"/>
        </w:rPr>
        <w:t xml:space="preserve">β0-6 are estimated by using the principle of least squares </w:t>
      </w:r>
      <w:r w:rsidRPr="00046999">
        <w:rPr>
          <w:rFonts w:cs="Calibri"/>
          <w:sz w:val="22"/>
          <w:szCs w:val="22"/>
        </w:rPr>
        <w:t>(Moore et al. 2003). This regression analysis is also separately performed for each country, in this way the results per country can be easily compared.</w:t>
      </w:r>
    </w:p>
    <w:p w:rsidR="00A95413" w:rsidRPr="00046999" w:rsidRDefault="00A95413" w:rsidP="001D4BB3">
      <w:pPr>
        <w:pStyle w:val="Kop2"/>
        <w:jc w:val="both"/>
        <w:rPr>
          <w:rFonts w:cs="Calibri"/>
          <w:lang w:eastAsia="nl-NL"/>
        </w:rPr>
      </w:pPr>
      <w:bookmarkStart w:id="108" w:name="_Toc320365328"/>
      <w:r w:rsidRPr="00046999">
        <w:rPr>
          <w:rFonts w:cs="Calibri"/>
          <w:lang w:eastAsia="nl-NL"/>
        </w:rPr>
        <w:t>5.4 Conclusion</w:t>
      </w:r>
      <w:bookmarkEnd w:id="108"/>
    </w:p>
    <w:p w:rsidR="00256488" w:rsidRDefault="00A95413" w:rsidP="001D4BB3">
      <w:pPr>
        <w:pStyle w:val="Geenafstand"/>
        <w:spacing w:line="276" w:lineRule="auto"/>
        <w:jc w:val="both"/>
        <w:rPr>
          <w:rFonts w:cs="Calibri"/>
          <w:color w:val="000000"/>
          <w:sz w:val="22"/>
          <w:szCs w:val="22"/>
          <w:lang w:eastAsia="nl-NL"/>
        </w:rPr>
      </w:pPr>
      <w:r w:rsidRPr="00046999">
        <w:rPr>
          <w:rFonts w:cs="Calibri"/>
          <w:color w:val="000000"/>
          <w:sz w:val="22"/>
          <w:szCs w:val="22"/>
          <w:lang w:eastAsia="nl-NL"/>
        </w:rPr>
        <w:t xml:space="preserve">In this chapter is explained how ownership structure, the control variables and the relation are measured. The ownership structure variables are blockholder-, managerial-, and government ownership. The control variables are firm size, leverage and profitability. </w:t>
      </w:r>
      <w:r>
        <w:rPr>
          <w:rFonts w:cs="Calibri"/>
          <w:color w:val="000000"/>
          <w:sz w:val="22"/>
          <w:szCs w:val="22"/>
          <w:lang w:eastAsia="nl-NL"/>
        </w:rPr>
        <w:t xml:space="preserve">Furthermore, the results are also analyzed per country. </w:t>
      </w:r>
      <w:r w:rsidRPr="00046999">
        <w:rPr>
          <w:rFonts w:cs="Calibri"/>
          <w:color w:val="000000"/>
          <w:sz w:val="22"/>
          <w:szCs w:val="22"/>
          <w:lang w:eastAsia="nl-NL"/>
        </w:rPr>
        <w:t xml:space="preserve">The relation is measured by using a least squares regression model. </w:t>
      </w:r>
      <w:r>
        <w:rPr>
          <w:rFonts w:cs="Calibri"/>
          <w:color w:val="000000"/>
          <w:sz w:val="22"/>
          <w:szCs w:val="22"/>
          <w:lang w:eastAsia="nl-NL"/>
        </w:rPr>
        <w:t>As mentioned before the methods of measuring ownership structure and voluntary disclosures are based on the methods used in prior literature. In the next chapter these studies are further explained.</w:t>
      </w:r>
    </w:p>
    <w:p w:rsidR="00A95413" w:rsidRPr="00046999" w:rsidRDefault="00256488" w:rsidP="00256488">
      <w:pPr>
        <w:spacing w:before="0" w:after="0" w:line="240" w:lineRule="auto"/>
        <w:rPr>
          <w:rFonts w:cs="Calibri"/>
          <w:color w:val="000000"/>
          <w:sz w:val="22"/>
          <w:szCs w:val="22"/>
          <w:lang w:eastAsia="nl-NL"/>
        </w:rPr>
      </w:pPr>
      <w:r>
        <w:rPr>
          <w:rFonts w:cs="Calibri"/>
          <w:color w:val="000000"/>
          <w:sz w:val="22"/>
          <w:szCs w:val="22"/>
          <w:lang w:eastAsia="nl-NL"/>
        </w:rPr>
        <w:br w:type="page"/>
      </w:r>
    </w:p>
    <w:p w:rsidR="00A95413" w:rsidRPr="00046999" w:rsidRDefault="00A95413" w:rsidP="001D4BB3">
      <w:pPr>
        <w:pStyle w:val="Kop1"/>
        <w:jc w:val="both"/>
        <w:rPr>
          <w:rStyle w:val="Kop2Char"/>
          <w:rFonts w:cs="Calibri"/>
        </w:rPr>
      </w:pPr>
      <w:bookmarkStart w:id="109" w:name="_Toc287267073"/>
      <w:bookmarkStart w:id="110" w:name="_Toc320365329"/>
      <w:r w:rsidRPr="00046999">
        <w:rPr>
          <w:rFonts w:cs="Calibri"/>
        </w:rPr>
        <w:lastRenderedPageBreak/>
        <w:t>Chapter 6. Literature Review</w:t>
      </w:r>
      <w:bookmarkEnd w:id="109"/>
      <w:bookmarkEnd w:id="110"/>
    </w:p>
    <w:p w:rsidR="00A95413" w:rsidRPr="00046999" w:rsidRDefault="00A95413" w:rsidP="001D4BB3">
      <w:pPr>
        <w:pStyle w:val="Kop2"/>
        <w:jc w:val="both"/>
        <w:rPr>
          <w:rFonts w:cs="Calibri"/>
        </w:rPr>
      </w:pPr>
      <w:bookmarkStart w:id="111" w:name="_Toc287267074"/>
      <w:bookmarkStart w:id="112" w:name="_Toc320365330"/>
      <w:r w:rsidRPr="00046999">
        <w:rPr>
          <w:rFonts w:cs="Calibri"/>
        </w:rPr>
        <w:t>6.1 Introduction</w:t>
      </w:r>
      <w:bookmarkEnd w:id="111"/>
      <w:bookmarkEnd w:id="112"/>
    </w:p>
    <w:p w:rsidR="00A95413" w:rsidRPr="00046999" w:rsidRDefault="00A95413" w:rsidP="001D4BB3">
      <w:pPr>
        <w:spacing w:after="0"/>
        <w:jc w:val="both"/>
        <w:rPr>
          <w:rFonts w:cs="Calibri"/>
          <w:color w:val="000000"/>
          <w:sz w:val="22"/>
          <w:szCs w:val="22"/>
          <w:lang w:eastAsia="nl-NL"/>
        </w:rPr>
      </w:pPr>
      <w:r w:rsidRPr="00046999">
        <w:rPr>
          <w:rFonts w:cs="Calibri"/>
          <w:color w:val="000000"/>
          <w:sz w:val="22"/>
          <w:szCs w:val="22"/>
          <w:lang w:eastAsia="nl-NL"/>
        </w:rPr>
        <w:t>In this chapter prior studies and their me</w:t>
      </w:r>
      <w:r>
        <w:rPr>
          <w:rFonts w:cs="Calibri"/>
          <w:color w:val="000000"/>
          <w:sz w:val="22"/>
          <w:szCs w:val="22"/>
          <w:lang w:eastAsia="nl-NL"/>
        </w:rPr>
        <w:t xml:space="preserve">thodologies are described in a </w:t>
      </w:r>
      <w:r w:rsidRPr="00046999">
        <w:rPr>
          <w:rFonts w:cs="Calibri"/>
          <w:color w:val="000000"/>
          <w:sz w:val="22"/>
          <w:szCs w:val="22"/>
          <w:lang w:eastAsia="nl-NL"/>
        </w:rPr>
        <w:t xml:space="preserve">literature review. Prior studies conducted in various countries used different approaches to analyze the relation between ownership structure and voluntary disclosures. The researches that are relevant for </w:t>
      </w:r>
      <w:r>
        <w:rPr>
          <w:rFonts w:cs="Calibri"/>
          <w:color w:val="000000"/>
          <w:sz w:val="22"/>
          <w:szCs w:val="22"/>
          <w:lang w:eastAsia="nl-NL"/>
        </w:rPr>
        <w:t>this</w:t>
      </w:r>
      <w:r w:rsidRPr="00046999">
        <w:rPr>
          <w:rFonts w:cs="Calibri"/>
          <w:color w:val="000000"/>
          <w:sz w:val="22"/>
          <w:szCs w:val="22"/>
          <w:lang w:eastAsia="nl-NL"/>
        </w:rPr>
        <w:t xml:space="preserve"> study are explained in the following paragraph. Furthermore, for the clarity of this literature review only the aspects relevant f</w:t>
      </w:r>
      <w:r>
        <w:rPr>
          <w:rFonts w:cs="Calibri"/>
          <w:color w:val="000000"/>
          <w:sz w:val="22"/>
          <w:szCs w:val="22"/>
          <w:lang w:eastAsia="nl-NL"/>
        </w:rPr>
        <w:t xml:space="preserve">or this study are explained. A summary </w:t>
      </w:r>
      <w:r w:rsidRPr="00046999">
        <w:rPr>
          <w:rFonts w:cs="Calibri"/>
          <w:color w:val="000000"/>
          <w:sz w:val="22"/>
          <w:szCs w:val="22"/>
          <w:lang w:eastAsia="nl-NL"/>
        </w:rPr>
        <w:t>of the literature</w:t>
      </w:r>
      <w:r>
        <w:rPr>
          <w:rFonts w:cs="Calibri"/>
          <w:color w:val="000000"/>
          <w:sz w:val="22"/>
          <w:szCs w:val="22"/>
          <w:lang w:eastAsia="nl-NL"/>
        </w:rPr>
        <w:t xml:space="preserve"> review</w:t>
      </w:r>
      <w:r w:rsidRPr="00046999">
        <w:rPr>
          <w:rFonts w:cs="Calibri"/>
          <w:color w:val="000000"/>
          <w:sz w:val="22"/>
          <w:szCs w:val="22"/>
          <w:lang w:eastAsia="nl-NL"/>
        </w:rPr>
        <w:t xml:space="preserve"> is provided in appendix III.</w:t>
      </w:r>
    </w:p>
    <w:p w:rsidR="00A95413" w:rsidRPr="00046999" w:rsidRDefault="00A95413" w:rsidP="001D4BB3">
      <w:pPr>
        <w:pStyle w:val="Kop2"/>
        <w:jc w:val="both"/>
        <w:rPr>
          <w:rFonts w:cs="Calibri"/>
        </w:rPr>
      </w:pPr>
      <w:bookmarkStart w:id="113" w:name="_Toc287267075"/>
      <w:bookmarkStart w:id="114" w:name="_Toc320365331"/>
      <w:r w:rsidRPr="00046999">
        <w:rPr>
          <w:rFonts w:cs="Calibri"/>
        </w:rPr>
        <w:t>6.2 Literature review</w:t>
      </w:r>
      <w:bookmarkEnd w:id="113"/>
      <w:bookmarkEnd w:id="114"/>
      <w:r w:rsidRPr="00046999">
        <w:rPr>
          <w:rFonts w:cs="Calibri"/>
        </w:rPr>
        <w:t xml:space="preserve">    </w:t>
      </w:r>
    </w:p>
    <w:p w:rsidR="00A95413" w:rsidRPr="00046999" w:rsidRDefault="00A95413" w:rsidP="001D4BB3">
      <w:pPr>
        <w:jc w:val="both"/>
        <w:rPr>
          <w:rFonts w:cs="Calibri"/>
          <w:i/>
          <w:color w:val="000000"/>
          <w:sz w:val="22"/>
          <w:szCs w:val="22"/>
          <w:lang w:eastAsia="nl-NL"/>
        </w:rPr>
      </w:pPr>
      <w:r w:rsidRPr="00046999">
        <w:rPr>
          <w:rFonts w:cs="Calibri"/>
          <w:i/>
          <w:color w:val="000000"/>
          <w:sz w:val="22"/>
          <w:szCs w:val="22"/>
          <w:lang w:eastAsia="nl-NL"/>
        </w:rPr>
        <w:t>McKinnon and Dalimunthe (1993)</w:t>
      </w:r>
    </w:p>
    <w:p w:rsidR="00A95413" w:rsidRPr="00046999" w:rsidRDefault="00A95413" w:rsidP="001D4BB3">
      <w:pPr>
        <w:jc w:val="both"/>
        <w:rPr>
          <w:rFonts w:cs="Calibri"/>
          <w:color w:val="000000"/>
          <w:sz w:val="22"/>
          <w:szCs w:val="22"/>
          <w:lang w:eastAsia="nl-NL"/>
        </w:rPr>
      </w:pPr>
      <w:r>
        <w:rPr>
          <w:rFonts w:cs="Calibri"/>
          <w:color w:val="000000"/>
          <w:sz w:val="22"/>
          <w:szCs w:val="22"/>
          <w:lang w:eastAsia="nl-NL"/>
        </w:rPr>
        <w:t>The</w:t>
      </w:r>
      <w:r w:rsidRPr="00046999">
        <w:rPr>
          <w:rFonts w:cs="Calibri"/>
          <w:color w:val="000000"/>
          <w:sz w:val="22"/>
          <w:szCs w:val="22"/>
          <w:lang w:eastAsia="nl-NL"/>
        </w:rPr>
        <w:t xml:space="preserve"> study performed by McKinnon and Dalimunthe (1993) examines the economic incentives that motivate listed diversified companies in Australia to voluntarily disclose information. They analyze the following</w:t>
      </w:r>
      <w:r>
        <w:rPr>
          <w:rFonts w:cs="Calibri"/>
          <w:color w:val="000000"/>
          <w:sz w:val="22"/>
          <w:szCs w:val="22"/>
          <w:lang w:eastAsia="nl-NL"/>
        </w:rPr>
        <w:t xml:space="preserve"> </w:t>
      </w:r>
      <w:r w:rsidRPr="00046999">
        <w:rPr>
          <w:rFonts w:cs="Calibri"/>
          <w:color w:val="000000"/>
          <w:sz w:val="22"/>
          <w:szCs w:val="22"/>
          <w:lang w:eastAsia="nl-NL"/>
        </w:rPr>
        <w:t>incentives: diversification into related versus unrelated industries, ownership diffusion, level of minority (outside) interest in subsidiaries, firm size, in</w:t>
      </w:r>
      <w:r>
        <w:rPr>
          <w:rFonts w:cs="Calibri"/>
          <w:color w:val="000000"/>
          <w:sz w:val="22"/>
          <w:szCs w:val="22"/>
          <w:lang w:eastAsia="nl-NL"/>
        </w:rPr>
        <w:t>dustry membership and leverage.</w:t>
      </w:r>
      <w:r w:rsidRPr="00046999">
        <w:rPr>
          <w:rFonts w:cs="Calibri"/>
          <w:color w:val="000000"/>
          <w:sz w:val="22"/>
          <w:szCs w:val="22"/>
          <w:lang w:eastAsia="nl-NL"/>
        </w:rPr>
        <w:t xml:space="preserve"> Their sample contains 65 Australian listed firms. They measured ownership diffusion by the proportion of shares that is not held by the twenty largest shareholders. The higher the percentage, the more widely held the firm is.  They made the following hypothesis:</w:t>
      </w:r>
    </w:p>
    <w:p w:rsidR="00A95413" w:rsidRPr="00046999" w:rsidRDefault="00A95413" w:rsidP="001D4BB3">
      <w:pPr>
        <w:jc w:val="both"/>
        <w:rPr>
          <w:rFonts w:cs="Calibri"/>
          <w:i/>
          <w:color w:val="000000"/>
          <w:sz w:val="22"/>
          <w:szCs w:val="22"/>
          <w:lang w:eastAsia="nl-NL"/>
        </w:rPr>
      </w:pPr>
      <w:r w:rsidRPr="00046999">
        <w:rPr>
          <w:rFonts w:cs="Calibri"/>
          <w:i/>
          <w:color w:val="000000"/>
          <w:sz w:val="22"/>
          <w:szCs w:val="22"/>
          <w:lang w:eastAsia="nl-NL"/>
        </w:rPr>
        <w:t>H1: ‘Australian diversified companies with widely held shareholdings are more likely to voluntary disclose segment information than are such companies that are closely held’</w:t>
      </w:r>
    </w:p>
    <w:p w:rsidR="00A95413" w:rsidRPr="00046999" w:rsidRDefault="00A95413" w:rsidP="001D4BB3">
      <w:pPr>
        <w:jc w:val="both"/>
        <w:rPr>
          <w:rFonts w:cs="Calibri"/>
          <w:color w:val="000000"/>
          <w:sz w:val="22"/>
          <w:szCs w:val="22"/>
          <w:lang w:eastAsia="nl-NL"/>
        </w:rPr>
      </w:pPr>
      <w:r w:rsidRPr="00046999">
        <w:rPr>
          <w:rFonts w:cs="Calibri"/>
          <w:color w:val="000000"/>
          <w:sz w:val="22"/>
          <w:szCs w:val="22"/>
          <w:lang w:eastAsia="nl-NL"/>
        </w:rPr>
        <w:t>Size is measured by the total assets, the number of shareholders and the number of subsidiaries and the following is expected:</w:t>
      </w:r>
    </w:p>
    <w:p w:rsidR="00A95413" w:rsidRPr="00046999" w:rsidRDefault="00A95413" w:rsidP="001D4BB3">
      <w:pPr>
        <w:jc w:val="both"/>
        <w:rPr>
          <w:rFonts w:cs="Calibri"/>
          <w:i/>
          <w:color w:val="000000"/>
          <w:sz w:val="22"/>
          <w:szCs w:val="22"/>
          <w:lang w:eastAsia="nl-NL"/>
        </w:rPr>
      </w:pPr>
      <w:r w:rsidRPr="00046999">
        <w:rPr>
          <w:rFonts w:cs="Calibri"/>
          <w:i/>
          <w:color w:val="000000"/>
          <w:sz w:val="22"/>
          <w:szCs w:val="22"/>
          <w:lang w:eastAsia="nl-NL"/>
        </w:rPr>
        <w:t>H2: ‘Large Australian diversified companies are more likely to voluntarily disclose segment information than are small diversified companies.’</w:t>
      </w:r>
    </w:p>
    <w:p w:rsidR="00A95413" w:rsidRPr="00046999" w:rsidRDefault="00A95413" w:rsidP="001D4BB3">
      <w:pPr>
        <w:jc w:val="both"/>
        <w:rPr>
          <w:rFonts w:cs="Calibri"/>
          <w:color w:val="000000"/>
          <w:sz w:val="22"/>
          <w:szCs w:val="22"/>
          <w:lang w:eastAsia="nl-NL"/>
        </w:rPr>
      </w:pPr>
      <w:r w:rsidRPr="00046999">
        <w:rPr>
          <w:rFonts w:cs="Calibri"/>
          <w:color w:val="000000"/>
          <w:sz w:val="22"/>
          <w:szCs w:val="22"/>
          <w:lang w:eastAsia="nl-NL"/>
        </w:rPr>
        <w:t>Leverage is measured by the total liabilities plus the contingent liabilities divided by the total tangible assets and the following is expected:</w:t>
      </w:r>
    </w:p>
    <w:p w:rsidR="00A95413" w:rsidRPr="00046999" w:rsidRDefault="00A95413" w:rsidP="001D4BB3">
      <w:pPr>
        <w:jc w:val="both"/>
        <w:rPr>
          <w:rFonts w:cs="Calibri"/>
          <w:color w:val="000000"/>
          <w:sz w:val="22"/>
          <w:szCs w:val="22"/>
          <w:lang w:eastAsia="nl-NL"/>
        </w:rPr>
      </w:pPr>
      <w:r w:rsidRPr="00046999">
        <w:rPr>
          <w:rFonts w:cs="Calibri"/>
          <w:i/>
          <w:color w:val="000000"/>
          <w:sz w:val="22"/>
          <w:szCs w:val="22"/>
          <w:lang w:eastAsia="nl-NL"/>
        </w:rPr>
        <w:t>H3: ‘Australian diversified companies with high levels of leverage are more likely to voluntary disclose segment information than are such companies with low levels of leverage’</w:t>
      </w:r>
    </w:p>
    <w:p w:rsidR="00A95413" w:rsidRPr="00046999" w:rsidRDefault="00A95413" w:rsidP="001D4BB3">
      <w:pPr>
        <w:jc w:val="both"/>
        <w:rPr>
          <w:rFonts w:cs="Calibri"/>
          <w:i/>
          <w:color w:val="000000"/>
          <w:sz w:val="22"/>
          <w:szCs w:val="22"/>
          <w:lang w:eastAsia="nl-NL"/>
        </w:rPr>
      </w:pPr>
      <w:r w:rsidRPr="00046999">
        <w:rPr>
          <w:rFonts w:cs="Calibri"/>
          <w:color w:val="000000"/>
          <w:sz w:val="22"/>
          <w:szCs w:val="22"/>
          <w:lang w:eastAsia="nl-NL"/>
        </w:rPr>
        <w:t>To obtain the results various statistical tests were employed: a two-sample t test, the Mann-Whitney U test, a Chi-square test and a probit analysis. Their results show there is a strong significant relation between voluntary disclosure and firm size, so H2 is accepted. For ownership diffusion they found a moderate significant relation (significant at 5%) so H1 is accepted as well; when the shares are widely held firms are more likely to provide voluntary disclosures. For leverage no significant relation was observed and therefore, H3 is rejected.</w:t>
      </w:r>
    </w:p>
    <w:p w:rsidR="00A95413" w:rsidRPr="00046999" w:rsidRDefault="00A95413" w:rsidP="001D4BB3">
      <w:pPr>
        <w:jc w:val="both"/>
        <w:rPr>
          <w:rFonts w:cs="Calibri"/>
          <w:i/>
          <w:color w:val="000000"/>
          <w:sz w:val="22"/>
          <w:szCs w:val="22"/>
          <w:lang w:eastAsia="nl-NL"/>
        </w:rPr>
      </w:pPr>
      <w:r w:rsidRPr="00046999">
        <w:rPr>
          <w:rFonts w:cs="Calibri"/>
          <w:i/>
          <w:color w:val="000000"/>
          <w:sz w:val="22"/>
          <w:szCs w:val="22"/>
          <w:lang w:eastAsia="nl-NL"/>
        </w:rPr>
        <w:t>Meek, Roberts and Grey (1995)</w:t>
      </w:r>
    </w:p>
    <w:p w:rsidR="00A95413" w:rsidRPr="00046999" w:rsidRDefault="00A95413" w:rsidP="001D4BB3">
      <w:pPr>
        <w:jc w:val="both"/>
        <w:rPr>
          <w:rFonts w:cs="Calibri"/>
          <w:color w:val="000000"/>
          <w:sz w:val="22"/>
          <w:szCs w:val="22"/>
          <w:lang w:eastAsia="nl-NL"/>
        </w:rPr>
      </w:pPr>
      <w:r w:rsidRPr="00046999">
        <w:rPr>
          <w:rFonts w:cs="Calibri"/>
          <w:color w:val="000000"/>
          <w:sz w:val="22"/>
          <w:szCs w:val="22"/>
          <w:lang w:eastAsia="nl-NL"/>
        </w:rPr>
        <w:lastRenderedPageBreak/>
        <w:t>A study from Meek, Roberts and Grey (1995) also contributes with some valuable insights. Their study analyzed factors influencing the disclosure of voluntary information for companies in the US, UK and Europe. Their sample consists of companies in the Business Week 1000, Financial Times UK top 500 and Financial Times European top 500 in the year 1989. They used a disclosure score sheet to measure the voluntary disclosure score (see appendix VI) and subdivided disclosure in strategic, financial and non-financial disclosures. The factors examined were size, country/region, listing status, industry, leverage, multinationality and profitability. They did not examine ownership structure. They measure size by the amount of revenue. Leverage is measured by the long term debt/equity ratio. Profitability is measured by the return on sales. The following is expected:</w:t>
      </w:r>
    </w:p>
    <w:p w:rsidR="00A95413" w:rsidRPr="00046999" w:rsidRDefault="00A95413" w:rsidP="001D4BB3">
      <w:pPr>
        <w:jc w:val="both"/>
        <w:rPr>
          <w:rFonts w:cs="Calibri"/>
          <w:color w:val="000000"/>
          <w:sz w:val="22"/>
          <w:szCs w:val="22"/>
          <w:lang w:eastAsia="nl-NL"/>
        </w:rPr>
      </w:pPr>
      <w:r w:rsidRPr="00046999">
        <w:rPr>
          <w:rFonts w:cs="Calibri"/>
          <w:i/>
          <w:color w:val="000000"/>
          <w:sz w:val="22"/>
          <w:szCs w:val="22"/>
          <w:lang w:eastAsia="nl-NL"/>
        </w:rPr>
        <w:t>H1: Size is positively related to the extent of voluntary disclosures.</w:t>
      </w:r>
    </w:p>
    <w:p w:rsidR="00A95413" w:rsidRPr="00046999" w:rsidRDefault="00A95413" w:rsidP="001D4BB3">
      <w:pPr>
        <w:jc w:val="both"/>
        <w:rPr>
          <w:rFonts w:cs="Calibri"/>
          <w:i/>
          <w:color w:val="000000"/>
          <w:sz w:val="22"/>
          <w:szCs w:val="22"/>
          <w:lang w:eastAsia="nl-NL"/>
        </w:rPr>
      </w:pPr>
      <w:r w:rsidRPr="00046999">
        <w:rPr>
          <w:rFonts w:cs="Calibri"/>
          <w:i/>
          <w:color w:val="000000"/>
          <w:sz w:val="22"/>
          <w:szCs w:val="22"/>
          <w:lang w:eastAsia="nl-NL"/>
        </w:rPr>
        <w:t>H2: Leverage is positively related to the extent of voluntary disclosures.</w:t>
      </w:r>
    </w:p>
    <w:p w:rsidR="00A95413" w:rsidRPr="00046999" w:rsidRDefault="00A95413" w:rsidP="001D4BB3">
      <w:pPr>
        <w:jc w:val="both"/>
        <w:rPr>
          <w:rFonts w:cs="Calibri"/>
          <w:i/>
          <w:color w:val="000000"/>
          <w:sz w:val="22"/>
          <w:szCs w:val="22"/>
          <w:lang w:eastAsia="nl-NL"/>
        </w:rPr>
      </w:pPr>
      <w:r w:rsidRPr="00046999">
        <w:rPr>
          <w:rFonts w:cs="Calibri"/>
          <w:i/>
          <w:color w:val="000000"/>
          <w:sz w:val="22"/>
          <w:szCs w:val="22"/>
          <w:lang w:eastAsia="nl-NL"/>
        </w:rPr>
        <w:t>H3: Profitability is positively related to the extent of voluntary disclosures.</w:t>
      </w:r>
    </w:p>
    <w:p w:rsidR="00A95413" w:rsidRPr="00046999" w:rsidRDefault="00A95413" w:rsidP="001D4BB3">
      <w:pPr>
        <w:autoSpaceDE w:val="0"/>
        <w:autoSpaceDN w:val="0"/>
        <w:adjustRightInd w:val="0"/>
        <w:spacing w:before="0" w:after="0"/>
        <w:jc w:val="both"/>
        <w:rPr>
          <w:rFonts w:cs="Calibri"/>
          <w:color w:val="000000"/>
          <w:sz w:val="22"/>
          <w:szCs w:val="22"/>
          <w:lang w:eastAsia="nl-NL"/>
        </w:rPr>
      </w:pPr>
      <w:r w:rsidRPr="00046999">
        <w:rPr>
          <w:rFonts w:cs="Calibri"/>
          <w:color w:val="000000"/>
          <w:sz w:val="22"/>
          <w:szCs w:val="22"/>
          <w:lang w:eastAsia="nl-NL"/>
        </w:rPr>
        <w:t>To obtain their results a regression analysis was employed. Their findings show that size and country/region are the most important factors explaining voluntary disclosure, hence, H1 is accepted. Regarding country/region it is shown that there are clear variations. For example, west-European firms significantly provide more strategic information compared to firms in the UK and US.</w:t>
      </w:r>
    </w:p>
    <w:p w:rsidR="00A95413" w:rsidRPr="00046999" w:rsidRDefault="00A95413" w:rsidP="001D4BB3">
      <w:pPr>
        <w:jc w:val="both"/>
        <w:rPr>
          <w:rFonts w:cs="Calibri"/>
          <w:color w:val="000000"/>
          <w:sz w:val="22"/>
          <w:szCs w:val="22"/>
          <w:lang w:eastAsia="nl-NL"/>
        </w:rPr>
      </w:pPr>
      <w:r w:rsidRPr="00046999">
        <w:rPr>
          <w:rFonts w:cs="Calibri"/>
          <w:color w:val="000000"/>
          <w:sz w:val="22"/>
          <w:szCs w:val="22"/>
          <w:lang w:eastAsia="nl-NL"/>
        </w:rPr>
        <w:t xml:space="preserve">For leverage a significant negative relation was observed instead of the expected significant positive relation, therefore, H2 is rejected. Furthermore, no significant evidence was found for profitability and therefore, H3 is rejected as well. </w:t>
      </w:r>
    </w:p>
    <w:p w:rsidR="00A95413" w:rsidRPr="00046999" w:rsidRDefault="00A95413" w:rsidP="001D4BB3">
      <w:pPr>
        <w:jc w:val="both"/>
        <w:rPr>
          <w:rFonts w:cs="Calibri"/>
          <w:i/>
          <w:color w:val="000000"/>
          <w:sz w:val="22"/>
          <w:szCs w:val="22"/>
          <w:lang w:eastAsia="nl-NL"/>
        </w:rPr>
      </w:pPr>
      <w:r w:rsidRPr="00046999">
        <w:rPr>
          <w:rFonts w:cs="Calibri"/>
          <w:i/>
          <w:color w:val="000000"/>
          <w:sz w:val="22"/>
          <w:szCs w:val="22"/>
          <w:lang w:eastAsia="nl-NL"/>
        </w:rPr>
        <w:t>Botosan (1997)</w:t>
      </w:r>
    </w:p>
    <w:p w:rsidR="00A95413" w:rsidRPr="00046999" w:rsidRDefault="00A95413" w:rsidP="001D4BB3">
      <w:pPr>
        <w:jc w:val="both"/>
        <w:rPr>
          <w:rFonts w:cs="Calibri"/>
          <w:sz w:val="22"/>
          <w:szCs w:val="22"/>
        </w:rPr>
      </w:pPr>
      <w:r w:rsidRPr="00046999">
        <w:rPr>
          <w:rFonts w:cs="Calibri"/>
          <w:color w:val="000000"/>
          <w:sz w:val="22"/>
          <w:szCs w:val="22"/>
          <w:lang w:eastAsia="nl-NL"/>
        </w:rPr>
        <w:t xml:space="preserve">The study of Botosan (1997) examines the relation between voluntary disclosures and the cost of equity capital. She measured voluntary disclosures by using a self created disclosure score sheet with 35 voluntary information items and used a sample of 122 firms. She used data from the annual reports of 1990. The outcomes of her research are not exactly insightful for this study but as the self created disclosure sheet is useful for the creation of the disclosure score sheet of this study, her study is shortly described. Her disclosure score sheet can be found in appendix VI. Botosan expected that large firms would disclose more information compared to small firms, mainly because the increased complexity allows for more disclosure possibilities. The obtained results showed that there is an association between higher disclosure and lower cost of equity capital when there is low analyst following. No significant association was found when there is high analyst following. </w:t>
      </w:r>
    </w:p>
    <w:p w:rsidR="00A95413" w:rsidRPr="00046999" w:rsidRDefault="00A95413" w:rsidP="001D4BB3">
      <w:pPr>
        <w:autoSpaceDE w:val="0"/>
        <w:autoSpaceDN w:val="0"/>
        <w:adjustRightInd w:val="0"/>
        <w:spacing w:after="0"/>
        <w:jc w:val="both"/>
        <w:rPr>
          <w:rFonts w:cs="Calibri"/>
          <w:i/>
          <w:sz w:val="22"/>
          <w:szCs w:val="22"/>
        </w:rPr>
      </w:pPr>
      <w:r w:rsidRPr="00046999">
        <w:rPr>
          <w:rFonts w:cs="Calibri"/>
          <w:i/>
          <w:sz w:val="22"/>
          <w:szCs w:val="22"/>
        </w:rPr>
        <w:t>Haniffa and Cooke (2001)</w:t>
      </w:r>
    </w:p>
    <w:p w:rsidR="00A95413" w:rsidRPr="00046999" w:rsidRDefault="00A95413" w:rsidP="001D4BB3">
      <w:pPr>
        <w:autoSpaceDE w:val="0"/>
        <w:autoSpaceDN w:val="0"/>
        <w:adjustRightInd w:val="0"/>
        <w:spacing w:before="0" w:after="0"/>
        <w:jc w:val="both"/>
        <w:rPr>
          <w:rFonts w:cs="Calibri"/>
          <w:sz w:val="22"/>
          <w:szCs w:val="22"/>
        </w:rPr>
      </w:pPr>
      <w:r w:rsidRPr="00046999">
        <w:rPr>
          <w:rFonts w:cs="Calibri"/>
          <w:sz w:val="22"/>
          <w:szCs w:val="22"/>
        </w:rPr>
        <w:t xml:space="preserve">The study of Haniffa and Cooke (2001) examines the relation between various corporate governance variables, cultural and firm specific factors and the extent of voluntary disclosures of Malaysian firms. The corporate governance variables are board composition, role duality, position of chairperson, ownership structure and more. Ownership structure is measured by the proportion of shares owned by </w:t>
      </w:r>
      <w:r w:rsidRPr="00046999">
        <w:rPr>
          <w:rFonts w:cs="Calibri"/>
          <w:sz w:val="22"/>
          <w:szCs w:val="22"/>
        </w:rPr>
        <w:lastRenderedPageBreak/>
        <w:t xml:space="preserve">the ten largest shareholders. Their sample consists of 167 listed firms in Malaysia. They expected the following: </w:t>
      </w:r>
    </w:p>
    <w:p w:rsidR="00A95413" w:rsidRPr="00046999" w:rsidRDefault="00A95413" w:rsidP="001D4BB3">
      <w:pPr>
        <w:autoSpaceDE w:val="0"/>
        <w:autoSpaceDN w:val="0"/>
        <w:adjustRightInd w:val="0"/>
        <w:spacing w:before="0" w:after="0"/>
        <w:jc w:val="both"/>
        <w:rPr>
          <w:rFonts w:cs="Calibri"/>
          <w:sz w:val="22"/>
          <w:szCs w:val="22"/>
        </w:rPr>
      </w:pPr>
    </w:p>
    <w:p w:rsidR="00A95413" w:rsidRPr="00046999" w:rsidRDefault="00A95413" w:rsidP="001D4BB3">
      <w:pPr>
        <w:autoSpaceDE w:val="0"/>
        <w:autoSpaceDN w:val="0"/>
        <w:adjustRightInd w:val="0"/>
        <w:spacing w:before="0" w:after="0"/>
        <w:jc w:val="both"/>
        <w:rPr>
          <w:rFonts w:cs="Calibri"/>
          <w:i/>
          <w:sz w:val="22"/>
          <w:szCs w:val="22"/>
        </w:rPr>
      </w:pPr>
      <w:r w:rsidRPr="00046999">
        <w:rPr>
          <w:rFonts w:cs="Calibri"/>
          <w:sz w:val="22"/>
          <w:szCs w:val="22"/>
        </w:rPr>
        <w:t xml:space="preserve">H1: </w:t>
      </w:r>
      <w:r w:rsidRPr="00046999">
        <w:rPr>
          <w:rFonts w:cs="Calibri"/>
          <w:i/>
          <w:sz w:val="22"/>
          <w:szCs w:val="22"/>
        </w:rPr>
        <w:t>’There is a positive association between diffusion of ownership and the extent of voluntary disclosure of information’.</w:t>
      </w:r>
    </w:p>
    <w:p w:rsidR="00A95413" w:rsidRPr="00046999" w:rsidRDefault="00A95413" w:rsidP="001D4BB3">
      <w:pPr>
        <w:autoSpaceDE w:val="0"/>
        <w:autoSpaceDN w:val="0"/>
        <w:adjustRightInd w:val="0"/>
        <w:spacing w:before="0" w:after="0"/>
        <w:jc w:val="both"/>
        <w:rPr>
          <w:rFonts w:cs="Calibri"/>
          <w:sz w:val="22"/>
          <w:szCs w:val="22"/>
        </w:rPr>
      </w:pPr>
    </w:p>
    <w:p w:rsidR="00A95413" w:rsidRPr="00046999" w:rsidRDefault="00A95413" w:rsidP="001D4BB3">
      <w:pPr>
        <w:autoSpaceDE w:val="0"/>
        <w:autoSpaceDN w:val="0"/>
        <w:adjustRightInd w:val="0"/>
        <w:spacing w:before="0" w:after="0"/>
        <w:jc w:val="both"/>
        <w:rPr>
          <w:rFonts w:cs="Calibri"/>
          <w:sz w:val="22"/>
          <w:szCs w:val="22"/>
        </w:rPr>
      </w:pPr>
      <w:r w:rsidRPr="00046999">
        <w:rPr>
          <w:rFonts w:cs="Calibri"/>
          <w:sz w:val="22"/>
          <w:szCs w:val="22"/>
        </w:rPr>
        <w:t>The extent of voluntary disclosures is measured by using a disclosure index. Furthermore, a multiple regression model is employed to obtain the results. From the model it shows that ownership diffusion is significantly positively related to the extent of voluntary disclosures and therefore, H1 is accepted.</w:t>
      </w:r>
    </w:p>
    <w:p w:rsidR="00A95413" w:rsidRPr="00046999" w:rsidRDefault="00A95413" w:rsidP="001D4BB3">
      <w:pPr>
        <w:autoSpaceDE w:val="0"/>
        <w:autoSpaceDN w:val="0"/>
        <w:adjustRightInd w:val="0"/>
        <w:spacing w:after="0"/>
        <w:jc w:val="both"/>
        <w:rPr>
          <w:rFonts w:cs="Calibri"/>
          <w:i/>
          <w:sz w:val="22"/>
          <w:szCs w:val="22"/>
        </w:rPr>
      </w:pPr>
      <w:r w:rsidRPr="00046999">
        <w:rPr>
          <w:rFonts w:cs="Calibri"/>
          <w:i/>
          <w:sz w:val="22"/>
          <w:szCs w:val="22"/>
        </w:rPr>
        <w:t>Ho and Wong (2001)</w:t>
      </w:r>
    </w:p>
    <w:p w:rsidR="00A95413" w:rsidRPr="00046999" w:rsidRDefault="00A95413" w:rsidP="001D4BB3">
      <w:pPr>
        <w:autoSpaceDE w:val="0"/>
        <w:autoSpaceDN w:val="0"/>
        <w:adjustRightInd w:val="0"/>
        <w:spacing w:after="0"/>
        <w:jc w:val="both"/>
        <w:rPr>
          <w:rFonts w:cs="Calibri"/>
          <w:sz w:val="22"/>
          <w:szCs w:val="22"/>
        </w:rPr>
      </w:pPr>
      <w:r w:rsidRPr="00046999">
        <w:rPr>
          <w:rFonts w:cs="Calibri"/>
          <w:sz w:val="22"/>
          <w:szCs w:val="22"/>
        </w:rPr>
        <w:t>The study of Ho and Wong (2001) concerned the relation between corporate governance and the extent of voluntary disclosures of listed firms in Hong Kong. Regarding the corporate governance variables they analyzed the proportion of independent directors, the existence of a voluntary audit committee, the existence of dominant personalities (CEO/Chairman duality) and the percentage of family members on board. They sent out 1145 surveys to CFO’s and financial analysts and received 190 surveys in return. They expected:</w:t>
      </w:r>
    </w:p>
    <w:p w:rsidR="00A95413" w:rsidRPr="00046999" w:rsidRDefault="00A95413" w:rsidP="001D4BB3">
      <w:pPr>
        <w:autoSpaceDE w:val="0"/>
        <w:autoSpaceDN w:val="0"/>
        <w:adjustRightInd w:val="0"/>
        <w:spacing w:after="0"/>
        <w:jc w:val="both"/>
        <w:rPr>
          <w:rFonts w:cs="Calibri"/>
          <w:sz w:val="22"/>
          <w:szCs w:val="22"/>
        </w:rPr>
      </w:pPr>
      <w:r w:rsidRPr="00046999">
        <w:rPr>
          <w:rFonts w:cs="Calibri"/>
          <w:sz w:val="22"/>
          <w:szCs w:val="22"/>
        </w:rPr>
        <w:t>H1: ‘</w:t>
      </w:r>
      <w:r w:rsidRPr="00046999">
        <w:rPr>
          <w:rFonts w:cs="Calibri"/>
          <w:i/>
          <w:sz w:val="22"/>
          <w:szCs w:val="22"/>
        </w:rPr>
        <w:t>Companies with a higher proportion of family members sitting on the board are more likely to have a lower extent of voluntary disclosure’</w:t>
      </w:r>
    </w:p>
    <w:p w:rsidR="00A95413" w:rsidRPr="00046999" w:rsidRDefault="00A95413" w:rsidP="001D4BB3">
      <w:pPr>
        <w:autoSpaceDE w:val="0"/>
        <w:autoSpaceDN w:val="0"/>
        <w:adjustRightInd w:val="0"/>
        <w:spacing w:after="0"/>
        <w:jc w:val="both"/>
        <w:rPr>
          <w:rFonts w:cs="Calibri"/>
          <w:sz w:val="22"/>
          <w:szCs w:val="22"/>
        </w:rPr>
      </w:pPr>
      <w:r w:rsidRPr="00046999">
        <w:rPr>
          <w:rFonts w:cs="Calibri"/>
          <w:sz w:val="22"/>
          <w:szCs w:val="22"/>
        </w:rPr>
        <w:t>The results were obtained by using a regression analysis. They found support for H1; their results showed that that the percentage of family members on board is the most significant variable influencing the extent of voluntary disclosures. Therefore, they argue that when there are more family members on board it is less likely that firms have a high level of voluntary disclosures. Furthermore, the results also show that the existence of a voluntary audit committee is positively related to the extent of voluntary disclosures. The other two variables; independent directors and dominant personalities show no significant relation with the extent of voluntary disclosures.</w:t>
      </w:r>
    </w:p>
    <w:p w:rsidR="00A95413" w:rsidRPr="00046999" w:rsidRDefault="00A95413" w:rsidP="001D4BB3">
      <w:pPr>
        <w:autoSpaceDE w:val="0"/>
        <w:autoSpaceDN w:val="0"/>
        <w:adjustRightInd w:val="0"/>
        <w:spacing w:after="0"/>
        <w:jc w:val="both"/>
        <w:rPr>
          <w:rFonts w:cs="Calibri"/>
          <w:i/>
          <w:sz w:val="22"/>
          <w:szCs w:val="22"/>
        </w:rPr>
      </w:pPr>
      <w:r w:rsidRPr="00046999">
        <w:rPr>
          <w:rFonts w:cs="Calibri"/>
          <w:i/>
          <w:sz w:val="22"/>
          <w:szCs w:val="22"/>
        </w:rPr>
        <w:t>Chau and Gray (2002)</w:t>
      </w:r>
    </w:p>
    <w:p w:rsidR="00A95413" w:rsidRPr="00046999" w:rsidRDefault="00A95413" w:rsidP="001D4BB3">
      <w:pPr>
        <w:autoSpaceDE w:val="0"/>
        <w:autoSpaceDN w:val="0"/>
        <w:adjustRightInd w:val="0"/>
        <w:spacing w:after="0"/>
        <w:jc w:val="both"/>
        <w:rPr>
          <w:rFonts w:cs="Calibri"/>
          <w:sz w:val="22"/>
          <w:szCs w:val="22"/>
        </w:rPr>
      </w:pPr>
      <w:r w:rsidRPr="00046999">
        <w:rPr>
          <w:rFonts w:cs="Calibri"/>
          <w:sz w:val="22"/>
          <w:szCs w:val="22"/>
        </w:rPr>
        <w:t xml:space="preserve">Chau and Gray (2002) analyzed the relation between ownership structure and corporate voluntary disclosure in Hong Kong and Singapore. Their sample was selected out of only industrial companies and consists of 60 firms of which annual reports were available in the end of year 1997. </w:t>
      </w:r>
      <w:r w:rsidRPr="00046999">
        <w:rPr>
          <w:rFonts w:cs="Calibri"/>
          <w:color w:val="000000"/>
          <w:sz w:val="22"/>
          <w:szCs w:val="22"/>
          <w:lang w:eastAsia="nl-NL"/>
        </w:rPr>
        <w:t xml:space="preserve">They used a disclosure score sheet to measure the voluntary disclosure score (see appendix VI). </w:t>
      </w:r>
      <w:r w:rsidRPr="00046999">
        <w:rPr>
          <w:rFonts w:cs="Calibri"/>
          <w:sz w:val="22"/>
          <w:szCs w:val="22"/>
        </w:rPr>
        <w:t xml:space="preserve">Ownership structure is measured by </w:t>
      </w:r>
      <w:r>
        <w:rPr>
          <w:rFonts w:cs="Calibri"/>
          <w:sz w:val="22"/>
          <w:szCs w:val="22"/>
        </w:rPr>
        <w:t xml:space="preserve">the </w:t>
      </w:r>
      <w:r w:rsidRPr="00046999">
        <w:rPr>
          <w:rFonts w:cs="Calibri"/>
          <w:sz w:val="22"/>
          <w:szCs w:val="22"/>
        </w:rPr>
        <w:t>proportion of shares owned by outsiders (non directors or dominant shareholders). They made the following hypotheses:</w:t>
      </w:r>
    </w:p>
    <w:p w:rsidR="00A95413" w:rsidRPr="00046999" w:rsidRDefault="00A95413" w:rsidP="001D4BB3">
      <w:pPr>
        <w:autoSpaceDE w:val="0"/>
        <w:autoSpaceDN w:val="0"/>
        <w:adjustRightInd w:val="0"/>
        <w:spacing w:after="0"/>
        <w:jc w:val="both"/>
        <w:rPr>
          <w:rFonts w:cs="Calibri"/>
          <w:sz w:val="22"/>
          <w:szCs w:val="22"/>
        </w:rPr>
      </w:pPr>
      <w:r w:rsidRPr="00046999">
        <w:rPr>
          <w:rFonts w:cs="Calibri"/>
          <w:sz w:val="22"/>
          <w:szCs w:val="22"/>
        </w:rPr>
        <w:t xml:space="preserve">H1: </w:t>
      </w:r>
      <w:r w:rsidRPr="00046999">
        <w:rPr>
          <w:rFonts w:cs="Calibri"/>
          <w:i/>
          <w:sz w:val="22"/>
          <w:szCs w:val="22"/>
        </w:rPr>
        <w:t>‘There is a positive association between wider ownership and the extent of voluntary disclosure by Hong Kong and Singapore companies’</w:t>
      </w:r>
      <w:r w:rsidRPr="00046999">
        <w:rPr>
          <w:rFonts w:cs="Calibri"/>
          <w:sz w:val="22"/>
          <w:szCs w:val="22"/>
        </w:rPr>
        <w:t>.</w:t>
      </w:r>
    </w:p>
    <w:p w:rsidR="00A95413" w:rsidRPr="00046999" w:rsidRDefault="00A95413" w:rsidP="001D4BB3">
      <w:pPr>
        <w:autoSpaceDE w:val="0"/>
        <w:autoSpaceDN w:val="0"/>
        <w:adjustRightInd w:val="0"/>
        <w:spacing w:after="0"/>
        <w:jc w:val="both"/>
        <w:rPr>
          <w:rFonts w:cs="Calibri"/>
          <w:sz w:val="22"/>
          <w:szCs w:val="22"/>
        </w:rPr>
      </w:pPr>
      <w:r w:rsidRPr="00046999">
        <w:rPr>
          <w:rFonts w:cs="Calibri"/>
          <w:sz w:val="22"/>
          <w:szCs w:val="22"/>
        </w:rPr>
        <w:t xml:space="preserve">H2: </w:t>
      </w:r>
      <w:r w:rsidRPr="00046999">
        <w:rPr>
          <w:rFonts w:cs="Calibri"/>
          <w:i/>
          <w:sz w:val="22"/>
          <w:szCs w:val="22"/>
        </w:rPr>
        <w:t>‘There is a negative association between family or concentrated ownership and the extent of disclosure by Hong Kong companies’.</w:t>
      </w:r>
    </w:p>
    <w:p w:rsidR="00A95413" w:rsidRPr="00046999" w:rsidRDefault="00A95413" w:rsidP="001D4BB3">
      <w:pPr>
        <w:autoSpaceDE w:val="0"/>
        <w:autoSpaceDN w:val="0"/>
        <w:adjustRightInd w:val="0"/>
        <w:spacing w:after="0"/>
        <w:jc w:val="both"/>
        <w:rPr>
          <w:rStyle w:val="fdnolabel1"/>
          <w:rFonts w:cs="Calibri"/>
          <w:sz w:val="22"/>
          <w:szCs w:val="22"/>
          <w:bdr w:val="none" w:sz="0" w:space="0" w:color="auto" w:frame="1"/>
        </w:rPr>
      </w:pPr>
      <w:r w:rsidRPr="00046999">
        <w:rPr>
          <w:rFonts w:cs="Calibri"/>
          <w:sz w:val="22"/>
          <w:szCs w:val="22"/>
        </w:rPr>
        <w:lastRenderedPageBreak/>
        <w:t xml:space="preserve">They obtained their results using a linear multiple regression analysis and used a number of control variables; size, leverage, size of auditors, profitability and multinationality. </w:t>
      </w:r>
      <w:r w:rsidRPr="00046999">
        <w:rPr>
          <w:rFonts w:cs="Calibri"/>
          <w:sz w:val="22"/>
          <w:szCs w:val="22"/>
          <w:lang w:eastAsia="nl-NL"/>
        </w:rPr>
        <w:t>This is their regression model</w:t>
      </w:r>
      <w:r w:rsidRPr="00046999">
        <w:rPr>
          <w:rFonts w:cs="Calibri"/>
          <w:sz w:val="22"/>
          <w:szCs w:val="22"/>
        </w:rPr>
        <w:t>:</w:t>
      </w:r>
    </w:p>
    <w:p w:rsidR="00A95413" w:rsidRPr="00046999" w:rsidRDefault="00A95413" w:rsidP="001D4BB3">
      <w:pPr>
        <w:jc w:val="both"/>
        <w:rPr>
          <w:rStyle w:val="fdnolabel1"/>
          <w:rFonts w:cs="Calibri"/>
          <w:sz w:val="22"/>
          <w:szCs w:val="22"/>
        </w:rPr>
      </w:pPr>
      <w:r w:rsidRPr="00046999">
        <w:rPr>
          <w:rStyle w:val="fdnolabel1"/>
          <w:rFonts w:cs="Calibri"/>
          <w:sz w:val="22"/>
          <w:szCs w:val="22"/>
          <w:bdr w:val="none" w:sz="0" w:space="0" w:color="auto" w:frame="1"/>
        </w:rPr>
        <w:t>VOEXT=β</w:t>
      </w:r>
      <w:r w:rsidRPr="00046999">
        <w:rPr>
          <w:rStyle w:val="fdnolabel1"/>
          <w:rFonts w:cs="Calibri"/>
          <w:sz w:val="22"/>
          <w:szCs w:val="22"/>
          <w:bdr w:val="none" w:sz="0" w:space="0" w:color="auto" w:frame="1"/>
          <w:vertAlign w:val="subscript"/>
        </w:rPr>
        <w:t>0</w:t>
      </w:r>
      <w:r w:rsidRPr="00046999">
        <w:rPr>
          <w:rStyle w:val="fdnolabel1"/>
          <w:rFonts w:cs="Calibri"/>
          <w:sz w:val="22"/>
          <w:szCs w:val="22"/>
          <w:bdr w:val="none" w:sz="0" w:space="0" w:color="auto" w:frame="1"/>
        </w:rPr>
        <w:t>+β</w:t>
      </w:r>
      <w:r w:rsidRPr="00046999">
        <w:rPr>
          <w:rStyle w:val="fdnolabel1"/>
          <w:rFonts w:cs="Calibri"/>
          <w:sz w:val="22"/>
          <w:szCs w:val="22"/>
          <w:bdr w:val="none" w:sz="0" w:space="0" w:color="auto" w:frame="1"/>
          <w:vertAlign w:val="subscript"/>
        </w:rPr>
        <w:t>1</w:t>
      </w:r>
      <w:r w:rsidRPr="00046999">
        <w:rPr>
          <w:rStyle w:val="fdnolabel1"/>
          <w:rFonts w:cs="Calibri"/>
          <w:sz w:val="22"/>
          <w:szCs w:val="22"/>
          <w:bdr w:val="none" w:sz="0" w:space="0" w:color="auto" w:frame="1"/>
        </w:rPr>
        <w:t>SIZE+β</w:t>
      </w:r>
      <w:r w:rsidRPr="00046999">
        <w:rPr>
          <w:rStyle w:val="fdnolabel1"/>
          <w:rFonts w:cs="Calibri"/>
          <w:sz w:val="22"/>
          <w:szCs w:val="22"/>
          <w:bdr w:val="none" w:sz="0" w:space="0" w:color="auto" w:frame="1"/>
          <w:vertAlign w:val="subscript"/>
        </w:rPr>
        <w:t>2</w:t>
      </w:r>
      <w:r w:rsidRPr="00046999">
        <w:rPr>
          <w:rStyle w:val="fdnolabel1"/>
          <w:rFonts w:cs="Calibri"/>
          <w:sz w:val="22"/>
          <w:szCs w:val="22"/>
          <w:bdr w:val="none" w:sz="0" w:space="0" w:color="auto" w:frame="1"/>
        </w:rPr>
        <w:t>LEV+β</w:t>
      </w:r>
      <w:r w:rsidRPr="00046999">
        <w:rPr>
          <w:rStyle w:val="fdnolabel1"/>
          <w:rFonts w:cs="Calibri"/>
          <w:sz w:val="22"/>
          <w:szCs w:val="22"/>
          <w:bdr w:val="none" w:sz="0" w:space="0" w:color="auto" w:frame="1"/>
          <w:vertAlign w:val="subscript"/>
        </w:rPr>
        <w:t>3</w:t>
      </w:r>
      <w:r w:rsidRPr="00046999">
        <w:rPr>
          <w:rStyle w:val="fdnolabel1"/>
          <w:rFonts w:cs="Calibri"/>
          <w:sz w:val="22"/>
          <w:szCs w:val="22"/>
          <w:bdr w:val="none" w:sz="0" w:space="0" w:color="auto" w:frame="1"/>
        </w:rPr>
        <w:t>AUD+β</w:t>
      </w:r>
      <w:r w:rsidRPr="00046999">
        <w:rPr>
          <w:rStyle w:val="fdnolabel1"/>
          <w:rFonts w:cs="Calibri"/>
          <w:sz w:val="22"/>
          <w:szCs w:val="22"/>
          <w:bdr w:val="none" w:sz="0" w:space="0" w:color="auto" w:frame="1"/>
          <w:vertAlign w:val="subscript"/>
        </w:rPr>
        <w:t>4</w:t>
      </w:r>
      <w:r w:rsidRPr="00046999">
        <w:rPr>
          <w:rStyle w:val="fdnolabel1"/>
          <w:rFonts w:cs="Calibri"/>
          <w:sz w:val="22"/>
          <w:szCs w:val="22"/>
          <w:bdr w:val="none" w:sz="0" w:space="0" w:color="auto" w:frame="1"/>
        </w:rPr>
        <w:t>OOWN+β</w:t>
      </w:r>
      <w:r w:rsidRPr="00046999">
        <w:rPr>
          <w:rStyle w:val="fdnolabel1"/>
          <w:rFonts w:cs="Calibri"/>
          <w:sz w:val="22"/>
          <w:szCs w:val="22"/>
          <w:bdr w:val="none" w:sz="0" w:space="0" w:color="auto" w:frame="1"/>
          <w:vertAlign w:val="subscript"/>
        </w:rPr>
        <w:t>5</w:t>
      </w:r>
      <w:r w:rsidRPr="00046999">
        <w:rPr>
          <w:rStyle w:val="fdnolabel1"/>
          <w:rFonts w:cs="Calibri"/>
          <w:sz w:val="22"/>
          <w:szCs w:val="22"/>
          <w:bdr w:val="none" w:sz="0" w:space="0" w:color="auto" w:frame="1"/>
        </w:rPr>
        <w:t>PROF+β</w:t>
      </w:r>
      <w:r w:rsidRPr="00046999">
        <w:rPr>
          <w:rStyle w:val="fdnolabel1"/>
          <w:rFonts w:cs="Calibri"/>
          <w:sz w:val="22"/>
          <w:szCs w:val="22"/>
          <w:bdr w:val="none" w:sz="0" w:space="0" w:color="auto" w:frame="1"/>
          <w:vertAlign w:val="subscript"/>
        </w:rPr>
        <w:t>6</w:t>
      </w:r>
      <w:r w:rsidRPr="00046999">
        <w:rPr>
          <w:rStyle w:val="fdnolabel1"/>
          <w:rFonts w:cs="Calibri"/>
          <w:sz w:val="22"/>
          <w:szCs w:val="22"/>
          <w:bdr w:val="none" w:sz="0" w:space="0" w:color="auto" w:frame="1"/>
        </w:rPr>
        <w:t>MULT</w:t>
      </w:r>
    </w:p>
    <w:p w:rsidR="00A95413" w:rsidRPr="00046999" w:rsidRDefault="00A95413" w:rsidP="001D4BB3">
      <w:pPr>
        <w:shd w:val="clear" w:color="auto" w:fill="FFFFFF"/>
        <w:jc w:val="both"/>
        <w:rPr>
          <w:rFonts w:cs="Calibri"/>
          <w:sz w:val="22"/>
          <w:szCs w:val="22"/>
        </w:rPr>
      </w:pPr>
      <w:r w:rsidRPr="00046999">
        <w:rPr>
          <w:rFonts w:cs="Calibri"/>
          <w:sz w:val="22"/>
          <w:szCs w:val="22"/>
        </w:rPr>
        <w:t xml:space="preserve">Where: </w:t>
      </w:r>
    </w:p>
    <w:p w:rsidR="00A95413" w:rsidRPr="003E27C6" w:rsidRDefault="00A95413" w:rsidP="001D4BB3">
      <w:pPr>
        <w:shd w:val="clear" w:color="auto" w:fill="FFFFFF"/>
        <w:jc w:val="both"/>
        <w:rPr>
          <w:rFonts w:cs="Calibri"/>
        </w:rPr>
      </w:pPr>
      <w:r w:rsidRPr="003E27C6">
        <w:rPr>
          <w:rFonts w:cs="Calibri"/>
        </w:rPr>
        <w:t>VOEXT</w:t>
      </w:r>
      <w:r w:rsidRPr="003E27C6">
        <w:rPr>
          <w:rFonts w:cs="Calibri"/>
        </w:rPr>
        <w:tab/>
        <w:t>= extent of voluntary disclosure scores</w:t>
      </w:r>
    </w:p>
    <w:p w:rsidR="00A95413" w:rsidRPr="003E27C6" w:rsidRDefault="00A95413" w:rsidP="001D4BB3">
      <w:pPr>
        <w:shd w:val="clear" w:color="auto" w:fill="FFFFFF"/>
        <w:jc w:val="both"/>
        <w:rPr>
          <w:rFonts w:cs="Calibri"/>
        </w:rPr>
      </w:pPr>
      <w:r w:rsidRPr="003E27C6">
        <w:rPr>
          <w:rFonts w:cs="Calibri"/>
          <w:i/>
          <w:iCs/>
        </w:rPr>
        <w:t>β</w:t>
      </w:r>
      <w:r w:rsidRPr="003E27C6">
        <w:rPr>
          <w:rFonts w:cs="Calibri"/>
          <w:vertAlign w:val="subscript"/>
        </w:rPr>
        <w:t>0</w:t>
      </w:r>
      <w:r w:rsidRPr="003E27C6">
        <w:rPr>
          <w:rFonts w:cs="Calibri"/>
          <w:vertAlign w:val="subscript"/>
        </w:rPr>
        <w:tab/>
      </w:r>
      <w:r w:rsidRPr="003E27C6">
        <w:rPr>
          <w:rFonts w:cs="Calibri"/>
        </w:rPr>
        <w:t xml:space="preserve">= regression intercept; </w:t>
      </w:r>
    </w:p>
    <w:p w:rsidR="00A95413" w:rsidRPr="003E27C6" w:rsidRDefault="00A95413" w:rsidP="001D4BB3">
      <w:pPr>
        <w:shd w:val="clear" w:color="auto" w:fill="FFFFFF"/>
        <w:jc w:val="both"/>
        <w:rPr>
          <w:rFonts w:cs="Calibri"/>
        </w:rPr>
      </w:pPr>
      <w:r w:rsidRPr="003E27C6">
        <w:rPr>
          <w:rFonts w:cs="Calibri"/>
        </w:rPr>
        <w:t>SIZE</w:t>
      </w:r>
      <w:r w:rsidRPr="003E27C6">
        <w:rPr>
          <w:rFonts w:cs="Calibri"/>
        </w:rPr>
        <w:tab/>
        <w:t xml:space="preserve">= firm size; </w:t>
      </w:r>
    </w:p>
    <w:p w:rsidR="00A95413" w:rsidRPr="003E27C6" w:rsidRDefault="00A95413" w:rsidP="001D4BB3">
      <w:pPr>
        <w:shd w:val="clear" w:color="auto" w:fill="FFFFFF"/>
        <w:jc w:val="both"/>
        <w:rPr>
          <w:rFonts w:cs="Calibri"/>
        </w:rPr>
      </w:pPr>
      <w:r w:rsidRPr="003E27C6">
        <w:rPr>
          <w:rFonts w:cs="Calibri"/>
        </w:rPr>
        <w:t>LEV</w:t>
      </w:r>
      <w:r w:rsidRPr="003E27C6">
        <w:rPr>
          <w:rFonts w:cs="Calibri"/>
        </w:rPr>
        <w:tab/>
        <w:t xml:space="preserve">= leverage; </w:t>
      </w:r>
    </w:p>
    <w:p w:rsidR="00A95413" w:rsidRPr="003E27C6" w:rsidRDefault="00A95413" w:rsidP="001D4BB3">
      <w:pPr>
        <w:shd w:val="clear" w:color="auto" w:fill="FFFFFF"/>
        <w:jc w:val="both"/>
        <w:rPr>
          <w:rFonts w:cs="Calibri"/>
        </w:rPr>
      </w:pPr>
      <w:r w:rsidRPr="003E27C6">
        <w:rPr>
          <w:rFonts w:cs="Calibri"/>
        </w:rPr>
        <w:t>AUD</w:t>
      </w:r>
      <w:r w:rsidRPr="003E27C6">
        <w:rPr>
          <w:rFonts w:cs="Calibri"/>
        </w:rPr>
        <w:tab/>
        <w:t xml:space="preserve">= size of auditors; </w:t>
      </w:r>
    </w:p>
    <w:p w:rsidR="00A95413" w:rsidRPr="003E27C6" w:rsidRDefault="00A95413" w:rsidP="001D4BB3">
      <w:pPr>
        <w:shd w:val="clear" w:color="auto" w:fill="FFFFFF"/>
        <w:jc w:val="both"/>
        <w:rPr>
          <w:rFonts w:cs="Calibri"/>
        </w:rPr>
      </w:pPr>
      <w:r w:rsidRPr="003E27C6">
        <w:rPr>
          <w:rFonts w:cs="Calibri"/>
        </w:rPr>
        <w:t>OOWN</w:t>
      </w:r>
      <w:r w:rsidRPr="003E27C6">
        <w:rPr>
          <w:rFonts w:cs="Calibri"/>
        </w:rPr>
        <w:tab/>
        <w:t xml:space="preserve">= ownership structure; </w:t>
      </w:r>
    </w:p>
    <w:p w:rsidR="00A95413" w:rsidRPr="003E27C6" w:rsidRDefault="00A95413" w:rsidP="001D4BB3">
      <w:pPr>
        <w:shd w:val="clear" w:color="auto" w:fill="FFFFFF"/>
        <w:jc w:val="both"/>
        <w:rPr>
          <w:rFonts w:cs="Calibri"/>
        </w:rPr>
      </w:pPr>
      <w:r w:rsidRPr="003E27C6">
        <w:rPr>
          <w:rFonts w:cs="Calibri"/>
        </w:rPr>
        <w:t>PROF</w:t>
      </w:r>
      <w:r w:rsidRPr="003E27C6">
        <w:rPr>
          <w:rFonts w:cs="Calibri"/>
        </w:rPr>
        <w:tab/>
        <w:t xml:space="preserve">= profitability; </w:t>
      </w:r>
    </w:p>
    <w:p w:rsidR="00A95413" w:rsidRPr="003E27C6" w:rsidRDefault="00A95413" w:rsidP="001D4BB3">
      <w:pPr>
        <w:shd w:val="clear" w:color="auto" w:fill="FFFFFF"/>
        <w:jc w:val="both"/>
        <w:rPr>
          <w:rFonts w:cs="Calibri"/>
        </w:rPr>
      </w:pPr>
      <w:r w:rsidRPr="003E27C6">
        <w:rPr>
          <w:rFonts w:cs="Calibri"/>
        </w:rPr>
        <w:t>MULT</w:t>
      </w:r>
      <w:r w:rsidRPr="003E27C6">
        <w:rPr>
          <w:rFonts w:cs="Calibri"/>
        </w:rPr>
        <w:tab/>
        <w:t xml:space="preserve">= multinationality; </w:t>
      </w:r>
    </w:p>
    <w:p w:rsidR="00A95413" w:rsidRPr="003E27C6" w:rsidRDefault="00A95413" w:rsidP="001D4BB3">
      <w:pPr>
        <w:shd w:val="clear" w:color="auto" w:fill="FFFFFF"/>
        <w:jc w:val="both"/>
        <w:rPr>
          <w:rFonts w:cs="Calibri"/>
        </w:rPr>
      </w:pPr>
      <w:r w:rsidRPr="003E27C6">
        <w:rPr>
          <w:rFonts w:cs="Calibri"/>
          <w:i/>
          <w:iCs/>
        </w:rPr>
        <w:t>β</w:t>
      </w:r>
      <w:r w:rsidRPr="003E27C6">
        <w:rPr>
          <w:rFonts w:cs="Calibri"/>
          <w:vertAlign w:val="subscript"/>
        </w:rPr>
        <w:t>i</w:t>
      </w:r>
      <w:r w:rsidRPr="003E27C6">
        <w:rPr>
          <w:rFonts w:cs="Calibri"/>
        </w:rPr>
        <w:t xml:space="preserve">=parameters to be estimated; </w:t>
      </w:r>
      <w:r w:rsidRPr="003E27C6">
        <w:rPr>
          <w:rFonts w:cs="Calibri"/>
          <w:i/>
          <w:iCs/>
        </w:rPr>
        <w:t>i</w:t>
      </w:r>
      <w:r w:rsidRPr="003E27C6">
        <w:rPr>
          <w:rFonts w:cs="Calibri"/>
        </w:rPr>
        <w:t>=1, …, 6.</w:t>
      </w:r>
    </w:p>
    <w:p w:rsidR="00A95413" w:rsidRPr="00046999" w:rsidRDefault="00A95413" w:rsidP="001D4BB3">
      <w:pPr>
        <w:autoSpaceDE w:val="0"/>
        <w:autoSpaceDN w:val="0"/>
        <w:adjustRightInd w:val="0"/>
        <w:spacing w:after="0"/>
        <w:jc w:val="both"/>
        <w:rPr>
          <w:rFonts w:cs="Calibri"/>
          <w:sz w:val="22"/>
          <w:szCs w:val="22"/>
        </w:rPr>
      </w:pPr>
      <w:r w:rsidRPr="00046999">
        <w:rPr>
          <w:rFonts w:cs="Calibri"/>
          <w:sz w:val="22"/>
          <w:szCs w:val="22"/>
        </w:rPr>
        <w:t xml:space="preserve">The results show that there is support for their first hypothesis and hence H1 can be accepted. Furthermore, they also showed that there is a significant negative relation between family ownership or concentrated ownership and voluntary disclosures; therefore H2 is accepted as well. </w:t>
      </w:r>
    </w:p>
    <w:p w:rsidR="00A95413" w:rsidRPr="00046999" w:rsidRDefault="00A95413" w:rsidP="001D4BB3">
      <w:pPr>
        <w:autoSpaceDE w:val="0"/>
        <w:autoSpaceDN w:val="0"/>
        <w:adjustRightInd w:val="0"/>
        <w:spacing w:after="0"/>
        <w:jc w:val="both"/>
        <w:rPr>
          <w:rFonts w:cs="Calibri"/>
          <w:i/>
          <w:sz w:val="22"/>
          <w:szCs w:val="22"/>
        </w:rPr>
      </w:pPr>
      <w:r w:rsidRPr="00046999">
        <w:rPr>
          <w:rFonts w:cs="Calibri"/>
          <w:i/>
          <w:sz w:val="22"/>
          <w:szCs w:val="22"/>
        </w:rPr>
        <w:t>Eng and Mak (2003)</w:t>
      </w:r>
    </w:p>
    <w:p w:rsidR="00A95413" w:rsidRPr="00046999" w:rsidRDefault="00A95413" w:rsidP="001D4BB3">
      <w:pPr>
        <w:autoSpaceDE w:val="0"/>
        <w:autoSpaceDN w:val="0"/>
        <w:adjustRightInd w:val="0"/>
        <w:spacing w:after="0"/>
        <w:jc w:val="both"/>
        <w:rPr>
          <w:rFonts w:cs="Calibri"/>
          <w:sz w:val="22"/>
          <w:szCs w:val="22"/>
        </w:rPr>
      </w:pPr>
      <w:r w:rsidRPr="00046999">
        <w:rPr>
          <w:rFonts w:cs="Calibri"/>
          <w:sz w:val="22"/>
          <w:szCs w:val="22"/>
        </w:rPr>
        <w:t>Eng and Mak (2003) examined the relation between corporate governance and voluntary disclosures in Singapore. They used a sample of 158 listed firms at the end of year 1995. The authors developed a disclosure score sheet for measuring the extent of voluntary disclosures (appendix VI). For corporate governance they employed the proxies ‘board composition’ and ‘ownership structure’. For ownership structure they used managerial, blockholder and government ownership. They measured managerial ownership as the proportion of shares held by the CEO and inside directors, blockholder ownership is measured by the proportion of shares held by substantial shareholders (5% or more) and government ownership is measured by a dummy variable; whether the firm is a government-linked company (GLC) or not. They expected the following:</w:t>
      </w:r>
    </w:p>
    <w:p w:rsidR="00A95413" w:rsidRPr="00046999" w:rsidRDefault="00A95413" w:rsidP="001D4BB3">
      <w:pPr>
        <w:autoSpaceDE w:val="0"/>
        <w:autoSpaceDN w:val="0"/>
        <w:adjustRightInd w:val="0"/>
        <w:spacing w:after="0"/>
        <w:jc w:val="both"/>
        <w:rPr>
          <w:rFonts w:cs="Calibri"/>
          <w:i/>
          <w:sz w:val="22"/>
          <w:szCs w:val="22"/>
        </w:rPr>
      </w:pPr>
      <w:r w:rsidRPr="00046999">
        <w:rPr>
          <w:rFonts w:cs="Calibri"/>
          <w:i/>
          <w:sz w:val="22"/>
          <w:szCs w:val="22"/>
        </w:rPr>
        <w:t xml:space="preserve">H1: There is a negative association between managerial ownership and the level of voluntary disclosure. </w:t>
      </w:r>
    </w:p>
    <w:p w:rsidR="00A95413" w:rsidRPr="00046999" w:rsidRDefault="00A95413" w:rsidP="001D4BB3">
      <w:pPr>
        <w:autoSpaceDE w:val="0"/>
        <w:autoSpaceDN w:val="0"/>
        <w:adjustRightInd w:val="0"/>
        <w:spacing w:after="0"/>
        <w:jc w:val="both"/>
        <w:rPr>
          <w:rFonts w:cs="Calibri"/>
          <w:i/>
          <w:sz w:val="22"/>
          <w:szCs w:val="22"/>
        </w:rPr>
      </w:pPr>
      <w:r w:rsidRPr="00046999">
        <w:rPr>
          <w:rFonts w:cs="Calibri"/>
          <w:i/>
          <w:sz w:val="22"/>
          <w:szCs w:val="22"/>
        </w:rPr>
        <w:t>H2: There is a negative association between blockholder ownership and the level of voluntary disclosure.</w:t>
      </w:r>
    </w:p>
    <w:p w:rsidR="00A95413" w:rsidRPr="00046999" w:rsidRDefault="00A95413" w:rsidP="001D4BB3">
      <w:pPr>
        <w:autoSpaceDE w:val="0"/>
        <w:autoSpaceDN w:val="0"/>
        <w:adjustRightInd w:val="0"/>
        <w:spacing w:after="0"/>
        <w:jc w:val="both"/>
        <w:rPr>
          <w:rFonts w:cs="Calibri"/>
          <w:i/>
          <w:sz w:val="22"/>
          <w:szCs w:val="22"/>
        </w:rPr>
      </w:pPr>
      <w:r w:rsidRPr="00046999">
        <w:rPr>
          <w:rFonts w:cs="Calibri"/>
          <w:i/>
          <w:sz w:val="22"/>
          <w:szCs w:val="22"/>
        </w:rPr>
        <w:t>H3: There is a positive association between government ownership and the level of voluntary disclosure.</w:t>
      </w:r>
    </w:p>
    <w:p w:rsidR="00A95413" w:rsidRPr="00046999" w:rsidRDefault="00A95413" w:rsidP="001D4BB3">
      <w:pPr>
        <w:jc w:val="both"/>
        <w:rPr>
          <w:rFonts w:cs="Calibri"/>
          <w:sz w:val="22"/>
          <w:szCs w:val="22"/>
        </w:rPr>
      </w:pPr>
      <w:r w:rsidRPr="00046999">
        <w:rPr>
          <w:rFonts w:cs="Calibri"/>
          <w:sz w:val="22"/>
          <w:szCs w:val="22"/>
        </w:rPr>
        <w:t xml:space="preserve">They employed an ordinary least squares regression analysis to measure the voluntary disclosure score on the ownership variables  and board composition after controlling for debt, firm size, growth </w:t>
      </w:r>
      <w:r w:rsidRPr="00046999">
        <w:rPr>
          <w:rFonts w:cs="Calibri"/>
          <w:sz w:val="22"/>
          <w:szCs w:val="22"/>
        </w:rPr>
        <w:lastRenderedPageBreak/>
        <w:t xml:space="preserve">opportunities, industry, analyst following, auditor reputation, profitability and stock performance. </w:t>
      </w:r>
      <w:r w:rsidRPr="00046999">
        <w:rPr>
          <w:rFonts w:cs="Calibri"/>
          <w:sz w:val="22"/>
          <w:szCs w:val="22"/>
          <w:lang w:eastAsia="nl-NL"/>
        </w:rPr>
        <w:t>This is their regression model:</w:t>
      </w:r>
    </w:p>
    <w:p w:rsidR="00A95413" w:rsidRPr="00046999" w:rsidRDefault="00A95413" w:rsidP="001D4BB3">
      <w:pPr>
        <w:jc w:val="both"/>
        <w:rPr>
          <w:rFonts w:cs="Calibri"/>
          <w:sz w:val="22"/>
          <w:szCs w:val="22"/>
          <w:lang w:eastAsia="nl-NL"/>
        </w:rPr>
      </w:pPr>
      <w:r w:rsidRPr="00046999">
        <w:rPr>
          <w:rStyle w:val="fdlabeltxt1"/>
          <w:rFonts w:cs="Calibri"/>
          <w:sz w:val="22"/>
          <w:szCs w:val="22"/>
          <w:bdr w:val="none" w:sz="0" w:space="0" w:color="auto" w:frame="1"/>
        </w:rPr>
        <w:t>(1)</w:t>
      </w:r>
      <w:r w:rsidRPr="00046999">
        <w:rPr>
          <w:rStyle w:val="fdwithlabel1"/>
          <w:rFonts w:cs="Calibri"/>
          <w:sz w:val="22"/>
          <w:szCs w:val="22"/>
          <w:bdr w:val="none" w:sz="0" w:space="0" w:color="auto" w:frame="1"/>
        </w:rPr>
        <w:t>DSCORE=β</w:t>
      </w:r>
      <w:r w:rsidRPr="00046999">
        <w:rPr>
          <w:rStyle w:val="fdwithlabel1"/>
          <w:rFonts w:cs="Calibri"/>
          <w:sz w:val="22"/>
          <w:szCs w:val="22"/>
          <w:bdr w:val="none" w:sz="0" w:space="0" w:color="auto" w:frame="1"/>
          <w:vertAlign w:val="subscript"/>
        </w:rPr>
        <w:t>0</w:t>
      </w:r>
      <w:r w:rsidRPr="00046999">
        <w:rPr>
          <w:rStyle w:val="fdwithlabel1"/>
          <w:rFonts w:cs="Calibri"/>
          <w:sz w:val="22"/>
          <w:szCs w:val="22"/>
          <w:bdr w:val="none" w:sz="0" w:space="0" w:color="auto" w:frame="1"/>
        </w:rPr>
        <w:t>+β</w:t>
      </w:r>
      <w:r w:rsidRPr="00046999">
        <w:rPr>
          <w:rStyle w:val="fdwithlabel1"/>
          <w:rFonts w:cs="Calibri"/>
          <w:sz w:val="22"/>
          <w:szCs w:val="22"/>
          <w:bdr w:val="none" w:sz="0" w:space="0" w:color="auto" w:frame="1"/>
          <w:vertAlign w:val="subscript"/>
        </w:rPr>
        <w:t>1</w:t>
      </w:r>
      <w:r w:rsidRPr="00046999">
        <w:rPr>
          <w:rStyle w:val="fdwithlabel1"/>
          <w:rFonts w:cs="Calibri"/>
          <w:sz w:val="22"/>
          <w:szCs w:val="22"/>
          <w:bdr w:val="none" w:sz="0" w:space="0" w:color="auto" w:frame="1"/>
        </w:rPr>
        <w:t>MOWN+β</w:t>
      </w:r>
      <w:r w:rsidRPr="00046999">
        <w:rPr>
          <w:rStyle w:val="fdwithlabel1"/>
          <w:rFonts w:cs="Calibri"/>
          <w:sz w:val="22"/>
          <w:szCs w:val="22"/>
          <w:bdr w:val="none" w:sz="0" w:space="0" w:color="auto" w:frame="1"/>
          <w:vertAlign w:val="subscript"/>
        </w:rPr>
        <w:t>2</w:t>
      </w:r>
      <w:r w:rsidRPr="00046999">
        <w:rPr>
          <w:rStyle w:val="fdwithlabel1"/>
          <w:rFonts w:cs="Calibri"/>
          <w:sz w:val="22"/>
          <w:szCs w:val="22"/>
          <w:bdr w:val="none" w:sz="0" w:space="0" w:color="auto" w:frame="1"/>
        </w:rPr>
        <w:t>BLOCK+β</w:t>
      </w:r>
      <w:r w:rsidRPr="00046999">
        <w:rPr>
          <w:rStyle w:val="fdwithlabel1"/>
          <w:rFonts w:cs="Calibri"/>
          <w:sz w:val="22"/>
          <w:szCs w:val="22"/>
          <w:bdr w:val="none" w:sz="0" w:space="0" w:color="auto" w:frame="1"/>
          <w:vertAlign w:val="subscript"/>
        </w:rPr>
        <w:t>3</w:t>
      </w:r>
      <w:r w:rsidRPr="00046999">
        <w:rPr>
          <w:rStyle w:val="fdwithlabel1"/>
          <w:rFonts w:cs="Calibri"/>
          <w:sz w:val="22"/>
          <w:szCs w:val="22"/>
          <w:bdr w:val="none" w:sz="0" w:space="0" w:color="auto" w:frame="1"/>
        </w:rPr>
        <w:t>GLC+β</w:t>
      </w:r>
      <w:r w:rsidRPr="00046999">
        <w:rPr>
          <w:rStyle w:val="fdwithlabel1"/>
          <w:rFonts w:cs="Calibri"/>
          <w:sz w:val="22"/>
          <w:szCs w:val="22"/>
          <w:bdr w:val="none" w:sz="0" w:space="0" w:color="auto" w:frame="1"/>
          <w:vertAlign w:val="subscript"/>
        </w:rPr>
        <w:t>4</w:t>
      </w:r>
      <w:r w:rsidRPr="00046999">
        <w:rPr>
          <w:rStyle w:val="fdwithlabel1"/>
          <w:rFonts w:cs="Calibri"/>
          <w:sz w:val="22"/>
          <w:szCs w:val="22"/>
          <w:bdr w:val="none" w:sz="0" w:space="0" w:color="auto" w:frame="1"/>
        </w:rPr>
        <w:t>OUTDIR+β</w:t>
      </w:r>
      <w:r w:rsidRPr="00046999">
        <w:rPr>
          <w:rStyle w:val="fdwithlabel1"/>
          <w:rFonts w:cs="Calibri"/>
          <w:sz w:val="22"/>
          <w:szCs w:val="22"/>
          <w:bdr w:val="none" w:sz="0" w:space="0" w:color="auto" w:frame="1"/>
          <w:vertAlign w:val="subscript"/>
        </w:rPr>
        <w:t>5</w:t>
      </w:r>
      <w:r w:rsidRPr="00046999">
        <w:rPr>
          <w:rStyle w:val="fdwithlabel1"/>
          <w:rFonts w:cs="Calibri"/>
          <w:sz w:val="22"/>
          <w:szCs w:val="22"/>
          <w:bdr w:val="none" w:sz="0" w:space="0" w:color="auto" w:frame="1"/>
        </w:rPr>
        <w:t>GROWTH+β</w:t>
      </w:r>
      <w:r w:rsidRPr="00046999">
        <w:rPr>
          <w:rStyle w:val="fdwithlabel1"/>
          <w:rFonts w:cs="Calibri"/>
          <w:sz w:val="22"/>
          <w:szCs w:val="22"/>
          <w:bdr w:val="none" w:sz="0" w:space="0" w:color="auto" w:frame="1"/>
          <w:vertAlign w:val="subscript"/>
        </w:rPr>
        <w:t>6</w:t>
      </w:r>
      <w:r w:rsidRPr="00046999">
        <w:rPr>
          <w:rStyle w:val="fdwithlabel1"/>
          <w:rFonts w:cs="Calibri"/>
          <w:sz w:val="22"/>
          <w:szCs w:val="22"/>
          <w:bdr w:val="none" w:sz="0" w:space="0" w:color="auto" w:frame="1"/>
        </w:rPr>
        <w:t>FSIZE+β</w:t>
      </w:r>
      <w:r w:rsidRPr="00046999">
        <w:rPr>
          <w:rStyle w:val="fdwithlabel1"/>
          <w:rFonts w:cs="Calibri"/>
          <w:sz w:val="22"/>
          <w:szCs w:val="22"/>
          <w:bdr w:val="none" w:sz="0" w:space="0" w:color="auto" w:frame="1"/>
          <w:vertAlign w:val="subscript"/>
        </w:rPr>
        <w:t>7</w:t>
      </w:r>
      <w:r w:rsidRPr="00046999">
        <w:rPr>
          <w:rStyle w:val="fdwithlabel1"/>
          <w:rFonts w:cs="Calibri"/>
          <w:sz w:val="22"/>
          <w:szCs w:val="22"/>
          <w:bdr w:val="none" w:sz="0" w:space="0" w:color="auto" w:frame="1"/>
        </w:rPr>
        <w:t>DEBT+β</w:t>
      </w:r>
      <w:r w:rsidRPr="00046999">
        <w:rPr>
          <w:rStyle w:val="fdwithlabel1"/>
          <w:rFonts w:cs="Calibri"/>
          <w:sz w:val="22"/>
          <w:szCs w:val="22"/>
          <w:bdr w:val="none" w:sz="0" w:space="0" w:color="auto" w:frame="1"/>
          <w:vertAlign w:val="subscript"/>
        </w:rPr>
        <w:t>8</w:t>
      </w:r>
      <w:r w:rsidRPr="00046999">
        <w:rPr>
          <w:rStyle w:val="fdwithlabel1"/>
          <w:rFonts w:cs="Calibri"/>
          <w:sz w:val="22"/>
          <w:szCs w:val="22"/>
          <w:bdr w:val="none" w:sz="0" w:space="0" w:color="auto" w:frame="1"/>
        </w:rPr>
        <w:t>INDUSTRY+β</w:t>
      </w:r>
      <w:r w:rsidRPr="00046999">
        <w:rPr>
          <w:rStyle w:val="fdwithlabel1"/>
          <w:rFonts w:cs="Calibri"/>
          <w:sz w:val="22"/>
          <w:szCs w:val="22"/>
          <w:bdr w:val="none" w:sz="0" w:space="0" w:color="auto" w:frame="1"/>
          <w:vertAlign w:val="subscript"/>
        </w:rPr>
        <w:t>9</w:t>
      </w:r>
      <w:r w:rsidRPr="00046999">
        <w:rPr>
          <w:rStyle w:val="fdwithlabel1"/>
          <w:rFonts w:cs="Calibri"/>
          <w:sz w:val="22"/>
          <w:szCs w:val="22"/>
          <w:bdr w:val="none" w:sz="0" w:space="0" w:color="auto" w:frame="1"/>
        </w:rPr>
        <w:t>AUDITOR+β</w:t>
      </w:r>
      <w:r w:rsidRPr="00046999">
        <w:rPr>
          <w:rStyle w:val="fdwithlabel1"/>
          <w:rFonts w:cs="Calibri"/>
          <w:sz w:val="22"/>
          <w:szCs w:val="22"/>
          <w:bdr w:val="none" w:sz="0" w:space="0" w:color="auto" w:frame="1"/>
          <w:vertAlign w:val="subscript"/>
        </w:rPr>
        <w:t>10</w:t>
      </w:r>
      <w:r w:rsidRPr="00046999">
        <w:rPr>
          <w:rStyle w:val="fdwithlabel1"/>
          <w:rFonts w:cs="Calibri"/>
          <w:sz w:val="22"/>
          <w:szCs w:val="22"/>
          <w:bdr w:val="none" w:sz="0" w:space="0" w:color="auto" w:frame="1"/>
        </w:rPr>
        <w:t>ANALYST+β</w:t>
      </w:r>
      <w:r w:rsidRPr="00046999">
        <w:rPr>
          <w:rStyle w:val="fdwithlabel1"/>
          <w:rFonts w:cs="Calibri"/>
          <w:sz w:val="22"/>
          <w:szCs w:val="22"/>
          <w:bdr w:val="none" w:sz="0" w:space="0" w:color="auto" w:frame="1"/>
          <w:vertAlign w:val="subscript"/>
        </w:rPr>
        <w:t>11</w:t>
      </w:r>
      <w:r w:rsidRPr="00046999">
        <w:rPr>
          <w:rStyle w:val="fdwithlabel1"/>
          <w:rFonts w:cs="Calibri"/>
          <w:sz w:val="22"/>
          <w:szCs w:val="22"/>
          <w:bdr w:val="none" w:sz="0" w:space="0" w:color="auto" w:frame="1"/>
        </w:rPr>
        <w:t>STOCKRET+β</w:t>
      </w:r>
      <w:r w:rsidRPr="00046999">
        <w:rPr>
          <w:rStyle w:val="fdwithlabel1"/>
          <w:rFonts w:cs="Calibri"/>
          <w:sz w:val="22"/>
          <w:szCs w:val="22"/>
          <w:bdr w:val="none" w:sz="0" w:space="0" w:color="auto" w:frame="1"/>
          <w:vertAlign w:val="subscript"/>
        </w:rPr>
        <w:t>12</w:t>
      </w:r>
      <w:r w:rsidRPr="00046999">
        <w:rPr>
          <w:rStyle w:val="fdwithlabel1"/>
          <w:rFonts w:cs="Calibri"/>
          <w:sz w:val="22"/>
          <w:szCs w:val="22"/>
          <w:bdr w:val="none" w:sz="0" w:space="0" w:color="auto" w:frame="1"/>
        </w:rPr>
        <w:t>ROE+</w:t>
      </w:r>
      <w:r w:rsidR="0080569A">
        <w:rPr>
          <w:rFonts w:cs="Calibri"/>
          <w:noProof/>
          <w:sz w:val="22"/>
          <w:szCs w:val="22"/>
          <w:bdr w:val="none" w:sz="0" w:space="0" w:color="auto" w:frame="1"/>
          <w:lang w:val="nl-NL" w:eastAsia="nl-NL"/>
        </w:rPr>
        <w:drawing>
          <wp:inline distT="0" distB="0" distL="0" distR="0">
            <wp:extent cx="85090" cy="56515"/>
            <wp:effectExtent l="19050" t="0" r="0" b="0"/>
            <wp:docPr id="5" name="Picture 2" descr="var epsi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ar epsilon"/>
                    <pic:cNvPicPr>
                      <a:picLocks noChangeAspect="1" noChangeArrowheads="1"/>
                    </pic:cNvPicPr>
                  </pic:nvPicPr>
                  <pic:blipFill>
                    <a:blip r:embed="rId14"/>
                    <a:srcRect/>
                    <a:stretch>
                      <a:fillRect/>
                    </a:stretch>
                  </pic:blipFill>
                  <pic:spPr bwMode="auto">
                    <a:xfrm>
                      <a:off x="0" y="0"/>
                      <a:ext cx="85090" cy="56515"/>
                    </a:xfrm>
                    <a:prstGeom prst="rect">
                      <a:avLst/>
                    </a:prstGeom>
                    <a:noFill/>
                    <a:ln w="9525">
                      <a:noFill/>
                      <a:miter lim="800000"/>
                      <a:headEnd/>
                      <a:tailEnd/>
                    </a:ln>
                  </pic:spPr>
                </pic:pic>
              </a:graphicData>
            </a:graphic>
          </wp:inline>
        </w:drawing>
      </w:r>
      <w:r w:rsidRPr="00046999">
        <w:rPr>
          <w:rFonts w:cs="Calibri"/>
          <w:sz w:val="22"/>
          <w:szCs w:val="22"/>
        </w:rPr>
        <w:t xml:space="preserve"> </w:t>
      </w:r>
    </w:p>
    <w:p w:rsidR="00A95413" w:rsidRPr="00046999" w:rsidRDefault="00A95413" w:rsidP="001D4BB3">
      <w:pPr>
        <w:shd w:val="clear" w:color="auto" w:fill="FFFFFF"/>
        <w:jc w:val="both"/>
        <w:rPr>
          <w:rFonts w:cs="Calibri"/>
          <w:sz w:val="22"/>
          <w:szCs w:val="22"/>
        </w:rPr>
      </w:pPr>
      <w:r w:rsidRPr="00046999">
        <w:rPr>
          <w:rFonts w:cs="Calibri"/>
          <w:sz w:val="22"/>
          <w:szCs w:val="22"/>
        </w:rPr>
        <w:t>Where:</w:t>
      </w:r>
    </w:p>
    <w:p w:rsidR="00A95413" w:rsidRPr="003E27C6" w:rsidRDefault="00A95413" w:rsidP="001D4BB3">
      <w:pPr>
        <w:shd w:val="clear" w:color="auto" w:fill="FFFFFF"/>
        <w:jc w:val="both"/>
        <w:rPr>
          <w:rFonts w:cs="Calibri"/>
        </w:rPr>
      </w:pPr>
      <w:r w:rsidRPr="003E27C6">
        <w:rPr>
          <w:rFonts w:cs="Calibri"/>
        </w:rPr>
        <w:t>DSCORE</w:t>
      </w:r>
      <w:r w:rsidRPr="003E27C6">
        <w:rPr>
          <w:rFonts w:cs="Calibri"/>
        </w:rPr>
        <w:tab/>
      </w:r>
      <w:r>
        <w:rPr>
          <w:rFonts w:cs="Calibri"/>
        </w:rPr>
        <w:tab/>
      </w:r>
      <w:r w:rsidRPr="003E27C6">
        <w:rPr>
          <w:rFonts w:cs="Calibri"/>
        </w:rPr>
        <w:t>= disclosure score</w:t>
      </w:r>
    </w:p>
    <w:p w:rsidR="00A95413" w:rsidRPr="003E27C6" w:rsidRDefault="00A95413" w:rsidP="001D4BB3">
      <w:pPr>
        <w:shd w:val="clear" w:color="auto" w:fill="FFFFFF"/>
        <w:jc w:val="both"/>
        <w:rPr>
          <w:rFonts w:cs="Calibri"/>
        </w:rPr>
      </w:pPr>
      <w:r w:rsidRPr="003E27C6">
        <w:rPr>
          <w:rFonts w:cs="Calibri"/>
        </w:rPr>
        <w:t>MOWN</w:t>
      </w:r>
      <w:r w:rsidRPr="003E27C6">
        <w:rPr>
          <w:rFonts w:cs="Calibri"/>
        </w:rPr>
        <w:tab/>
      </w:r>
      <w:r w:rsidRPr="003E27C6">
        <w:rPr>
          <w:rFonts w:cs="Calibri"/>
        </w:rPr>
        <w:tab/>
        <w:t>= percentage of equity ownership by CEO and inside directors</w:t>
      </w:r>
    </w:p>
    <w:p w:rsidR="00A95413" w:rsidRPr="003E27C6" w:rsidRDefault="00A95413" w:rsidP="001D4BB3">
      <w:pPr>
        <w:shd w:val="clear" w:color="auto" w:fill="FFFFFF"/>
        <w:jc w:val="both"/>
        <w:rPr>
          <w:rFonts w:cs="Calibri"/>
        </w:rPr>
      </w:pPr>
      <w:r w:rsidRPr="003E27C6">
        <w:rPr>
          <w:rFonts w:cs="Calibri"/>
        </w:rPr>
        <w:t>BLOCK</w:t>
      </w:r>
      <w:r w:rsidRPr="003E27C6">
        <w:rPr>
          <w:rFonts w:cs="Calibri"/>
        </w:rPr>
        <w:tab/>
      </w:r>
      <w:r w:rsidRPr="003E27C6">
        <w:rPr>
          <w:rFonts w:cs="Calibri"/>
        </w:rPr>
        <w:tab/>
        <w:t>= percentage of equity ownership by substantial shareholders (with equity of 5% or more)</w:t>
      </w:r>
    </w:p>
    <w:p w:rsidR="00A95413" w:rsidRPr="003E27C6" w:rsidRDefault="00A95413" w:rsidP="001D4BB3">
      <w:pPr>
        <w:shd w:val="clear" w:color="auto" w:fill="FFFFFF"/>
        <w:jc w:val="both"/>
        <w:rPr>
          <w:rFonts w:cs="Calibri"/>
        </w:rPr>
      </w:pPr>
      <w:r w:rsidRPr="003E27C6">
        <w:rPr>
          <w:rFonts w:cs="Calibri"/>
        </w:rPr>
        <w:t>GLC</w:t>
      </w:r>
      <w:r w:rsidRPr="003E27C6">
        <w:rPr>
          <w:rFonts w:cs="Calibri"/>
        </w:rPr>
        <w:tab/>
      </w:r>
      <w:r w:rsidRPr="003E27C6">
        <w:rPr>
          <w:rFonts w:cs="Calibri"/>
        </w:rPr>
        <w:tab/>
        <w:t>= dummy variable for government ownership, coded as 1 for GLCs and 0 otherwise</w:t>
      </w:r>
    </w:p>
    <w:p w:rsidR="00A95413" w:rsidRPr="003E27C6" w:rsidRDefault="00A95413" w:rsidP="001D4BB3">
      <w:pPr>
        <w:shd w:val="clear" w:color="auto" w:fill="FFFFFF"/>
        <w:jc w:val="both"/>
        <w:rPr>
          <w:rFonts w:cs="Calibri"/>
        </w:rPr>
      </w:pPr>
      <w:r w:rsidRPr="003E27C6">
        <w:rPr>
          <w:rFonts w:cs="Calibri"/>
        </w:rPr>
        <w:t>OUTDIR</w:t>
      </w:r>
      <w:r w:rsidRPr="003E27C6">
        <w:rPr>
          <w:rFonts w:cs="Calibri"/>
        </w:rPr>
        <w:tab/>
      </w:r>
      <w:r w:rsidRPr="003E27C6">
        <w:rPr>
          <w:rFonts w:cs="Calibri"/>
        </w:rPr>
        <w:tab/>
        <w:t>= percentage of outside directors on the board</w:t>
      </w:r>
    </w:p>
    <w:p w:rsidR="00A95413" w:rsidRPr="003E27C6" w:rsidRDefault="00A95413" w:rsidP="001D4BB3">
      <w:pPr>
        <w:shd w:val="clear" w:color="auto" w:fill="FFFFFF"/>
        <w:jc w:val="both"/>
        <w:rPr>
          <w:rFonts w:cs="Calibri"/>
        </w:rPr>
      </w:pPr>
      <w:r w:rsidRPr="003E27C6">
        <w:rPr>
          <w:rFonts w:cs="Calibri"/>
        </w:rPr>
        <w:t>GROWTH</w:t>
      </w:r>
      <w:r w:rsidRPr="003E27C6">
        <w:rPr>
          <w:rFonts w:cs="Calibri"/>
        </w:rPr>
        <w:tab/>
        <w:t>= factor score of growth opportunities</w:t>
      </w:r>
      <w:bookmarkStart w:id="115" w:name="bfnfn9"/>
      <w:bookmarkEnd w:id="115"/>
    </w:p>
    <w:p w:rsidR="00A95413" w:rsidRPr="003E27C6" w:rsidRDefault="00A95413" w:rsidP="001D4BB3">
      <w:pPr>
        <w:jc w:val="both"/>
        <w:rPr>
          <w:rFonts w:cs="Calibri"/>
        </w:rPr>
      </w:pPr>
      <w:r w:rsidRPr="003E27C6">
        <w:rPr>
          <w:rFonts w:cs="Calibri"/>
        </w:rPr>
        <w:t>FSIZE</w:t>
      </w:r>
      <w:r w:rsidRPr="003E27C6">
        <w:rPr>
          <w:rFonts w:cs="Calibri"/>
        </w:rPr>
        <w:tab/>
      </w:r>
      <w:r w:rsidRPr="003E27C6">
        <w:rPr>
          <w:rFonts w:cs="Calibri"/>
        </w:rPr>
        <w:tab/>
        <w:t>= logarithm of market value of firm</w:t>
      </w:r>
    </w:p>
    <w:p w:rsidR="00A95413" w:rsidRPr="003E27C6" w:rsidRDefault="00A95413" w:rsidP="001D4BB3">
      <w:pPr>
        <w:jc w:val="both"/>
        <w:rPr>
          <w:rFonts w:cs="Calibri"/>
        </w:rPr>
      </w:pPr>
      <w:r w:rsidRPr="003E27C6">
        <w:rPr>
          <w:rFonts w:cs="Calibri"/>
        </w:rPr>
        <w:t>DEBT</w:t>
      </w:r>
      <w:r w:rsidRPr="003E27C6">
        <w:rPr>
          <w:rFonts w:cs="Calibri"/>
        </w:rPr>
        <w:tab/>
      </w:r>
      <w:r w:rsidRPr="003E27C6">
        <w:rPr>
          <w:rFonts w:cs="Calibri"/>
        </w:rPr>
        <w:tab/>
        <w:t>= total liabilities divided by total assets</w:t>
      </w:r>
    </w:p>
    <w:p w:rsidR="00A95413" w:rsidRPr="003E27C6" w:rsidRDefault="00A95413" w:rsidP="001D4BB3">
      <w:pPr>
        <w:jc w:val="both"/>
        <w:rPr>
          <w:rFonts w:cs="Calibri"/>
        </w:rPr>
      </w:pPr>
      <w:r w:rsidRPr="003E27C6">
        <w:rPr>
          <w:rFonts w:cs="Calibri"/>
        </w:rPr>
        <w:t>INDUSTRY</w:t>
      </w:r>
      <w:r w:rsidRPr="003E27C6">
        <w:rPr>
          <w:rFonts w:cs="Calibri"/>
        </w:rPr>
        <w:tab/>
        <w:t>= dummy variable for industry, coded as 1 for finance industry and 0 otherwise</w:t>
      </w:r>
    </w:p>
    <w:p w:rsidR="00A95413" w:rsidRPr="003E27C6" w:rsidRDefault="00A95413" w:rsidP="001D4BB3">
      <w:pPr>
        <w:jc w:val="both"/>
        <w:rPr>
          <w:rFonts w:cs="Calibri"/>
        </w:rPr>
      </w:pPr>
      <w:r w:rsidRPr="003E27C6">
        <w:rPr>
          <w:rFonts w:cs="Calibri"/>
        </w:rPr>
        <w:t>AUDITOR</w:t>
      </w:r>
      <w:r w:rsidRPr="003E27C6">
        <w:rPr>
          <w:rFonts w:cs="Calibri"/>
        </w:rPr>
        <w:tab/>
        <w:t>= dummy variable for auditor reputation, coded as 1 for Big-Six firm and 0 otherwise</w:t>
      </w:r>
    </w:p>
    <w:p w:rsidR="00A95413" w:rsidRPr="003E27C6" w:rsidRDefault="00A95413" w:rsidP="001D4BB3">
      <w:pPr>
        <w:jc w:val="both"/>
        <w:rPr>
          <w:rFonts w:cs="Calibri"/>
        </w:rPr>
      </w:pPr>
      <w:r w:rsidRPr="003E27C6">
        <w:rPr>
          <w:rFonts w:cs="Calibri"/>
        </w:rPr>
        <w:t>ANALYST</w:t>
      </w:r>
      <w:r w:rsidRPr="003E27C6">
        <w:rPr>
          <w:rFonts w:cs="Calibri"/>
        </w:rPr>
        <w:tab/>
        <w:t>= number of analysts following the firm</w:t>
      </w:r>
    </w:p>
    <w:p w:rsidR="00A95413" w:rsidRPr="003E27C6" w:rsidRDefault="00A95413" w:rsidP="001D4BB3">
      <w:pPr>
        <w:jc w:val="both"/>
        <w:rPr>
          <w:rFonts w:cs="Calibri"/>
        </w:rPr>
      </w:pPr>
      <w:r w:rsidRPr="003E27C6">
        <w:rPr>
          <w:rFonts w:cs="Calibri"/>
        </w:rPr>
        <w:t>STOCKRET</w:t>
      </w:r>
      <w:r w:rsidRPr="003E27C6">
        <w:rPr>
          <w:rFonts w:cs="Calibri"/>
        </w:rPr>
        <w:tab/>
        <w:t>= stock return measured by change in stock price over the year</w:t>
      </w:r>
    </w:p>
    <w:p w:rsidR="00A95413" w:rsidRPr="003E27C6" w:rsidRDefault="00A95413" w:rsidP="001D4BB3">
      <w:pPr>
        <w:jc w:val="both"/>
        <w:rPr>
          <w:rFonts w:cs="Calibri"/>
        </w:rPr>
      </w:pPr>
      <w:r w:rsidRPr="003E27C6">
        <w:rPr>
          <w:rFonts w:cs="Calibri"/>
        </w:rPr>
        <w:t>ROE</w:t>
      </w:r>
      <w:r w:rsidRPr="003E27C6">
        <w:rPr>
          <w:rFonts w:cs="Calibri"/>
        </w:rPr>
        <w:tab/>
      </w:r>
      <w:r w:rsidRPr="003E27C6">
        <w:rPr>
          <w:rFonts w:cs="Calibri"/>
        </w:rPr>
        <w:tab/>
        <w:t>= return on shareholders’ equity</w:t>
      </w:r>
    </w:p>
    <w:p w:rsidR="00A95413" w:rsidRPr="00046999" w:rsidRDefault="00A95413" w:rsidP="001D4BB3">
      <w:pPr>
        <w:autoSpaceDE w:val="0"/>
        <w:autoSpaceDN w:val="0"/>
        <w:adjustRightInd w:val="0"/>
        <w:spacing w:after="0"/>
        <w:jc w:val="both"/>
        <w:rPr>
          <w:rFonts w:cs="Calibri"/>
          <w:sz w:val="22"/>
          <w:szCs w:val="22"/>
        </w:rPr>
      </w:pPr>
      <w:r w:rsidRPr="00046999">
        <w:rPr>
          <w:rFonts w:cs="Calibri"/>
          <w:sz w:val="22"/>
          <w:szCs w:val="22"/>
        </w:rPr>
        <w:t>The findings show that lower managerial ownership is associated with increased voluntary disclosure (a negative association) and so H1 is accepted. Furthermore, they found no significant association between blockholder ownership and the level of voluntary disclosures and therefore H2 is rejected. Regarding government ownership they found that more government ownership leads to more voluntary disclosures hence, H3 is accepted.</w:t>
      </w:r>
    </w:p>
    <w:p w:rsidR="00A95413" w:rsidRPr="00046999" w:rsidRDefault="00A95413" w:rsidP="001D4BB3">
      <w:pPr>
        <w:jc w:val="both"/>
        <w:rPr>
          <w:rFonts w:cs="Calibri"/>
          <w:i/>
          <w:color w:val="000000"/>
          <w:sz w:val="22"/>
          <w:szCs w:val="22"/>
          <w:lang w:eastAsia="nl-NL"/>
        </w:rPr>
      </w:pPr>
      <w:r w:rsidRPr="00046999">
        <w:rPr>
          <w:rFonts w:cs="Calibri"/>
          <w:i/>
          <w:color w:val="000000"/>
          <w:sz w:val="22"/>
          <w:szCs w:val="22"/>
          <w:lang w:eastAsia="nl-NL"/>
        </w:rPr>
        <w:t>Barako, Hancock and Izan (2006)</w:t>
      </w:r>
    </w:p>
    <w:p w:rsidR="00A95413" w:rsidRPr="00046999" w:rsidRDefault="00A95413" w:rsidP="001D4BB3">
      <w:pPr>
        <w:jc w:val="both"/>
        <w:rPr>
          <w:rFonts w:cs="Calibri"/>
          <w:color w:val="000000"/>
          <w:sz w:val="22"/>
          <w:szCs w:val="22"/>
          <w:lang w:eastAsia="nl-NL"/>
        </w:rPr>
      </w:pPr>
      <w:r>
        <w:rPr>
          <w:rFonts w:cs="Calibri"/>
          <w:color w:val="000000"/>
          <w:sz w:val="22"/>
          <w:szCs w:val="22"/>
          <w:lang w:eastAsia="nl-NL"/>
        </w:rPr>
        <w:t>Examining the</w:t>
      </w:r>
      <w:r w:rsidRPr="00046999">
        <w:rPr>
          <w:rFonts w:cs="Calibri"/>
          <w:color w:val="000000"/>
          <w:sz w:val="22"/>
          <w:szCs w:val="22"/>
          <w:lang w:eastAsia="nl-NL"/>
        </w:rPr>
        <w:t xml:space="preserve"> study from Barako, Hancock and Izan (2006) </w:t>
      </w:r>
      <w:r>
        <w:rPr>
          <w:rFonts w:cs="Calibri"/>
          <w:color w:val="000000"/>
          <w:sz w:val="22"/>
          <w:szCs w:val="22"/>
          <w:lang w:eastAsia="nl-NL"/>
        </w:rPr>
        <w:t>it can be noted t</w:t>
      </w:r>
      <w:r w:rsidRPr="00046999">
        <w:rPr>
          <w:rFonts w:cs="Calibri"/>
          <w:color w:val="000000"/>
          <w:sz w:val="22"/>
          <w:szCs w:val="22"/>
          <w:lang w:eastAsia="nl-NL"/>
        </w:rPr>
        <w:t xml:space="preserve">hat their research involved analyzing factors influencing voluntary corporate disclosure by Kenyan companies. The factors used in their study are the presence of an audit committee, board composition, foreign ownership, institutional ownership, shareholder concentration, firm size, external auditor firm, profitability, liquidity, industry type and leverage ratio. Their sample consists of 54 firms listed on the NSE. Shareholder concentration is measured by the proportion held by the top twenty shareholders. Firm size is measured by the total assets. Leverage is measured as the ratio of total debt to total assets. Board composition is ‘the ratio of </w:t>
      </w:r>
      <w:r w:rsidRPr="00046999">
        <w:rPr>
          <w:rFonts w:cs="Calibri"/>
          <w:color w:val="000000"/>
          <w:sz w:val="22"/>
          <w:szCs w:val="22"/>
          <w:lang w:eastAsia="nl-NL"/>
        </w:rPr>
        <w:lastRenderedPageBreak/>
        <w:t xml:space="preserve">non-executive directors to the total number of directors on the board’. Foreign and institutional ownership are the proportion of shares held by foreigners and institutions respectively. The results clearly show that the presence of an audit committee positively relates to the extent of voluntary disclosures. The study was performed over multiple years and in the first few years there appeared to be a negative relation between board composition and the amount of voluntary disclosures whereas in the later years this appeared to be a positive relationship. In addition, foreign ownership, institutional ownership, firm size and leverage also have a significant positive relation with the extent of voluntary disclosures. Shareholder concentration, however, shows a significant negative relation with the extent of voluntary disclosures which corresponds to the results found by McKinnon and Dalimunthe (1993) and Eng and Mak (2003). </w:t>
      </w:r>
    </w:p>
    <w:p w:rsidR="00A95413" w:rsidRPr="00046999" w:rsidRDefault="00A95413" w:rsidP="001D4BB3">
      <w:pPr>
        <w:jc w:val="both"/>
        <w:rPr>
          <w:rFonts w:cs="Calibri"/>
          <w:i/>
          <w:sz w:val="22"/>
          <w:szCs w:val="22"/>
        </w:rPr>
      </w:pPr>
      <w:r w:rsidRPr="00046999">
        <w:rPr>
          <w:rFonts w:cs="Calibri"/>
          <w:i/>
          <w:sz w:val="22"/>
          <w:szCs w:val="22"/>
        </w:rPr>
        <w:t>Huafang and Jianguo (2007)</w:t>
      </w:r>
    </w:p>
    <w:p w:rsidR="00A95413" w:rsidRPr="00046999" w:rsidRDefault="00A95413" w:rsidP="001D4BB3">
      <w:pPr>
        <w:jc w:val="both"/>
        <w:rPr>
          <w:rFonts w:cs="Calibri"/>
          <w:sz w:val="22"/>
          <w:szCs w:val="22"/>
        </w:rPr>
      </w:pPr>
      <w:r w:rsidRPr="00046999">
        <w:rPr>
          <w:rFonts w:cs="Calibri"/>
          <w:sz w:val="22"/>
          <w:szCs w:val="22"/>
        </w:rPr>
        <w:t>Huafang and Jianguo (2007) studied the relation between ownership structure, board composition and voluntary disclosures in China. For ownership structure they use blockholder, managerial, state, legal-person and foreign listings/shares ownership. Board composition is measured by the proportion of outside directors and CEO duality; CEO’s who both act as board chairs. Their sample consists of 559 firm observations in the year 2002. Blockholder ownership is measured by the proportion of shares held by substantial shareholders (5% or more). Managerial ownership is measured by the proportion of shares held by senior managers, including directors and supervisors. State ownership is measured by the proportion of shares owned by the state. Furthermore they controlled for firm size, leverage, intangible assets and auditor reputation. They expected the following:</w:t>
      </w:r>
    </w:p>
    <w:p w:rsidR="00A95413" w:rsidRPr="00046999" w:rsidRDefault="00A95413" w:rsidP="001D4BB3">
      <w:pPr>
        <w:autoSpaceDE w:val="0"/>
        <w:autoSpaceDN w:val="0"/>
        <w:adjustRightInd w:val="0"/>
        <w:spacing w:before="0" w:after="0"/>
        <w:jc w:val="both"/>
        <w:rPr>
          <w:rFonts w:cs="Calibri"/>
          <w:i/>
          <w:sz w:val="22"/>
          <w:szCs w:val="22"/>
        </w:rPr>
      </w:pPr>
      <w:r w:rsidRPr="00046999">
        <w:rPr>
          <w:rFonts w:cs="Calibri"/>
          <w:i/>
          <w:sz w:val="22"/>
          <w:szCs w:val="22"/>
        </w:rPr>
        <w:t>H1. There is a positive association between blockholder ownership and the extent of voluntary disclosure.</w:t>
      </w:r>
    </w:p>
    <w:p w:rsidR="00A95413" w:rsidRPr="00046999" w:rsidRDefault="00A95413" w:rsidP="001D4BB3">
      <w:pPr>
        <w:autoSpaceDE w:val="0"/>
        <w:autoSpaceDN w:val="0"/>
        <w:adjustRightInd w:val="0"/>
        <w:spacing w:before="0" w:after="0"/>
        <w:jc w:val="both"/>
        <w:rPr>
          <w:rFonts w:cs="Calibri"/>
          <w:i/>
          <w:sz w:val="22"/>
          <w:szCs w:val="22"/>
        </w:rPr>
      </w:pPr>
      <w:r w:rsidRPr="00046999">
        <w:rPr>
          <w:rFonts w:cs="Calibri"/>
          <w:i/>
          <w:sz w:val="22"/>
          <w:szCs w:val="22"/>
        </w:rPr>
        <w:t>H2. There is a positive association between managerial ownership and the level of voluntary disclosure.</w:t>
      </w:r>
    </w:p>
    <w:p w:rsidR="00A95413" w:rsidRPr="00046999" w:rsidRDefault="00A95413" w:rsidP="001D4BB3">
      <w:pPr>
        <w:autoSpaceDE w:val="0"/>
        <w:autoSpaceDN w:val="0"/>
        <w:adjustRightInd w:val="0"/>
        <w:spacing w:before="0" w:after="0"/>
        <w:jc w:val="both"/>
        <w:rPr>
          <w:rFonts w:cs="Calibri"/>
          <w:i/>
          <w:sz w:val="22"/>
          <w:szCs w:val="22"/>
        </w:rPr>
      </w:pPr>
      <w:r w:rsidRPr="00046999">
        <w:rPr>
          <w:rFonts w:cs="Calibri"/>
          <w:i/>
          <w:sz w:val="22"/>
          <w:szCs w:val="22"/>
        </w:rPr>
        <w:t>H3. There is a negative association between state ownership and the level of voluntary disclosure.</w:t>
      </w:r>
    </w:p>
    <w:p w:rsidR="00A95413" w:rsidRPr="00046999" w:rsidRDefault="00A95413" w:rsidP="001D4BB3">
      <w:pPr>
        <w:jc w:val="both"/>
        <w:rPr>
          <w:rFonts w:cs="Calibri"/>
          <w:sz w:val="22"/>
          <w:szCs w:val="22"/>
        </w:rPr>
      </w:pPr>
      <w:r w:rsidRPr="00046999">
        <w:rPr>
          <w:rFonts w:cs="Calibri"/>
          <w:sz w:val="22"/>
          <w:szCs w:val="22"/>
        </w:rPr>
        <w:t>They employed a disclosure score sheet to measure the extent of voluntary disclosures (appendix VI). Furthermore, an ordinary least squares regression model was used to obtain the results. This is their regression model:</w:t>
      </w:r>
    </w:p>
    <w:p w:rsidR="00A95413" w:rsidRPr="00046999" w:rsidRDefault="00A95413" w:rsidP="001D4BB3">
      <w:pPr>
        <w:autoSpaceDE w:val="0"/>
        <w:autoSpaceDN w:val="0"/>
        <w:adjustRightInd w:val="0"/>
        <w:spacing w:after="0"/>
        <w:jc w:val="both"/>
        <w:rPr>
          <w:rFonts w:cs="Calibri"/>
          <w:sz w:val="22"/>
          <w:szCs w:val="22"/>
        </w:rPr>
      </w:pPr>
      <w:r w:rsidRPr="00046999">
        <w:rPr>
          <w:rFonts w:cs="Calibri"/>
          <w:sz w:val="22"/>
          <w:szCs w:val="22"/>
        </w:rPr>
        <w:t>DSCOREi = b0 +b1BLOCKi +b2MOWNi +b3SOEi +b4LEGALi +b5FSHi +b6IDRi +b7DUALi +b8FSIZEi +b9DEBTi +b10INTANi +b11BIG4i + 1i</w:t>
      </w:r>
    </w:p>
    <w:p w:rsidR="00A95413" w:rsidRPr="00046999" w:rsidRDefault="00A95413" w:rsidP="001D4BB3">
      <w:pPr>
        <w:autoSpaceDE w:val="0"/>
        <w:autoSpaceDN w:val="0"/>
        <w:adjustRightInd w:val="0"/>
        <w:spacing w:after="0"/>
        <w:jc w:val="both"/>
        <w:rPr>
          <w:rFonts w:cs="Calibri"/>
          <w:sz w:val="22"/>
          <w:szCs w:val="22"/>
        </w:rPr>
      </w:pPr>
      <w:r w:rsidRPr="00046999">
        <w:rPr>
          <w:rFonts w:cs="Calibri"/>
          <w:sz w:val="22"/>
          <w:szCs w:val="22"/>
        </w:rPr>
        <w:t>Where:</w:t>
      </w:r>
    </w:p>
    <w:p w:rsidR="00A95413" w:rsidRPr="00F65382" w:rsidRDefault="00A95413" w:rsidP="001D4BB3">
      <w:pPr>
        <w:autoSpaceDE w:val="0"/>
        <w:autoSpaceDN w:val="0"/>
        <w:adjustRightInd w:val="0"/>
        <w:spacing w:after="0"/>
        <w:jc w:val="both"/>
        <w:rPr>
          <w:rFonts w:cs="Calibri"/>
        </w:rPr>
      </w:pPr>
      <w:r w:rsidRPr="00F65382">
        <w:rPr>
          <w:rFonts w:cs="Calibri"/>
        </w:rPr>
        <w:t>DSCORE</w:t>
      </w:r>
      <w:r w:rsidRPr="00F65382">
        <w:rPr>
          <w:rFonts w:cs="Calibri"/>
        </w:rPr>
        <w:tab/>
      </w:r>
      <w:r>
        <w:rPr>
          <w:rFonts w:cs="Calibri"/>
        </w:rPr>
        <w:tab/>
      </w:r>
      <w:r w:rsidRPr="00F65382">
        <w:rPr>
          <w:rFonts w:cs="Calibri"/>
        </w:rPr>
        <w:t xml:space="preserve"> = voluntary disclosure score </w:t>
      </w:r>
    </w:p>
    <w:p w:rsidR="00A95413" w:rsidRPr="00F65382" w:rsidRDefault="00A95413" w:rsidP="001D4BB3">
      <w:pPr>
        <w:autoSpaceDE w:val="0"/>
        <w:autoSpaceDN w:val="0"/>
        <w:adjustRightInd w:val="0"/>
        <w:spacing w:after="0"/>
        <w:jc w:val="both"/>
        <w:rPr>
          <w:rFonts w:cs="Calibri"/>
        </w:rPr>
      </w:pPr>
      <w:r w:rsidRPr="00F65382">
        <w:rPr>
          <w:rFonts w:cs="Calibri"/>
        </w:rPr>
        <w:t xml:space="preserve">BLOCK </w:t>
      </w:r>
      <w:r w:rsidRPr="00F65382">
        <w:rPr>
          <w:rFonts w:cs="Calibri"/>
        </w:rPr>
        <w:tab/>
      </w:r>
      <w:r w:rsidRPr="00F65382">
        <w:rPr>
          <w:rFonts w:cs="Calibri"/>
        </w:rPr>
        <w:tab/>
        <w:t>= proportion of equity ownership by substantial shareholders (with equity of 5 percent or more)</w:t>
      </w:r>
    </w:p>
    <w:p w:rsidR="00A95413" w:rsidRPr="00F65382" w:rsidRDefault="00A95413" w:rsidP="001D4BB3">
      <w:pPr>
        <w:autoSpaceDE w:val="0"/>
        <w:autoSpaceDN w:val="0"/>
        <w:adjustRightInd w:val="0"/>
        <w:spacing w:after="0"/>
        <w:jc w:val="both"/>
        <w:rPr>
          <w:rFonts w:cs="Calibri"/>
        </w:rPr>
      </w:pPr>
      <w:r w:rsidRPr="00F65382">
        <w:rPr>
          <w:rFonts w:cs="Calibri"/>
        </w:rPr>
        <w:t xml:space="preserve">MOWN </w:t>
      </w:r>
      <w:r w:rsidRPr="00F65382">
        <w:rPr>
          <w:rFonts w:cs="Calibri"/>
        </w:rPr>
        <w:tab/>
      </w:r>
      <w:r>
        <w:rPr>
          <w:rFonts w:cs="Calibri"/>
        </w:rPr>
        <w:tab/>
      </w:r>
      <w:r w:rsidRPr="00F65382">
        <w:rPr>
          <w:rFonts w:cs="Calibri"/>
        </w:rPr>
        <w:t>= proportion of equity ownership by senior managers, including directors and supervisors</w:t>
      </w:r>
    </w:p>
    <w:p w:rsidR="00A95413" w:rsidRPr="00F65382" w:rsidRDefault="00A95413" w:rsidP="001D4BB3">
      <w:pPr>
        <w:autoSpaceDE w:val="0"/>
        <w:autoSpaceDN w:val="0"/>
        <w:adjustRightInd w:val="0"/>
        <w:spacing w:after="0"/>
        <w:jc w:val="both"/>
        <w:rPr>
          <w:rFonts w:cs="Calibri"/>
        </w:rPr>
      </w:pPr>
      <w:r w:rsidRPr="00F65382">
        <w:rPr>
          <w:rFonts w:cs="Calibri"/>
        </w:rPr>
        <w:t>SOE</w:t>
      </w:r>
      <w:r w:rsidRPr="00F65382">
        <w:rPr>
          <w:rFonts w:cs="Calibri"/>
        </w:rPr>
        <w:tab/>
      </w:r>
      <w:r w:rsidRPr="00F65382">
        <w:rPr>
          <w:rFonts w:cs="Calibri"/>
        </w:rPr>
        <w:tab/>
        <w:t xml:space="preserve"> = proportion of equity ownership by the state</w:t>
      </w:r>
    </w:p>
    <w:p w:rsidR="00A95413" w:rsidRPr="00F65382" w:rsidRDefault="00A95413" w:rsidP="001D4BB3">
      <w:pPr>
        <w:autoSpaceDE w:val="0"/>
        <w:autoSpaceDN w:val="0"/>
        <w:adjustRightInd w:val="0"/>
        <w:spacing w:after="0"/>
        <w:jc w:val="both"/>
        <w:rPr>
          <w:rFonts w:cs="Calibri"/>
        </w:rPr>
      </w:pPr>
      <w:r w:rsidRPr="00F65382">
        <w:rPr>
          <w:rFonts w:cs="Calibri"/>
        </w:rPr>
        <w:t>LEGAL</w:t>
      </w:r>
      <w:r w:rsidRPr="00F65382">
        <w:rPr>
          <w:rFonts w:cs="Calibri"/>
        </w:rPr>
        <w:tab/>
      </w:r>
      <w:r w:rsidRPr="00F65382">
        <w:rPr>
          <w:rFonts w:cs="Calibri"/>
        </w:rPr>
        <w:tab/>
        <w:t xml:space="preserve"> = proportion of equity ownership by legal person</w:t>
      </w:r>
    </w:p>
    <w:p w:rsidR="00A95413" w:rsidRPr="00F65382" w:rsidRDefault="00A95413" w:rsidP="001D4BB3">
      <w:pPr>
        <w:autoSpaceDE w:val="0"/>
        <w:autoSpaceDN w:val="0"/>
        <w:adjustRightInd w:val="0"/>
        <w:spacing w:after="0"/>
        <w:jc w:val="both"/>
        <w:rPr>
          <w:rFonts w:cs="Calibri"/>
        </w:rPr>
      </w:pPr>
      <w:r w:rsidRPr="00F65382">
        <w:rPr>
          <w:rFonts w:cs="Calibri"/>
        </w:rPr>
        <w:lastRenderedPageBreak/>
        <w:t xml:space="preserve">FSH </w:t>
      </w:r>
      <w:r w:rsidRPr="00F65382">
        <w:rPr>
          <w:rFonts w:cs="Calibri"/>
        </w:rPr>
        <w:tab/>
      </w:r>
      <w:r w:rsidRPr="00F65382">
        <w:rPr>
          <w:rFonts w:cs="Calibri"/>
        </w:rPr>
        <w:tab/>
        <w:t>= dummy variable for foreign listing/shares ownership, 1 if the firm had issued H-share or B-share, 0 otherwise</w:t>
      </w:r>
    </w:p>
    <w:p w:rsidR="00A95413" w:rsidRPr="00F65382" w:rsidRDefault="00A95413" w:rsidP="001D4BB3">
      <w:pPr>
        <w:autoSpaceDE w:val="0"/>
        <w:autoSpaceDN w:val="0"/>
        <w:adjustRightInd w:val="0"/>
        <w:spacing w:after="0"/>
        <w:jc w:val="both"/>
        <w:rPr>
          <w:rFonts w:cs="Calibri"/>
        </w:rPr>
      </w:pPr>
      <w:r w:rsidRPr="00F65382">
        <w:rPr>
          <w:rFonts w:cs="Calibri"/>
        </w:rPr>
        <w:t xml:space="preserve">IDR </w:t>
      </w:r>
      <w:r w:rsidRPr="00F65382">
        <w:rPr>
          <w:rFonts w:cs="Calibri"/>
        </w:rPr>
        <w:tab/>
      </w:r>
      <w:r w:rsidRPr="00F65382">
        <w:rPr>
          <w:rFonts w:cs="Calibri"/>
        </w:rPr>
        <w:tab/>
        <w:t>= proportion of IND on the board of directors;</w:t>
      </w:r>
    </w:p>
    <w:p w:rsidR="00A95413" w:rsidRPr="00F65382" w:rsidRDefault="00A95413" w:rsidP="001D4BB3">
      <w:pPr>
        <w:autoSpaceDE w:val="0"/>
        <w:autoSpaceDN w:val="0"/>
        <w:adjustRightInd w:val="0"/>
        <w:spacing w:after="0"/>
        <w:jc w:val="both"/>
        <w:rPr>
          <w:rFonts w:cs="Calibri"/>
        </w:rPr>
      </w:pPr>
      <w:r w:rsidRPr="00F65382">
        <w:rPr>
          <w:rFonts w:cs="Calibri"/>
        </w:rPr>
        <w:t xml:space="preserve">DUAL </w:t>
      </w:r>
      <w:r w:rsidRPr="00F65382">
        <w:rPr>
          <w:rFonts w:cs="Calibri"/>
        </w:rPr>
        <w:tab/>
      </w:r>
      <w:r w:rsidRPr="00F65382">
        <w:rPr>
          <w:rFonts w:cs="Calibri"/>
        </w:rPr>
        <w:tab/>
        <w:t>= dummy variable for CEO duality, 1 if the CEO is also chairman of the board, 0 otherwise</w:t>
      </w:r>
    </w:p>
    <w:p w:rsidR="00A95413" w:rsidRPr="00F65382" w:rsidRDefault="00A95413" w:rsidP="001D4BB3">
      <w:pPr>
        <w:autoSpaceDE w:val="0"/>
        <w:autoSpaceDN w:val="0"/>
        <w:adjustRightInd w:val="0"/>
        <w:spacing w:after="0"/>
        <w:jc w:val="both"/>
        <w:rPr>
          <w:rFonts w:cs="Calibri"/>
        </w:rPr>
      </w:pPr>
      <w:r w:rsidRPr="00F65382">
        <w:rPr>
          <w:rFonts w:cs="Calibri"/>
        </w:rPr>
        <w:t xml:space="preserve">FSIZE </w:t>
      </w:r>
      <w:r w:rsidRPr="00F65382">
        <w:rPr>
          <w:rFonts w:cs="Calibri"/>
        </w:rPr>
        <w:tab/>
      </w:r>
      <w:r w:rsidRPr="00F65382">
        <w:rPr>
          <w:rFonts w:cs="Calibri"/>
        </w:rPr>
        <w:tab/>
        <w:t>= logarithm of firm’s total assets at fiscal year end of 2002;</w:t>
      </w:r>
    </w:p>
    <w:p w:rsidR="00A95413" w:rsidRPr="00F65382" w:rsidRDefault="00A95413" w:rsidP="001D4BB3">
      <w:pPr>
        <w:autoSpaceDE w:val="0"/>
        <w:autoSpaceDN w:val="0"/>
        <w:adjustRightInd w:val="0"/>
        <w:spacing w:after="0"/>
        <w:jc w:val="both"/>
        <w:rPr>
          <w:rFonts w:cs="Calibri"/>
        </w:rPr>
      </w:pPr>
      <w:r w:rsidRPr="00F65382">
        <w:rPr>
          <w:rFonts w:cs="Calibri"/>
        </w:rPr>
        <w:t xml:space="preserve">DEBT </w:t>
      </w:r>
      <w:r w:rsidRPr="00F65382">
        <w:rPr>
          <w:rFonts w:cs="Calibri"/>
        </w:rPr>
        <w:tab/>
      </w:r>
      <w:r w:rsidRPr="00F65382">
        <w:rPr>
          <w:rFonts w:cs="Calibri"/>
        </w:rPr>
        <w:tab/>
        <w:t>= total liabilities divided by total assets; INTAN – total intangible assets divided by total assets</w:t>
      </w:r>
    </w:p>
    <w:p w:rsidR="00A95413" w:rsidRPr="00F65382" w:rsidRDefault="00A95413" w:rsidP="001D4BB3">
      <w:pPr>
        <w:autoSpaceDE w:val="0"/>
        <w:autoSpaceDN w:val="0"/>
        <w:adjustRightInd w:val="0"/>
        <w:spacing w:after="0"/>
        <w:jc w:val="both"/>
        <w:rPr>
          <w:rFonts w:cs="Calibri"/>
        </w:rPr>
      </w:pPr>
      <w:r w:rsidRPr="00F65382">
        <w:rPr>
          <w:rFonts w:cs="Calibri"/>
        </w:rPr>
        <w:t>BIG4</w:t>
      </w:r>
      <w:r w:rsidRPr="00F65382">
        <w:rPr>
          <w:rFonts w:cs="Calibri"/>
        </w:rPr>
        <w:tab/>
      </w:r>
      <w:r w:rsidRPr="00F65382">
        <w:rPr>
          <w:rFonts w:cs="Calibri"/>
        </w:rPr>
        <w:tab/>
        <w:t xml:space="preserve"> = dummy variable for auditor reputation, 1 if the firm is audited by Big 4 auditor, 0 otherwise.</w:t>
      </w:r>
    </w:p>
    <w:p w:rsidR="00A95413" w:rsidRPr="00046999" w:rsidRDefault="00A95413" w:rsidP="001D4BB3">
      <w:pPr>
        <w:jc w:val="both"/>
        <w:rPr>
          <w:rFonts w:cs="Calibri"/>
          <w:sz w:val="22"/>
          <w:szCs w:val="22"/>
        </w:rPr>
      </w:pPr>
      <w:r w:rsidRPr="00046999">
        <w:rPr>
          <w:rFonts w:cs="Calibri"/>
          <w:sz w:val="22"/>
          <w:szCs w:val="22"/>
        </w:rPr>
        <w:t>Their results show that higher blockholder ownership is significantly related to an increased degree of voluntary disclosure therefore, H1 is accepted. However, their results indicate that managerial ownership and state ownership are not significantly related to the extent of voluntary disclosure and hence, H2 and H3 are rejected. Furthermore, their results also show that large firms disclose to a larger extent than small firms.</w:t>
      </w:r>
    </w:p>
    <w:p w:rsidR="00A95413" w:rsidRPr="00046999" w:rsidRDefault="00A95413" w:rsidP="001D4BB3">
      <w:pPr>
        <w:jc w:val="both"/>
        <w:rPr>
          <w:rFonts w:cs="Calibri"/>
          <w:i/>
          <w:color w:val="000000"/>
          <w:sz w:val="22"/>
          <w:szCs w:val="22"/>
          <w:lang w:eastAsia="nl-NL"/>
        </w:rPr>
      </w:pPr>
      <w:r w:rsidRPr="00046999">
        <w:rPr>
          <w:rFonts w:cs="Calibri"/>
          <w:i/>
          <w:color w:val="000000"/>
          <w:sz w:val="22"/>
          <w:szCs w:val="22"/>
          <w:lang w:eastAsia="nl-NL"/>
        </w:rPr>
        <w:t>Zourarakis (2009)</w:t>
      </w:r>
    </w:p>
    <w:p w:rsidR="00A95413" w:rsidRPr="00046999" w:rsidRDefault="00A95413" w:rsidP="001D4BB3">
      <w:pPr>
        <w:autoSpaceDE w:val="0"/>
        <w:autoSpaceDN w:val="0"/>
        <w:adjustRightInd w:val="0"/>
        <w:spacing w:before="0" w:after="0"/>
        <w:jc w:val="both"/>
        <w:rPr>
          <w:rFonts w:cs="Calibri"/>
          <w:color w:val="000000"/>
          <w:sz w:val="22"/>
          <w:szCs w:val="22"/>
          <w:lang w:eastAsia="nl-NL"/>
        </w:rPr>
      </w:pPr>
      <w:r w:rsidRPr="00046999">
        <w:rPr>
          <w:rFonts w:cs="Calibri"/>
          <w:color w:val="000000"/>
          <w:sz w:val="22"/>
          <w:szCs w:val="22"/>
          <w:lang w:eastAsia="nl-NL"/>
        </w:rPr>
        <w:t>The study of Zourarakis (2009) examines the association between corporate governance and a specific voluntary disclosure; the disclosure of intellectual capital information. He examines 97 British listed firms at the end of year 2007 and analyzes them on board composition, ownership structure, managerial ownership, size, industry, profitability and leverage ratio. Managerial ownership is measured by the proportion of shares held by executive directors. Ownership structure is measured by the sum of substantial shareholders (more than 3%). Size is determined by the natural logarithm of total assets, leverage by the total assets divided by the total liabilities. Profitability is measured by the ROA (return on assets and ROE (return on equity). He expected the following:</w:t>
      </w:r>
    </w:p>
    <w:p w:rsidR="00A95413" w:rsidRPr="00046999" w:rsidRDefault="00A95413" w:rsidP="001D4BB3">
      <w:pPr>
        <w:autoSpaceDE w:val="0"/>
        <w:autoSpaceDN w:val="0"/>
        <w:adjustRightInd w:val="0"/>
        <w:spacing w:before="0" w:after="0"/>
        <w:jc w:val="both"/>
        <w:rPr>
          <w:rFonts w:cs="Calibri"/>
          <w:i/>
          <w:iCs/>
          <w:sz w:val="22"/>
          <w:szCs w:val="22"/>
        </w:rPr>
      </w:pPr>
      <w:r w:rsidRPr="00046999">
        <w:rPr>
          <w:rFonts w:cs="Calibri"/>
          <w:color w:val="000000"/>
          <w:sz w:val="22"/>
          <w:szCs w:val="22"/>
          <w:lang w:eastAsia="nl-NL"/>
        </w:rPr>
        <w:br/>
      </w:r>
      <w:r w:rsidRPr="00046999">
        <w:rPr>
          <w:rFonts w:cs="Calibri"/>
          <w:i/>
          <w:iCs/>
          <w:sz w:val="22"/>
          <w:szCs w:val="22"/>
        </w:rPr>
        <w:t>H1 = IC disclosure is negatively associated with the proportion of shares held by substantial shareholders (ownership structure).</w:t>
      </w:r>
    </w:p>
    <w:p w:rsidR="00A95413" w:rsidRPr="00046999" w:rsidRDefault="00A95413" w:rsidP="001D4BB3">
      <w:pPr>
        <w:jc w:val="both"/>
        <w:rPr>
          <w:rFonts w:cs="Calibri"/>
          <w:i/>
          <w:iCs/>
          <w:sz w:val="22"/>
          <w:szCs w:val="22"/>
        </w:rPr>
      </w:pPr>
      <w:r w:rsidRPr="00046999">
        <w:rPr>
          <w:rFonts w:cs="Calibri"/>
          <w:i/>
          <w:iCs/>
          <w:sz w:val="22"/>
          <w:szCs w:val="22"/>
        </w:rPr>
        <w:t>H2 = IC disclosure is negatively associated with managerial ownership.</w:t>
      </w:r>
    </w:p>
    <w:p w:rsidR="00A95413" w:rsidRPr="00046999" w:rsidRDefault="00A95413" w:rsidP="001D4BB3">
      <w:pPr>
        <w:jc w:val="both"/>
        <w:rPr>
          <w:rFonts w:cs="Calibri"/>
          <w:color w:val="000000"/>
          <w:sz w:val="22"/>
          <w:szCs w:val="22"/>
          <w:lang w:eastAsia="nl-NL"/>
        </w:rPr>
      </w:pPr>
      <w:r w:rsidRPr="00046999">
        <w:rPr>
          <w:rFonts w:cs="Calibri"/>
          <w:color w:val="000000"/>
          <w:sz w:val="22"/>
          <w:szCs w:val="22"/>
          <w:lang w:eastAsia="nl-NL"/>
        </w:rPr>
        <w:t>Zourarakis performed a content analysis and a regression analysis. The content analysis was performed to measure the extent of voluntary disclosure. The following regression analysis is employed:</w:t>
      </w:r>
    </w:p>
    <w:p w:rsidR="00A95413" w:rsidRPr="00046999" w:rsidRDefault="00A95413" w:rsidP="001D4BB3">
      <w:pPr>
        <w:jc w:val="both"/>
        <w:rPr>
          <w:rFonts w:cs="Calibri"/>
          <w:sz w:val="22"/>
          <w:szCs w:val="22"/>
          <w:lang w:eastAsia="nl-NL"/>
        </w:rPr>
      </w:pPr>
      <w:r w:rsidRPr="00046999">
        <w:rPr>
          <w:rStyle w:val="fdwithlabel1"/>
          <w:rFonts w:cs="Calibri"/>
          <w:sz w:val="22"/>
          <w:szCs w:val="22"/>
          <w:bdr w:val="none" w:sz="0" w:space="0" w:color="auto" w:frame="1"/>
        </w:rPr>
        <w:t>Di= a+b1BC+b2OS+b3MO+b4Ln(TA)+b5ROA+b6ROE+b7LR+b8IND</w:t>
      </w:r>
      <w:r w:rsidRPr="00046999">
        <w:rPr>
          <w:rFonts w:cs="Calibri"/>
          <w:i/>
          <w:iCs/>
          <w:sz w:val="22"/>
          <w:szCs w:val="22"/>
        </w:rPr>
        <w:t xml:space="preserve"> </w:t>
      </w:r>
    </w:p>
    <w:p w:rsidR="00A95413" w:rsidRPr="00E8010C" w:rsidRDefault="00A95413" w:rsidP="000F5524">
      <w:pPr>
        <w:autoSpaceDE w:val="0"/>
        <w:autoSpaceDN w:val="0"/>
        <w:adjustRightInd w:val="0"/>
        <w:spacing w:before="0" w:after="0" w:line="360" w:lineRule="auto"/>
        <w:jc w:val="both"/>
        <w:rPr>
          <w:rFonts w:cs="Calibri"/>
        </w:rPr>
      </w:pPr>
      <w:r w:rsidRPr="00E8010C">
        <w:rPr>
          <w:rFonts w:cs="Calibri"/>
        </w:rPr>
        <w:t xml:space="preserve">a </w:t>
      </w:r>
      <w:r w:rsidRPr="00E8010C">
        <w:rPr>
          <w:rFonts w:cs="Calibri"/>
        </w:rPr>
        <w:tab/>
        <w:t>= Constant</w:t>
      </w:r>
    </w:p>
    <w:p w:rsidR="00A95413" w:rsidRPr="00E8010C" w:rsidRDefault="00A95413" w:rsidP="000F5524">
      <w:pPr>
        <w:autoSpaceDE w:val="0"/>
        <w:autoSpaceDN w:val="0"/>
        <w:adjustRightInd w:val="0"/>
        <w:spacing w:before="0" w:after="0" w:line="360" w:lineRule="auto"/>
        <w:jc w:val="both"/>
        <w:rPr>
          <w:rFonts w:cs="Calibri"/>
        </w:rPr>
      </w:pPr>
      <w:r w:rsidRPr="00E8010C">
        <w:rPr>
          <w:rFonts w:cs="Calibri"/>
        </w:rPr>
        <w:t>b</w:t>
      </w:r>
      <w:r w:rsidRPr="00E8010C">
        <w:rPr>
          <w:rFonts w:cs="Calibri"/>
        </w:rPr>
        <w:tab/>
        <w:t>= Coefficients for each variable</w:t>
      </w:r>
    </w:p>
    <w:p w:rsidR="00A95413" w:rsidRPr="00E8010C" w:rsidRDefault="00A95413" w:rsidP="000F5524">
      <w:pPr>
        <w:autoSpaceDE w:val="0"/>
        <w:autoSpaceDN w:val="0"/>
        <w:adjustRightInd w:val="0"/>
        <w:spacing w:before="0" w:after="0" w:line="360" w:lineRule="auto"/>
        <w:jc w:val="both"/>
        <w:rPr>
          <w:rFonts w:cs="Calibri"/>
        </w:rPr>
      </w:pPr>
      <w:r w:rsidRPr="00E8010C">
        <w:rPr>
          <w:rFonts w:cs="Calibri"/>
        </w:rPr>
        <w:t xml:space="preserve">D </w:t>
      </w:r>
      <w:r w:rsidRPr="00E8010C">
        <w:rPr>
          <w:rFonts w:cs="Calibri"/>
        </w:rPr>
        <w:tab/>
      </w:r>
      <w:r w:rsidRPr="00E8010C">
        <w:rPr>
          <w:rFonts w:cs="Calibri"/>
          <w:i/>
          <w:iCs/>
        </w:rPr>
        <w:t xml:space="preserve">= </w:t>
      </w:r>
      <w:r w:rsidRPr="00E8010C">
        <w:rPr>
          <w:rFonts w:cs="Calibri"/>
        </w:rPr>
        <w:t>Disclosure index (Total Disclosure, Internal capital, External capital, Human capital)</w:t>
      </w:r>
    </w:p>
    <w:p w:rsidR="00A95413" w:rsidRPr="00E8010C" w:rsidRDefault="00A95413" w:rsidP="000F5524">
      <w:pPr>
        <w:autoSpaceDE w:val="0"/>
        <w:autoSpaceDN w:val="0"/>
        <w:adjustRightInd w:val="0"/>
        <w:spacing w:before="0" w:after="0" w:line="360" w:lineRule="auto"/>
        <w:jc w:val="both"/>
        <w:rPr>
          <w:rFonts w:cs="Calibri"/>
        </w:rPr>
      </w:pPr>
      <w:r w:rsidRPr="00E8010C">
        <w:rPr>
          <w:rFonts w:cs="Calibri"/>
        </w:rPr>
        <w:t>BC</w:t>
      </w:r>
      <w:r w:rsidRPr="00E8010C">
        <w:rPr>
          <w:rFonts w:cs="Calibri"/>
        </w:rPr>
        <w:tab/>
        <w:t>= Board composition (percentage of independent directors in the board of directors)</w:t>
      </w:r>
    </w:p>
    <w:p w:rsidR="00A95413" w:rsidRPr="00E8010C" w:rsidRDefault="00A95413" w:rsidP="000F5524">
      <w:pPr>
        <w:autoSpaceDE w:val="0"/>
        <w:autoSpaceDN w:val="0"/>
        <w:adjustRightInd w:val="0"/>
        <w:spacing w:before="0" w:after="0" w:line="360" w:lineRule="auto"/>
        <w:jc w:val="both"/>
        <w:rPr>
          <w:rFonts w:cs="Calibri"/>
        </w:rPr>
      </w:pPr>
      <w:r w:rsidRPr="00E8010C">
        <w:rPr>
          <w:rFonts w:cs="Calibri"/>
        </w:rPr>
        <w:t xml:space="preserve">OS </w:t>
      </w:r>
      <w:r w:rsidRPr="00E8010C">
        <w:rPr>
          <w:rFonts w:cs="Calibri"/>
        </w:rPr>
        <w:tab/>
        <w:t>= Ownership structure (Sum of substantial shareholders, who hold more than 3% of</w:t>
      </w:r>
    </w:p>
    <w:p w:rsidR="00A95413" w:rsidRPr="00E8010C" w:rsidRDefault="00A95413" w:rsidP="000F5524">
      <w:pPr>
        <w:autoSpaceDE w:val="0"/>
        <w:autoSpaceDN w:val="0"/>
        <w:adjustRightInd w:val="0"/>
        <w:spacing w:before="0" w:after="0" w:line="360" w:lineRule="auto"/>
        <w:jc w:val="both"/>
        <w:rPr>
          <w:rFonts w:cs="Calibri"/>
        </w:rPr>
      </w:pPr>
      <w:r w:rsidRPr="00E8010C">
        <w:rPr>
          <w:rFonts w:cs="Calibri"/>
        </w:rPr>
        <w:t>ordinary share capital)</w:t>
      </w:r>
    </w:p>
    <w:p w:rsidR="00A95413" w:rsidRPr="00E8010C" w:rsidRDefault="00A95413" w:rsidP="000F5524">
      <w:pPr>
        <w:autoSpaceDE w:val="0"/>
        <w:autoSpaceDN w:val="0"/>
        <w:adjustRightInd w:val="0"/>
        <w:spacing w:before="0" w:after="0" w:line="360" w:lineRule="auto"/>
        <w:jc w:val="both"/>
        <w:rPr>
          <w:rFonts w:cs="Calibri"/>
        </w:rPr>
      </w:pPr>
      <w:r w:rsidRPr="00E8010C">
        <w:rPr>
          <w:rFonts w:cs="Calibri"/>
        </w:rPr>
        <w:lastRenderedPageBreak/>
        <w:t xml:space="preserve">MO </w:t>
      </w:r>
      <w:r w:rsidRPr="00E8010C">
        <w:rPr>
          <w:rFonts w:cs="Calibri"/>
        </w:rPr>
        <w:tab/>
        <w:t>= Managerial ownership (Percentage of ordinary shares held by executive directors)</w:t>
      </w:r>
    </w:p>
    <w:p w:rsidR="00A95413" w:rsidRPr="00E8010C" w:rsidRDefault="00A95413" w:rsidP="000F5524">
      <w:pPr>
        <w:autoSpaceDE w:val="0"/>
        <w:autoSpaceDN w:val="0"/>
        <w:adjustRightInd w:val="0"/>
        <w:spacing w:before="0" w:after="0" w:line="360" w:lineRule="auto"/>
        <w:jc w:val="both"/>
        <w:rPr>
          <w:rFonts w:cs="Calibri"/>
        </w:rPr>
      </w:pPr>
      <w:r w:rsidRPr="00E8010C">
        <w:rPr>
          <w:rFonts w:cs="Calibri"/>
        </w:rPr>
        <w:t>Ln(TA)</w:t>
      </w:r>
      <w:r w:rsidRPr="00E8010C">
        <w:rPr>
          <w:rFonts w:cs="Calibri"/>
        </w:rPr>
        <w:tab/>
        <w:t>= Natural Logarithm of Total Assets (as at 31/12/07)</w:t>
      </w:r>
    </w:p>
    <w:p w:rsidR="00A95413" w:rsidRPr="00E8010C" w:rsidRDefault="00A95413" w:rsidP="000F5524">
      <w:pPr>
        <w:autoSpaceDE w:val="0"/>
        <w:autoSpaceDN w:val="0"/>
        <w:adjustRightInd w:val="0"/>
        <w:spacing w:before="0" w:after="0" w:line="360" w:lineRule="auto"/>
        <w:jc w:val="both"/>
        <w:rPr>
          <w:rFonts w:cs="Calibri"/>
        </w:rPr>
      </w:pPr>
      <w:r w:rsidRPr="00E8010C">
        <w:rPr>
          <w:rFonts w:cs="Calibri"/>
        </w:rPr>
        <w:t>ROA</w:t>
      </w:r>
      <w:r w:rsidRPr="00E8010C">
        <w:rPr>
          <w:rFonts w:cs="Calibri"/>
        </w:rPr>
        <w:tab/>
        <w:t>= Return on assets</w:t>
      </w:r>
    </w:p>
    <w:p w:rsidR="00A95413" w:rsidRPr="00E8010C" w:rsidRDefault="00A95413" w:rsidP="000F5524">
      <w:pPr>
        <w:autoSpaceDE w:val="0"/>
        <w:autoSpaceDN w:val="0"/>
        <w:adjustRightInd w:val="0"/>
        <w:spacing w:before="0" w:after="0" w:line="360" w:lineRule="auto"/>
        <w:jc w:val="both"/>
        <w:rPr>
          <w:rFonts w:cs="Calibri"/>
        </w:rPr>
      </w:pPr>
      <w:r w:rsidRPr="00E8010C">
        <w:rPr>
          <w:rFonts w:cs="Calibri"/>
        </w:rPr>
        <w:t xml:space="preserve">ROE </w:t>
      </w:r>
      <w:r w:rsidRPr="00E8010C">
        <w:rPr>
          <w:rFonts w:cs="Calibri"/>
        </w:rPr>
        <w:tab/>
        <w:t>= Return on equity</w:t>
      </w:r>
    </w:p>
    <w:p w:rsidR="00A95413" w:rsidRPr="00E8010C" w:rsidRDefault="00A95413" w:rsidP="000F5524">
      <w:pPr>
        <w:autoSpaceDE w:val="0"/>
        <w:autoSpaceDN w:val="0"/>
        <w:adjustRightInd w:val="0"/>
        <w:spacing w:before="0" w:after="0" w:line="360" w:lineRule="auto"/>
        <w:jc w:val="both"/>
        <w:rPr>
          <w:rFonts w:cs="Calibri"/>
        </w:rPr>
      </w:pPr>
      <w:r w:rsidRPr="00E8010C">
        <w:rPr>
          <w:rFonts w:cs="Calibri"/>
        </w:rPr>
        <w:t>LR</w:t>
      </w:r>
      <w:r w:rsidRPr="00E8010C">
        <w:rPr>
          <w:rFonts w:cs="Calibri"/>
        </w:rPr>
        <w:tab/>
        <w:t>= Leverage ratio (defined as Total Assets/Total Liabilities)</w:t>
      </w:r>
    </w:p>
    <w:p w:rsidR="00A95413" w:rsidRPr="00E8010C" w:rsidRDefault="00A95413" w:rsidP="000F5524">
      <w:pPr>
        <w:autoSpaceDE w:val="0"/>
        <w:autoSpaceDN w:val="0"/>
        <w:adjustRightInd w:val="0"/>
        <w:spacing w:before="0" w:after="0" w:line="360" w:lineRule="auto"/>
        <w:jc w:val="both"/>
        <w:rPr>
          <w:rFonts w:cs="Calibri"/>
        </w:rPr>
      </w:pPr>
      <w:r w:rsidRPr="00E8010C">
        <w:rPr>
          <w:rFonts w:cs="Calibri"/>
        </w:rPr>
        <w:t xml:space="preserve">IND </w:t>
      </w:r>
      <w:r w:rsidRPr="00E8010C">
        <w:rPr>
          <w:rFonts w:cs="Calibri"/>
        </w:rPr>
        <w:tab/>
        <w:t>= Industry (Dummy Variable; 0 for Financial companies and 1 for non-financial companies)</w:t>
      </w:r>
    </w:p>
    <w:p w:rsidR="00A95413" w:rsidRPr="00046999" w:rsidRDefault="00A95413" w:rsidP="001D4BB3">
      <w:pPr>
        <w:jc w:val="both"/>
        <w:rPr>
          <w:rFonts w:cs="Calibri"/>
          <w:color w:val="000000"/>
          <w:sz w:val="22"/>
          <w:szCs w:val="22"/>
          <w:lang w:eastAsia="nl-NL"/>
        </w:rPr>
      </w:pPr>
      <w:r w:rsidRPr="00046999">
        <w:rPr>
          <w:rFonts w:cs="Calibri"/>
          <w:color w:val="000000"/>
          <w:sz w:val="22"/>
          <w:szCs w:val="22"/>
          <w:lang w:eastAsia="nl-NL"/>
        </w:rPr>
        <w:t>The results of the regression analyses show that the factors ownership structure, size and industry significantly influence the level of voluntary disclosures. For ownership structure; he concludes that a higher number of ordinary shares held by substantial shareholders results in a lower degree of intellectual capital disclosure and hence, H1 is accepted. For managerial ownership he finds no significant negative relation with the extent of voluntary disclosures and therefore, H2 is rejected. On the other hand size is positively related to the amount of voluntary disclosures. For type of industry they only selected on financial and non-financial firms and the results show that non-financial firms disclose more information than financial firms. On the other factors in his analysis he found no significant evidence to draw any conclusions.</w:t>
      </w:r>
    </w:p>
    <w:p w:rsidR="00A95413" w:rsidRPr="00046999" w:rsidRDefault="00A95413" w:rsidP="001D4BB3">
      <w:pPr>
        <w:pStyle w:val="Kop2"/>
        <w:jc w:val="both"/>
        <w:rPr>
          <w:rFonts w:cs="Calibri"/>
          <w:lang w:eastAsia="nl-NL"/>
        </w:rPr>
      </w:pPr>
      <w:bookmarkStart w:id="116" w:name="_Toc320365332"/>
      <w:r w:rsidRPr="00046999">
        <w:rPr>
          <w:rFonts w:cs="Calibri"/>
          <w:lang w:eastAsia="nl-NL"/>
        </w:rPr>
        <w:t>6.3 Conclusion</w:t>
      </w:r>
      <w:bookmarkEnd w:id="116"/>
    </w:p>
    <w:p w:rsidR="00A95413" w:rsidRPr="00046999" w:rsidRDefault="00A95413" w:rsidP="001D4BB3">
      <w:pPr>
        <w:jc w:val="both"/>
        <w:rPr>
          <w:rFonts w:cs="Calibri"/>
          <w:color w:val="000000"/>
          <w:sz w:val="22"/>
          <w:szCs w:val="22"/>
          <w:lang w:eastAsia="nl-NL"/>
        </w:rPr>
      </w:pPr>
      <w:r>
        <w:rPr>
          <w:rFonts w:cs="Calibri"/>
          <w:color w:val="000000"/>
          <w:sz w:val="22"/>
          <w:szCs w:val="22"/>
          <w:lang w:eastAsia="nl-NL"/>
        </w:rPr>
        <w:t xml:space="preserve">First of all, the results </w:t>
      </w:r>
      <w:r w:rsidRPr="00046999">
        <w:rPr>
          <w:rFonts w:cs="Calibri"/>
          <w:color w:val="000000"/>
          <w:sz w:val="22"/>
          <w:szCs w:val="22"/>
          <w:lang w:eastAsia="nl-NL"/>
        </w:rPr>
        <w:t>f</w:t>
      </w:r>
      <w:r>
        <w:rPr>
          <w:rFonts w:cs="Calibri"/>
          <w:color w:val="000000"/>
          <w:sz w:val="22"/>
          <w:szCs w:val="22"/>
          <w:lang w:eastAsia="nl-NL"/>
        </w:rPr>
        <w:t>rom</w:t>
      </w:r>
      <w:r w:rsidRPr="00046999">
        <w:rPr>
          <w:rFonts w:cs="Calibri"/>
          <w:color w:val="000000"/>
          <w:sz w:val="22"/>
          <w:szCs w:val="22"/>
          <w:lang w:eastAsia="nl-NL"/>
        </w:rPr>
        <w:t xml:space="preserve"> most of the prior researches examining the relation between ownership structure and voluntary disclosures show a significant positive relation between ownership diffusion and voluntary disclosures (or vice versa; a negative relation between ownership concentration and voluntary disclosures). </w:t>
      </w:r>
      <w:r w:rsidR="00794448">
        <w:rPr>
          <w:rFonts w:cs="Calibri"/>
          <w:color w:val="000000"/>
          <w:sz w:val="22"/>
          <w:szCs w:val="22"/>
          <w:lang w:eastAsia="nl-NL"/>
        </w:rPr>
        <w:t xml:space="preserve">Therefore, </w:t>
      </w:r>
      <w:r w:rsidRPr="00046999">
        <w:rPr>
          <w:rFonts w:cs="Calibri"/>
          <w:color w:val="000000"/>
          <w:sz w:val="22"/>
          <w:szCs w:val="22"/>
          <w:lang w:eastAsia="nl-NL"/>
        </w:rPr>
        <w:t>when ownership is widely diffused</w:t>
      </w:r>
      <w:r w:rsidR="00794448">
        <w:rPr>
          <w:rFonts w:cs="Calibri"/>
          <w:color w:val="000000"/>
          <w:sz w:val="22"/>
          <w:szCs w:val="22"/>
          <w:lang w:eastAsia="nl-NL"/>
        </w:rPr>
        <w:t>,</w:t>
      </w:r>
      <w:r w:rsidRPr="00046999">
        <w:rPr>
          <w:rFonts w:cs="Calibri"/>
          <w:color w:val="000000"/>
          <w:sz w:val="22"/>
          <w:szCs w:val="22"/>
          <w:lang w:eastAsia="nl-NL"/>
        </w:rPr>
        <w:t xml:space="preserve"> </w:t>
      </w:r>
      <w:r>
        <w:rPr>
          <w:rFonts w:cs="Calibri"/>
          <w:color w:val="000000"/>
          <w:sz w:val="22"/>
          <w:szCs w:val="22"/>
          <w:lang w:eastAsia="nl-NL"/>
        </w:rPr>
        <w:t>the results of the prior studies</w:t>
      </w:r>
      <w:r w:rsidRPr="00046999">
        <w:rPr>
          <w:rFonts w:cs="Calibri"/>
          <w:color w:val="000000"/>
          <w:sz w:val="22"/>
          <w:szCs w:val="22"/>
          <w:lang w:eastAsia="nl-NL"/>
        </w:rPr>
        <w:t xml:space="preserve"> </w:t>
      </w:r>
      <w:r>
        <w:rPr>
          <w:rFonts w:cs="Calibri"/>
          <w:color w:val="000000"/>
          <w:sz w:val="22"/>
          <w:szCs w:val="22"/>
          <w:lang w:eastAsia="nl-NL"/>
        </w:rPr>
        <w:t xml:space="preserve">show </w:t>
      </w:r>
      <w:r w:rsidRPr="00046999">
        <w:rPr>
          <w:rFonts w:cs="Calibri"/>
          <w:color w:val="000000"/>
          <w:sz w:val="22"/>
          <w:szCs w:val="22"/>
          <w:lang w:eastAsia="nl-NL"/>
        </w:rPr>
        <w:t>that firms are more likely to provide voluntary disclosures (McKinnon and Dalimunthe (1993), Haniffa and Cooke (2001), Chau and Gray (2002) and Barako et al. (2006)). Furthermore, the study of Chau and Gray (2002) also found a significant negative relation between family ownership and voluntary disclosures.</w:t>
      </w:r>
    </w:p>
    <w:p w:rsidR="00A95413" w:rsidRPr="00046999" w:rsidRDefault="00A95413" w:rsidP="001D4BB3">
      <w:pPr>
        <w:jc w:val="both"/>
        <w:rPr>
          <w:rFonts w:cs="Calibri"/>
          <w:sz w:val="22"/>
          <w:szCs w:val="22"/>
        </w:rPr>
      </w:pPr>
      <w:r w:rsidRPr="00046999">
        <w:rPr>
          <w:rFonts w:cs="Calibri"/>
          <w:color w:val="000000"/>
          <w:sz w:val="22"/>
          <w:szCs w:val="22"/>
          <w:lang w:eastAsia="nl-NL"/>
        </w:rPr>
        <w:t xml:space="preserve">The empirical evidence by Eng and Mak (2003) regarding </w:t>
      </w:r>
      <w:r w:rsidRPr="00A02791">
        <w:rPr>
          <w:rFonts w:cs="Calibri"/>
          <w:color w:val="000000"/>
          <w:sz w:val="22"/>
          <w:szCs w:val="22"/>
          <w:u w:val="single"/>
          <w:lang w:eastAsia="nl-NL"/>
        </w:rPr>
        <w:t>managerial ownership</w:t>
      </w:r>
      <w:r w:rsidRPr="00046999">
        <w:rPr>
          <w:rFonts w:cs="Calibri"/>
          <w:color w:val="000000"/>
          <w:sz w:val="22"/>
          <w:szCs w:val="22"/>
          <w:lang w:eastAsia="nl-NL"/>
        </w:rPr>
        <w:t xml:space="preserve"> shows that there is a significant negative relation. On the other hand, </w:t>
      </w:r>
      <w:r w:rsidRPr="00046999">
        <w:rPr>
          <w:rFonts w:cs="Calibri"/>
          <w:sz w:val="22"/>
          <w:szCs w:val="22"/>
        </w:rPr>
        <w:t xml:space="preserve">Huafang and Jianguo (2007) and Zourarakis (2009) found no evidence for a significant relation. As the evidence is ambiguous, in this study this relation is also tested in order to obtain more evidence </w:t>
      </w:r>
      <w:r w:rsidR="009F2EAA">
        <w:rPr>
          <w:rFonts w:cs="Calibri"/>
          <w:sz w:val="22"/>
          <w:szCs w:val="22"/>
        </w:rPr>
        <w:t>this association</w:t>
      </w:r>
      <w:r w:rsidRPr="00046999">
        <w:rPr>
          <w:rFonts w:cs="Calibri"/>
          <w:sz w:val="22"/>
          <w:szCs w:val="22"/>
        </w:rPr>
        <w:t xml:space="preserve">.  </w:t>
      </w:r>
    </w:p>
    <w:p w:rsidR="00A95413" w:rsidRPr="00046999" w:rsidRDefault="00A95413" w:rsidP="001D4BB3">
      <w:pPr>
        <w:jc w:val="both"/>
        <w:rPr>
          <w:rFonts w:cs="Calibri"/>
          <w:sz w:val="22"/>
          <w:szCs w:val="22"/>
        </w:rPr>
      </w:pPr>
      <w:r>
        <w:rPr>
          <w:rFonts w:cs="Calibri"/>
          <w:color w:val="000000"/>
          <w:sz w:val="22"/>
          <w:szCs w:val="22"/>
          <w:lang w:eastAsia="nl-NL"/>
        </w:rPr>
        <w:t xml:space="preserve">Analyzing </w:t>
      </w:r>
      <w:r w:rsidRPr="00046999">
        <w:rPr>
          <w:rFonts w:cs="Calibri"/>
          <w:color w:val="000000"/>
          <w:sz w:val="22"/>
          <w:szCs w:val="22"/>
          <w:lang w:eastAsia="nl-NL"/>
        </w:rPr>
        <w:t>t</w:t>
      </w:r>
      <w:r>
        <w:rPr>
          <w:rFonts w:cs="Calibri"/>
          <w:color w:val="000000"/>
          <w:sz w:val="22"/>
          <w:szCs w:val="22"/>
          <w:lang w:eastAsia="nl-NL"/>
        </w:rPr>
        <w:t>he</w:t>
      </w:r>
      <w:r w:rsidRPr="00046999">
        <w:rPr>
          <w:rFonts w:cs="Calibri"/>
          <w:color w:val="000000"/>
          <w:sz w:val="22"/>
          <w:szCs w:val="22"/>
          <w:lang w:eastAsia="nl-NL"/>
        </w:rPr>
        <w:t xml:space="preserve"> empirical evidence on </w:t>
      </w:r>
      <w:r w:rsidRPr="00A02791">
        <w:rPr>
          <w:rFonts w:cs="Calibri"/>
          <w:color w:val="000000"/>
          <w:sz w:val="22"/>
          <w:szCs w:val="22"/>
          <w:u w:val="single"/>
          <w:lang w:eastAsia="nl-NL"/>
        </w:rPr>
        <w:t>blockholder ownership</w:t>
      </w:r>
      <w:r w:rsidRPr="00046999">
        <w:rPr>
          <w:rFonts w:cs="Calibri"/>
          <w:color w:val="000000"/>
          <w:sz w:val="22"/>
          <w:szCs w:val="22"/>
          <w:lang w:eastAsia="nl-NL"/>
        </w:rPr>
        <w:t xml:space="preserve"> it </w:t>
      </w:r>
      <w:r>
        <w:rPr>
          <w:rFonts w:cs="Calibri"/>
          <w:color w:val="000000"/>
          <w:sz w:val="22"/>
          <w:szCs w:val="22"/>
          <w:lang w:eastAsia="nl-NL"/>
        </w:rPr>
        <w:t>can be noted that</w:t>
      </w:r>
      <w:r w:rsidRPr="00046999">
        <w:rPr>
          <w:rFonts w:cs="Calibri"/>
          <w:color w:val="000000"/>
          <w:sz w:val="22"/>
          <w:szCs w:val="22"/>
          <w:lang w:eastAsia="nl-NL"/>
        </w:rPr>
        <w:t xml:space="preserve"> Eng and Mak (2003) </w:t>
      </w:r>
      <w:r>
        <w:rPr>
          <w:rFonts w:cs="Calibri"/>
          <w:color w:val="000000"/>
          <w:sz w:val="22"/>
          <w:szCs w:val="22"/>
          <w:lang w:eastAsia="nl-NL"/>
        </w:rPr>
        <w:t>found</w:t>
      </w:r>
      <w:r w:rsidRPr="00046999">
        <w:rPr>
          <w:rFonts w:cs="Calibri"/>
          <w:color w:val="000000"/>
          <w:sz w:val="22"/>
          <w:szCs w:val="22"/>
          <w:lang w:eastAsia="nl-NL"/>
        </w:rPr>
        <w:t xml:space="preserve"> no significant relation. Furthermore, </w:t>
      </w:r>
      <w:r w:rsidRPr="00046999">
        <w:rPr>
          <w:rFonts w:cs="Calibri"/>
          <w:sz w:val="22"/>
          <w:szCs w:val="22"/>
        </w:rPr>
        <w:t xml:space="preserve">Huafang and Jianguo (2007) found a significant positive relation, whereas Zourarakis (2009) found a significant negative relation. Here the results are ambivalent as well and therefore this relation will also be tested for. Blockholder ownership is related to ownership diffusion; a higher degree of blockholders leads to lower ownership diffusion and hence </w:t>
      </w:r>
      <w:r>
        <w:rPr>
          <w:rFonts w:cs="Calibri"/>
          <w:sz w:val="22"/>
          <w:szCs w:val="22"/>
        </w:rPr>
        <w:t>ownership is more concentrated.</w:t>
      </w:r>
      <w:r w:rsidRPr="00046999">
        <w:rPr>
          <w:rFonts w:cs="Calibri"/>
          <w:sz w:val="22"/>
          <w:szCs w:val="22"/>
        </w:rPr>
        <w:t xml:space="preserve"> When ownership is very concentrated it is expected that less voluntary disclosures are provided as mentioned at the beginning of this paragraph. Therefore in this study a negative relation is expected similar to the study of Zourarakis. </w:t>
      </w:r>
    </w:p>
    <w:p w:rsidR="00A95413" w:rsidRPr="00046999" w:rsidRDefault="00A95413" w:rsidP="001D4BB3">
      <w:pPr>
        <w:jc w:val="both"/>
        <w:rPr>
          <w:rFonts w:cs="Calibri"/>
          <w:sz w:val="22"/>
          <w:szCs w:val="22"/>
        </w:rPr>
      </w:pPr>
      <w:r w:rsidRPr="00046999">
        <w:rPr>
          <w:rFonts w:cs="Calibri"/>
          <w:sz w:val="22"/>
          <w:szCs w:val="22"/>
        </w:rPr>
        <w:lastRenderedPageBreak/>
        <w:t xml:space="preserve">Regarding government ownership, Eng and Mak (2003) show that more </w:t>
      </w:r>
      <w:r w:rsidRPr="00A02791">
        <w:rPr>
          <w:rFonts w:cs="Calibri"/>
          <w:sz w:val="22"/>
          <w:szCs w:val="22"/>
          <w:u w:val="single"/>
        </w:rPr>
        <w:t>government ownership</w:t>
      </w:r>
      <w:r w:rsidRPr="00046999">
        <w:rPr>
          <w:rFonts w:cs="Calibri"/>
          <w:sz w:val="22"/>
          <w:szCs w:val="22"/>
        </w:rPr>
        <w:t xml:space="preserve"> leads to more voluntary disclosures, so there is a positive relation. Huafang and Jianguo (2007) expected the same result but found no significant relation between government (state) ownership and the extent of voluntary disclosures. To see whether the results in Europe differ from these studies, this relation is also tested </w:t>
      </w:r>
      <w:r>
        <w:rPr>
          <w:rFonts w:cs="Calibri"/>
          <w:sz w:val="22"/>
          <w:szCs w:val="22"/>
        </w:rPr>
        <w:t>for and</w:t>
      </w:r>
      <w:r w:rsidRPr="00046999">
        <w:rPr>
          <w:rFonts w:cs="Calibri"/>
          <w:sz w:val="22"/>
          <w:szCs w:val="22"/>
        </w:rPr>
        <w:t xml:space="preserve"> a positive relation</w:t>
      </w:r>
      <w:r>
        <w:rPr>
          <w:rFonts w:cs="Calibri"/>
          <w:sz w:val="22"/>
          <w:szCs w:val="22"/>
        </w:rPr>
        <w:t xml:space="preserve"> is also expected</w:t>
      </w:r>
      <w:r w:rsidRPr="00046999">
        <w:rPr>
          <w:rFonts w:cs="Calibri"/>
          <w:sz w:val="22"/>
          <w:szCs w:val="22"/>
        </w:rPr>
        <w:t>.</w:t>
      </w:r>
    </w:p>
    <w:p w:rsidR="00256488" w:rsidRDefault="00A95413" w:rsidP="001D4BB3">
      <w:pPr>
        <w:jc w:val="both"/>
        <w:rPr>
          <w:rFonts w:cs="Calibri"/>
          <w:color w:val="000000"/>
          <w:sz w:val="22"/>
          <w:szCs w:val="22"/>
          <w:lang w:eastAsia="nl-NL"/>
        </w:rPr>
      </w:pPr>
      <w:r w:rsidRPr="00046999">
        <w:rPr>
          <w:rFonts w:cs="Calibri"/>
          <w:color w:val="000000"/>
          <w:sz w:val="22"/>
          <w:szCs w:val="22"/>
          <w:lang w:eastAsia="nl-NL"/>
        </w:rPr>
        <w:t>In addition, most studies also took</w:t>
      </w:r>
      <w:r>
        <w:rPr>
          <w:rFonts w:cs="Calibri"/>
          <w:color w:val="000000"/>
          <w:sz w:val="22"/>
          <w:szCs w:val="22"/>
          <w:lang w:eastAsia="nl-NL"/>
        </w:rPr>
        <w:t xml:space="preserve"> the control variables</w:t>
      </w:r>
      <w:r w:rsidRPr="00046999">
        <w:rPr>
          <w:rFonts w:cs="Calibri"/>
          <w:color w:val="000000"/>
          <w:sz w:val="22"/>
          <w:szCs w:val="22"/>
          <w:lang w:eastAsia="nl-NL"/>
        </w:rPr>
        <w:t xml:space="preserve"> </w:t>
      </w:r>
      <w:r w:rsidRPr="00A02791">
        <w:rPr>
          <w:rFonts w:cs="Calibri"/>
          <w:color w:val="000000"/>
          <w:sz w:val="22"/>
          <w:szCs w:val="22"/>
          <w:u w:val="single"/>
          <w:lang w:eastAsia="nl-NL"/>
        </w:rPr>
        <w:t>size, leverage, profitability</w:t>
      </w:r>
      <w:r w:rsidRPr="00046999">
        <w:rPr>
          <w:rFonts w:cs="Calibri"/>
          <w:color w:val="000000"/>
          <w:sz w:val="22"/>
          <w:szCs w:val="22"/>
          <w:lang w:eastAsia="nl-NL"/>
        </w:rPr>
        <w:t xml:space="preserve"> and </w:t>
      </w:r>
      <w:r w:rsidRPr="00A02791">
        <w:rPr>
          <w:rFonts w:cs="Calibri"/>
          <w:color w:val="000000"/>
          <w:sz w:val="22"/>
          <w:szCs w:val="22"/>
          <w:u w:val="single"/>
          <w:lang w:eastAsia="nl-NL"/>
        </w:rPr>
        <w:t>country</w:t>
      </w:r>
      <w:r w:rsidRPr="00046999">
        <w:rPr>
          <w:rFonts w:cs="Calibri"/>
          <w:color w:val="000000"/>
          <w:sz w:val="22"/>
          <w:szCs w:val="22"/>
          <w:lang w:eastAsia="nl-NL"/>
        </w:rPr>
        <w:t xml:space="preserve"> into account. Whereas the results from examining size mainly show that there is a significant positive relation with voluntary disclosures</w:t>
      </w:r>
      <w:r>
        <w:rPr>
          <w:rFonts w:cs="Calibri"/>
          <w:color w:val="000000"/>
          <w:sz w:val="22"/>
          <w:szCs w:val="22"/>
          <w:lang w:eastAsia="nl-NL"/>
        </w:rPr>
        <w:t>,</w:t>
      </w:r>
      <w:r w:rsidRPr="00046999">
        <w:rPr>
          <w:rFonts w:cs="Calibri"/>
          <w:color w:val="000000"/>
          <w:sz w:val="22"/>
          <w:szCs w:val="22"/>
          <w:lang w:eastAsia="nl-NL"/>
        </w:rPr>
        <w:t xml:space="preserve"> there is less evidence on a significant relation with country</w:t>
      </w:r>
      <w:r>
        <w:rPr>
          <w:rFonts w:cs="Calibri"/>
          <w:color w:val="000000"/>
          <w:sz w:val="22"/>
          <w:szCs w:val="22"/>
          <w:lang w:eastAsia="nl-NL"/>
        </w:rPr>
        <w:t>,</w:t>
      </w:r>
      <w:r w:rsidRPr="00046999">
        <w:rPr>
          <w:rFonts w:cs="Calibri"/>
          <w:color w:val="000000"/>
          <w:sz w:val="22"/>
          <w:szCs w:val="22"/>
          <w:lang w:eastAsia="nl-NL"/>
        </w:rPr>
        <w:t xml:space="preserve"> </w:t>
      </w:r>
      <w:r>
        <w:rPr>
          <w:rFonts w:cs="Calibri"/>
          <w:color w:val="000000"/>
          <w:sz w:val="22"/>
          <w:szCs w:val="22"/>
          <w:lang w:eastAsia="nl-NL"/>
        </w:rPr>
        <w:t xml:space="preserve">profitability and </w:t>
      </w:r>
      <w:r w:rsidRPr="00046999">
        <w:rPr>
          <w:rFonts w:cs="Calibri"/>
          <w:color w:val="000000"/>
          <w:sz w:val="22"/>
          <w:szCs w:val="22"/>
          <w:lang w:eastAsia="nl-NL"/>
        </w:rPr>
        <w:t xml:space="preserve">leverage. In this study the variables; size, </w:t>
      </w:r>
      <w:r>
        <w:rPr>
          <w:rFonts w:cs="Calibri"/>
          <w:color w:val="000000"/>
          <w:sz w:val="22"/>
          <w:szCs w:val="22"/>
          <w:lang w:eastAsia="nl-NL"/>
        </w:rPr>
        <w:t xml:space="preserve">profitability, </w:t>
      </w:r>
      <w:r w:rsidRPr="00046999">
        <w:rPr>
          <w:rFonts w:cs="Calibri"/>
          <w:color w:val="000000"/>
          <w:sz w:val="22"/>
          <w:szCs w:val="22"/>
          <w:lang w:eastAsia="nl-NL"/>
        </w:rPr>
        <w:t xml:space="preserve">leverage, country are also taken into account as control variables. </w:t>
      </w:r>
      <w:r>
        <w:rPr>
          <w:rFonts w:cs="Calibri"/>
          <w:color w:val="000000"/>
          <w:sz w:val="22"/>
          <w:szCs w:val="22"/>
          <w:lang w:eastAsia="nl-NL"/>
        </w:rPr>
        <w:t>In the next chapter the expectations of this study are described in detail followed by the method of how the research is conducted in this research.</w:t>
      </w:r>
    </w:p>
    <w:p w:rsidR="00A95413" w:rsidRDefault="00256488" w:rsidP="00256488">
      <w:pPr>
        <w:spacing w:before="0" w:after="0" w:line="240" w:lineRule="auto"/>
        <w:rPr>
          <w:rFonts w:cs="Calibri"/>
          <w:color w:val="000000"/>
          <w:sz w:val="22"/>
          <w:szCs w:val="22"/>
          <w:lang w:eastAsia="nl-NL"/>
        </w:rPr>
      </w:pPr>
      <w:r>
        <w:rPr>
          <w:rFonts w:cs="Calibri"/>
          <w:color w:val="000000"/>
          <w:sz w:val="22"/>
          <w:szCs w:val="22"/>
          <w:lang w:eastAsia="nl-NL"/>
        </w:rPr>
        <w:br w:type="page"/>
      </w:r>
    </w:p>
    <w:p w:rsidR="00A95413" w:rsidRPr="00046999" w:rsidRDefault="00A95413" w:rsidP="001D4BB3">
      <w:pPr>
        <w:pStyle w:val="Kop1"/>
        <w:jc w:val="both"/>
        <w:rPr>
          <w:rFonts w:cs="Calibri"/>
        </w:rPr>
      </w:pPr>
      <w:bookmarkStart w:id="117" w:name="_Toc287267089"/>
      <w:bookmarkStart w:id="118" w:name="_Toc320365333"/>
      <w:r w:rsidRPr="00046999">
        <w:rPr>
          <w:rFonts w:cs="Calibri"/>
        </w:rPr>
        <w:lastRenderedPageBreak/>
        <w:t>Chapter 7. Research Design</w:t>
      </w:r>
      <w:bookmarkEnd w:id="117"/>
      <w:bookmarkEnd w:id="118"/>
    </w:p>
    <w:p w:rsidR="00A95413" w:rsidRPr="00046999" w:rsidRDefault="00A95413" w:rsidP="001D4BB3">
      <w:pPr>
        <w:pStyle w:val="Kop2"/>
        <w:jc w:val="both"/>
        <w:rPr>
          <w:rFonts w:cs="Calibri"/>
          <w:lang w:eastAsia="nl-NL"/>
        </w:rPr>
      </w:pPr>
      <w:bookmarkStart w:id="119" w:name="_Toc287267090"/>
      <w:bookmarkStart w:id="120" w:name="_Toc320365334"/>
      <w:r w:rsidRPr="00046999">
        <w:rPr>
          <w:rFonts w:cs="Calibri"/>
          <w:lang w:eastAsia="nl-NL"/>
        </w:rPr>
        <w:t>7.1 Introduction</w:t>
      </w:r>
      <w:bookmarkEnd w:id="119"/>
      <w:bookmarkEnd w:id="120"/>
    </w:p>
    <w:p w:rsidR="00A95413" w:rsidRPr="00046999" w:rsidRDefault="00A95413" w:rsidP="001D4BB3">
      <w:pPr>
        <w:jc w:val="both"/>
        <w:rPr>
          <w:rFonts w:cs="Calibri"/>
          <w:sz w:val="22"/>
          <w:szCs w:val="22"/>
          <w:lang w:eastAsia="nl-NL"/>
        </w:rPr>
      </w:pPr>
      <w:r w:rsidRPr="00046999">
        <w:rPr>
          <w:rFonts w:cs="Calibri"/>
          <w:color w:val="000000"/>
          <w:sz w:val="22"/>
          <w:szCs w:val="22"/>
          <w:lang w:eastAsia="nl-NL"/>
        </w:rPr>
        <w:t xml:space="preserve">In this chapter the research design to conduct the research and the steps </w:t>
      </w:r>
      <w:r>
        <w:rPr>
          <w:rFonts w:cs="Calibri"/>
          <w:color w:val="000000"/>
          <w:sz w:val="22"/>
          <w:szCs w:val="22"/>
          <w:lang w:eastAsia="nl-NL"/>
        </w:rPr>
        <w:t xml:space="preserve">necessary </w:t>
      </w:r>
      <w:r w:rsidRPr="00046999">
        <w:rPr>
          <w:rFonts w:cs="Calibri"/>
          <w:color w:val="000000"/>
          <w:sz w:val="22"/>
          <w:szCs w:val="22"/>
          <w:lang w:eastAsia="nl-NL"/>
        </w:rPr>
        <w:t xml:space="preserve">in order to obtain the results </w:t>
      </w:r>
      <w:r>
        <w:rPr>
          <w:rFonts w:cs="Calibri"/>
          <w:color w:val="000000"/>
          <w:sz w:val="22"/>
          <w:szCs w:val="22"/>
          <w:lang w:eastAsia="nl-NL"/>
        </w:rPr>
        <w:t>are</w:t>
      </w:r>
      <w:r w:rsidRPr="00046999">
        <w:rPr>
          <w:rFonts w:cs="Calibri"/>
          <w:color w:val="000000"/>
          <w:sz w:val="22"/>
          <w:szCs w:val="22"/>
          <w:lang w:eastAsia="nl-NL"/>
        </w:rPr>
        <w:t xml:space="preserve"> explained. It is already stated in chapter four and five how voluntary disclosures, ownership structure, the control variables and the relation are measured. Here the hypothesis, the sample and methodology are stated.   </w:t>
      </w:r>
    </w:p>
    <w:p w:rsidR="00A95413" w:rsidRPr="00046999" w:rsidRDefault="00A95413" w:rsidP="001D4BB3">
      <w:pPr>
        <w:pStyle w:val="Kop2"/>
        <w:jc w:val="both"/>
        <w:rPr>
          <w:rFonts w:cs="Calibri"/>
          <w:lang w:eastAsia="nl-NL"/>
        </w:rPr>
      </w:pPr>
      <w:bookmarkStart w:id="121" w:name="_Toc320365335"/>
      <w:r w:rsidRPr="00046999">
        <w:rPr>
          <w:rFonts w:cs="Calibri"/>
          <w:lang w:eastAsia="nl-NL"/>
        </w:rPr>
        <w:t>7.2 Hypotheses</w:t>
      </w:r>
      <w:bookmarkEnd w:id="121"/>
    </w:p>
    <w:p w:rsidR="00A95413" w:rsidRPr="00046999" w:rsidRDefault="00A95413" w:rsidP="001D4BB3">
      <w:pPr>
        <w:spacing w:after="0"/>
        <w:jc w:val="both"/>
        <w:rPr>
          <w:rFonts w:cs="Calibri"/>
          <w:color w:val="000000"/>
          <w:sz w:val="22"/>
          <w:szCs w:val="22"/>
          <w:lang w:eastAsia="nl-NL"/>
        </w:rPr>
      </w:pPr>
      <w:r w:rsidRPr="00046999">
        <w:rPr>
          <w:rFonts w:cs="Calibri"/>
          <w:color w:val="000000"/>
          <w:sz w:val="22"/>
          <w:szCs w:val="22"/>
          <w:lang w:eastAsia="nl-NL"/>
        </w:rPr>
        <w:t xml:space="preserve">As mentioned in the prior chapter, evidence is found by Eng and Mak (2003) that managerial ownership is negatively related to voluntary disclosures. So when there is a large degree of managerial ownership the extent of voluntary disclosures is low. However, in the research of </w:t>
      </w:r>
      <w:r w:rsidRPr="00046999">
        <w:rPr>
          <w:rFonts w:cs="Calibri"/>
          <w:sz w:val="22"/>
          <w:szCs w:val="22"/>
        </w:rPr>
        <w:t>Huafang and Jianguo</w:t>
      </w:r>
      <w:r w:rsidRPr="00046999">
        <w:rPr>
          <w:rFonts w:cs="Calibri"/>
          <w:color w:val="000000"/>
          <w:sz w:val="22"/>
          <w:szCs w:val="22"/>
          <w:lang w:eastAsia="nl-NL"/>
        </w:rPr>
        <w:t xml:space="preserve"> (2007) and Zourarakis (2009) no significant relation between managerial ownership and voluntary disclosures </w:t>
      </w:r>
      <w:r>
        <w:rPr>
          <w:rFonts w:cs="Calibri"/>
          <w:color w:val="000000"/>
          <w:sz w:val="22"/>
          <w:szCs w:val="22"/>
          <w:lang w:eastAsia="nl-NL"/>
        </w:rPr>
        <w:t>is observed</w:t>
      </w:r>
      <w:r w:rsidRPr="00046999">
        <w:rPr>
          <w:rFonts w:cs="Calibri"/>
          <w:color w:val="000000"/>
          <w:sz w:val="22"/>
          <w:szCs w:val="22"/>
          <w:lang w:eastAsia="nl-NL"/>
        </w:rPr>
        <w:t xml:space="preserve">. The expectations of this study are related to the agency theory as explained in chapter three. </w:t>
      </w:r>
      <w:r w:rsidR="00097767" w:rsidRPr="00046999">
        <w:rPr>
          <w:rFonts w:cs="Calibri"/>
          <w:sz w:val="22"/>
          <w:szCs w:val="22"/>
        </w:rPr>
        <w:t xml:space="preserve">To align </w:t>
      </w:r>
      <w:r w:rsidR="00097767">
        <w:rPr>
          <w:rFonts w:cs="Calibri"/>
          <w:sz w:val="22"/>
          <w:szCs w:val="22"/>
        </w:rPr>
        <w:t>the</w:t>
      </w:r>
      <w:r w:rsidR="00097767" w:rsidRPr="00046999">
        <w:rPr>
          <w:rFonts w:cs="Calibri"/>
          <w:sz w:val="22"/>
          <w:szCs w:val="22"/>
        </w:rPr>
        <w:t xml:space="preserve"> interests</w:t>
      </w:r>
      <w:r w:rsidR="00097767">
        <w:rPr>
          <w:rFonts w:cs="Calibri"/>
          <w:sz w:val="22"/>
          <w:szCs w:val="22"/>
        </w:rPr>
        <w:t xml:space="preserve"> between the owners and principals </w:t>
      </w:r>
      <w:r w:rsidR="00097767" w:rsidRPr="00046999">
        <w:rPr>
          <w:rFonts w:cs="Calibri"/>
          <w:sz w:val="22"/>
          <w:szCs w:val="22"/>
        </w:rPr>
        <w:t>a solution is to provide the managers partial ownership (shares). This way the ownership structure is more widely held and it is expected that as managers now have the same interests as the owners they will disclose more information.</w:t>
      </w:r>
      <w:r w:rsidR="00097767">
        <w:rPr>
          <w:rFonts w:cs="Calibri"/>
          <w:sz w:val="22"/>
          <w:szCs w:val="22"/>
        </w:rPr>
        <w:t xml:space="preserve"> </w:t>
      </w:r>
      <w:r>
        <w:rPr>
          <w:rFonts w:cs="Calibri"/>
          <w:color w:val="000000"/>
          <w:sz w:val="22"/>
          <w:szCs w:val="22"/>
          <w:lang w:eastAsia="nl-NL"/>
        </w:rPr>
        <w:t>Therefore</w:t>
      </w:r>
      <w:r w:rsidRPr="00046999">
        <w:rPr>
          <w:rFonts w:cs="Calibri"/>
          <w:color w:val="000000"/>
          <w:sz w:val="22"/>
          <w:szCs w:val="22"/>
          <w:lang w:eastAsia="nl-NL"/>
        </w:rPr>
        <w:t xml:space="preserve">, </w:t>
      </w:r>
      <w:r>
        <w:rPr>
          <w:rFonts w:cs="Calibri"/>
          <w:color w:val="000000"/>
          <w:sz w:val="22"/>
          <w:szCs w:val="22"/>
          <w:lang w:eastAsia="nl-NL"/>
        </w:rPr>
        <w:t xml:space="preserve">a </w:t>
      </w:r>
      <w:r w:rsidR="00097767">
        <w:rPr>
          <w:rFonts w:cs="Calibri"/>
          <w:color w:val="000000"/>
          <w:sz w:val="22"/>
          <w:szCs w:val="22"/>
          <w:lang w:eastAsia="nl-NL"/>
        </w:rPr>
        <w:t>positive</w:t>
      </w:r>
      <w:r>
        <w:rPr>
          <w:rFonts w:cs="Calibri"/>
          <w:color w:val="000000"/>
          <w:sz w:val="22"/>
          <w:szCs w:val="22"/>
          <w:lang w:eastAsia="nl-NL"/>
        </w:rPr>
        <w:t xml:space="preserve"> relationship between managerial ownership and voluntary disclosures is expected. The subsequent hypothesis is used to test this relation.</w:t>
      </w:r>
    </w:p>
    <w:p w:rsidR="00A95413" w:rsidRPr="00046999" w:rsidRDefault="00A95413" w:rsidP="001D4BB3">
      <w:pPr>
        <w:spacing w:after="0"/>
        <w:ind w:left="700"/>
        <w:jc w:val="both"/>
        <w:rPr>
          <w:rFonts w:cs="Calibri"/>
          <w:i/>
          <w:color w:val="000000"/>
          <w:sz w:val="22"/>
          <w:szCs w:val="22"/>
          <w:lang w:eastAsia="nl-NL"/>
        </w:rPr>
      </w:pPr>
      <w:r w:rsidRPr="00046999">
        <w:rPr>
          <w:rFonts w:cs="Calibri"/>
          <w:i/>
          <w:color w:val="000000"/>
          <w:sz w:val="22"/>
          <w:szCs w:val="22"/>
          <w:lang w:eastAsia="nl-NL"/>
        </w:rPr>
        <w:t xml:space="preserve">H1: Managerial ownership is </w:t>
      </w:r>
      <w:r w:rsidR="007C6453">
        <w:rPr>
          <w:rFonts w:cs="Calibri"/>
          <w:i/>
          <w:color w:val="000000"/>
          <w:sz w:val="22"/>
          <w:szCs w:val="22"/>
          <w:lang w:eastAsia="nl-NL"/>
        </w:rPr>
        <w:t>positively</w:t>
      </w:r>
      <w:r w:rsidRPr="00046999">
        <w:rPr>
          <w:rFonts w:cs="Calibri"/>
          <w:i/>
          <w:color w:val="000000"/>
          <w:sz w:val="22"/>
          <w:szCs w:val="22"/>
          <w:lang w:eastAsia="nl-NL"/>
        </w:rPr>
        <w:t xml:space="preserve"> related to the extent of voluntary disclosures.</w:t>
      </w:r>
    </w:p>
    <w:p w:rsidR="00A95413" w:rsidRPr="00046999" w:rsidRDefault="00A95413" w:rsidP="001D4BB3">
      <w:pPr>
        <w:spacing w:after="0"/>
        <w:jc w:val="both"/>
        <w:rPr>
          <w:rFonts w:cs="Calibri"/>
          <w:sz w:val="22"/>
          <w:szCs w:val="22"/>
          <w:lang w:eastAsia="nl-NL"/>
        </w:rPr>
      </w:pPr>
      <w:r w:rsidRPr="00046999">
        <w:rPr>
          <w:rFonts w:cs="Calibri"/>
          <w:sz w:val="22"/>
          <w:szCs w:val="22"/>
          <w:lang w:eastAsia="nl-NL"/>
        </w:rPr>
        <w:t xml:space="preserve">Concerning blockholder ownership it was expected by Eng and Mak (2003) there is a negative relation between blockholder ownership and the level of voluntary disclosures. However, they found no empirical evidence for this. Huafang and Jianguo (2007) </w:t>
      </w:r>
      <w:r w:rsidRPr="00046999">
        <w:rPr>
          <w:rFonts w:cs="Calibri"/>
          <w:sz w:val="22"/>
          <w:szCs w:val="22"/>
        </w:rPr>
        <w:t xml:space="preserve">found that there is a significant positive relation whereas Zourarakis (2009) found a significant negative relation. As explained in paragraph 6.3 higher blockholder ownership means that the shares are controlled by a small group of people, hence ownership is concentrated. In this research it is </w:t>
      </w:r>
      <w:r>
        <w:rPr>
          <w:rFonts w:cs="Calibri"/>
          <w:sz w:val="22"/>
          <w:szCs w:val="22"/>
        </w:rPr>
        <w:t>expected that</w:t>
      </w:r>
      <w:r w:rsidRPr="00046999">
        <w:rPr>
          <w:rFonts w:cs="Calibri"/>
          <w:sz w:val="22"/>
          <w:szCs w:val="22"/>
        </w:rPr>
        <w:t xml:space="preserve"> concentrated ownership leads to less voluntary disclosures. When ownership is very concentrated, less monitorin</w:t>
      </w:r>
      <w:r>
        <w:rPr>
          <w:rFonts w:cs="Calibri"/>
          <w:sz w:val="22"/>
          <w:szCs w:val="22"/>
        </w:rPr>
        <w:t>g is required compared to when ownership is highly dispersed as now there are only a few large shareholders</w:t>
      </w:r>
      <w:r w:rsidRPr="00046999">
        <w:rPr>
          <w:rFonts w:cs="Calibri"/>
          <w:sz w:val="22"/>
          <w:szCs w:val="22"/>
        </w:rPr>
        <w:t>.</w:t>
      </w:r>
      <w:r w:rsidR="00F32C47">
        <w:rPr>
          <w:rFonts w:cs="Calibri"/>
          <w:sz w:val="22"/>
          <w:szCs w:val="22"/>
        </w:rPr>
        <w:t xml:space="preserve"> In addition, it is expected that </w:t>
      </w:r>
      <w:r w:rsidR="003A0AFF">
        <w:rPr>
          <w:rFonts w:cs="Calibri"/>
          <w:sz w:val="22"/>
          <w:szCs w:val="22"/>
        </w:rPr>
        <w:t xml:space="preserve">besides less monitoring </w:t>
      </w:r>
      <w:r w:rsidR="00F32C47">
        <w:rPr>
          <w:rFonts w:cs="Calibri"/>
          <w:sz w:val="22"/>
          <w:szCs w:val="22"/>
        </w:rPr>
        <w:t>there is</w:t>
      </w:r>
      <w:r w:rsidR="003A0AFF">
        <w:rPr>
          <w:rFonts w:cs="Calibri"/>
          <w:sz w:val="22"/>
          <w:szCs w:val="22"/>
        </w:rPr>
        <w:t xml:space="preserve"> also</w:t>
      </w:r>
      <w:r w:rsidR="00F32C47">
        <w:rPr>
          <w:rFonts w:cs="Calibri"/>
          <w:sz w:val="22"/>
          <w:szCs w:val="22"/>
        </w:rPr>
        <w:t xml:space="preserve"> more insider communication and hence less need for voluntary disclosures. Furthermore, according to the stakeholder theory; fewer stakeholders can lead in fewer stakeholders to </w:t>
      </w:r>
      <w:r w:rsidR="006623B6">
        <w:rPr>
          <w:rFonts w:cs="Calibri"/>
          <w:sz w:val="22"/>
          <w:szCs w:val="22"/>
        </w:rPr>
        <w:t>contract</w:t>
      </w:r>
      <w:r w:rsidR="00F32C47">
        <w:rPr>
          <w:rFonts w:cs="Calibri"/>
          <w:sz w:val="22"/>
          <w:szCs w:val="22"/>
        </w:rPr>
        <w:t xml:space="preserve"> with. Usually voluntary disclosures are provided to satisfy the needs of various stakeholders. As there are now fewer </w:t>
      </w:r>
      <w:r w:rsidR="006A6A68">
        <w:rPr>
          <w:rFonts w:cs="Calibri"/>
          <w:sz w:val="22"/>
          <w:szCs w:val="22"/>
        </w:rPr>
        <w:t>stakeholders</w:t>
      </w:r>
      <w:r w:rsidR="00F32C47">
        <w:rPr>
          <w:rFonts w:cs="Calibri"/>
          <w:sz w:val="22"/>
          <w:szCs w:val="22"/>
        </w:rPr>
        <w:t xml:space="preserve">, less voluntary disclosures are expected to be provided by management. </w:t>
      </w:r>
      <w:r w:rsidRPr="00046999">
        <w:rPr>
          <w:rFonts w:cs="Calibri"/>
          <w:color w:val="000000"/>
          <w:sz w:val="22"/>
          <w:szCs w:val="22"/>
          <w:lang w:eastAsia="nl-NL"/>
        </w:rPr>
        <w:t>T</w:t>
      </w:r>
      <w:r>
        <w:rPr>
          <w:rFonts w:cs="Calibri"/>
          <w:color w:val="000000"/>
          <w:sz w:val="22"/>
          <w:szCs w:val="22"/>
          <w:lang w:eastAsia="nl-NL"/>
        </w:rPr>
        <w:t>his is translated in the following hypothesis:</w:t>
      </w:r>
    </w:p>
    <w:p w:rsidR="00A95413" w:rsidRPr="00046999" w:rsidRDefault="00A95413" w:rsidP="001D4BB3">
      <w:pPr>
        <w:spacing w:after="0"/>
        <w:ind w:left="700"/>
        <w:jc w:val="both"/>
        <w:rPr>
          <w:rFonts w:cs="Calibri"/>
          <w:i/>
          <w:sz w:val="22"/>
          <w:szCs w:val="22"/>
          <w:lang w:eastAsia="nl-NL"/>
        </w:rPr>
      </w:pPr>
      <w:r w:rsidRPr="00046999">
        <w:rPr>
          <w:rFonts w:cs="Calibri"/>
          <w:i/>
          <w:sz w:val="22"/>
          <w:szCs w:val="22"/>
          <w:lang w:eastAsia="nl-NL"/>
        </w:rPr>
        <w:t>H2: Blockholder ownership is negatively related to the extent of voluntary disclosures.</w:t>
      </w:r>
    </w:p>
    <w:p w:rsidR="00A95413" w:rsidRPr="00046999" w:rsidRDefault="00A95413" w:rsidP="001D4BB3">
      <w:pPr>
        <w:spacing w:after="0"/>
        <w:jc w:val="both"/>
        <w:rPr>
          <w:rFonts w:cs="Calibri"/>
          <w:sz w:val="22"/>
          <w:szCs w:val="22"/>
          <w:lang w:eastAsia="nl-NL"/>
        </w:rPr>
      </w:pPr>
      <w:r w:rsidRPr="00046999">
        <w:rPr>
          <w:rFonts w:cs="Calibri"/>
          <w:sz w:val="22"/>
          <w:szCs w:val="22"/>
          <w:lang w:eastAsia="nl-NL"/>
        </w:rPr>
        <w:t xml:space="preserve">Regarding government ownership it is noted that only two studies analyzed this relation before. The study of Eng and Mak (2003) showed that government-linked companies (GLC’s) provide more voluntary disclosure than non-GLC’s so there exists a positive relation. Furthermore, Huafang and Jianguo (2007) </w:t>
      </w:r>
      <w:r w:rsidRPr="00046999">
        <w:rPr>
          <w:rFonts w:cs="Calibri"/>
          <w:sz w:val="22"/>
          <w:szCs w:val="22"/>
          <w:lang w:eastAsia="nl-NL"/>
        </w:rPr>
        <w:lastRenderedPageBreak/>
        <w:t xml:space="preserve">expected a positive relation as well. However, they found no significant evidence that state ownership is related to the extent of voluntary disclosures. In this study it is expected that governments request more transparency from the firms and hence the need for voluntary disclosures increases and subsequently the supply of voluntary disclosures also increases. </w:t>
      </w:r>
      <w:r>
        <w:rPr>
          <w:rFonts w:cs="Calibri"/>
          <w:color w:val="000000"/>
          <w:sz w:val="22"/>
          <w:szCs w:val="22"/>
          <w:lang w:eastAsia="nl-NL"/>
        </w:rPr>
        <w:t>The subsequent hypothesis is used to test this relation.</w:t>
      </w:r>
    </w:p>
    <w:p w:rsidR="00A95413" w:rsidRDefault="00A95413" w:rsidP="001D4BB3">
      <w:pPr>
        <w:spacing w:after="0"/>
        <w:jc w:val="both"/>
        <w:rPr>
          <w:rFonts w:cs="Calibri"/>
          <w:i/>
          <w:sz w:val="22"/>
          <w:szCs w:val="22"/>
          <w:lang w:eastAsia="nl-NL"/>
        </w:rPr>
      </w:pPr>
      <w:r w:rsidRPr="00046999">
        <w:rPr>
          <w:rFonts w:cs="Calibri"/>
          <w:sz w:val="22"/>
          <w:szCs w:val="22"/>
          <w:lang w:eastAsia="nl-NL"/>
        </w:rPr>
        <w:tab/>
      </w:r>
      <w:r w:rsidRPr="00046999">
        <w:rPr>
          <w:rFonts w:cs="Calibri"/>
          <w:i/>
          <w:sz w:val="22"/>
          <w:szCs w:val="22"/>
          <w:lang w:eastAsia="nl-NL"/>
        </w:rPr>
        <w:t>H3: Government ownership is positively related to the extent of voluntary disclosures.</w:t>
      </w:r>
    </w:p>
    <w:p w:rsidR="00A95413" w:rsidRPr="00D91DC4" w:rsidRDefault="00A95413" w:rsidP="001D4BB3">
      <w:pPr>
        <w:spacing w:after="0"/>
        <w:jc w:val="both"/>
        <w:rPr>
          <w:rFonts w:cs="Calibri"/>
          <w:sz w:val="22"/>
          <w:szCs w:val="22"/>
          <w:lang w:eastAsia="nl-NL"/>
        </w:rPr>
      </w:pPr>
      <w:r>
        <w:rPr>
          <w:rFonts w:cs="Calibri"/>
          <w:sz w:val="22"/>
          <w:szCs w:val="22"/>
          <w:lang w:eastAsia="nl-NL"/>
        </w:rPr>
        <w:t xml:space="preserve">All hypotheses are based on the results from prior research and </w:t>
      </w:r>
      <w:r w:rsidR="002111B7">
        <w:rPr>
          <w:rFonts w:cs="Calibri"/>
          <w:sz w:val="22"/>
          <w:szCs w:val="22"/>
          <w:lang w:eastAsia="nl-NL"/>
        </w:rPr>
        <w:t>personal</w:t>
      </w:r>
      <w:r>
        <w:rPr>
          <w:rFonts w:cs="Calibri"/>
          <w:sz w:val="22"/>
          <w:szCs w:val="22"/>
          <w:lang w:eastAsia="nl-NL"/>
        </w:rPr>
        <w:t xml:space="preserve"> expectations. As can be noted these hypotheses are the same hypotheses Eng and Mak (2003) made in t</w:t>
      </w:r>
      <w:r w:rsidR="00187D83">
        <w:rPr>
          <w:rFonts w:cs="Calibri"/>
          <w:sz w:val="22"/>
          <w:szCs w:val="22"/>
          <w:lang w:eastAsia="nl-NL"/>
        </w:rPr>
        <w:t>heir study</w:t>
      </w:r>
      <w:r w:rsidR="00F32633">
        <w:rPr>
          <w:rFonts w:cs="Calibri"/>
          <w:sz w:val="22"/>
          <w:szCs w:val="22"/>
          <w:lang w:eastAsia="nl-NL"/>
        </w:rPr>
        <w:t>, besides the hypothesis on managerial ownership</w:t>
      </w:r>
      <w:r w:rsidR="00187D83">
        <w:rPr>
          <w:rFonts w:cs="Calibri"/>
          <w:sz w:val="22"/>
          <w:szCs w:val="22"/>
          <w:lang w:eastAsia="nl-NL"/>
        </w:rPr>
        <w:t>. The results from the</w:t>
      </w:r>
      <w:r>
        <w:rPr>
          <w:rFonts w:cs="Calibri"/>
          <w:sz w:val="22"/>
          <w:szCs w:val="22"/>
          <w:lang w:eastAsia="nl-NL"/>
        </w:rPr>
        <w:t>s</w:t>
      </w:r>
      <w:r w:rsidR="00187D83">
        <w:rPr>
          <w:rFonts w:cs="Calibri"/>
          <w:sz w:val="22"/>
          <w:szCs w:val="22"/>
          <w:lang w:eastAsia="nl-NL"/>
        </w:rPr>
        <w:t>e</w:t>
      </w:r>
      <w:r>
        <w:rPr>
          <w:rFonts w:cs="Calibri"/>
          <w:sz w:val="22"/>
          <w:szCs w:val="22"/>
          <w:lang w:eastAsia="nl-NL"/>
        </w:rPr>
        <w:t xml:space="preserve"> hypotheses </w:t>
      </w:r>
      <w:r w:rsidR="003067BD">
        <w:rPr>
          <w:rFonts w:cs="Calibri"/>
          <w:sz w:val="22"/>
          <w:szCs w:val="22"/>
          <w:lang w:eastAsia="nl-NL"/>
        </w:rPr>
        <w:t>are used to draw conclusions</w:t>
      </w:r>
      <w:r>
        <w:rPr>
          <w:rFonts w:cs="Calibri"/>
          <w:sz w:val="22"/>
          <w:szCs w:val="22"/>
          <w:lang w:eastAsia="nl-NL"/>
        </w:rPr>
        <w:t xml:space="preserve"> concerning the relation between ownership structure and voluntary disclosures. </w:t>
      </w:r>
    </w:p>
    <w:p w:rsidR="00A95413" w:rsidRPr="00046999" w:rsidRDefault="00A95413" w:rsidP="001D4BB3">
      <w:pPr>
        <w:pStyle w:val="Kop2"/>
        <w:jc w:val="both"/>
        <w:rPr>
          <w:rFonts w:cs="Calibri"/>
        </w:rPr>
      </w:pPr>
      <w:bookmarkStart w:id="122" w:name="_Toc287267092"/>
      <w:bookmarkStart w:id="123" w:name="_Toc320365336"/>
      <w:r w:rsidRPr="00046999">
        <w:rPr>
          <w:rFonts w:cs="Calibri"/>
        </w:rPr>
        <w:t>7.3 Sample</w:t>
      </w:r>
      <w:bookmarkStart w:id="124" w:name="_Toc286066302"/>
      <w:bookmarkEnd w:id="122"/>
      <w:bookmarkEnd w:id="123"/>
    </w:p>
    <w:p w:rsidR="007A624A" w:rsidRPr="00046999" w:rsidRDefault="00A95413" w:rsidP="007A624A">
      <w:pPr>
        <w:jc w:val="both"/>
        <w:rPr>
          <w:rFonts w:cs="Calibri"/>
          <w:color w:val="000000"/>
          <w:sz w:val="22"/>
          <w:szCs w:val="22"/>
          <w:lang w:eastAsia="nl-NL"/>
        </w:rPr>
      </w:pPr>
      <w:bookmarkStart w:id="125" w:name="_Toc287267093"/>
      <w:bookmarkEnd w:id="124"/>
      <w:r w:rsidRPr="00046999">
        <w:rPr>
          <w:rFonts w:cs="Calibri"/>
          <w:sz w:val="22"/>
          <w:szCs w:val="22"/>
        </w:rPr>
        <w:t xml:space="preserve">The sample consists of 100 listed European firms. </w:t>
      </w:r>
      <w:r>
        <w:rPr>
          <w:rFonts w:cs="Calibri"/>
          <w:sz w:val="22"/>
          <w:szCs w:val="22"/>
        </w:rPr>
        <w:t xml:space="preserve">This sample of 100 firms is chosen to keep this study attainable whilst being able to draw conclusions from this sample. This is because the content analysis of 100 annual reports is already very time-consuming. </w:t>
      </w:r>
      <w:r w:rsidRPr="00046999">
        <w:rPr>
          <w:rFonts w:cs="Calibri"/>
          <w:sz w:val="22"/>
          <w:szCs w:val="22"/>
        </w:rPr>
        <w:t>Before the selection of 100</w:t>
      </w:r>
      <w:r>
        <w:rPr>
          <w:rFonts w:cs="Calibri"/>
          <w:sz w:val="22"/>
          <w:szCs w:val="22"/>
        </w:rPr>
        <w:t xml:space="preserve"> firms, financial firms </w:t>
      </w:r>
      <w:r w:rsidRPr="00046999">
        <w:rPr>
          <w:rFonts w:cs="Calibri"/>
          <w:sz w:val="22"/>
          <w:szCs w:val="22"/>
        </w:rPr>
        <w:t>are excluded</w:t>
      </w:r>
      <w:r>
        <w:rPr>
          <w:rFonts w:cs="Calibri"/>
          <w:sz w:val="22"/>
          <w:szCs w:val="22"/>
        </w:rPr>
        <w:t xml:space="preserve"> because the unique nature of their products might influence the information in the annual reports</w:t>
      </w:r>
      <w:r w:rsidRPr="00046999">
        <w:rPr>
          <w:rFonts w:cs="Calibri"/>
          <w:sz w:val="22"/>
          <w:szCs w:val="22"/>
        </w:rPr>
        <w:t>.</w:t>
      </w:r>
      <w:r>
        <w:rPr>
          <w:rFonts w:cs="Calibri"/>
          <w:sz w:val="22"/>
          <w:szCs w:val="22"/>
        </w:rPr>
        <w:t xml:space="preserve"> In addition, banks are often required to disclose information more regularly so there is an increased chance that the information is not present in the annual report but in a separate disclosure.</w:t>
      </w:r>
      <w:r w:rsidRPr="00046999">
        <w:rPr>
          <w:rFonts w:cs="Calibri"/>
          <w:sz w:val="22"/>
          <w:szCs w:val="22"/>
        </w:rPr>
        <w:t xml:space="preserve"> The sample is </w:t>
      </w:r>
      <w:r>
        <w:rPr>
          <w:rFonts w:cs="Calibri"/>
          <w:sz w:val="22"/>
          <w:szCs w:val="22"/>
        </w:rPr>
        <w:t>conducted in</w:t>
      </w:r>
      <w:r w:rsidRPr="00046999">
        <w:rPr>
          <w:rFonts w:cs="Calibri"/>
          <w:sz w:val="22"/>
          <w:szCs w:val="22"/>
        </w:rPr>
        <w:t xml:space="preserve"> the five most influential European countries </w:t>
      </w:r>
      <w:r w:rsidRPr="00046999">
        <w:rPr>
          <w:rFonts w:cs="Calibri"/>
          <w:color w:val="000000"/>
          <w:sz w:val="22"/>
          <w:szCs w:val="22"/>
          <w:lang w:eastAsia="nl-NL"/>
        </w:rPr>
        <w:t>(Germany, France,</w:t>
      </w:r>
      <w:r>
        <w:rPr>
          <w:rFonts w:cs="Calibri"/>
          <w:color w:val="000000"/>
          <w:sz w:val="22"/>
          <w:szCs w:val="22"/>
          <w:lang w:eastAsia="nl-NL"/>
        </w:rPr>
        <w:t xml:space="preserve"> Italy,</w:t>
      </w:r>
      <w:r w:rsidRPr="00046999">
        <w:rPr>
          <w:rFonts w:cs="Calibri"/>
          <w:color w:val="000000"/>
          <w:sz w:val="22"/>
          <w:szCs w:val="22"/>
          <w:lang w:eastAsia="nl-NL"/>
        </w:rPr>
        <w:t xml:space="preserve"> The Netherlands and </w:t>
      </w:r>
      <w:r>
        <w:rPr>
          <w:rFonts w:cs="Calibri"/>
          <w:color w:val="000000"/>
          <w:sz w:val="22"/>
          <w:szCs w:val="22"/>
          <w:lang w:eastAsia="nl-NL"/>
        </w:rPr>
        <w:t>Belgium</w:t>
      </w:r>
      <w:r w:rsidRPr="00046999">
        <w:rPr>
          <w:rFonts w:cs="Calibri"/>
          <w:color w:val="000000"/>
          <w:sz w:val="22"/>
          <w:szCs w:val="22"/>
          <w:lang w:eastAsia="nl-NL"/>
        </w:rPr>
        <w:t xml:space="preserve">) so from each country 20 listed firms are analyzed. </w:t>
      </w:r>
      <w:r w:rsidR="007A624A">
        <w:rPr>
          <w:rFonts w:cs="Calibri"/>
          <w:color w:val="000000"/>
          <w:sz w:val="22"/>
          <w:szCs w:val="22"/>
          <w:lang w:eastAsia="nl-NL"/>
        </w:rPr>
        <w:t>A selection of countries is chosen so the differences between the countries can be analyzed as well. If all 17 countries of the Eurozone would be included, describing the differences would reach beyond the scope of this thesis. When we would have selected the top 100 European listed firms, an analysis between the countries is not possible as some countries have multiple firms in the top 100 (Germany, France) but some countries (Cyprus or Ireland) might have none firms in the top 100.</w:t>
      </w:r>
    </w:p>
    <w:p w:rsidR="00A95413" w:rsidRDefault="00A95413" w:rsidP="001D4BB3">
      <w:pPr>
        <w:jc w:val="both"/>
        <w:rPr>
          <w:rFonts w:cs="Calibri"/>
          <w:color w:val="000000"/>
          <w:sz w:val="22"/>
          <w:szCs w:val="22"/>
          <w:lang w:eastAsia="nl-NL"/>
        </w:rPr>
      </w:pPr>
      <w:r w:rsidRPr="00046999">
        <w:rPr>
          <w:rFonts w:cs="Calibri"/>
          <w:color w:val="000000"/>
          <w:sz w:val="22"/>
          <w:szCs w:val="22"/>
          <w:lang w:eastAsia="nl-NL"/>
        </w:rPr>
        <w:t xml:space="preserve">The </w:t>
      </w:r>
      <w:r w:rsidR="00804427">
        <w:rPr>
          <w:rFonts w:cs="Calibri"/>
          <w:color w:val="000000"/>
          <w:sz w:val="22"/>
          <w:szCs w:val="22"/>
          <w:lang w:eastAsia="nl-NL"/>
        </w:rPr>
        <w:t xml:space="preserve">data is obtained from </w:t>
      </w:r>
      <w:r w:rsidRPr="00046999">
        <w:rPr>
          <w:rFonts w:cs="Calibri"/>
          <w:color w:val="000000"/>
          <w:sz w:val="22"/>
          <w:szCs w:val="22"/>
          <w:lang w:eastAsia="nl-NL"/>
        </w:rPr>
        <w:t xml:space="preserve">annual reports </w:t>
      </w:r>
      <w:r w:rsidR="00804427">
        <w:rPr>
          <w:rFonts w:cs="Calibri"/>
          <w:color w:val="000000"/>
          <w:sz w:val="22"/>
          <w:szCs w:val="22"/>
          <w:lang w:eastAsia="nl-NL"/>
        </w:rPr>
        <w:t>of</w:t>
      </w:r>
      <w:r w:rsidRPr="00046999">
        <w:rPr>
          <w:rFonts w:cs="Calibri"/>
          <w:color w:val="000000"/>
          <w:sz w:val="22"/>
          <w:szCs w:val="22"/>
          <w:lang w:eastAsia="nl-NL"/>
        </w:rPr>
        <w:t xml:space="preserve"> 2010</w:t>
      </w:r>
      <w:r w:rsidR="00C96FE9">
        <w:rPr>
          <w:rFonts w:cs="Calibri"/>
          <w:color w:val="000000"/>
          <w:sz w:val="22"/>
          <w:szCs w:val="22"/>
          <w:lang w:eastAsia="nl-NL"/>
        </w:rPr>
        <w:t xml:space="preserve">. </w:t>
      </w:r>
      <w:r w:rsidRPr="00046999">
        <w:rPr>
          <w:rFonts w:cs="Calibri"/>
          <w:color w:val="000000"/>
          <w:sz w:val="22"/>
          <w:szCs w:val="22"/>
          <w:lang w:eastAsia="nl-NL"/>
        </w:rPr>
        <w:t xml:space="preserve">The extent of information disclosed could be influenced by the current financial crisis. However, in this paper the most recent information is expected to provide the most accurate results, therefore </w:t>
      </w:r>
      <w:r>
        <w:rPr>
          <w:rFonts w:cs="Calibri"/>
          <w:color w:val="000000"/>
          <w:sz w:val="22"/>
          <w:szCs w:val="22"/>
          <w:lang w:eastAsia="nl-NL"/>
        </w:rPr>
        <w:t xml:space="preserve">the year </w:t>
      </w:r>
      <w:r w:rsidRPr="00046999">
        <w:rPr>
          <w:rFonts w:cs="Calibri"/>
          <w:color w:val="000000"/>
          <w:sz w:val="22"/>
          <w:szCs w:val="22"/>
          <w:lang w:eastAsia="nl-NL"/>
        </w:rPr>
        <w:t xml:space="preserve">2010 is chosen. </w:t>
      </w:r>
      <w:r>
        <w:rPr>
          <w:rFonts w:cs="Calibri"/>
          <w:color w:val="000000"/>
          <w:sz w:val="22"/>
          <w:szCs w:val="22"/>
          <w:lang w:eastAsia="nl-NL"/>
        </w:rPr>
        <w:t>Per country 20 listed firms are randomly selected from the total number of listed firms. The lists of all listed firms per country are obtained via Thomson One Banker.</w:t>
      </w:r>
    </w:p>
    <w:p w:rsidR="00A95413" w:rsidRPr="00CE3829" w:rsidRDefault="00A95413" w:rsidP="00CE3829">
      <w:pPr>
        <w:pStyle w:val="Kop2"/>
        <w:jc w:val="both"/>
        <w:rPr>
          <w:rFonts w:cs="Calibri"/>
        </w:rPr>
      </w:pPr>
      <w:bookmarkStart w:id="126" w:name="_Toc320365337"/>
      <w:r w:rsidRPr="00046999">
        <w:rPr>
          <w:rFonts w:cs="Calibri"/>
        </w:rPr>
        <w:t>7.4 Methodology</w:t>
      </w:r>
      <w:bookmarkEnd w:id="125"/>
      <w:bookmarkEnd w:id="126"/>
    </w:p>
    <w:p w:rsidR="00A95413" w:rsidRPr="00F835C5" w:rsidRDefault="00A95413" w:rsidP="00AE6970">
      <w:pPr>
        <w:rPr>
          <w:sz w:val="22"/>
          <w:szCs w:val="22"/>
        </w:rPr>
      </w:pPr>
      <w:r>
        <w:rPr>
          <w:sz w:val="22"/>
          <w:szCs w:val="22"/>
        </w:rPr>
        <w:t xml:space="preserve">The research started by </w:t>
      </w:r>
      <w:r w:rsidRPr="00F835C5">
        <w:rPr>
          <w:sz w:val="22"/>
          <w:szCs w:val="22"/>
        </w:rPr>
        <w:t>o</w:t>
      </w:r>
      <w:r>
        <w:rPr>
          <w:sz w:val="22"/>
          <w:szCs w:val="22"/>
        </w:rPr>
        <w:t>btaining the 100 annual reports and the ownership data. Subsequently, the annual reports are analyzed for the presence of voluntary disclosure items which created the voluntary disclosure data.</w:t>
      </w:r>
      <w:r w:rsidRPr="00F835C5">
        <w:rPr>
          <w:sz w:val="22"/>
          <w:szCs w:val="22"/>
        </w:rPr>
        <w:t xml:space="preserve"> </w:t>
      </w:r>
      <w:r>
        <w:rPr>
          <w:sz w:val="22"/>
          <w:szCs w:val="22"/>
        </w:rPr>
        <w:t>Continuously,</w:t>
      </w:r>
      <w:r w:rsidRPr="00F835C5">
        <w:rPr>
          <w:sz w:val="22"/>
          <w:szCs w:val="22"/>
        </w:rPr>
        <w:t xml:space="preserve"> the data </w:t>
      </w:r>
      <w:r>
        <w:rPr>
          <w:sz w:val="22"/>
          <w:szCs w:val="22"/>
        </w:rPr>
        <w:t xml:space="preserve">is analyzed </w:t>
      </w:r>
      <w:r w:rsidRPr="00F835C5">
        <w:rPr>
          <w:sz w:val="22"/>
          <w:szCs w:val="22"/>
        </w:rPr>
        <w:t>by using t</w:t>
      </w:r>
      <w:r w:rsidR="00391F34">
        <w:rPr>
          <w:sz w:val="22"/>
          <w:szCs w:val="22"/>
        </w:rPr>
        <w:t>he four steps described in 7.4.3</w:t>
      </w:r>
      <w:r w:rsidRPr="00F835C5">
        <w:rPr>
          <w:sz w:val="22"/>
          <w:szCs w:val="22"/>
        </w:rPr>
        <w:t xml:space="preserve">. After that the results are described and interpreted. Finally, a conclusion can be drawn </w:t>
      </w:r>
      <w:r w:rsidR="00FF7459">
        <w:rPr>
          <w:sz w:val="22"/>
          <w:szCs w:val="22"/>
        </w:rPr>
        <w:t xml:space="preserve">on </w:t>
      </w:r>
      <w:r w:rsidRPr="00F835C5">
        <w:rPr>
          <w:sz w:val="22"/>
          <w:szCs w:val="22"/>
        </w:rPr>
        <w:t>whether there is a relation between ownership structure and voluntary disclosures.</w:t>
      </w:r>
    </w:p>
    <w:p w:rsidR="00A95413" w:rsidRDefault="00A95413" w:rsidP="0065477A">
      <w:pPr>
        <w:pStyle w:val="Kop3"/>
      </w:pPr>
      <w:bookmarkStart w:id="127" w:name="_Toc320365338"/>
      <w:r>
        <w:lastRenderedPageBreak/>
        <w:t>7.4.1 Collection of the data</w:t>
      </w:r>
      <w:bookmarkEnd w:id="127"/>
    </w:p>
    <w:p w:rsidR="00A95413" w:rsidRPr="00E4229F" w:rsidRDefault="00A95413" w:rsidP="00E4229F">
      <w:pPr>
        <w:jc w:val="both"/>
        <w:rPr>
          <w:rFonts w:cs="Calibri"/>
          <w:sz w:val="22"/>
          <w:szCs w:val="22"/>
          <w:u w:val="single"/>
        </w:rPr>
      </w:pPr>
      <w:r w:rsidRPr="00E4229F">
        <w:rPr>
          <w:rFonts w:cs="Calibri"/>
          <w:sz w:val="22"/>
          <w:szCs w:val="22"/>
          <w:u w:val="single"/>
        </w:rPr>
        <w:t>Ownership data</w:t>
      </w:r>
    </w:p>
    <w:p w:rsidR="00A95413" w:rsidRDefault="00A95413" w:rsidP="00E4229F">
      <w:pPr>
        <w:jc w:val="both"/>
        <w:rPr>
          <w:rFonts w:cs="Calibri"/>
          <w:sz w:val="22"/>
          <w:szCs w:val="22"/>
        </w:rPr>
      </w:pPr>
      <w:r>
        <w:rPr>
          <w:rFonts w:cs="Calibri"/>
          <w:sz w:val="22"/>
          <w:szCs w:val="22"/>
        </w:rPr>
        <w:t xml:space="preserve">The data regarding ownership structure is obtained in different manners. </w:t>
      </w:r>
      <w:r w:rsidRPr="00E4229F">
        <w:rPr>
          <w:rFonts w:cs="Calibri"/>
          <w:sz w:val="22"/>
          <w:szCs w:val="22"/>
        </w:rPr>
        <w:t>First</w:t>
      </w:r>
      <w:r>
        <w:rPr>
          <w:rFonts w:cs="Calibri"/>
          <w:sz w:val="22"/>
          <w:szCs w:val="22"/>
        </w:rPr>
        <w:t>,</w:t>
      </w:r>
      <w:r w:rsidRPr="00E4229F">
        <w:rPr>
          <w:rFonts w:cs="Calibri"/>
          <w:sz w:val="22"/>
          <w:szCs w:val="22"/>
        </w:rPr>
        <w:t xml:space="preserve"> managerial ownership data was obtained via the program Thomson One Banker</w:t>
      </w:r>
      <w:r>
        <w:rPr>
          <w:rFonts w:cs="Calibri"/>
          <w:sz w:val="22"/>
          <w:szCs w:val="22"/>
        </w:rPr>
        <w:t xml:space="preserve"> and</w:t>
      </w:r>
      <w:r w:rsidRPr="00E4229F">
        <w:rPr>
          <w:rFonts w:cs="Calibri"/>
          <w:sz w:val="22"/>
          <w:szCs w:val="22"/>
        </w:rPr>
        <w:t xml:space="preserve"> the item used is pct.closelyheldshares (the percentage of closely held shares). The blockholder ownership data is obtained via the program Orbis; here ‘shareholder data’ on the date 31-12-2010 was selected. Subsequently, the individual percentages of direct ownership above 5% were added which created a total percentage of blockholder ownership. Unfortunately, in some cases the total amount exceeded 100% which lead to doubt whether the numbers where correct. Therefore, the data from Orbis was compared with the data on ownership available in the annual reports. Usually, the percentages were similar. In the case of a dissimilarity</w:t>
      </w:r>
      <w:r w:rsidR="006A6A68">
        <w:rPr>
          <w:rFonts w:cs="Calibri"/>
          <w:sz w:val="22"/>
          <w:szCs w:val="22"/>
        </w:rPr>
        <w:t>,</w:t>
      </w:r>
      <w:r w:rsidRPr="00E4229F">
        <w:rPr>
          <w:rFonts w:cs="Calibri"/>
          <w:sz w:val="22"/>
          <w:szCs w:val="22"/>
        </w:rPr>
        <w:t xml:space="preserve"> the ownership data from the annual report was used as this information is more accurate than the information available in Orbis. In the rare case that there was no ownership data available in the annual report, the ownership data from Orbis was used. Information concerning government ownership was also obtained via Orbis. Here the selection was made for type of shareholder: Public authority, State, Government. Subsequently, the percentages were added to create the total number of government ownership.</w:t>
      </w:r>
    </w:p>
    <w:p w:rsidR="00A95413" w:rsidRDefault="00A95413" w:rsidP="00E4229F">
      <w:pPr>
        <w:jc w:val="both"/>
        <w:rPr>
          <w:rFonts w:cs="Calibri"/>
          <w:sz w:val="22"/>
          <w:szCs w:val="22"/>
          <w:u w:val="single"/>
        </w:rPr>
      </w:pPr>
      <w:r w:rsidRPr="00E4229F">
        <w:rPr>
          <w:rFonts w:cs="Calibri"/>
          <w:sz w:val="22"/>
          <w:szCs w:val="22"/>
          <w:u w:val="single"/>
        </w:rPr>
        <w:t>Voluntary disclosures</w:t>
      </w:r>
    </w:p>
    <w:p w:rsidR="00A95413" w:rsidRPr="00CE211C" w:rsidRDefault="00A95413" w:rsidP="00E4229F">
      <w:pPr>
        <w:jc w:val="both"/>
        <w:rPr>
          <w:rFonts w:cs="Calibri"/>
          <w:sz w:val="22"/>
          <w:szCs w:val="22"/>
        </w:rPr>
      </w:pPr>
      <w:r w:rsidRPr="00CE211C">
        <w:rPr>
          <w:rFonts w:cs="Calibri"/>
          <w:sz w:val="22"/>
          <w:szCs w:val="22"/>
        </w:rPr>
        <w:t>The data</w:t>
      </w:r>
      <w:r>
        <w:rPr>
          <w:rFonts w:cs="Calibri"/>
          <w:sz w:val="22"/>
          <w:szCs w:val="22"/>
        </w:rPr>
        <w:t xml:space="preserve"> for voluntary disclosures is obtained by analyzing the annual reports of 2010. The annual reports are obtained via Thomson One Banker or the company’s website.  As mentioned in paragraph 4.3.3 the annual reports were analyzed by using two steps. First step is to assess the table of contents on the various voluntary disclosure topics. Here some points could be obtained if the information obliged the conditions described in the specifically designed protocol (appendix II). The second step is the use the set of key words (appendix II). Here as well, points can be obtained if the information regarding the score on the key words sufficed the standards of the protocol. The total number of points is added up which created the disclosure score of a company. </w:t>
      </w:r>
    </w:p>
    <w:p w:rsidR="00A95413" w:rsidRDefault="00A95413" w:rsidP="0065477A">
      <w:pPr>
        <w:pStyle w:val="Kop3"/>
      </w:pPr>
      <w:bookmarkStart w:id="128" w:name="_Toc320365339"/>
      <w:r>
        <w:t>7.4.2 The model employed</w:t>
      </w:r>
      <w:bookmarkEnd w:id="128"/>
    </w:p>
    <w:p w:rsidR="00A95413" w:rsidRDefault="00A95413" w:rsidP="0065477A">
      <w:pPr>
        <w:shd w:val="clear" w:color="auto" w:fill="FFFFFF"/>
        <w:jc w:val="both"/>
        <w:rPr>
          <w:rFonts w:cs="Calibri"/>
          <w:sz w:val="22"/>
          <w:szCs w:val="22"/>
        </w:rPr>
      </w:pPr>
      <w:r w:rsidRPr="00046999">
        <w:rPr>
          <w:rFonts w:cs="Calibri"/>
          <w:sz w:val="22"/>
          <w:szCs w:val="22"/>
        </w:rPr>
        <w:t xml:space="preserve">The regression </w:t>
      </w:r>
      <w:r>
        <w:rPr>
          <w:rFonts w:cs="Calibri"/>
          <w:sz w:val="22"/>
          <w:szCs w:val="22"/>
        </w:rPr>
        <w:t>model employed in this study is:</w:t>
      </w:r>
    </w:p>
    <w:p w:rsidR="00A95413" w:rsidRPr="00046999" w:rsidRDefault="00A95413" w:rsidP="0065477A">
      <w:pPr>
        <w:autoSpaceDE w:val="0"/>
        <w:autoSpaceDN w:val="0"/>
        <w:adjustRightInd w:val="0"/>
        <w:spacing w:after="0"/>
        <w:jc w:val="both"/>
        <w:rPr>
          <w:rStyle w:val="fdnolabel1"/>
          <w:rFonts w:cs="Calibri"/>
          <w:sz w:val="22"/>
          <w:szCs w:val="22"/>
          <w:bdr w:val="none" w:sz="0" w:space="0" w:color="auto" w:frame="1"/>
        </w:rPr>
      </w:pPr>
      <w:r w:rsidRPr="00046999">
        <w:rPr>
          <w:rStyle w:val="fdnolabel1"/>
          <w:rFonts w:cs="Calibri"/>
          <w:sz w:val="22"/>
          <w:szCs w:val="22"/>
          <w:bdr w:val="none" w:sz="0" w:space="0" w:color="auto" w:frame="1"/>
        </w:rPr>
        <w:t>DSCORE=β</w:t>
      </w:r>
      <w:r w:rsidRPr="00046999">
        <w:rPr>
          <w:rStyle w:val="fdnolabel1"/>
          <w:rFonts w:cs="Calibri"/>
          <w:sz w:val="22"/>
          <w:szCs w:val="22"/>
          <w:bdr w:val="none" w:sz="0" w:space="0" w:color="auto" w:frame="1"/>
          <w:vertAlign w:val="subscript"/>
        </w:rPr>
        <w:t>0</w:t>
      </w:r>
      <w:r w:rsidRPr="00046999">
        <w:rPr>
          <w:rStyle w:val="fdnolabel1"/>
          <w:rFonts w:cs="Calibri"/>
          <w:sz w:val="22"/>
          <w:szCs w:val="22"/>
          <w:bdr w:val="none" w:sz="0" w:space="0" w:color="auto" w:frame="1"/>
        </w:rPr>
        <w:t>+β</w:t>
      </w:r>
      <w:r w:rsidRPr="00046999">
        <w:rPr>
          <w:rStyle w:val="fdnolabel1"/>
          <w:rFonts w:cs="Calibri"/>
          <w:sz w:val="22"/>
          <w:szCs w:val="22"/>
          <w:bdr w:val="none" w:sz="0" w:space="0" w:color="auto" w:frame="1"/>
          <w:vertAlign w:val="subscript"/>
        </w:rPr>
        <w:t>1</w:t>
      </w:r>
      <w:r w:rsidRPr="00046999">
        <w:rPr>
          <w:rStyle w:val="fdnolabel1"/>
          <w:rFonts w:cs="Calibri"/>
          <w:sz w:val="22"/>
          <w:szCs w:val="22"/>
          <w:bdr w:val="none" w:sz="0" w:space="0" w:color="auto" w:frame="1"/>
        </w:rPr>
        <w:t>MOWN+β</w:t>
      </w:r>
      <w:r w:rsidRPr="00046999">
        <w:rPr>
          <w:rStyle w:val="fdnolabel1"/>
          <w:rFonts w:cs="Calibri"/>
          <w:sz w:val="22"/>
          <w:szCs w:val="22"/>
          <w:bdr w:val="none" w:sz="0" w:space="0" w:color="auto" w:frame="1"/>
          <w:vertAlign w:val="subscript"/>
        </w:rPr>
        <w:t>2</w:t>
      </w:r>
      <w:r w:rsidRPr="00046999">
        <w:rPr>
          <w:rStyle w:val="fdnolabel1"/>
          <w:rFonts w:cs="Calibri"/>
          <w:sz w:val="22"/>
          <w:szCs w:val="22"/>
          <w:bdr w:val="none" w:sz="0" w:space="0" w:color="auto" w:frame="1"/>
        </w:rPr>
        <w:t>BOWN+β</w:t>
      </w:r>
      <w:r w:rsidRPr="00046999">
        <w:rPr>
          <w:rStyle w:val="fdnolabel1"/>
          <w:rFonts w:cs="Calibri"/>
          <w:sz w:val="22"/>
          <w:szCs w:val="22"/>
          <w:bdr w:val="none" w:sz="0" w:space="0" w:color="auto" w:frame="1"/>
          <w:vertAlign w:val="subscript"/>
        </w:rPr>
        <w:t>3</w:t>
      </w:r>
      <w:r w:rsidRPr="00046999">
        <w:rPr>
          <w:rStyle w:val="fdnolabel1"/>
          <w:rFonts w:cs="Calibri"/>
          <w:sz w:val="22"/>
          <w:szCs w:val="22"/>
          <w:bdr w:val="none" w:sz="0" w:space="0" w:color="auto" w:frame="1"/>
        </w:rPr>
        <w:t>GOWN+ β</w:t>
      </w:r>
      <w:r w:rsidRPr="00046999">
        <w:rPr>
          <w:rStyle w:val="fdnolabel1"/>
          <w:rFonts w:cs="Calibri"/>
          <w:sz w:val="22"/>
          <w:szCs w:val="22"/>
          <w:bdr w:val="none" w:sz="0" w:space="0" w:color="auto" w:frame="1"/>
          <w:vertAlign w:val="subscript"/>
        </w:rPr>
        <w:t>4</w:t>
      </w:r>
      <w:r w:rsidRPr="00046999">
        <w:rPr>
          <w:rStyle w:val="fdnolabel1"/>
          <w:rFonts w:cs="Calibri"/>
          <w:sz w:val="22"/>
          <w:szCs w:val="22"/>
          <w:bdr w:val="none" w:sz="0" w:space="0" w:color="auto" w:frame="1"/>
        </w:rPr>
        <w:t>SIZE+β</w:t>
      </w:r>
      <w:r w:rsidRPr="00046999">
        <w:rPr>
          <w:rStyle w:val="fdnolabel1"/>
          <w:rFonts w:cs="Calibri"/>
          <w:sz w:val="22"/>
          <w:szCs w:val="22"/>
          <w:bdr w:val="none" w:sz="0" w:space="0" w:color="auto" w:frame="1"/>
          <w:vertAlign w:val="subscript"/>
        </w:rPr>
        <w:t>5</w:t>
      </w:r>
      <w:r w:rsidRPr="00046999">
        <w:rPr>
          <w:rStyle w:val="fdnolabel1"/>
          <w:rFonts w:cs="Calibri"/>
          <w:sz w:val="22"/>
          <w:szCs w:val="22"/>
          <w:bdr w:val="none" w:sz="0" w:space="0" w:color="auto" w:frame="1"/>
        </w:rPr>
        <w:t>LEV+β</w:t>
      </w:r>
      <w:r w:rsidRPr="00046999">
        <w:rPr>
          <w:rStyle w:val="fdnolabel1"/>
          <w:rFonts w:cs="Calibri"/>
          <w:sz w:val="22"/>
          <w:szCs w:val="22"/>
          <w:bdr w:val="none" w:sz="0" w:space="0" w:color="auto" w:frame="1"/>
          <w:vertAlign w:val="subscript"/>
        </w:rPr>
        <w:t>6</w:t>
      </w:r>
      <w:r w:rsidRPr="00046999">
        <w:rPr>
          <w:rStyle w:val="fdnolabel1"/>
          <w:rFonts w:cs="Calibri"/>
          <w:sz w:val="22"/>
          <w:szCs w:val="22"/>
          <w:bdr w:val="none" w:sz="0" w:space="0" w:color="auto" w:frame="1"/>
        </w:rPr>
        <w:t>PROF+</w:t>
      </w:r>
      <w:r w:rsidR="0080569A">
        <w:rPr>
          <w:rFonts w:cs="Calibri"/>
          <w:noProof/>
          <w:sz w:val="22"/>
          <w:szCs w:val="22"/>
          <w:bdr w:val="none" w:sz="0" w:space="0" w:color="auto" w:frame="1"/>
          <w:lang w:val="nl-NL" w:eastAsia="nl-NL"/>
        </w:rPr>
        <w:drawing>
          <wp:inline distT="0" distB="0" distL="0" distR="0">
            <wp:extent cx="85090" cy="56515"/>
            <wp:effectExtent l="19050" t="0" r="0" b="0"/>
            <wp:docPr id="6" name="Afbeelding 6" descr="var epsi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ar epsilon"/>
                    <pic:cNvPicPr>
                      <a:picLocks noChangeAspect="1" noChangeArrowheads="1"/>
                    </pic:cNvPicPr>
                  </pic:nvPicPr>
                  <pic:blipFill>
                    <a:blip r:embed="rId14"/>
                    <a:srcRect/>
                    <a:stretch>
                      <a:fillRect/>
                    </a:stretch>
                  </pic:blipFill>
                  <pic:spPr bwMode="auto">
                    <a:xfrm>
                      <a:off x="0" y="0"/>
                      <a:ext cx="85090" cy="56515"/>
                    </a:xfrm>
                    <a:prstGeom prst="rect">
                      <a:avLst/>
                    </a:prstGeom>
                    <a:noFill/>
                    <a:ln w="9525">
                      <a:noFill/>
                      <a:miter lim="800000"/>
                      <a:headEnd/>
                      <a:tailEnd/>
                    </a:ln>
                  </pic:spPr>
                </pic:pic>
              </a:graphicData>
            </a:graphic>
          </wp:inline>
        </w:drawing>
      </w:r>
    </w:p>
    <w:p w:rsidR="00A95413" w:rsidRPr="00046999" w:rsidRDefault="00A95413" w:rsidP="0065477A">
      <w:pPr>
        <w:autoSpaceDE w:val="0"/>
        <w:autoSpaceDN w:val="0"/>
        <w:adjustRightInd w:val="0"/>
        <w:spacing w:after="0"/>
        <w:jc w:val="both"/>
        <w:rPr>
          <w:rStyle w:val="fdnolabel1"/>
          <w:rFonts w:cs="Calibri"/>
          <w:sz w:val="22"/>
          <w:szCs w:val="22"/>
          <w:bdr w:val="none" w:sz="0" w:space="0" w:color="auto" w:frame="1"/>
        </w:rPr>
      </w:pPr>
      <w:r w:rsidRPr="00046999">
        <w:rPr>
          <w:rStyle w:val="fdnolabel1"/>
          <w:rFonts w:cs="Calibri"/>
          <w:sz w:val="22"/>
          <w:szCs w:val="22"/>
          <w:bdr w:val="none" w:sz="0" w:space="0" w:color="auto" w:frame="1"/>
        </w:rPr>
        <w:t>Where:</w:t>
      </w:r>
    </w:p>
    <w:p w:rsidR="00A95413" w:rsidRPr="00687E45" w:rsidRDefault="00A95413" w:rsidP="0065477A">
      <w:pPr>
        <w:shd w:val="clear" w:color="auto" w:fill="FFFFFF"/>
        <w:spacing w:line="240" w:lineRule="auto"/>
        <w:jc w:val="both"/>
        <w:rPr>
          <w:rFonts w:cs="Calibri"/>
        </w:rPr>
      </w:pPr>
      <w:r w:rsidRPr="00687E45">
        <w:rPr>
          <w:rFonts w:cs="Calibri"/>
        </w:rPr>
        <w:t>DSCORE</w:t>
      </w:r>
      <w:r w:rsidRPr="00687E45">
        <w:rPr>
          <w:rFonts w:cs="Calibri"/>
        </w:rPr>
        <w:tab/>
      </w:r>
      <w:r>
        <w:rPr>
          <w:rFonts w:cs="Calibri"/>
        </w:rPr>
        <w:tab/>
      </w:r>
      <w:r w:rsidRPr="00687E45">
        <w:rPr>
          <w:rFonts w:cs="Calibri"/>
        </w:rPr>
        <w:t>=</w:t>
      </w:r>
      <w:r w:rsidR="00AD17CF">
        <w:rPr>
          <w:rFonts w:cs="Calibri"/>
        </w:rPr>
        <w:t xml:space="preserve"> </w:t>
      </w:r>
      <w:r w:rsidRPr="00687E45">
        <w:rPr>
          <w:rFonts w:cs="Calibri"/>
        </w:rPr>
        <w:t>extent of voluntary disclosure scores</w:t>
      </w:r>
    </w:p>
    <w:p w:rsidR="00A95413" w:rsidRPr="00687E45" w:rsidRDefault="00A95413" w:rsidP="0065477A">
      <w:pPr>
        <w:shd w:val="clear" w:color="auto" w:fill="FFFFFF"/>
        <w:spacing w:line="240" w:lineRule="auto"/>
        <w:jc w:val="both"/>
        <w:rPr>
          <w:rFonts w:cs="Calibri"/>
        </w:rPr>
      </w:pPr>
      <w:r w:rsidRPr="00687E45">
        <w:rPr>
          <w:rFonts w:cs="Calibri"/>
          <w:i/>
          <w:iCs/>
        </w:rPr>
        <w:t>β</w:t>
      </w:r>
      <w:r w:rsidRPr="00687E45">
        <w:rPr>
          <w:rFonts w:cs="Calibri"/>
          <w:vertAlign w:val="subscript"/>
        </w:rPr>
        <w:t>0</w:t>
      </w:r>
      <w:r w:rsidRPr="00687E45">
        <w:rPr>
          <w:rFonts w:cs="Calibri"/>
          <w:vertAlign w:val="subscript"/>
        </w:rPr>
        <w:tab/>
      </w:r>
      <w:r w:rsidRPr="00687E45">
        <w:rPr>
          <w:rFonts w:cs="Calibri"/>
          <w:vertAlign w:val="subscript"/>
        </w:rPr>
        <w:tab/>
      </w:r>
      <w:r w:rsidRPr="00687E45">
        <w:rPr>
          <w:rFonts w:cs="Calibri"/>
        </w:rPr>
        <w:t xml:space="preserve">= regression intercept; </w:t>
      </w:r>
    </w:p>
    <w:p w:rsidR="00A95413" w:rsidRPr="00687E45" w:rsidRDefault="00A95413" w:rsidP="0065477A">
      <w:pPr>
        <w:shd w:val="clear" w:color="auto" w:fill="FFFFFF"/>
        <w:spacing w:line="240" w:lineRule="auto"/>
        <w:jc w:val="both"/>
        <w:rPr>
          <w:rFonts w:cs="Calibri"/>
        </w:rPr>
      </w:pPr>
      <w:r w:rsidRPr="00687E45">
        <w:rPr>
          <w:rFonts w:cs="Calibri"/>
          <w:i/>
          <w:iCs/>
        </w:rPr>
        <w:t>β</w:t>
      </w:r>
      <w:r w:rsidRPr="00687E45">
        <w:rPr>
          <w:rFonts w:cs="Calibri"/>
          <w:vertAlign w:val="subscript"/>
        </w:rPr>
        <w:t>i</w:t>
      </w:r>
      <w:r w:rsidRPr="00687E45">
        <w:rPr>
          <w:rFonts w:cs="Calibri"/>
          <w:vertAlign w:val="subscript"/>
        </w:rPr>
        <w:tab/>
      </w:r>
      <w:r w:rsidRPr="00687E45">
        <w:rPr>
          <w:rFonts w:cs="Calibri"/>
          <w:vertAlign w:val="subscript"/>
        </w:rPr>
        <w:tab/>
      </w:r>
      <w:r w:rsidRPr="00687E45">
        <w:rPr>
          <w:rFonts w:cs="Calibri"/>
        </w:rPr>
        <w:t xml:space="preserve">= parameters to be estimated; </w:t>
      </w:r>
      <w:r w:rsidRPr="00687E45">
        <w:rPr>
          <w:rFonts w:cs="Calibri"/>
          <w:i/>
          <w:iCs/>
        </w:rPr>
        <w:t>i</w:t>
      </w:r>
      <w:r w:rsidRPr="00687E45">
        <w:rPr>
          <w:rFonts w:cs="Calibri"/>
        </w:rPr>
        <w:t>=1, …, 6.</w:t>
      </w:r>
    </w:p>
    <w:p w:rsidR="00A95413" w:rsidRPr="00687E45" w:rsidRDefault="00A95413" w:rsidP="0065477A">
      <w:pPr>
        <w:shd w:val="clear" w:color="auto" w:fill="FFFFFF"/>
        <w:spacing w:line="240" w:lineRule="auto"/>
        <w:jc w:val="both"/>
        <w:rPr>
          <w:rFonts w:cs="Calibri"/>
        </w:rPr>
      </w:pPr>
      <w:r w:rsidRPr="00687E45">
        <w:rPr>
          <w:rFonts w:cs="Calibri"/>
        </w:rPr>
        <w:t>MOWN</w:t>
      </w:r>
      <w:r w:rsidRPr="00687E45">
        <w:rPr>
          <w:rFonts w:cs="Calibri"/>
        </w:rPr>
        <w:tab/>
      </w:r>
      <w:r w:rsidRPr="00687E45">
        <w:rPr>
          <w:rFonts w:cs="Calibri"/>
        </w:rPr>
        <w:tab/>
        <w:t xml:space="preserve">= managerial ownership; number of closely held shares </w:t>
      </w:r>
    </w:p>
    <w:p w:rsidR="00A95413" w:rsidRPr="00687E45" w:rsidRDefault="00A95413" w:rsidP="0065477A">
      <w:pPr>
        <w:shd w:val="clear" w:color="auto" w:fill="FFFFFF"/>
        <w:spacing w:line="240" w:lineRule="auto"/>
        <w:jc w:val="both"/>
        <w:rPr>
          <w:rFonts w:cs="Calibri"/>
        </w:rPr>
      </w:pPr>
      <w:r w:rsidRPr="00687E45">
        <w:rPr>
          <w:rFonts w:cs="Calibri"/>
        </w:rPr>
        <w:lastRenderedPageBreak/>
        <w:t xml:space="preserve">BOWN </w:t>
      </w:r>
      <w:r w:rsidRPr="00687E45">
        <w:rPr>
          <w:rFonts w:cs="Calibri"/>
        </w:rPr>
        <w:tab/>
      </w:r>
      <w:r w:rsidRPr="00687E45">
        <w:rPr>
          <w:rFonts w:cs="Calibri"/>
        </w:rPr>
        <w:tab/>
        <w:t>=</w:t>
      </w:r>
      <w:r w:rsidR="00AD17CF">
        <w:rPr>
          <w:rFonts w:cs="Calibri"/>
        </w:rPr>
        <w:t xml:space="preserve"> </w:t>
      </w:r>
      <w:r w:rsidRPr="00687E45">
        <w:rPr>
          <w:rFonts w:cs="Calibri"/>
        </w:rPr>
        <w:t>blockholder ownership; the proportion of equity ownership by substantial shareholders (5% or more)</w:t>
      </w:r>
    </w:p>
    <w:p w:rsidR="00A95413" w:rsidRPr="00687E45" w:rsidRDefault="00A95413" w:rsidP="0065477A">
      <w:pPr>
        <w:shd w:val="clear" w:color="auto" w:fill="FFFFFF"/>
        <w:spacing w:line="240" w:lineRule="auto"/>
        <w:jc w:val="both"/>
        <w:rPr>
          <w:rFonts w:cs="Calibri"/>
        </w:rPr>
      </w:pPr>
      <w:r w:rsidRPr="00687E45">
        <w:rPr>
          <w:rFonts w:cs="Calibri"/>
        </w:rPr>
        <w:t>GOWN</w:t>
      </w:r>
      <w:r w:rsidRPr="00687E45">
        <w:rPr>
          <w:rFonts w:cs="Calibri"/>
        </w:rPr>
        <w:tab/>
      </w:r>
      <w:r w:rsidRPr="00687E45">
        <w:rPr>
          <w:rFonts w:cs="Calibri"/>
        </w:rPr>
        <w:tab/>
        <w:t>= government ownership; the proportion of shares held by the government</w:t>
      </w:r>
    </w:p>
    <w:p w:rsidR="00A95413" w:rsidRPr="00687E45" w:rsidRDefault="00A95413" w:rsidP="0065477A">
      <w:pPr>
        <w:shd w:val="clear" w:color="auto" w:fill="FFFFFF"/>
        <w:spacing w:line="240" w:lineRule="auto"/>
        <w:jc w:val="both"/>
        <w:rPr>
          <w:rFonts w:cs="Calibri"/>
        </w:rPr>
      </w:pPr>
      <w:r w:rsidRPr="00687E45">
        <w:rPr>
          <w:rFonts w:cs="Calibri"/>
        </w:rPr>
        <w:t>SIZE</w:t>
      </w:r>
      <w:r w:rsidRPr="00687E45">
        <w:rPr>
          <w:rFonts w:cs="Calibri"/>
        </w:rPr>
        <w:tab/>
      </w:r>
      <w:r w:rsidRPr="00687E45">
        <w:rPr>
          <w:rFonts w:cs="Calibri"/>
        </w:rPr>
        <w:tab/>
        <w:t>= firm size; sales</w:t>
      </w:r>
    </w:p>
    <w:p w:rsidR="00A95413" w:rsidRPr="00687E45" w:rsidRDefault="00A95413" w:rsidP="0065477A">
      <w:pPr>
        <w:shd w:val="clear" w:color="auto" w:fill="FFFFFF"/>
        <w:spacing w:line="240" w:lineRule="auto"/>
        <w:jc w:val="both"/>
        <w:rPr>
          <w:rFonts w:cs="Calibri"/>
        </w:rPr>
      </w:pPr>
      <w:r w:rsidRPr="00687E45">
        <w:rPr>
          <w:rFonts w:cs="Calibri"/>
        </w:rPr>
        <w:t>LEV</w:t>
      </w:r>
      <w:r w:rsidRPr="00687E45">
        <w:rPr>
          <w:rFonts w:cs="Calibri"/>
        </w:rPr>
        <w:tab/>
      </w:r>
      <w:r w:rsidRPr="00687E45">
        <w:rPr>
          <w:rFonts w:cs="Calibri"/>
        </w:rPr>
        <w:tab/>
        <w:t>= leverage; total debt to total assets</w:t>
      </w:r>
    </w:p>
    <w:p w:rsidR="00A95413" w:rsidRPr="00687E45" w:rsidRDefault="00A95413" w:rsidP="0065477A">
      <w:pPr>
        <w:shd w:val="clear" w:color="auto" w:fill="FFFFFF"/>
        <w:spacing w:line="240" w:lineRule="auto"/>
        <w:jc w:val="both"/>
        <w:rPr>
          <w:rFonts w:cs="Calibri"/>
        </w:rPr>
      </w:pPr>
      <w:r w:rsidRPr="00687E45">
        <w:rPr>
          <w:rFonts w:cs="Calibri"/>
        </w:rPr>
        <w:t>PROF</w:t>
      </w:r>
      <w:r w:rsidRPr="00687E45">
        <w:rPr>
          <w:rFonts w:cs="Calibri"/>
        </w:rPr>
        <w:tab/>
      </w:r>
      <w:r w:rsidRPr="00687E45">
        <w:rPr>
          <w:rFonts w:cs="Calibri"/>
        </w:rPr>
        <w:tab/>
        <w:t>= profitability; return on assets (ROA)</w:t>
      </w:r>
    </w:p>
    <w:p w:rsidR="00A95413" w:rsidRPr="0003331B" w:rsidRDefault="0080569A" w:rsidP="0065477A">
      <w:pPr>
        <w:shd w:val="clear" w:color="auto" w:fill="FFFFFF"/>
        <w:spacing w:line="240" w:lineRule="auto"/>
        <w:jc w:val="both"/>
        <w:rPr>
          <w:rFonts w:cs="Calibri"/>
        </w:rPr>
      </w:pPr>
      <w:r>
        <w:rPr>
          <w:rFonts w:cs="Calibri"/>
          <w:noProof/>
          <w:lang w:val="nl-NL" w:eastAsia="nl-NL"/>
        </w:rPr>
        <w:drawing>
          <wp:inline distT="0" distB="0" distL="0" distR="0">
            <wp:extent cx="85090" cy="56515"/>
            <wp:effectExtent l="19050" t="0" r="0" b="0"/>
            <wp:docPr id="7" name="Afbeelding 7" descr="var epsi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r epsilon"/>
                    <pic:cNvPicPr>
                      <a:picLocks noChangeAspect="1" noChangeArrowheads="1"/>
                    </pic:cNvPicPr>
                  </pic:nvPicPr>
                  <pic:blipFill>
                    <a:blip r:embed="rId14"/>
                    <a:srcRect/>
                    <a:stretch>
                      <a:fillRect/>
                    </a:stretch>
                  </pic:blipFill>
                  <pic:spPr bwMode="auto">
                    <a:xfrm>
                      <a:off x="0" y="0"/>
                      <a:ext cx="85090" cy="56515"/>
                    </a:xfrm>
                    <a:prstGeom prst="rect">
                      <a:avLst/>
                    </a:prstGeom>
                    <a:noFill/>
                    <a:ln w="9525">
                      <a:noFill/>
                      <a:miter lim="800000"/>
                      <a:headEnd/>
                      <a:tailEnd/>
                    </a:ln>
                  </pic:spPr>
                </pic:pic>
              </a:graphicData>
            </a:graphic>
          </wp:inline>
        </w:drawing>
      </w:r>
      <w:r w:rsidR="00A95413" w:rsidRPr="00687E45">
        <w:rPr>
          <w:rFonts w:cs="Calibri"/>
        </w:rPr>
        <w:tab/>
      </w:r>
      <w:r w:rsidR="00A95413" w:rsidRPr="00687E45">
        <w:rPr>
          <w:rFonts w:cs="Calibri"/>
        </w:rPr>
        <w:tab/>
        <w:t>= error term</w:t>
      </w:r>
    </w:p>
    <w:p w:rsidR="00A95413" w:rsidRDefault="00A95413" w:rsidP="001D4BB3">
      <w:pPr>
        <w:shd w:val="clear" w:color="auto" w:fill="FFFFFF"/>
        <w:jc w:val="both"/>
        <w:rPr>
          <w:rFonts w:cs="Calibri"/>
          <w:sz w:val="22"/>
          <w:szCs w:val="22"/>
        </w:rPr>
      </w:pPr>
      <w:r>
        <w:rPr>
          <w:rFonts w:cs="Calibri"/>
          <w:sz w:val="22"/>
          <w:szCs w:val="22"/>
        </w:rPr>
        <w:t>Various regressions are executed in this research to determine whether the variables influence each other:</w:t>
      </w:r>
    </w:p>
    <w:p w:rsidR="00A95413" w:rsidRPr="00046999" w:rsidRDefault="00A95413" w:rsidP="00A936D0">
      <w:pPr>
        <w:pStyle w:val="Lijstalinea"/>
        <w:numPr>
          <w:ilvl w:val="0"/>
          <w:numId w:val="12"/>
        </w:numPr>
        <w:autoSpaceDE w:val="0"/>
        <w:autoSpaceDN w:val="0"/>
        <w:adjustRightInd w:val="0"/>
        <w:spacing w:after="0"/>
        <w:jc w:val="both"/>
        <w:rPr>
          <w:rStyle w:val="fdnolabel1"/>
          <w:rFonts w:cs="Calibri"/>
          <w:i/>
          <w:sz w:val="22"/>
          <w:szCs w:val="22"/>
          <w:bdr w:val="none" w:sz="0" w:space="0" w:color="auto" w:frame="1"/>
        </w:rPr>
      </w:pPr>
      <w:r w:rsidRPr="00046999">
        <w:rPr>
          <w:rFonts w:cs="Calibri"/>
          <w:i/>
          <w:sz w:val="22"/>
          <w:szCs w:val="22"/>
        </w:rPr>
        <w:t xml:space="preserve">Dscore = </w:t>
      </w:r>
      <w:r w:rsidRPr="00046999">
        <w:rPr>
          <w:rStyle w:val="fdnolabel1"/>
          <w:rFonts w:cs="Calibri"/>
          <w:i/>
          <w:sz w:val="22"/>
          <w:szCs w:val="22"/>
          <w:bdr w:val="none" w:sz="0" w:space="0" w:color="auto" w:frame="1"/>
        </w:rPr>
        <w:t>β</w:t>
      </w:r>
      <w:r w:rsidRPr="00046999">
        <w:rPr>
          <w:rStyle w:val="fdnolabel1"/>
          <w:rFonts w:cs="Calibri"/>
          <w:i/>
          <w:sz w:val="22"/>
          <w:szCs w:val="22"/>
          <w:bdr w:val="none" w:sz="0" w:space="0" w:color="auto" w:frame="1"/>
          <w:vertAlign w:val="subscript"/>
        </w:rPr>
        <w:t>0</w:t>
      </w:r>
      <w:r w:rsidRPr="00046999">
        <w:rPr>
          <w:rStyle w:val="fdnolabel1"/>
          <w:rFonts w:cs="Calibri"/>
          <w:i/>
          <w:sz w:val="22"/>
          <w:szCs w:val="22"/>
          <w:bdr w:val="none" w:sz="0" w:space="0" w:color="auto" w:frame="1"/>
        </w:rPr>
        <w:t>+</w:t>
      </w:r>
      <w:r w:rsidRPr="00046999">
        <w:rPr>
          <w:rStyle w:val="fdnolabel1"/>
          <w:rFonts w:cs="Calibri"/>
          <w:b/>
          <w:i/>
          <w:sz w:val="22"/>
          <w:szCs w:val="22"/>
          <w:bdr w:val="none" w:sz="0" w:space="0" w:color="auto" w:frame="1"/>
        </w:rPr>
        <w:t>β</w:t>
      </w:r>
      <w:r w:rsidRPr="00046999">
        <w:rPr>
          <w:rStyle w:val="fdnolabel1"/>
          <w:rFonts w:cs="Calibri"/>
          <w:b/>
          <w:i/>
          <w:sz w:val="22"/>
          <w:szCs w:val="22"/>
          <w:bdr w:val="none" w:sz="0" w:space="0" w:color="auto" w:frame="1"/>
          <w:vertAlign w:val="subscript"/>
        </w:rPr>
        <w:t>1</w:t>
      </w:r>
      <w:r w:rsidRPr="00046999">
        <w:rPr>
          <w:rStyle w:val="fdnolabel1"/>
          <w:rFonts w:cs="Calibri"/>
          <w:b/>
          <w:i/>
          <w:sz w:val="22"/>
          <w:szCs w:val="22"/>
          <w:bdr w:val="none" w:sz="0" w:space="0" w:color="auto" w:frame="1"/>
        </w:rPr>
        <w:t>MOWN</w:t>
      </w:r>
      <w:r w:rsidRPr="00046999">
        <w:rPr>
          <w:rStyle w:val="fdnolabel1"/>
          <w:rFonts w:cs="Calibri"/>
          <w:i/>
          <w:sz w:val="22"/>
          <w:szCs w:val="22"/>
          <w:bdr w:val="none" w:sz="0" w:space="0" w:color="auto" w:frame="1"/>
        </w:rPr>
        <w:t>+</w:t>
      </w:r>
      <w:r w:rsidRPr="00046999">
        <w:rPr>
          <w:rStyle w:val="fdnolabel1"/>
          <w:rFonts w:cs="Calibri"/>
          <w:b/>
          <w:i/>
          <w:sz w:val="22"/>
          <w:szCs w:val="22"/>
          <w:bdr w:val="none" w:sz="0" w:space="0" w:color="auto" w:frame="1"/>
        </w:rPr>
        <w:t>β</w:t>
      </w:r>
      <w:r w:rsidRPr="00046999">
        <w:rPr>
          <w:rStyle w:val="fdnolabel1"/>
          <w:rFonts w:cs="Calibri"/>
          <w:b/>
          <w:i/>
          <w:sz w:val="22"/>
          <w:szCs w:val="22"/>
          <w:bdr w:val="none" w:sz="0" w:space="0" w:color="auto" w:frame="1"/>
          <w:vertAlign w:val="subscript"/>
        </w:rPr>
        <w:t>2</w:t>
      </w:r>
      <w:r w:rsidRPr="00046999">
        <w:rPr>
          <w:rStyle w:val="fdnolabel1"/>
          <w:rFonts w:cs="Calibri"/>
          <w:b/>
          <w:i/>
          <w:sz w:val="22"/>
          <w:szCs w:val="22"/>
          <w:bdr w:val="none" w:sz="0" w:space="0" w:color="auto" w:frame="1"/>
        </w:rPr>
        <w:t>BOWN</w:t>
      </w:r>
      <w:r w:rsidRPr="00046999">
        <w:rPr>
          <w:rStyle w:val="fdnolabel1"/>
          <w:rFonts w:cs="Calibri"/>
          <w:i/>
          <w:sz w:val="22"/>
          <w:szCs w:val="22"/>
          <w:bdr w:val="none" w:sz="0" w:space="0" w:color="auto" w:frame="1"/>
        </w:rPr>
        <w:t>+ β</w:t>
      </w:r>
      <w:r w:rsidRPr="00046999">
        <w:rPr>
          <w:rStyle w:val="fdnolabel1"/>
          <w:rFonts w:cs="Calibri"/>
          <w:i/>
          <w:sz w:val="22"/>
          <w:szCs w:val="22"/>
          <w:bdr w:val="none" w:sz="0" w:space="0" w:color="auto" w:frame="1"/>
          <w:vertAlign w:val="subscript"/>
        </w:rPr>
        <w:t>3</w:t>
      </w:r>
      <w:r w:rsidRPr="00046999">
        <w:rPr>
          <w:rStyle w:val="fdnolabel1"/>
          <w:rFonts w:cs="Calibri"/>
          <w:i/>
          <w:sz w:val="22"/>
          <w:szCs w:val="22"/>
          <w:bdr w:val="none" w:sz="0" w:space="0" w:color="auto" w:frame="1"/>
        </w:rPr>
        <w:t>SIZE+β</w:t>
      </w:r>
      <w:r w:rsidRPr="00046999">
        <w:rPr>
          <w:rStyle w:val="fdnolabel1"/>
          <w:rFonts w:cs="Calibri"/>
          <w:i/>
          <w:sz w:val="22"/>
          <w:szCs w:val="22"/>
          <w:bdr w:val="none" w:sz="0" w:space="0" w:color="auto" w:frame="1"/>
          <w:vertAlign w:val="subscript"/>
        </w:rPr>
        <w:t>4</w:t>
      </w:r>
      <w:r w:rsidRPr="00046999">
        <w:rPr>
          <w:rStyle w:val="fdnolabel1"/>
          <w:rFonts w:cs="Calibri"/>
          <w:i/>
          <w:sz w:val="22"/>
          <w:szCs w:val="22"/>
          <w:bdr w:val="none" w:sz="0" w:space="0" w:color="auto" w:frame="1"/>
        </w:rPr>
        <w:t>LEV+β</w:t>
      </w:r>
      <w:r w:rsidRPr="00046999">
        <w:rPr>
          <w:rStyle w:val="fdnolabel1"/>
          <w:rFonts w:cs="Calibri"/>
          <w:i/>
          <w:sz w:val="22"/>
          <w:szCs w:val="22"/>
          <w:bdr w:val="none" w:sz="0" w:space="0" w:color="auto" w:frame="1"/>
          <w:vertAlign w:val="subscript"/>
        </w:rPr>
        <w:t>5</w:t>
      </w:r>
      <w:r w:rsidRPr="00046999">
        <w:rPr>
          <w:rStyle w:val="fdnolabel1"/>
          <w:rFonts w:cs="Calibri"/>
          <w:i/>
          <w:sz w:val="22"/>
          <w:szCs w:val="22"/>
          <w:bdr w:val="none" w:sz="0" w:space="0" w:color="auto" w:frame="1"/>
        </w:rPr>
        <w:t>PROF+</w:t>
      </w:r>
      <w:r w:rsidR="0080569A">
        <w:rPr>
          <w:rFonts w:cs="Calibri"/>
          <w:i/>
          <w:noProof/>
          <w:sz w:val="22"/>
          <w:szCs w:val="22"/>
          <w:bdr w:val="none" w:sz="0" w:space="0" w:color="auto" w:frame="1"/>
          <w:lang w:val="nl-NL" w:eastAsia="nl-NL"/>
        </w:rPr>
        <w:drawing>
          <wp:inline distT="0" distB="0" distL="0" distR="0">
            <wp:extent cx="85090" cy="56515"/>
            <wp:effectExtent l="19050" t="0" r="0" b="0"/>
            <wp:docPr id="8" name="Afbeelding 8" descr="var epsi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var epsilon"/>
                    <pic:cNvPicPr>
                      <a:picLocks noChangeAspect="1" noChangeArrowheads="1"/>
                    </pic:cNvPicPr>
                  </pic:nvPicPr>
                  <pic:blipFill>
                    <a:blip r:embed="rId14"/>
                    <a:srcRect/>
                    <a:stretch>
                      <a:fillRect/>
                    </a:stretch>
                  </pic:blipFill>
                  <pic:spPr bwMode="auto">
                    <a:xfrm>
                      <a:off x="0" y="0"/>
                      <a:ext cx="85090" cy="56515"/>
                    </a:xfrm>
                    <a:prstGeom prst="rect">
                      <a:avLst/>
                    </a:prstGeom>
                    <a:noFill/>
                    <a:ln w="9525">
                      <a:noFill/>
                      <a:miter lim="800000"/>
                      <a:headEnd/>
                      <a:tailEnd/>
                    </a:ln>
                  </pic:spPr>
                </pic:pic>
              </a:graphicData>
            </a:graphic>
          </wp:inline>
        </w:drawing>
      </w:r>
    </w:p>
    <w:p w:rsidR="00A95413" w:rsidRPr="00046999" w:rsidRDefault="00A95413" w:rsidP="00A936D0">
      <w:pPr>
        <w:pStyle w:val="Lijstalinea"/>
        <w:numPr>
          <w:ilvl w:val="0"/>
          <w:numId w:val="12"/>
        </w:numPr>
        <w:autoSpaceDE w:val="0"/>
        <w:autoSpaceDN w:val="0"/>
        <w:adjustRightInd w:val="0"/>
        <w:spacing w:after="0"/>
        <w:jc w:val="both"/>
        <w:rPr>
          <w:rStyle w:val="fdnolabel1"/>
          <w:rFonts w:cs="Calibri"/>
          <w:i/>
          <w:sz w:val="22"/>
          <w:szCs w:val="22"/>
          <w:bdr w:val="none" w:sz="0" w:space="0" w:color="auto" w:frame="1"/>
        </w:rPr>
      </w:pPr>
      <w:r w:rsidRPr="00046999">
        <w:rPr>
          <w:rStyle w:val="fdnolabel1"/>
          <w:rFonts w:cs="Calibri"/>
          <w:i/>
          <w:sz w:val="22"/>
          <w:szCs w:val="22"/>
          <w:bdr w:val="none" w:sz="0" w:space="0" w:color="auto" w:frame="1"/>
        </w:rPr>
        <w:t>Dscore= β</w:t>
      </w:r>
      <w:r w:rsidRPr="00046999">
        <w:rPr>
          <w:rStyle w:val="fdnolabel1"/>
          <w:rFonts w:cs="Calibri"/>
          <w:i/>
          <w:sz w:val="22"/>
          <w:szCs w:val="22"/>
          <w:bdr w:val="none" w:sz="0" w:space="0" w:color="auto" w:frame="1"/>
          <w:vertAlign w:val="subscript"/>
        </w:rPr>
        <w:t>0</w:t>
      </w:r>
      <w:r w:rsidRPr="00046999">
        <w:rPr>
          <w:rStyle w:val="fdnolabel1"/>
          <w:rFonts w:cs="Calibri"/>
          <w:i/>
          <w:sz w:val="22"/>
          <w:szCs w:val="22"/>
          <w:bdr w:val="none" w:sz="0" w:space="0" w:color="auto" w:frame="1"/>
        </w:rPr>
        <w:t>+</w:t>
      </w:r>
      <w:r w:rsidRPr="00046999">
        <w:rPr>
          <w:rStyle w:val="fdnolabel1"/>
          <w:rFonts w:cs="Calibri"/>
          <w:b/>
          <w:i/>
          <w:sz w:val="22"/>
          <w:szCs w:val="22"/>
          <w:bdr w:val="none" w:sz="0" w:space="0" w:color="auto" w:frame="1"/>
        </w:rPr>
        <w:t>β</w:t>
      </w:r>
      <w:r w:rsidRPr="00046999">
        <w:rPr>
          <w:rStyle w:val="fdnolabel1"/>
          <w:rFonts w:cs="Calibri"/>
          <w:b/>
          <w:i/>
          <w:sz w:val="22"/>
          <w:szCs w:val="22"/>
          <w:bdr w:val="none" w:sz="0" w:space="0" w:color="auto" w:frame="1"/>
          <w:vertAlign w:val="subscript"/>
        </w:rPr>
        <w:t>1</w:t>
      </w:r>
      <w:r w:rsidRPr="00046999">
        <w:rPr>
          <w:rStyle w:val="fdnolabel1"/>
          <w:rFonts w:cs="Calibri"/>
          <w:b/>
          <w:i/>
          <w:sz w:val="22"/>
          <w:szCs w:val="22"/>
          <w:bdr w:val="none" w:sz="0" w:space="0" w:color="auto" w:frame="1"/>
        </w:rPr>
        <w:t>BOWN</w:t>
      </w:r>
      <w:r w:rsidRPr="00046999">
        <w:rPr>
          <w:rStyle w:val="fdnolabel1"/>
          <w:rFonts w:cs="Calibri"/>
          <w:i/>
          <w:sz w:val="22"/>
          <w:szCs w:val="22"/>
          <w:bdr w:val="none" w:sz="0" w:space="0" w:color="auto" w:frame="1"/>
        </w:rPr>
        <w:t xml:space="preserve"> + β</w:t>
      </w:r>
      <w:r w:rsidRPr="00046999">
        <w:rPr>
          <w:rStyle w:val="fdnolabel1"/>
          <w:rFonts w:cs="Calibri"/>
          <w:i/>
          <w:sz w:val="22"/>
          <w:szCs w:val="22"/>
          <w:bdr w:val="none" w:sz="0" w:space="0" w:color="auto" w:frame="1"/>
          <w:vertAlign w:val="subscript"/>
        </w:rPr>
        <w:t>2</w:t>
      </w:r>
      <w:r w:rsidRPr="00046999">
        <w:rPr>
          <w:rStyle w:val="fdnolabel1"/>
          <w:rFonts w:cs="Calibri"/>
          <w:i/>
          <w:sz w:val="22"/>
          <w:szCs w:val="22"/>
          <w:bdr w:val="none" w:sz="0" w:space="0" w:color="auto" w:frame="1"/>
        </w:rPr>
        <w:t>SIZE+β</w:t>
      </w:r>
      <w:r w:rsidRPr="00046999">
        <w:rPr>
          <w:rStyle w:val="fdnolabel1"/>
          <w:rFonts w:cs="Calibri"/>
          <w:i/>
          <w:sz w:val="22"/>
          <w:szCs w:val="22"/>
          <w:bdr w:val="none" w:sz="0" w:space="0" w:color="auto" w:frame="1"/>
          <w:vertAlign w:val="subscript"/>
        </w:rPr>
        <w:t>3</w:t>
      </w:r>
      <w:r w:rsidRPr="00046999">
        <w:rPr>
          <w:rStyle w:val="fdnolabel1"/>
          <w:rFonts w:cs="Calibri"/>
          <w:i/>
          <w:sz w:val="22"/>
          <w:szCs w:val="22"/>
          <w:bdr w:val="none" w:sz="0" w:space="0" w:color="auto" w:frame="1"/>
        </w:rPr>
        <w:t>LEV+β</w:t>
      </w:r>
      <w:r w:rsidRPr="00046999">
        <w:rPr>
          <w:rStyle w:val="fdnolabel1"/>
          <w:rFonts w:cs="Calibri"/>
          <w:i/>
          <w:sz w:val="22"/>
          <w:szCs w:val="22"/>
          <w:bdr w:val="none" w:sz="0" w:space="0" w:color="auto" w:frame="1"/>
          <w:vertAlign w:val="subscript"/>
        </w:rPr>
        <w:t>7</w:t>
      </w:r>
      <w:r w:rsidRPr="00046999">
        <w:rPr>
          <w:rStyle w:val="fdnolabel1"/>
          <w:rFonts w:cs="Calibri"/>
          <w:i/>
          <w:sz w:val="22"/>
          <w:szCs w:val="22"/>
          <w:bdr w:val="none" w:sz="0" w:space="0" w:color="auto" w:frame="1"/>
        </w:rPr>
        <w:t>PROF+</w:t>
      </w:r>
      <w:r w:rsidR="0080569A">
        <w:rPr>
          <w:rFonts w:cs="Calibri"/>
          <w:i/>
          <w:noProof/>
          <w:sz w:val="22"/>
          <w:szCs w:val="22"/>
          <w:bdr w:val="none" w:sz="0" w:space="0" w:color="auto" w:frame="1"/>
          <w:lang w:val="nl-NL" w:eastAsia="nl-NL"/>
        </w:rPr>
        <w:drawing>
          <wp:inline distT="0" distB="0" distL="0" distR="0">
            <wp:extent cx="85090" cy="56515"/>
            <wp:effectExtent l="19050" t="0" r="0" b="0"/>
            <wp:docPr id="9" name="Afbeelding 9" descr="var epsi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ar epsilon"/>
                    <pic:cNvPicPr>
                      <a:picLocks noChangeAspect="1" noChangeArrowheads="1"/>
                    </pic:cNvPicPr>
                  </pic:nvPicPr>
                  <pic:blipFill>
                    <a:blip r:embed="rId14"/>
                    <a:srcRect/>
                    <a:stretch>
                      <a:fillRect/>
                    </a:stretch>
                  </pic:blipFill>
                  <pic:spPr bwMode="auto">
                    <a:xfrm>
                      <a:off x="0" y="0"/>
                      <a:ext cx="85090" cy="56515"/>
                    </a:xfrm>
                    <a:prstGeom prst="rect">
                      <a:avLst/>
                    </a:prstGeom>
                    <a:noFill/>
                    <a:ln w="9525">
                      <a:noFill/>
                      <a:miter lim="800000"/>
                      <a:headEnd/>
                      <a:tailEnd/>
                    </a:ln>
                  </pic:spPr>
                </pic:pic>
              </a:graphicData>
            </a:graphic>
          </wp:inline>
        </w:drawing>
      </w:r>
    </w:p>
    <w:p w:rsidR="00A95413" w:rsidRDefault="00A95413" w:rsidP="00A936D0">
      <w:pPr>
        <w:pStyle w:val="Lijstalinea"/>
        <w:numPr>
          <w:ilvl w:val="0"/>
          <w:numId w:val="12"/>
        </w:numPr>
        <w:autoSpaceDE w:val="0"/>
        <w:autoSpaceDN w:val="0"/>
        <w:adjustRightInd w:val="0"/>
        <w:spacing w:after="0"/>
        <w:jc w:val="both"/>
        <w:rPr>
          <w:rStyle w:val="fdnolabel1"/>
          <w:rFonts w:cs="Calibri"/>
          <w:i/>
          <w:sz w:val="22"/>
          <w:szCs w:val="22"/>
          <w:bdr w:val="none" w:sz="0" w:space="0" w:color="auto" w:frame="1"/>
        </w:rPr>
      </w:pPr>
      <w:r w:rsidRPr="00046999">
        <w:rPr>
          <w:rStyle w:val="fdnolabel1"/>
          <w:rFonts w:cs="Calibri"/>
          <w:i/>
          <w:sz w:val="22"/>
          <w:szCs w:val="22"/>
          <w:bdr w:val="none" w:sz="0" w:space="0" w:color="auto" w:frame="1"/>
        </w:rPr>
        <w:t>Dscore= β</w:t>
      </w:r>
      <w:r w:rsidRPr="00046999">
        <w:rPr>
          <w:rStyle w:val="fdnolabel1"/>
          <w:rFonts w:cs="Calibri"/>
          <w:i/>
          <w:sz w:val="22"/>
          <w:szCs w:val="22"/>
          <w:bdr w:val="none" w:sz="0" w:space="0" w:color="auto" w:frame="1"/>
          <w:vertAlign w:val="subscript"/>
        </w:rPr>
        <w:t>0</w:t>
      </w:r>
      <w:r w:rsidRPr="00046999">
        <w:rPr>
          <w:rStyle w:val="fdnolabel1"/>
          <w:rFonts w:cs="Calibri"/>
          <w:i/>
          <w:sz w:val="22"/>
          <w:szCs w:val="22"/>
          <w:bdr w:val="none" w:sz="0" w:space="0" w:color="auto" w:frame="1"/>
        </w:rPr>
        <w:t>+</w:t>
      </w:r>
      <w:r w:rsidRPr="00046999">
        <w:rPr>
          <w:rStyle w:val="fdnolabel1"/>
          <w:rFonts w:cs="Calibri"/>
          <w:b/>
          <w:i/>
          <w:sz w:val="22"/>
          <w:szCs w:val="22"/>
          <w:bdr w:val="none" w:sz="0" w:space="0" w:color="auto" w:frame="1"/>
        </w:rPr>
        <w:t>β</w:t>
      </w:r>
      <w:r w:rsidRPr="00046999">
        <w:rPr>
          <w:rStyle w:val="fdnolabel1"/>
          <w:rFonts w:cs="Calibri"/>
          <w:b/>
          <w:i/>
          <w:sz w:val="22"/>
          <w:szCs w:val="22"/>
          <w:bdr w:val="none" w:sz="0" w:space="0" w:color="auto" w:frame="1"/>
          <w:vertAlign w:val="subscript"/>
        </w:rPr>
        <w:t>1</w:t>
      </w:r>
      <w:r w:rsidRPr="00046999">
        <w:rPr>
          <w:rStyle w:val="fdnolabel1"/>
          <w:rFonts w:cs="Calibri"/>
          <w:b/>
          <w:i/>
          <w:sz w:val="22"/>
          <w:szCs w:val="22"/>
          <w:bdr w:val="none" w:sz="0" w:space="0" w:color="auto" w:frame="1"/>
        </w:rPr>
        <w:t>MOWN</w:t>
      </w:r>
      <w:r w:rsidRPr="00046999">
        <w:rPr>
          <w:rStyle w:val="fdnolabel1"/>
          <w:rFonts w:cs="Calibri"/>
          <w:i/>
          <w:sz w:val="22"/>
          <w:szCs w:val="22"/>
          <w:bdr w:val="none" w:sz="0" w:space="0" w:color="auto" w:frame="1"/>
        </w:rPr>
        <w:t xml:space="preserve"> + β</w:t>
      </w:r>
      <w:r w:rsidRPr="00046999">
        <w:rPr>
          <w:rStyle w:val="fdnolabel1"/>
          <w:rFonts w:cs="Calibri"/>
          <w:i/>
          <w:sz w:val="22"/>
          <w:szCs w:val="22"/>
          <w:bdr w:val="none" w:sz="0" w:space="0" w:color="auto" w:frame="1"/>
          <w:vertAlign w:val="subscript"/>
        </w:rPr>
        <w:t>2</w:t>
      </w:r>
      <w:r w:rsidRPr="00046999">
        <w:rPr>
          <w:rStyle w:val="fdnolabel1"/>
          <w:rFonts w:cs="Calibri"/>
          <w:i/>
          <w:sz w:val="22"/>
          <w:szCs w:val="22"/>
          <w:bdr w:val="none" w:sz="0" w:space="0" w:color="auto" w:frame="1"/>
        </w:rPr>
        <w:t>SIZE+β</w:t>
      </w:r>
      <w:r w:rsidRPr="00046999">
        <w:rPr>
          <w:rStyle w:val="fdnolabel1"/>
          <w:rFonts w:cs="Calibri"/>
          <w:i/>
          <w:sz w:val="22"/>
          <w:szCs w:val="22"/>
          <w:bdr w:val="none" w:sz="0" w:space="0" w:color="auto" w:frame="1"/>
          <w:vertAlign w:val="subscript"/>
        </w:rPr>
        <w:t>3</w:t>
      </w:r>
      <w:r w:rsidRPr="00046999">
        <w:rPr>
          <w:rStyle w:val="fdnolabel1"/>
          <w:rFonts w:cs="Calibri"/>
          <w:i/>
          <w:sz w:val="22"/>
          <w:szCs w:val="22"/>
          <w:bdr w:val="none" w:sz="0" w:space="0" w:color="auto" w:frame="1"/>
        </w:rPr>
        <w:t>LEV+β</w:t>
      </w:r>
      <w:r w:rsidRPr="00046999">
        <w:rPr>
          <w:rStyle w:val="fdnolabel1"/>
          <w:rFonts w:cs="Calibri"/>
          <w:i/>
          <w:sz w:val="22"/>
          <w:szCs w:val="22"/>
          <w:bdr w:val="none" w:sz="0" w:space="0" w:color="auto" w:frame="1"/>
          <w:vertAlign w:val="subscript"/>
        </w:rPr>
        <w:t>7</w:t>
      </w:r>
      <w:r w:rsidRPr="00046999">
        <w:rPr>
          <w:rStyle w:val="fdnolabel1"/>
          <w:rFonts w:cs="Calibri"/>
          <w:i/>
          <w:sz w:val="22"/>
          <w:szCs w:val="22"/>
          <w:bdr w:val="none" w:sz="0" w:space="0" w:color="auto" w:frame="1"/>
        </w:rPr>
        <w:t>PROF+</w:t>
      </w:r>
      <w:r w:rsidR="0080569A">
        <w:rPr>
          <w:rFonts w:cs="Calibri"/>
          <w:i/>
          <w:noProof/>
          <w:sz w:val="22"/>
          <w:szCs w:val="22"/>
          <w:bdr w:val="none" w:sz="0" w:space="0" w:color="auto" w:frame="1"/>
          <w:lang w:val="nl-NL" w:eastAsia="nl-NL"/>
        </w:rPr>
        <w:drawing>
          <wp:inline distT="0" distB="0" distL="0" distR="0">
            <wp:extent cx="85090" cy="56515"/>
            <wp:effectExtent l="19050" t="0" r="0" b="0"/>
            <wp:docPr id="10" name="Afbeelding 10" descr="var epsi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var epsilon"/>
                    <pic:cNvPicPr>
                      <a:picLocks noChangeAspect="1" noChangeArrowheads="1"/>
                    </pic:cNvPicPr>
                  </pic:nvPicPr>
                  <pic:blipFill>
                    <a:blip r:embed="rId14"/>
                    <a:srcRect/>
                    <a:stretch>
                      <a:fillRect/>
                    </a:stretch>
                  </pic:blipFill>
                  <pic:spPr bwMode="auto">
                    <a:xfrm>
                      <a:off x="0" y="0"/>
                      <a:ext cx="85090" cy="56515"/>
                    </a:xfrm>
                    <a:prstGeom prst="rect">
                      <a:avLst/>
                    </a:prstGeom>
                    <a:noFill/>
                    <a:ln w="9525">
                      <a:noFill/>
                      <a:miter lim="800000"/>
                      <a:headEnd/>
                      <a:tailEnd/>
                    </a:ln>
                  </pic:spPr>
                </pic:pic>
              </a:graphicData>
            </a:graphic>
          </wp:inline>
        </w:drawing>
      </w:r>
    </w:p>
    <w:p w:rsidR="00A95413" w:rsidRPr="00A936D0" w:rsidRDefault="00A95413" w:rsidP="00A936D0">
      <w:pPr>
        <w:autoSpaceDE w:val="0"/>
        <w:autoSpaceDN w:val="0"/>
        <w:adjustRightInd w:val="0"/>
        <w:spacing w:after="0"/>
        <w:jc w:val="both"/>
        <w:rPr>
          <w:rFonts w:cs="Calibri"/>
          <w:i/>
          <w:sz w:val="22"/>
          <w:szCs w:val="22"/>
          <w:bdr w:val="none" w:sz="0" w:space="0" w:color="auto" w:frame="1"/>
        </w:rPr>
      </w:pPr>
      <w:r>
        <w:rPr>
          <w:rStyle w:val="fdnolabel1"/>
          <w:rFonts w:cs="Calibri"/>
          <w:sz w:val="22"/>
          <w:szCs w:val="22"/>
          <w:bdr w:val="none" w:sz="0" w:space="0" w:color="auto" w:frame="1"/>
        </w:rPr>
        <w:t>Government ownership is not included in these regressions as this variable is not normally distributed. This is further explained in chapter 8.</w:t>
      </w:r>
    </w:p>
    <w:p w:rsidR="00A95413" w:rsidRDefault="00A95413" w:rsidP="0065477A">
      <w:pPr>
        <w:pStyle w:val="Kop3"/>
      </w:pPr>
      <w:bookmarkStart w:id="129" w:name="_Toc320365340"/>
      <w:r>
        <w:t>7.4.3 Steps to conduct the research</w:t>
      </w:r>
      <w:bookmarkEnd w:id="129"/>
    </w:p>
    <w:p w:rsidR="00A95413" w:rsidRPr="00046999" w:rsidRDefault="00A95413" w:rsidP="001D4BB3">
      <w:pPr>
        <w:shd w:val="clear" w:color="auto" w:fill="FFFFFF"/>
        <w:jc w:val="both"/>
        <w:rPr>
          <w:rFonts w:cs="Calibri"/>
          <w:sz w:val="22"/>
          <w:szCs w:val="22"/>
        </w:rPr>
      </w:pPr>
      <w:r w:rsidRPr="00046999">
        <w:rPr>
          <w:rFonts w:cs="Calibri"/>
          <w:sz w:val="22"/>
          <w:szCs w:val="22"/>
        </w:rPr>
        <w:t xml:space="preserve">The </w:t>
      </w:r>
      <w:r>
        <w:rPr>
          <w:rFonts w:cs="Calibri"/>
          <w:sz w:val="22"/>
          <w:szCs w:val="22"/>
        </w:rPr>
        <w:t>data</w:t>
      </w:r>
      <w:r w:rsidRPr="00046999">
        <w:rPr>
          <w:rFonts w:cs="Calibri"/>
          <w:sz w:val="22"/>
          <w:szCs w:val="22"/>
        </w:rPr>
        <w:t xml:space="preserve"> </w:t>
      </w:r>
      <w:r>
        <w:rPr>
          <w:rFonts w:cs="Calibri"/>
          <w:sz w:val="22"/>
          <w:szCs w:val="22"/>
        </w:rPr>
        <w:t>is</w:t>
      </w:r>
      <w:r w:rsidRPr="00046999">
        <w:rPr>
          <w:rFonts w:cs="Calibri"/>
          <w:sz w:val="22"/>
          <w:szCs w:val="22"/>
        </w:rPr>
        <w:t xml:space="preserve"> analyzed by using four steps. The first step is to create descriptives of the data, here the mean, median and mode can be observed. </w:t>
      </w:r>
      <w:r>
        <w:rPr>
          <w:rFonts w:cs="Calibri"/>
          <w:sz w:val="22"/>
          <w:szCs w:val="22"/>
        </w:rPr>
        <w:t xml:space="preserve">This is done to create a general overview of the gathered data and here first observations can be made, for example to see whether the mean blockholder ownership is the same as the mean of </w:t>
      </w:r>
      <w:r w:rsidR="000954E5">
        <w:rPr>
          <w:rFonts w:cs="Calibri"/>
          <w:sz w:val="22"/>
          <w:szCs w:val="22"/>
        </w:rPr>
        <w:t>managerial</w:t>
      </w:r>
      <w:r>
        <w:rPr>
          <w:rFonts w:cs="Calibri"/>
          <w:sz w:val="22"/>
          <w:szCs w:val="22"/>
        </w:rPr>
        <w:t xml:space="preserve"> ownership. </w:t>
      </w:r>
      <w:r w:rsidRPr="00046999">
        <w:rPr>
          <w:rFonts w:cs="Calibri"/>
          <w:sz w:val="22"/>
          <w:szCs w:val="22"/>
        </w:rPr>
        <w:t xml:space="preserve">As this study aims to use a multiple linear regression test </w:t>
      </w:r>
      <w:r>
        <w:rPr>
          <w:rFonts w:cs="Calibri"/>
          <w:sz w:val="22"/>
          <w:szCs w:val="22"/>
        </w:rPr>
        <w:t>(</w:t>
      </w:r>
      <w:r w:rsidRPr="00046999">
        <w:rPr>
          <w:rFonts w:cs="Calibri"/>
          <w:sz w:val="22"/>
          <w:szCs w:val="22"/>
        </w:rPr>
        <w:t>which is a parametric test</w:t>
      </w:r>
      <w:r>
        <w:rPr>
          <w:rFonts w:cs="Calibri"/>
          <w:sz w:val="22"/>
          <w:szCs w:val="22"/>
        </w:rPr>
        <w:t>)</w:t>
      </w:r>
      <w:r w:rsidRPr="00046999">
        <w:rPr>
          <w:rFonts w:cs="Calibri"/>
          <w:sz w:val="22"/>
          <w:szCs w:val="22"/>
        </w:rPr>
        <w:t xml:space="preserve"> the data has to be normally distributed. Therefore the second step is to test for normality and correct potential outliers</w:t>
      </w:r>
      <w:r w:rsidR="0093249E">
        <w:rPr>
          <w:rFonts w:cs="Calibri"/>
          <w:sz w:val="22"/>
          <w:szCs w:val="22"/>
        </w:rPr>
        <w:t xml:space="preserve">. </w:t>
      </w:r>
      <w:r w:rsidR="00EA024D">
        <w:rPr>
          <w:rFonts w:cs="Calibri"/>
          <w:sz w:val="22"/>
          <w:szCs w:val="22"/>
        </w:rPr>
        <w:t>Here for</w:t>
      </w:r>
      <w:r w:rsidR="0093249E">
        <w:rPr>
          <w:rFonts w:cs="Calibri"/>
          <w:sz w:val="22"/>
          <w:szCs w:val="22"/>
        </w:rPr>
        <w:t xml:space="preserve"> th</w:t>
      </w:r>
      <w:r w:rsidR="005054BB">
        <w:rPr>
          <w:rFonts w:cs="Calibri"/>
          <w:sz w:val="22"/>
          <w:szCs w:val="22"/>
        </w:rPr>
        <w:t>e skewness and kurtosis values,</w:t>
      </w:r>
      <w:r w:rsidRPr="00046999">
        <w:rPr>
          <w:rFonts w:cs="Calibri"/>
          <w:sz w:val="22"/>
          <w:szCs w:val="22"/>
        </w:rPr>
        <w:t xml:space="preserve"> histograms, box plots and Q-Q plots are created</w:t>
      </w:r>
      <w:r w:rsidR="0093249E">
        <w:rPr>
          <w:rFonts w:cs="Calibri"/>
          <w:sz w:val="22"/>
          <w:szCs w:val="22"/>
        </w:rPr>
        <w:t xml:space="preserve"> and analyzed</w:t>
      </w:r>
      <w:r w:rsidRPr="00046999">
        <w:rPr>
          <w:rFonts w:cs="Calibri"/>
          <w:sz w:val="22"/>
          <w:szCs w:val="22"/>
        </w:rPr>
        <w:t xml:space="preserve">. </w:t>
      </w:r>
      <w:r>
        <w:rPr>
          <w:rFonts w:cs="Calibri"/>
          <w:sz w:val="22"/>
          <w:szCs w:val="22"/>
        </w:rPr>
        <w:t xml:space="preserve">The </w:t>
      </w:r>
      <w:r w:rsidR="00EA024D">
        <w:rPr>
          <w:rFonts w:cs="Calibri"/>
          <w:sz w:val="22"/>
          <w:szCs w:val="22"/>
        </w:rPr>
        <w:t xml:space="preserve">skewness and kurtosis values, </w:t>
      </w:r>
      <w:r>
        <w:rPr>
          <w:rFonts w:cs="Calibri"/>
          <w:sz w:val="22"/>
          <w:szCs w:val="22"/>
        </w:rPr>
        <w:t xml:space="preserve">histograms and Q-Q plots show if the data is normally distributed. The box plots show if the data contains outliers. </w:t>
      </w:r>
      <w:r w:rsidRPr="00046999">
        <w:rPr>
          <w:rFonts w:cs="Calibri"/>
          <w:sz w:val="22"/>
          <w:szCs w:val="22"/>
        </w:rPr>
        <w:t>If the data is not normally distribute</w:t>
      </w:r>
      <w:r>
        <w:rPr>
          <w:rFonts w:cs="Calibri"/>
          <w:sz w:val="22"/>
          <w:szCs w:val="22"/>
        </w:rPr>
        <w:t>d the S</w:t>
      </w:r>
      <w:r w:rsidRPr="00046999">
        <w:rPr>
          <w:rFonts w:cs="Calibri"/>
          <w:sz w:val="22"/>
          <w:szCs w:val="22"/>
        </w:rPr>
        <w:t>pearman’s test will be used</w:t>
      </w:r>
      <w:r>
        <w:rPr>
          <w:rFonts w:cs="Calibri"/>
          <w:sz w:val="22"/>
          <w:szCs w:val="22"/>
        </w:rPr>
        <w:t>. Here</w:t>
      </w:r>
      <w:r w:rsidRPr="00046999">
        <w:rPr>
          <w:rFonts w:cs="Calibri"/>
          <w:sz w:val="22"/>
          <w:szCs w:val="22"/>
        </w:rPr>
        <w:t xml:space="preserve"> the correlation coefficient</w:t>
      </w:r>
      <w:r>
        <w:rPr>
          <w:rFonts w:cs="Calibri"/>
          <w:sz w:val="22"/>
          <w:szCs w:val="22"/>
        </w:rPr>
        <w:t xml:space="preserve"> can be measured to see whether there is an association between the independent and dependent variable</w:t>
      </w:r>
      <w:r w:rsidRPr="00046999">
        <w:rPr>
          <w:rFonts w:cs="Calibri"/>
          <w:sz w:val="22"/>
          <w:szCs w:val="22"/>
        </w:rPr>
        <w:t xml:space="preserve">. The third step is to make a </w:t>
      </w:r>
      <w:r>
        <w:rPr>
          <w:rFonts w:cs="Calibri"/>
          <w:sz w:val="22"/>
          <w:szCs w:val="22"/>
        </w:rPr>
        <w:t xml:space="preserve">normal </w:t>
      </w:r>
      <w:r w:rsidRPr="00046999">
        <w:rPr>
          <w:rFonts w:cs="Calibri"/>
          <w:sz w:val="22"/>
          <w:szCs w:val="22"/>
        </w:rPr>
        <w:t>correlations table to see how the variables are related to one and another.</w:t>
      </w:r>
      <w:r>
        <w:rPr>
          <w:rFonts w:cs="Calibri"/>
          <w:sz w:val="22"/>
          <w:szCs w:val="22"/>
        </w:rPr>
        <w:t xml:space="preserve"> This is important because it could be that an explanatory variable does not influence the response variable but appears to do so due to another explanatory variable.</w:t>
      </w:r>
      <w:r w:rsidRPr="00046999">
        <w:rPr>
          <w:rFonts w:cs="Calibri"/>
          <w:sz w:val="22"/>
          <w:szCs w:val="22"/>
        </w:rPr>
        <w:t xml:space="preserve"> The fourth step is to run the regression analyses from which three tables are obtained. At first the model summary table, here the R square is stated which ‘represents the percentage of the variation in the outcome that can be explained by the model’ (Field, 2005). Second is the ANOVA table that shows the significance of the entire model. Last is the coefficients table which indicates the actual regression model. By the use of this table the sign (positive or negative) of the relation can be tested in order to reject or accept the hypotheses.</w:t>
      </w:r>
      <w:r>
        <w:rPr>
          <w:rFonts w:cs="Calibri"/>
          <w:sz w:val="22"/>
          <w:szCs w:val="22"/>
        </w:rPr>
        <w:t xml:space="preserve"> In addition, the regressions are also performed separately per country and information type.</w:t>
      </w:r>
    </w:p>
    <w:p w:rsidR="00A95413" w:rsidRPr="00046999" w:rsidRDefault="00A95413" w:rsidP="001D4BB3">
      <w:pPr>
        <w:pStyle w:val="Kop2"/>
        <w:jc w:val="both"/>
        <w:rPr>
          <w:rFonts w:cs="Calibri"/>
        </w:rPr>
      </w:pPr>
      <w:bookmarkStart w:id="130" w:name="_Toc287267099"/>
      <w:bookmarkStart w:id="131" w:name="_Toc320365341"/>
      <w:r w:rsidRPr="00046999">
        <w:rPr>
          <w:rFonts w:cs="Calibri"/>
        </w:rPr>
        <w:lastRenderedPageBreak/>
        <w:t>7</w:t>
      </w:r>
      <w:r>
        <w:rPr>
          <w:rFonts w:cs="Calibri"/>
        </w:rPr>
        <w:t>.5</w:t>
      </w:r>
      <w:r w:rsidRPr="00046999">
        <w:rPr>
          <w:rFonts w:cs="Calibri"/>
        </w:rPr>
        <w:t xml:space="preserve"> Conclusion</w:t>
      </w:r>
      <w:bookmarkEnd w:id="130"/>
      <w:bookmarkEnd w:id="131"/>
    </w:p>
    <w:p w:rsidR="00135C7C" w:rsidRDefault="00A95413" w:rsidP="001D4BB3">
      <w:pPr>
        <w:pStyle w:val="Geenafstand"/>
        <w:spacing w:line="276" w:lineRule="auto"/>
        <w:jc w:val="both"/>
        <w:rPr>
          <w:rFonts w:cs="Calibri"/>
          <w:sz w:val="22"/>
          <w:szCs w:val="22"/>
          <w:lang w:eastAsia="nl-NL"/>
        </w:rPr>
      </w:pPr>
      <w:r w:rsidRPr="00046999">
        <w:rPr>
          <w:rFonts w:cs="Calibri"/>
          <w:sz w:val="22"/>
          <w:szCs w:val="22"/>
          <w:lang w:eastAsia="nl-NL"/>
        </w:rPr>
        <w:t>In this chapter the hypotheses, sample selection and methodology are stated. It is expected that managerial and blockholder ownership are negatively related to the extent of voluntary disclosures and government ownership positively related. A sample of 100 random companies is selected (20 per country). The multiple</w:t>
      </w:r>
      <w:r>
        <w:rPr>
          <w:rFonts w:cs="Calibri"/>
          <w:sz w:val="22"/>
          <w:szCs w:val="22"/>
          <w:lang w:eastAsia="nl-NL"/>
        </w:rPr>
        <w:t xml:space="preserve"> linear</w:t>
      </w:r>
      <w:r w:rsidRPr="00046999">
        <w:rPr>
          <w:rFonts w:cs="Calibri"/>
          <w:sz w:val="22"/>
          <w:szCs w:val="22"/>
          <w:lang w:eastAsia="nl-NL"/>
        </w:rPr>
        <w:t xml:space="preserve"> regression model employed in this study is based on</w:t>
      </w:r>
      <w:r>
        <w:rPr>
          <w:rFonts w:cs="Calibri"/>
          <w:sz w:val="22"/>
          <w:szCs w:val="22"/>
          <w:lang w:eastAsia="nl-NL"/>
        </w:rPr>
        <w:t xml:space="preserve"> models used in</w:t>
      </w:r>
      <w:r w:rsidRPr="00046999">
        <w:rPr>
          <w:rFonts w:cs="Calibri"/>
          <w:sz w:val="22"/>
          <w:szCs w:val="22"/>
          <w:lang w:eastAsia="nl-NL"/>
        </w:rPr>
        <w:t xml:space="preserve"> various prior studies </w:t>
      </w:r>
      <w:r>
        <w:rPr>
          <w:rFonts w:cs="Calibri"/>
          <w:sz w:val="22"/>
          <w:szCs w:val="22"/>
          <w:lang w:eastAsia="nl-NL"/>
        </w:rPr>
        <w:t>as can be observed in the</w:t>
      </w:r>
      <w:r w:rsidRPr="00046999">
        <w:rPr>
          <w:rFonts w:cs="Calibri"/>
          <w:sz w:val="22"/>
          <w:szCs w:val="22"/>
          <w:lang w:eastAsia="nl-NL"/>
        </w:rPr>
        <w:t xml:space="preserve"> literature review in chapter </w:t>
      </w:r>
      <w:r>
        <w:rPr>
          <w:rFonts w:cs="Calibri"/>
          <w:sz w:val="22"/>
          <w:szCs w:val="22"/>
          <w:lang w:eastAsia="nl-NL"/>
        </w:rPr>
        <w:t>six</w:t>
      </w:r>
      <w:r w:rsidRPr="00046999">
        <w:rPr>
          <w:rFonts w:cs="Calibri"/>
          <w:sz w:val="22"/>
          <w:szCs w:val="22"/>
          <w:lang w:eastAsia="nl-NL"/>
        </w:rPr>
        <w:t xml:space="preserve">. </w:t>
      </w:r>
      <w:r>
        <w:rPr>
          <w:rFonts w:cs="Calibri"/>
          <w:sz w:val="22"/>
          <w:szCs w:val="22"/>
          <w:lang w:eastAsia="nl-NL"/>
        </w:rPr>
        <w:t>In the next chapter the empirical results are stated.</w:t>
      </w:r>
    </w:p>
    <w:p w:rsidR="00A95413" w:rsidRPr="00135C7C" w:rsidRDefault="00135C7C" w:rsidP="00135C7C">
      <w:pPr>
        <w:spacing w:before="0" w:after="0" w:line="240" w:lineRule="auto"/>
        <w:rPr>
          <w:rStyle w:val="Kop1Char"/>
          <w:rFonts w:cs="Calibri"/>
          <w:b w:val="0"/>
          <w:bCs w:val="0"/>
          <w:caps w:val="0"/>
          <w:color w:val="auto"/>
          <w:spacing w:val="0"/>
          <w:sz w:val="22"/>
          <w:szCs w:val="22"/>
          <w:shd w:val="clear" w:color="auto" w:fill="auto"/>
          <w:lang w:eastAsia="nl-NL"/>
        </w:rPr>
      </w:pPr>
      <w:r>
        <w:rPr>
          <w:rFonts w:cs="Calibri"/>
          <w:sz w:val="22"/>
          <w:szCs w:val="22"/>
          <w:lang w:eastAsia="nl-NL"/>
        </w:rPr>
        <w:br w:type="page"/>
      </w:r>
    </w:p>
    <w:p w:rsidR="00A95413" w:rsidRPr="00046999" w:rsidRDefault="00A95413" w:rsidP="001D4BB3">
      <w:pPr>
        <w:pStyle w:val="Kop1"/>
        <w:jc w:val="both"/>
        <w:rPr>
          <w:rFonts w:cs="Calibri"/>
        </w:rPr>
      </w:pPr>
      <w:bookmarkStart w:id="132" w:name="_Toc320365342"/>
      <w:r w:rsidRPr="00046999">
        <w:rPr>
          <w:rFonts w:cs="Calibri"/>
        </w:rPr>
        <w:lastRenderedPageBreak/>
        <w:t>Chapter 8. Results</w:t>
      </w:r>
      <w:bookmarkEnd w:id="132"/>
    </w:p>
    <w:p w:rsidR="00A95413" w:rsidRPr="00046999" w:rsidRDefault="00A95413" w:rsidP="001D4BB3">
      <w:pPr>
        <w:pStyle w:val="Kop2"/>
        <w:jc w:val="both"/>
        <w:rPr>
          <w:rFonts w:cs="Calibri"/>
        </w:rPr>
      </w:pPr>
      <w:bookmarkStart w:id="133" w:name="_Toc320365343"/>
      <w:r w:rsidRPr="00046999">
        <w:rPr>
          <w:rFonts w:cs="Calibri"/>
        </w:rPr>
        <w:t>8.1 Introduction</w:t>
      </w:r>
      <w:bookmarkEnd w:id="133"/>
    </w:p>
    <w:p w:rsidR="00A95413" w:rsidRPr="00046999" w:rsidRDefault="0072334A" w:rsidP="001D4BB3">
      <w:pPr>
        <w:jc w:val="both"/>
        <w:rPr>
          <w:rFonts w:cs="Calibri"/>
          <w:sz w:val="22"/>
          <w:szCs w:val="22"/>
        </w:rPr>
      </w:pPr>
      <w:r>
        <w:rPr>
          <w:rFonts w:cs="Calibri"/>
          <w:sz w:val="22"/>
          <w:szCs w:val="22"/>
        </w:rPr>
        <w:t>I</w:t>
      </w:r>
      <w:r w:rsidR="00A95413" w:rsidRPr="00046999">
        <w:rPr>
          <w:rFonts w:cs="Calibri"/>
          <w:sz w:val="22"/>
          <w:szCs w:val="22"/>
        </w:rPr>
        <w:t xml:space="preserve">n this chapter the statistical results are presented. The statistical procedure </w:t>
      </w:r>
      <w:r w:rsidR="00A95413">
        <w:rPr>
          <w:rFonts w:cs="Calibri"/>
          <w:sz w:val="22"/>
          <w:szCs w:val="22"/>
        </w:rPr>
        <w:t xml:space="preserve">used </w:t>
      </w:r>
      <w:r w:rsidR="00A95413" w:rsidRPr="00046999">
        <w:rPr>
          <w:rFonts w:cs="Calibri"/>
          <w:sz w:val="22"/>
          <w:szCs w:val="22"/>
        </w:rPr>
        <w:t xml:space="preserve">in </w:t>
      </w:r>
      <w:r w:rsidR="00A95413">
        <w:rPr>
          <w:rFonts w:cs="Calibri"/>
          <w:sz w:val="22"/>
          <w:szCs w:val="22"/>
        </w:rPr>
        <w:t>this study is a parametric test</w:t>
      </w:r>
      <w:r w:rsidR="00A95413" w:rsidRPr="00046999">
        <w:rPr>
          <w:rFonts w:cs="Calibri"/>
          <w:sz w:val="22"/>
          <w:szCs w:val="22"/>
        </w:rPr>
        <w:t xml:space="preserve"> (regression) which </w:t>
      </w:r>
      <w:r w:rsidR="00A95413">
        <w:rPr>
          <w:rFonts w:cs="Calibri"/>
          <w:sz w:val="22"/>
          <w:szCs w:val="22"/>
        </w:rPr>
        <w:t xml:space="preserve">means </w:t>
      </w:r>
      <w:r w:rsidR="00A95413" w:rsidRPr="00046999">
        <w:rPr>
          <w:rFonts w:cs="Calibri"/>
          <w:sz w:val="22"/>
          <w:szCs w:val="22"/>
        </w:rPr>
        <w:t>that it is based on a normal distribution. The</w:t>
      </w:r>
      <w:r w:rsidR="00A95413">
        <w:rPr>
          <w:rFonts w:cs="Calibri"/>
          <w:sz w:val="22"/>
          <w:szCs w:val="22"/>
        </w:rPr>
        <w:t xml:space="preserve"> data is analyzed by using the four steps described in the methodology in paragraph 7.4.3. The statistical results are obtained by </w:t>
      </w:r>
      <w:r w:rsidR="00A95413" w:rsidRPr="00046999">
        <w:rPr>
          <w:rFonts w:cs="Calibri"/>
          <w:sz w:val="22"/>
          <w:szCs w:val="22"/>
        </w:rPr>
        <w:t xml:space="preserve">using PSAW SPSS 18. </w:t>
      </w:r>
      <w:r w:rsidR="00A95413">
        <w:rPr>
          <w:rFonts w:cs="Calibri"/>
          <w:sz w:val="22"/>
          <w:szCs w:val="22"/>
        </w:rPr>
        <w:t>After analyzing the annual reports by performing the content analysis, all points are assigned. The next table shows the disclosure score per company. The higher the score, the more information they disclose.</w:t>
      </w:r>
    </w:p>
    <w:p w:rsidR="00A95413" w:rsidRPr="00724709" w:rsidRDefault="00A95413" w:rsidP="001D4BB3">
      <w:pPr>
        <w:pStyle w:val="Bijschrift"/>
        <w:keepNext/>
        <w:jc w:val="both"/>
        <w:rPr>
          <w:rFonts w:cs="Calibri"/>
          <w:sz w:val="22"/>
          <w:szCs w:val="22"/>
        </w:rPr>
      </w:pPr>
      <w:r w:rsidRPr="00724709">
        <w:rPr>
          <w:rFonts w:cs="Calibri"/>
          <w:sz w:val="22"/>
          <w:szCs w:val="22"/>
        </w:rPr>
        <w:t xml:space="preserve">Table </w:t>
      </w:r>
      <w:r w:rsidR="00E0784B" w:rsidRPr="00724709">
        <w:rPr>
          <w:rFonts w:cs="Calibri"/>
          <w:sz w:val="22"/>
          <w:szCs w:val="22"/>
        </w:rPr>
        <w:fldChar w:fldCharType="begin"/>
      </w:r>
      <w:r w:rsidRPr="00724709">
        <w:rPr>
          <w:rFonts w:cs="Calibri"/>
          <w:sz w:val="22"/>
          <w:szCs w:val="22"/>
        </w:rPr>
        <w:instrText xml:space="preserve"> SEQ Table \* ARABIC </w:instrText>
      </w:r>
      <w:r w:rsidR="00E0784B" w:rsidRPr="00724709">
        <w:rPr>
          <w:rFonts w:cs="Calibri"/>
          <w:sz w:val="22"/>
          <w:szCs w:val="22"/>
        </w:rPr>
        <w:fldChar w:fldCharType="separate"/>
      </w:r>
      <w:r>
        <w:rPr>
          <w:rFonts w:cs="Calibri"/>
          <w:noProof/>
          <w:sz w:val="22"/>
          <w:szCs w:val="22"/>
        </w:rPr>
        <w:t>1</w:t>
      </w:r>
      <w:r w:rsidR="00E0784B" w:rsidRPr="00724709">
        <w:rPr>
          <w:rFonts w:cs="Calibri"/>
          <w:sz w:val="22"/>
          <w:szCs w:val="22"/>
        </w:rPr>
        <w:fldChar w:fldCharType="end"/>
      </w:r>
      <w:r w:rsidRPr="00724709">
        <w:rPr>
          <w:rFonts w:cs="Calibri"/>
          <w:sz w:val="22"/>
          <w:szCs w:val="22"/>
        </w:rPr>
        <w:t xml:space="preserve">: </w:t>
      </w:r>
      <w:r>
        <w:rPr>
          <w:rFonts w:cs="Calibri"/>
          <w:sz w:val="22"/>
          <w:szCs w:val="22"/>
        </w:rPr>
        <w:t>Disclosure s</w:t>
      </w:r>
      <w:r w:rsidRPr="00724709">
        <w:rPr>
          <w:rFonts w:cs="Calibri"/>
          <w:sz w:val="22"/>
          <w:szCs w:val="22"/>
        </w:rPr>
        <w:t>core per company</w:t>
      </w:r>
    </w:p>
    <w:tbl>
      <w:tblPr>
        <w:tblW w:w="9720" w:type="dxa"/>
        <w:tblBorders>
          <w:top w:val="single" w:sz="8" w:space="0" w:color="4F81BD"/>
          <w:bottom w:val="single" w:sz="8" w:space="0" w:color="4F81BD"/>
        </w:tblBorders>
        <w:tblLook w:val="00A0"/>
      </w:tblPr>
      <w:tblGrid>
        <w:gridCol w:w="2800"/>
        <w:gridCol w:w="858"/>
        <w:gridCol w:w="2680"/>
        <w:gridCol w:w="858"/>
        <w:gridCol w:w="1840"/>
        <w:gridCol w:w="858"/>
      </w:tblGrid>
      <w:tr w:rsidR="00A95413" w:rsidRPr="00F63097" w:rsidTr="00F63097">
        <w:trPr>
          <w:trHeight w:val="300"/>
        </w:trPr>
        <w:tc>
          <w:tcPr>
            <w:tcW w:w="2800" w:type="dxa"/>
            <w:tcBorders>
              <w:top w:val="single" w:sz="8" w:space="0" w:color="4F81BD"/>
              <w:left w:val="nil"/>
              <w:bottom w:val="single" w:sz="8" w:space="0" w:color="4F81BD"/>
              <w:right w:val="nil"/>
            </w:tcBorders>
            <w:noWrap/>
          </w:tcPr>
          <w:p w:rsidR="00A95413" w:rsidRPr="00F351BA" w:rsidRDefault="00A95413" w:rsidP="00F351BA">
            <w:pPr>
              <w:spacing w:before="0" w:after="0" w:line="240" w:lineRule="auto"/>
              <w:rPr>
                <w:rFonts w:asciiTheme="minorHAnsi" w:hAnsiTheme="minorHAnsi" w:cstheme="minorHAnsi"/>
                <w:b/>
                <w:color w:val="365F91"/>
                <w:sz w:val="22"/>
                <w:szCs w:val="22"/>
              </w:rPr>
            </w:pPr>
            <w:r w:rsidRPr="00F351BA">
              <w:rPr>
                <w:rFonts w:asciiTheme="minorHAnsi" w:hAnsiTheme="minorHAnsi" w:cstheme="minorHAnsi"/>
                <w:b/>
                <w:color w:val="365F91"/>
                <w:sz w:val="22"/>
                <w:szCs w:val="22"/>
              </w:rPr>
              <w:t>Belgium</w:t>
            </w:r>
          </w:p>
        </w:tc>
        <w:tc>
          <w:tcPr>
            <w:tcW w:w="800" w:type="dxa"/>
            <w:tcBorders>
              <w:top w:val="single" w:sz="8" w:space="0" w:color="4F81BD"/>
              <w:left w:val="nil"/>
              <w:bottom w:val="single" w:sz="8" w:space="0" w:color="4F81BD"/>
              <w:right w:val="nil"/>
            </w:tcBorders>
            <w:noWrap/>
          </w:tcPr>
          <w:p w:rsidR="00A95413" w:rsidRPr="00F351BA" w:rsidRDefault="00A95413" w:rsidP="00F351BA">
            <w:pPr>
              <w:spacing w:before="0" w:after="0" w:line="240" w:lineRule="auto"/>
              <w:rPr>
                <w:rFonts w:asciiTheme="minorHAnsi" w:hAnsiTheme="minorHAnsi" w:cstheme="minorHAnsi"/>
                <w:b/>
                <w:color w:val="365F91"/>
                <w:sz w:val="22"/>
                <w:szCs w:val="22"/>
              </w:rPr>
            </w:pPr>
            <w:r w:rsidRPr="00F351BA">
              <w:rPr>
                <w:rFonts w:asciiTheme="minorHAnsi" w:hAnsiTheme="minorHAnsi" w:cstheme="minorHAnsi"/>
                <w:b/>
                <w:color w:val="365F91"/>
                <w:sz w:val="22"/>
                <w:szCs w:val="22"/>
              </w:rPr>
              <w:t>DScore</w:t>
            </w:r>
          </w:p>
        </w:tc>
        <w:tc>
          <w:tcPr>
            <w:tcW w:w="2680" w:type="dxa"/>
            <w:tcBorders>
              <w:top w:val="single" w:sz="8" w:space="0" w:color="4F81BD"/>
              <w:left w:val="nil"/>
              <w:bottom w:val="single" w:sz="8" w:space="0" w:color="4F81BD"/>
              <w:right w:val="nil"/>
            </w:tcBorders>
            <w:noWrap/>
          </w:tcPr>
          <w:p w:rsidR="00A95413" w:rsidRPr="00F351BA" w:rsidRDefault="00A95413" w:rsidP="00F351BA">
            <w:pPr>
              <w:spacing w:before="0" w:after="0" w:line="240" w:lineRule="auto"/>
              <w:rPr>
                <w:rFonts w:asciiTheme="minorHAnsi" w:hAnsiTheme="minorHAnsi" w:cstheme="minorHAnsi"/>
                <w:b/>
                <w:color w:val="365F91"/>
                <w:sz w:val="22"/>
                <w:szCs w:val="22"/>
              </w:rPr>
            </w:pPr>
            <w:r w:rsidRPr="00F351BA">
              <w:rPr>
                <w:rFonts w:asciiTheme="minorHAnsi" w:hAnsiTheme="minorHAnsi" w:cstheme="minorHAnsi"/>
                <w:b/>
                <w:color w:val="365F91"/>
                <w:sz w:val="22"/>
                <w:szCs w:val="22"/>
              </w:rPr>
              <w:t>Germany</w:t>
            </w:r>
          </w:p>
        </w:tc>
        <w:tc>
          <w:tcPr>
            <w:tcW w:w="800" w:type="dxa"/>
            <w:tcBorders>
              <w:top w:val="single" w:sz="8" w:space="0" w:color="4F81BD"/>
              <w:left w:val="nil"/>
              <w:bottom w:val="single" w:sz="8" w:space="0" w:color="4F81BD"/>
              <w:right w:val="nil"/>
            </w:tcBorders>
            <w:noWrap/>
          </w:tcPr>
          <w:p w:rsidR="00A95413" w:rsidRPr="00F351BA" w:rsidRDefault="00A95413" w:rsidP="00F351BA">
            <w:pPr>
              <w:spacing w:before="0" w:after="0" w:line="240" w:lineRule="auto"/>
              <w:rPr>
                <w:rFonts w:asciiTheme="minorHAnsi" w:hAnsiTheme="minorHAnsi" w:cstheme="minorHAnsi"/>
                <w:b/>
                <w:color w:val="365F91"/>
                <w:sz w:val="22"/>
                <w:szCs w:val="22"/>
              </w:rPr>
            </w:pPr>
            <w:r w:rsidRPr="00F351BA">
              <w:rPr>
                <w:rFonts w:asciiTheme="minorHAnsi" w:hAnsiTheme="minorHAnsi" w:cstheme="minorHAnsi"/>
                <w:b/>
                <w:color w:val="365F91"/>
                <w:sz w:val="22"/>
                <w:szCs w:val="22"/>
              </w:rPr>
              <w:t>DScore</w:t>
            </w:r>
          </w:p>
        </w:tc>
        <w:tc>
          <w:tcPr>
            <w:tcW w:w="1840" w:type="dxa"/>
            <w:tcBorders>
              <w:top w:val="single" w:sz="8" w:space="0" w:color="4F81BD"/>
              <w:left w:val="nil"/>
              <w:bottom w:val="single" w:sz="8" w:space="0" w:color="4F81BD"/>
              <w:right w:val="nil"/>
            </w:tcBorders>
            <w:noWrap/>
          </w:tcPr>
          <w:p w:rsidR="00A95413" w:rsidRPr="00F351BA" w:rsidRDefault="00A95413" w:rsidP="00F351BA">
            <w:pPr>
              <w:spacing w:before="0" w:after="0" w:line="240" w:lineRule="auto"/>
              <w:rPr>
                <w:rFonts w:asciiTheme="minorHAnsi" w:hAnsiTheme="minorHAnsi" w:cstheme="minorHAnsi"/>
                <w:b/>
                <w:color w:val="365F91"/>
                <w:sz w:val="22"/>
                <w:szCs w:val="22"/>
              </w:rPr>
            </w:pPr>
            <w:r w:rsidRPr="00F351BA">
              <w:rPr>
                <w:rFonts w:asciiTheme="minorHAnsi" w:hAnsiTheme="minorHAnsi" w:cstheme="minorHAnsi"/>
                <w:b/>
                <w:color w:val="365F91"/>
                <w:sz w:val="22"/>
                <w:szCs w:val="22"/>
              </w:rPr>
              <w:t>France</w:t>
            </w:r>
          </w:p>
        </w:tc>
        <w:tc>
          <w:tcPr>
            <w:tcW w:w="800" w:type="dxa"/>
            <w:tcBorders>
              <w:top w:val="single" w:sz="8" w:space="0" w:color="4F81BD"/>
              <w:left w:val="nil"/>
              <w:bottom w:val="single" w:sz="8" w:space="0" w:color="4F81BD"/>
              <w:right w:val="nil"/>
            </w:tcBorders>
            <w:noWrap/>
          </w:tcPr>
          <w:p w:rsidR="00A95413" w:rsidRPr="00F351BA" w:rsidRDefault="00A95413" w:rsidP="00F351BA">
            <w:pPr>
              <w:spacing w:before="0" w:after="0" w:line="240" w:lineRule="auto"/>
              <w:rPr>
                <w:rFonts w:asciiTheme="minorHAnsi" w:hAnsiTheme="minorHAnsi" w:cstheme="minorHAnsi"/>
                <w:b/>
                <w:color w:val="365F91"/>
                <w:sz w:val="22"/>
                <w:szCs w:val="22"/>
              </w:rPr>
            </w:pPr>
            <w:r w:rsidRPr="00F351BA">
              <w:rPr>
                <w:rFonts w:asciiTheme="minorHAnsi" w:hAnsiTheme="minorHAnsi" w:cstheme="minorHAnsi"/>
                <w:b/>
                <w:color w:val="365F91"/>
                <w:sz w:val="22"/>
                <w:szCs w:val="22"/>
              </w:rPr>
              <w:t>DScore</w:t>
            </w:r>
          </w:p>
        </w:tc>
      </w:tr>
      <w:tr w:rsidR="00A95413" w:rsidRPr="00F63097" w:rsidTr="00F63097">
        <w:trPr>
          <w:trHeight w:val="300"/>
        </w:trPr>
        <w:tc>
          <w:tcPr>
            <w:tcW w:w="2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Ablynx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9</w:t>
            </w:r>
          </w:p>
        </w:tc>
        <w:tc>
          <w:tcPr>
            <w:tcW w:w="268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Alstria Office Reit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13</w:t>
            </w:r>
          </w:p>
        </w:tc>
        <w:tc>
          <w:tcPr>
            <w:tcW w:w="184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Air Liquide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21</w:t>
            </w:r>
          </w:p>
        </w:tc>
      </w:tr>
      <w:tr w:rsidR="00A95413" w:rsidRPr="00F63097" w:rsidTr="00F63097">
        <w:trPr>
          <w:trHeight w:val="300"/>
        </w:trPr>
        <w:tc>
          <w:tcPr>
            <w:tcW w:w="2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Arseus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15</w:t>
            </w:r>
          </w:p>
        </w:tc>
        <w:tc>
          <w:tcPr>
            <w:tcW w:w="268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Axel Springer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19</w:t>
            </w:r>
          </w:p>
        </w:tc>
        <w:tc>
          <w:tcPr>
            <w:tcW w:w="184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AXA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23</w:t>
            </w:r>
          </w:p>
        </w:tc>
      </w:tr>
      <w:tr w:rsidR="00A95413" w:rsidRPr="00F63097" w:rsidTr="00F63097">
        <w:trPr>
          <w:trHeight w:val="300"/>
        </w:trPr>
        <w:tc>
          <w:tcPr>
            <w:tcW w:w="2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Barco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17</w:t>
            </w:r>
          </w:p>
        </w:tc>
        <w:tc>
          <w:tcPr>
            <w:tcW w:w="268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Biolitec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11</w:t>
            </w:r>
          </w:p>
        </w:tc>
        <w:tc>
          <w:tcPr>
            <w:tcW w:w="184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Boiron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17</w:t>
            </w:r>
          </w:p>
        </w:tc>
      </w:tr>
      <w:tr w:rsidR="00A95413" w:rsidRPr="00F63097" w:rsidTr="00F63097">
        <w:trPr>
          <w:trHeight w:val="300"/>
        </w:trPr>
        <w:tc>
          <w:tcPr>
            <w:tcW w:w="2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Belgacom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24</w:t>
            </w:r>
          </w:p>
        </w:tc>
        <w:tc>
          <w:tcPr>
            <w:tcW w:w="268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Centrosolar Group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15</w:t>
            </w:r>
          </w:p>
        </w:tc>
        <w:tc>
          <w:tcPr>
            <w:tcW w:w="184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Cegedim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22</w:t>
            </w:r>
          </w:p>
        </w:tc>
      </w:tr>
      <w:tr w:rsidR="00A95413" w:rsidRPr="00F63097" w:rsidTr="00F63097">
        <w:trPr>
          <w:trHeight w:val="300"/>
        </w:trPr>
        <w:tc>
          <w:tcPr>
            <w:tcW w:w="2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Campine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13</w:t>
            </w:r>
          </w:p>
        </w:tc>
        <w:tc>
          <w:tcPr>
            <w:tcW w:w="268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Continental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22</w:t>
            </w:r>
          </w:p>
        </w:tc>
        <w:tc>
          <w:tcPr>
            <w:tcW w:w="184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Christian Dior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20</w:t>
            </w:r>
          </w:p>
        </w:tc>
      </w:tr>
      <w:tr w:rsidR="00A95413" w:rsidRPr="00F63097" w:rsidTr="00F63097">
        <w:trPr>
          <w:trHeight w:val="300"/>
        </w:trPr>
        <w:tc>
          <w:tcPr>
            <w:tcW w:w="2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Compagnie Du Bois Sauvage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8</w:t>
            </w:r>
          </w:p>
        </w:tc>
        <w:tc>
          <w:tcPr>
            <w:tcW w:w="268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Delticom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18</w:t>
            </w:r>
          </w:p>
        </w:tc>
        <w:tc>
          <w:tcPr>
            <w:tcW w:w="184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Ciments Francais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21</w:t>
            </w:r>
          </w:p>
        </w:tc>
      </w:tr>
      <w:tr w:rsidR="00A95413" w:rsidRPr="00F63097" w:rsidTr="00F63097">
        <w:trPr>
          <w:trHeight w:val="300"/>
        </w:trPr>
        <w:tc>
          <w:tcPr>
            <w:tcW w:w="2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Deceuninck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20</w:t>
            </w:r>
          </w:p>
        </w:tc>
        <w:tc>
          <w:tcPr>
            <w:tcW w:w="268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Deutsche Telekom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22</w:t>
            </w:r>
          </w:p>
        </w:tc>
        <w:tc>
          <w:tcPr>
            <w:tcW w:w="184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Colas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16</w:t>
            </w:r>
          </w:p>
        </w:tc>
      </w:tr>
      <w:tr w:rsidR="00A95413" w:rsidRPr="00F63097" w:rsidTr="00F63097">
        <w:trPr>
          <w:trHeight w:val="300"/>
        </w:trPr>
        <w:tc>
          <w:tcPr>
            <w:tcW w:w="2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Elia System Operator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16</w:t>
            </w:r>
          </w:p>
        </w:tc>
        <w:tc>
          <w:tcPr>
            <w:tcW w:w="268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Envitec Biogas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16</w:t>
            </w:r>
          </w:p>
        </w:tc>
        <w:tc>
          <w:tcPr>
            <w:tcW w:w="184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Danone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24</w:t>
            </w:r>
          </w:p>
        </w:tc>
      </w:tr>
      <w:tr w:rsidR="00A95413" w:rsidRPr="00F63097" w:rsidTr="00F63097">
        <w:trPr>
          <w:trHeight w:val="300"/>
        </w:trPr>
        <w:tc>
          <w:tcPr>
            <w:tcW w:w="2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Fluxys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16</w:t>
            </w:r>
          </w:p>
        </w:tc>
        <w:tc>
          <w:tcPr>
            <w:tcW w:w="268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Fresenius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23</w:t>
            </w:r>
          </w:p>
        </w:tc>
        <w:tc>
          <w:tcPr>
            <w:tcW w:w="184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Ipsos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19</w:t>
            </w:r>
          </w:p>
        </w:tc>
      </w:tr>
      <w:tr w:rsidR="00A95413" w:rsidRPr="00F63097" w:rsidTr="00F63097">
        <w:trPr>
          <w:trHeight w:val="300"/>
        </w:trPr>
        <w:tc>
          <w:tcPr>
            <w:tcW w:w="2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Hansen Transmissions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23</w:t>
            </w:r>
          </w:p>
        </w:tc>
        <w:tc>
          <w:tcPr>
            <w:tcW w:w="268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Gerry Weber International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14</w:t>
            </w:r>
          </w:p>
        </w:tc>
        <w:tc>
          <w:tcPr>
            <w:tcW w:w="184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Euler Hermes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18</w:t>
            </w:r>
          </w:p>
        </w:tc>
      </w:tr>
      <w:tr w:rsidR="00A95413" w:rsidRPr="00F63097" w:rsidTr="00F63097">
        <w:trPr>
          <w:trHeight w:val="300"/>
        </w:trPr>
        <w:tc>
          <w:tcPr>
            <w:tcW w:w="2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Intervest Offices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14</w:t>
            </w:r>
          </w:p>
        </w:tc>
        <w:tc>
          <w:tcPr>
            <w:tcW w:w="268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Henkel &amp; Company Kgaa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26</w:t>
            </w:r>
          </w:p>
        </w:tc>
        <w:tc>
          <w:tcPr>
            <w:tcW w:w="184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Faurecia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23</w:t>
            </w:r>
          </w:p>
        </w:tc>
      </w:tr>
      <w:tr w:rsidR="00A95413" w:rsidRPr="00F63097" w:rsidTr="00F63097">
        <w:trPr>
          <w:trHeight w:val="300"/>
        </w:trPr>
        <w:tc>
          <w:tcPr>
            <w:tcW w:w="2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Miko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15</w:t>
            </w:r>
          </w:p>
        </w:tc>
        <w:tc>
          <w:tcPr>
            <w:tcW w:w="268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Hochtief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23</w:t>
            </w:r>
          </w:p>
        </w:tc>
        <w:tc>
          <w:tcPr>
            <w:tcW w:w="184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GDF Suez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26</w:t>
            </w:r>
          </w:p>
        </w:tc>
      </w:tr>
      <w:tr w:rsidR="00A95413" w:rsidRPr="00F63097" w:rsidTr="00F63097">
        <w:trPr>
          <w:trHeight w:val="300"/>
        </w:trPr>
        <w:tc>
          <w:tcPr>
            <w:tcW w:w="2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Omega Pharma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19</w:t>
            </w:r>
          </w:p>
        </w:tc>
        <w:tc>
          <w:tcPr>
            <w:tcW w:w="268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Integralis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12</w:t>
            </w:r>
          </w:p>
        </w:tc>
        <w:tc>
          <w:tcPr>
            <w:tcW w:w="184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Gecina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21</w:t>
            </w:r>
          </w:p>
        </w:tc>
      </w:tr>
      <w:tr w:rsidR="00A95413" w:rsidRPr="00F63097" w:rsidTr="00F63097">
        <w:trPr>
          <w:trHeight w:val="300"/>
        </w:trPr>
        <w:tc>
          <w:tcPr>
            <w:tcW w:w="2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Quest For Growth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13</w:t>
            </w:r>
          </w:p>
        </w:tc>
        <w:tc>
          <w:tcPr>
            <w:tcW w:w="268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Koenig &amp; Bauer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18</w:t>
            </w:r>
          </w:p>
        </w:tc>
        <w:tc>
          <w:tcPr>
            <w:tcW w:w="184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Inter Parfums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8</w:t>
            </w:r>
          </w:p>
        </w:tc>
      </w:tr>
      <w:tr w:rsidR="00A95413" w:rsidRPr="00F63097" w:rsidTr="00F63097">
        <w:trPr>
          <w:trHeight w:val="300"/>
        </w:trPr>
        <w:tc>
          <w:tcPr>
            <w:tcW w:w="2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RHJ International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8</w:t>
            </w:r>
          </w:p>
        </w:tc>
        <w:tc>
          <w:tcPr>
            <w:tcW w:w="268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Leica Camera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11</w:t>
            </w:r>
          </w:p>
        </w:tc>
        <w:tc>
          <w:tcPr>
            <w:tcW w:w="184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Lafarge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19</w:t>
            </w:r>
          </w:p>
        </w:tc>
      </w:tr>
      <w:tr w:rsidR="00A95413" w:rsidRPr="00F63097" w:rsidTr="00F63097">
        <w:trPr>
          <w:trHeight w:val="300"/>
        </w:trPr>
        <w:tc>
          <w:tcPr>
            <w:tcW w:w="2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Sofina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w:t>
            </w:r>
          </w:p>
        </w:tc>
        <w:tc>
          <w:tcPr>
            <w:tcW w:w="268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Marseille-Kliniken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15</w:t>
            </w:r>
          </w:p>
        </w:tc>
        <w:tc>
          <w:tcPr>
            <w:tcW w:w="184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Lectra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19</w:t>
            </w:r>
          </w:p>
        </w:tc>
      </w:tr>
      <w:tr w:rsidR="00A95413" w:rsidRPr="00F63097" w:rsidTr="00F63097">
        <w:trPr>
          <w:trHeight w:val="300"/>
        </w:trPr>
        <w:tc>
          <w:tcPr>
            <w:tcW w:w="2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Telenet Group Holding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21</w:t>
            </w:r>
          </w:p>
        </w:tc>
        <w:tc>
          <w:tcPr>
            <w:tcW w:w="268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Morphosys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18</w:t>
            </w:r>
          </w:p>
        </w:tc>
        <w:tc>
          <w:tcPr>
            <w:tcW w:w="184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Nexans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16</w:t>
            </w:r>
          </w:p>
        </w:tc>
      </w:tr>
      <w:tr w:rsidR="00A95413" w:rsidRPr="00F63097" w:rsidTr="00F63097">
        <w:trPr>
          <w:trHeight w:val="300"/>
        </w:trPr>
        <w:tc>
          <w:tcPr>
            <w:tcW w:w="2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Van De Velde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17</w:t>
            </w:r>
          </w:p>
        </w:tc>
        <w:tc>
          <w:tcPr>
            <w:tcW w:w="268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OVB Holding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13</w:t>
            </w:r>
          </w:p>
        </w:tc>
        <w:tc>
          <w:tcPr>
            <w:tcW w:w="184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Publicis Groupe </w:t>
            </w:r>
          </w:p>
        </w:tc>
        <w:tc>
          <w:tcPr>
            <w:tcW w:w="80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6</w:t>
            </w:r>
          </w:p>
        </w:tc>
      </w:tr>
      <w:tr w:rsidR="00A95413" w:rsidRPr="00F63097" w:rsidTr="00F63097">
        <w:trPr>
          <w:trHeight w:val="300"/>
        </w:trPr>
        <w:tc>
          <w:tcPr>
            <w:tcW w:w="2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Wereldhave Belgium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16</w:t>
            </w:r>
          </w:p>
        </w:tc>
        <w:tc>
          <w:tcPr>
            <w:tcW w:w="268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SAF-Holland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23</w:t>
            </w:r>
          </w:p>
        </w:tc>
        <w:tc>
          <w:tcPr>
            <w:tcW w:w="184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Touax </w:t>
            </w:r>
          </w:p>
        </w:tc>
        <w:tc>
          <w:tcPr>
            <w:tcW w:w="80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20</w:t>
            </w:r>
          </w:p>
        </w:tc>
      </w:tr>
      <w:tr w:rsidR="00A95413" w:rsidRPr="00F63097" w:rsidTr="00F63097">
        <w:trPr>
          <w:trHeight w:val="300"/>
        </w:trPr>
        <w:tc>
          <w:tcPr>
            <w:tcW w:w="2800" w:type="dxa"/>
            <w:tcBorders>
              <w:bottom w:val="single" w:sz="8" w:space="0" w:color="4F81BD"/>
            </w:tcBorders>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Zenitel </w:t>
            </w:r>
          </w:p>
        </w:tc>
        <w:tc>
          <w:tcPr>
            <w:tcW w:w="800" w:type="dxa"/>
            <w:tcBorders>
              <w:bottom w:val="single" w:sz="8" w:space="0" w:color="4F81BD"/>
            </w:tcBorders>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16</w:t>
            </w:r>
          </w:p>
        </w:tc>
        <w:tc>
          <w:tcPr>
            <w:tcW w:w="2680" w:type="dxa"/>
            <w:tcBorders>
              <w:bottom w:val="single" w:sz="8" w:space="0" w:color="4F81BD"/>
            </w:tcBorders>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QSC  </w:t>
            </w:r>
          </w:p>
        </w:tc>
        <w:tc>
          <w:tcPr>
            <w:tcW w:w="800" w:type="dxa"/>
            <w:tcBorders>
              <w:bottom w:val="single" w:sz="8" w:space="0" w:color="4F81BD"/>
            </w:tcBorders>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12</w:t>
            </w:r>
          </w:p>
        </w:tc>
        <w:tc>
          <w:tcPr>
            <w:tcW w:w="1840" w:type="dxa"/>
            <w:tcBorders>
              <w:bottom w:val="single" w:sz="8" w:space="0" w:color="4F81BD"/>
            </w:tcBorders>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Valeo </w:t>
            </w:r>
          </w:p>
        </w:tc>
        <w:tc>
          <w:tcPr>
            <w:tcW w:w="800" w:type="dxa"/>
            <w:tcBorders>
              <w:bottom w:val="single" w:sz="8" w:space="0" w:color="4F81BD"/>
            </w:tcBorders>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22</w:t>
            </w:r>
          </w:p>
        </w:tc>
      </w:tr>
    </w:tbl>
    <w:p w:rsidR="00A95413" w:rsidRPr="00046999" w:rsidRDefault="00A95413" w:rsidP="001D4BB3">
      <w:pPr>
        <w:jc w:val="both"/>
        <w:rPr>
          <w:rFonts w:cs="Calibri"/>
          <w:sz w:val="22"/>
          <w:szCs w:val="22"/>
        </w:rPr>
      </w:pPr>
    </w:p>
    <w:tbl>
      <w:tblPr>
        <w:tblW w:w="7054" w:type="dxa"/>
        <w:tblBorders>
          <w:top w:val="single" w:sz="8" w:space="0" w:color="4F81BD"/>
          <w:bottom w:val="single" w:sz="8" w:space="0" w:color="4F81BD"/>
        </w:tblBorders>
        <w:tblLook w:val="00A0"/>
      </w:tblPr>
      <w:tblGrid>
        <w:gridCol w:w="2660"/>
        <w:gridCol w:w="992"/>
        <w:gridCol w:w="2693"/>
        <w:gridCol w:w="858"/>
      </w:tblGrid>
      <w:tr w:rsidR="00A95413" w:rsidRPr="00F63097" w:rsidTr="00F63097">
        <w:trPr>
          <w:trHeight w:val="300"/>
        </w:trPr>
        <w:tc>
          <w:tcPr>
            <w:tcW w:w="2660" w:type="dxa"/>
            <w:tcBorders>
              <w:top w:val="single" w:sz="8" w:space="0" w:color="4F81BD"/>
              <w:left w:val="nil"/>
              <w:bottom w:val="single" w:sz="8" w:space="0" w:color="4F81BD"/>
              <w:right w:val="nil"/>
            </w:tcBorders>
            <w:noWrap/>
          </w:tcPr>
          <w:p w:rsidR="00A95413" w:rsidRPr="00F351BA" w:rsidRDefault="00A95413" w:rsidP="00F351BA">
            <w:pPr>
              <w:spacing w:before="0" w:after="0" w:line="240" w:lineRule="auto"/>
              <w:rPr>
                <w:rFonts w:asciiTheme="minorHAnsi" w:hAnsiTheme="minorHAnsi" w:cstheme="minorHAnsi"/>
                <w:b/>
                <w:color w:val="365F91"/>
                <w:sz w:val="22"/>
                <w:szCs w:val="22"/>
              </w:rPr>
            </w:pPr>
            <w:r w:rsidRPr="00F351BA">
              <w:rPr>
                <w:rFonts w:asciiTheme="minorHAnsi" w:hAnsiTheme="minorHAnsi" w:cstheme="minorHAnsi"/>
                <w:b/>
                <w:color w:val="365F91"/>
                <w:sz w:val="22"/>
                <w:szCs w:val="22"/>
              </w:rPr>
              <w:t>Italy</w:t>
            </w:r>
          </w:p>
        </w:tc>
        <w:tc>
          <w:tcPr>
            <w:tcW w:w="992" w:type="dxa"/>
            <w:tcBorders>
              <w:top w:val="single" w:sz="8" w:space="0" w:color="4F81BD"/>
              <w:left w:val="nil"/>
              <w:bottom w:val="single" w:sz="8" w:space="0" w:color="4F81BD"/>
              <w:right w:val="nil"/>
            </w:tcBorders>
            <w:noWrap/>
          </w:tcPr>
          <w:p w:rsidR="00A95413" w:rsidRPr="00F351BA" w:rsidRDefault="00F351BA" w:rsidP="00F351BA">
            <w:pPr>
              <w:spacing w:before="0" w:after="0" w:line="240" w:lineRule="auto"/>
              <w:rPr>
                <w:rFonts w:asciiTheme="minorHAnsi" w:hAnsiTheme="minorHAnsi" w:cstheme="minorHAnsi"/>
                <w:b/>
                <w:color w:val="365F91"/>
                <w:sz w:val="22"/>
                <w:szCs w:val="22"/>
              </w:rPr>
            </w:pPr>
            <w:r w:rsidRPr="00F351BA">
              <w:rPr>
                <w:rFonts w:asciiTheme="minorHAnsi" w:hAnsiTheme="minorHAnsi" w:cstheme="minorHAnsi"/>
                <w:b/>
                <w:color w:val="365F91"/>
                <w:sz w:val="22"/>
                <w:szCs w:val="22"/>
              </w:rPr>
              <w:t xml:space="preserve">  </w:t>
            </w:r>
            <w:r w:rsidR="00A95413" w:rsidRPr="00F351BA">
              <w:rPr>
                <w:rFonts w:asciiTheme="minorHAnsi" w:hAnsiTheme="minorHAnsi" w:cstheme="minorHAnsi"/>
                <w:b/>
                <w:color w:val="365F91"/>
                <w:sz w:val="22"/>
                <w:szCs w:val="22"/>
              </w:rPr>
              <w:t>DScore</w:t>
            </w:r>
          </w:p>
        </w:tc>
        <w:tc>
          <w:tcPr>
            <w:tcW w:w="2693" w:type="dxa"/>
            <w:tcBorders>
              <w:top w:val="single" w:sz="8" w:space="0" w:color="4F81BD"/>
              <w:left w:val="nil"/>
              <w:bottom w:val="single" w:sz="8" w:space="0" w:color="4F81BD"/>
              <w:right w:val="nil"/>
            </w:tcBorders>
            <w:noWrap/>
          </w:tcPr>
          <w:p w:rsidR="00A95413" w:rsidRPr="00F351BA" w:rsidRDefault="00A95413" w:rsidP="00F351BA">
            <w:pPr>
              <w:spacing w:before="0" w:after="0" w:line="240" w:lineRule="auto"/>
              <w:rPr>
                <w:rFonts w:asciiTheme="minorHAnsi" w:hAnsiTheme="minorHAnsi" w:cstheme="minorHAnsi"/>
                <w:b/>
                <w:color w:val="365F91"/>
                <w:sz w:val="22"/>
                <w:szCs w:val="22"/>
              </w:rPr>
            </w:pPr>
            <w:r w:rsidRPr="00F351BA">
              <w:rPr>
                <w:rFonts w:asciiTheme="minorHAnsi" w:hAnsiTheme="minorHAnsi" w:cstheme="minorHAnsi"/>
                <w:b/>
                <w:color w:val="365F91"/>
                <w:sz w:val="22"/>
                <w:szCs w:val="22"/>
              </w:rPr>
              <w:t>The Netherlands</w:t>
            </w:r>
          </w:p>
        </w:tc>
        <w:tc>
          <w:tcPr>
            <w:tcW w:w="709" w:type="dxa"/>
            <w:tcBorders>
              <w:top w:val="single" w:sz="8" w:space="0" w:color="4F81BD"/>
              <w:left w:val="nil"/>
              <w:bottom w:val="single" w:sz="8" w:space="0" w:color="4F81BD"/>
              <w:right w:val="nil"/>
            </w:tcBorders>
            <w:noWrap/>
          </w:tcPr>
          <w:p w:rsidR="00A95413" w:rsidRPr="00F351BA" w:rsidRDefault="00A95413" w:rsidP="00F351BA">
            <w:pPr>
              <w:spacing w:before="0" w:after="0" w:line="240" w:lineRule="auto"/>
              <w:rPr>
                <w:rFonts w:asciiTheme="minorHAnsi" w:hAnsiTheme="minorHAnsi" w:cstheme="minorHAnsi"/>
                <w:b/>
                <w:color w:val="365F91"/>
                <w:sz w:val="22"/>
                <w:szCs w:val="22"/>
              </w:rPr>
            </w:pPr>
            <w:r w:rsidRPr="00F351BA">
              <w:rPr>
                <w:rFonts w:asciiTheme="minorHAnsi" w:hAnsiTheme="minorHAnsi" w:cstheme="minorHAnsi"/>
                <w:b/>
                <w:color w:val="365F91"/>
                <w:sz w:val="22"/>
                <w:szCs w:val="22"/>
              </w:rPr>
              <w:t>DScore</w:t>
            </w:r>
          </w:p>
        </w:tc>
      </w:tr>
      <w:tr w:rsidR="00A95413" w:rsidRPr="00F63097" w:rsidTr="00F63097">
        <w:trPr>
          <w:trHeight w:val="300"/>
        </w:trPr>
        <w:tc>
          <w:tcPr>
            <w:tcW w:w="266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Acotel Group </w:t>
            </w:r>
          </w:p>
        </w:tc>
        <w:tc>
          <w:tcPr>
            <w:tcW w:w="992"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10</w:t>
            </w:r>
          </w:p>
        </w:tc>
        <w:tc>
          <w:tcPr>
            <w:tcW w:w="2693"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Aalberts Industries </w:t>
            </w:r>
          </w:p>
        </w:tc>
        <w:tc>
          <w:tcPr>
            <w:tcW w:w="709"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24</w:t>
            </w:r>
          </w:p>
        </w:tc>
      </w:tr>
      <w:tr w:rsidR="00A95413" w:rsidRPr="00F63097" w:rsidTr="00F63097">
        <w:trPr>
          <w:trHeight w:val="300"/>
        </w:trPr>
        <w:tc>
          <w:tcPr>
            <w:tcW w:w="266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Atlantia </w:t>
            </w:r>
          </w:p>
        </w:tc>
        <w:tc>
          <w:tcPr>
            <w:tcW w:w="992"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15</w:t>
            </w:r>
          </w:p>
        </w:tc>
        <w:tc>
          <w:tcPr>
            <w:tcW w:w="2693"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Akzo Nobel </w:t>
            </w:r>
          </w:p>
        </w:tc>
        <w:tc>
          <w:tcPr>
            <w:tcW w:w="709"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24</w:t>
            </w:r>
          </w:p>
        </w:tc>
      </w:tr>
      <w:tr w:rsidR="00A95413" w:rsidRPr="00F63097" w:rsidTr="00F63097">
        <w:trPr>
          <w:trHeight w:val="300"/>
        </w:trPr>
        <w:tc>
          <w:tcPr>
            <w:tcW w:w="266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Benetton </w:t>
            </w:r>
          </w:p>
        </w:tc>
        <w:tc>
          <w:tcPr>
            <w:tcW w:w="992"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13</w:t>
            </w:r>
          </w:p>
        </w:tc>
        <w:tc>
          <w:tcPr>
            <w:tcW w:w="2693"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ASM International </w:t>
            </w:r>
          </w:p>
        </w:tc>
        <w:tc>
          <w:tcPr>
            <w:tcW w:w="709"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18</w:t>
            </w:r>
          </w:p>
        </w:tc>
      </w:tr>
      <w:tr w:rsidR="00A95413" w:rsidRPr="00F63097" w:rsidTr="00F63097">
        <w:trPr>
          <w:trHeight w:val="300"/>
        </w:trPr>
        <w:tc>
          <w:tcPr>
            <w:tcW w:w="266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Bulgari </w:t>
            </w:r>
          </w:p>
        </w:tc>
        <w:tc>
          <w:tcPr>
            <w:tcW w:w="992"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16</w:t>
            </w:r>
          </w:p>
        </w:tc>
        <w:tc>
          <w:tcPr>
            <w:tcW w:w="2693"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Beter Bed Holding </w:t>
            </w:r>
          </w:p>
        </w:tc>
        <w:tc>
          <w:tcPr>
            <w:tcW w:w="709"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19</w:t>
            </w:r>
          </w:p>
        </w:tc>
      </w:tr>
      <w:tr w:rsidR="00A95413" w:rsidRPr="00F63097" w:rsidTr="00F63097">
        <w:trPr>
          <w:trHeight w:val="300"/>
        </w:trPr>
        <w:tc>
          <w:tcPr>
            <w:tcW w:w="266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Cofide  </w:t>
            </w:r>
          </w:p>
        </w:tc>
        <w:tc>
          <w:tcPr>
            <w:tcW w:w="992"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10</w:t>
            </w:r>
          </w:p>
        </w:tc>
        <w:tc>
          <w:tcPr>
            <w:tcW w:w="2693"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Delta Lloyd Group </w:t>
            </w:r>
          </w:p>
        </w:tc>
        <w:tc>
          <w:tcPr>
            <w:tcW w:w="709"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19</w:t>
            </w:r>
          </w:p>
        </w:tc>
      </w:tr>
      <w:tr w:rsidR="00A95413" w:rsidRPr="00F63097" w:rsidTr="00F63097">
        <w:trPr>
          <w:trHeight w:val="300"/>
        </w:trPr>
        <w:tc>
          <w:tcPr>
            <w:tcW w:w="266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lastRenderedPageBreak/>
              <w:t xml:space="preserve"> Davide Campari </w:t>
            </w:r>
          </w:p>
        </w:tc>
        <w:tc>
          <w:tcPr>
            <w:tcW w:w="992"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7</w:t>
            </w:r>
          </w:p>
        </w:tc>
        <w:tc>
          <w:tcPr>
            <w:tcW w:w="2693"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Fugro </w:t>
            </w:r>
          </w:p>
        </w:tc>
        <w:tc>
          <w:tcPr>
            <w:tcW w:w="709"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23</w:t>
            </w:r>
          </w:p>
        </w:tc>
      </w:tr>
      <w:tr w:rsidR="00A95413" w:rsidRPr="00F63097" w:rsidTr="00F63097">
        <w:trPr>
          <w:trHeight w:val="300"/>
        </w:trPr>
        <w:tc>
          <w:tcPr>
            <w:tcW w:w="266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ENI </w:t>
            </w:r>
          </w:p>
        </w:tc>
        <w:tc>
          <w:tcPr>
            <w:tcW w:w="992"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15</w:t>
            </w:r>
          </w:p>
        </w:tc>
        <w:tc>
          <w:tcPr>
            <w:tcW w:w="2693"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Grontmij </w:t>
            </w:r>
          </w:p>
        </w:tc>
        <w:tc>
          <w:tcPr>
            <w:tcW w:w="709"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22</w:t>
            </w:r>
          </w:p>
        </w:tc>
      </w:tr>
      <w:tr w:rsidR="00A95413" w:rsidRPr="00F63097" w:rsidTr="00F63097">
        <w:trPr>
          <w:trHeight w:val="300"/>
        </w:trPr>
        <w:tc>
          <w:tcPr>
            <w:tcW w:w="266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Exprivia </w:t>
            </w:r>
          </w:p>
        </w:tc>
        <w:tc>
          <w:tcPr>
            <w:tcW w:w="992"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13</w:t>
            </w:r>
          </w:p>
        </w:tc>
        <w:tc>
          <w:tcPr>
            <w:tcW w:w="2693"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Groothandelsgebouwen </w:t>
            </w:r>
          </w:p>
        </w:tc>
        <w:tc>
          <w:tcPr>
            <w:tcW w:w="709"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11</w:t>
            </w:r>
          </w:p>
        </w:tc>
      </w:tr>
      <w:tr w:rsidR="00A95413" w:rsidRPr="00F63097" w:rsidTr="00F63097">
        <w:trPr>
          <w:trHeight w:val="300"/>
        </w:trPr>
        <w:tc>
          <w:tcPr>
            <w:tcW w:w="266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Fiera Milano </w:t>
            </w:r>
          </w:p>
        </w:tc>
        <w:tc>
          <w:tcPr>
            <w:tcW w:w="992"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17</w:t>
            </w:r>
          </w:p>
        </w:tc>
        <w:tc>
          <w:tcPr>
            <w:tcW w:w="2693"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HES-Beheer </w:t>
            </w:r>
          </w:p>
        </w:tc>
        <w:tc>
          <w:tcPr>
            <w:tcW w:w="709"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18</w:t>
            </w:r>
          </w:p>
        </w:tc>
      </w:tr>
      <w:tr w:rsidR="00A95413" w:rsidRPr="00F63097" w:rsidTr="00F63097">
        <w:trPr>
          <w:trHeight w:val="300"/>
        </w:trPr>
        <w:tc>
          <w:tcPr>
            <w:tcW w:w="266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Geox  </w:t>
            </w:r>
          </w:p>
        </w:tc>
        <w:tc>
          <w:tcPr>
            <w:tcW w:w="992"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12</w:t>
            </w:r>
          </w:p>
        </w:tc>
        <w:tc>
          <w:tcPr>
            <w:tcW w:w="2693"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James Hardie Industries </w:t>
            </w:r>
          </w:p>
        </w:tc>
        <w:tc>
          <w:tcPr>
            <w:tcW w:w="709"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18</w:t>
            </w:r>
          </w:p>
        </w:tc>
      </w:tr>
      <w:tr w:rsidR="00A95413" w:rsidRPr="00F63097" w:rsidTr="00F63097">
        <w:trPr>
          <w:trHeight w:val="300"/>
        </w:trPr>
        <w:tc>
          <w:tcPr>
            <w:tcW w:w="266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Hera  </w:t>
            </w:r>
          </w:p>
        </w:tc>
        <w:tc>
          <w:tcPr>
            <w:tcW w:w="992"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19</w:t>
            </w:r>
          </w:p>
        </w:tc>
        <w:tc>
          <w:tcPr>
            <w:tcW w:w="2693"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Koninklijke BAM Groep </w:t>
            </w:r>
          </w:p>
        </w:tc>
        <w:tc>
          <w:tcPr>
            <w:tcW w:w="709"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22</w:t>
            </w:r>
          </w:p>
        </w:tc>
      </w:tr>
      <w:tr w:rsidR="00A95413" w:rsidRPr="00F63097" w:rsidTr="00F63097">
        <w:trPr>
          <w:trHeight w:val="300"/>
        </w:trPr>
        <w:tc>
          <w:tcPr>
            <w:tcW w:w="266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Italcementi </w:t>
            </w:r>
          </w:p>
        </w:tc>
        <w:tc>
          <w:tcPr>
            <w:tcW w:w="992"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19</w:t>
            </w:r>
          </w:p>
        </w:tc>
        <w:tc>
          <w:tcPr>
            <w:tcW w:w="2693"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KoninklijkePhilips Electronics </w:t>
            </w:r>
          </w:p>
        </w:tc>
        <w:tc>
          <w:tcPr>
            <w:tcW w:w="709"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25</w:t>
            </w:r>
          </w:p>
        </w:tc>
      </w:tr>
      <w:tr w:rsidR="00A95413" w:rsidRPr="00F63097" w:rsidTr="00F63097">
        <w:trPr>
          <w:trHeight w:val="300"/>
        </w:trPr>
        <w:tc>
          <w:tcPr>
            <w:tcW w:w="266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Lottomatica </w:t>
            </w:r>
          </w:p>
        </w:tc>
        <w:tc>
          <w:tcPr>
            <w:tcW w:w="992"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14</w:t>
            </w:r>
          </w:p>
        </w:tc>
        <w:tc>
          <w:tcPr>
            <w:tcW w:w="2693"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Macintosh Retail Group </w:t>
            </w:r>
          </w:p>
        </w:tc>
        <w:tc>
          <w:tcPr>
            <w:tcW w:w="709"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22</w:t>
            </w:r>
          </w:p>
        </w:tc>
      </w:tr>
      <w:tr w:rsidR="00A95413" w:rsidRPr="00F63097" w:rsidTr="00F63097">
        <w:trPr>
          <w:trHeight w:val="300"/>
        </w:trPr>
        <w:tc>
          <w:tcPr>
            <w:tcW w:w="266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Mondadori Editore </w:t>
            </w:r>
          </w:p>
        </w:tc>
        <w:tc>
          <w:tcPr>
            <w:tcW w:w="992"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10</w:t>
            </w:r>
          </w:p>
        </w:tc>
        <w:tc>
          <w:tcPr>
            <w:tcW w:w="2693"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New World Resources </w:t>
            </w:r>
          </w:p>
        </w:tc>
        <w:tc>
          <w:tcPr>
            <w:tcW w:w="709"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17</w:t>
            </w:r>
          </w:p>
        </w:tc>
      </w:tr>
      <w:tr w:rsidR="00A95413" w:rsidRPr="00F63097" w:rsidTr="00F63097">
        <w:trPr>
          <w:trHeight w:val="300"/>
        </w:trPr>
        <w:tc>
          <w:tcPr>
            <w:tcW w:w="266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Piaggio &amp; Company </w:t>
            </w:r>
          </w:p>
        </w:tc>
        <w:tc>
          <w:tcPr>
            <w:tcW w:w="992"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20</w:t>
            </w:r>
          </w:p>
        </w:tc>
        <w:tc>
          <w:tcPr>
            <w:tcW w:w="2693"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Nutreco </w:t>
            </w:r>
          </w:p>
        </w:tc>
        <w:tc>
          <w:tcPr>
            <w:tcW w:w="709"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25</w:t>
            </w:r>
          </w:p>
        </w:tc>
      </w:tr>
      <w:tr w:rsidR="00A95413" w:rsidRPr="00F63097" w:rsidTr="00F63097">
        <w:trPr>
          <w:trHeight w:val="300"/>
        </w:trPr>
        <w:tc>
          <w:tcPr>
            <w:tcW w:w="266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Prelios </w:t>
            </w:r>
          </w:p>
        </w:tc>
        <w:tc>
          <w:tcPr>
            <w:tcW w:w="992"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14</w:t>
            </w:r>
          </w:p>
        </w:tc>
        <w:tc>
          <w:tcPr>
            <w:tcW w:w="2693"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Randstad Holding </w:t>
            </w:r>
          </w:p>
        </w:tc>
        <w:tc>
          <w:tcPr>
            <w:tcW w:w="709"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23</w:t>
            </w:r>
          </w:p>
        </w:tc>
      </w:tr>
      <w:tr w:rsidR="00A95413" w:rsidRPr="00F63097" w:rsidTr="00F63097">
        <w:trPr>
          <w:trHeight w:val="300"/>
        </w:trPr>
        <w:tc>
          <w:tcPr>
            <w:tcW w:w="266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Recordati </w:t>
            </w:r>
          </w:p>
        </w:tc>
        <w:tc>
          <w:tcPr>
            <w:tcW w:w="992"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17</w:t>
            </w:r>
          </w:p>
        </w:tc>
        <w:tc>
          <w:tcPr>
            <w:tcW w:w="2693"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RoyalBoskalis Westminster </w:t>
            </w:r>
          </w:p>
        </w:tc>
        <w:tc>
          <w:tcPr>
            <w:tcW w:w="709"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19</w:t>
            </w:r>
          </w:p>
        </w:tc>
      </w:tr>
      <w:tr w:rsidR="00A95413" w:rsidRPr="00F63097" w:rsidTr="00F63097">
        <w:trPr>
          <w:trHeight w:val="300"/>
        </w:trPr>
        <w:tc>
          <w:tcPr>
            <w:tcW w:w="2660"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Saras </w:t>
            </w:r>
          </w:p>
        </w:tc>
        <w:tc>
          <w:tcPr>
            <w:tcW w:w="992"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15</w:t>
            </w:r>
          </w:p>
        </w:tc>
        <w:tc>
          <w:tcPr>
            <w:tcW w:w="2693"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Simac Techniek </w:t>
            </w:r>
          </w:p>
        </w:tc>
        <w:tc>
          <w:tcPr>
            <w:tcW w:w="709" w:type="dxa"/>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20</w:t>
            </w:r>
          </w:p>
        </w:tc>
      </w:tr>
      <w:tr w:rsidR="00A95413" w:rsidRPr="00F63097" w:rsidTr="00F63097">
        <w:trPr>
          <w:trHeight w:val="300"/>
        </w:trPr>
        <w:tc>
          <w:tcPr>
            <w:tcW w:w="2660"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Sorin </w:t>
            </w:r>
          </w:p>
        </w:tc>
        <w:tc>
          <w:tcPr>
            <w:tcW w:w="992"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15</w:t>
            </w:r>
          </w:p>
        </w:tc>
        <w:tc>
          <w:tcPr>
            <w:tcW w:w="2693"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Teleplan International </w:t>
            </w:r>
          </w:p>
        </w:tc>
        <w:tc>
          <w:tcPr>
            <w:tcW w:w="709" w:type="dxa"/>
            <w:tcBorders>
              <w:left w:val="nil"/>
              <w:right w:val="nil"/>
            </w:tcBorders>
            <w:shd w:val="clear" w:color="auto" w:fill="D3DFEE"/>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13</w:t>
            </w:r>
          </w:p>
        </w:tc>
      </w:tr>
      <w:tr w:rsidR="00A95413" w:rsidRPr="00F63097" w:rsidTr="00F63097">
        <w:trPr>
          <w:trHeight w:val="300"/>
        </w:trPr>
        <w:tc>
          <w:tcPr>
            <w:tcW w:w="2660" w:type="dxa"/>
            <w:tcBorders>
              <w:bottom w:val="single" w:sz="8" w:space="0" w:color="4F81BD"/>
            </w:tcBorders>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Vianini Lavori </w:t>
            </w:r>
          </w:p>
        </w:tc>
        <w:tc>
          <w:tcPr>
            <w:tcW w:w="992" w:type="dxa"/>
            <w:tcBorders>
              <w:bottom w:val="single" w:sz="8" w:space="0" w:color="4F81BD"/>
            </w:tcBorders>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7</w:t>
            </w:r>
          </w:p>
        </w:tc>
        <w:tc>
          <w:tcPr>
            <w:tcW w:w="2693" w:type="dxa"/>
            <w:tcBorders>
              <w:bottom w:val="single" w:sz="8" w:space="0" w:color="4F81BD"/>
            </w:tcBorders>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 xml:space="preserve"> USG People </w:t>
            </w:r>
          </w:p>
        </w:tc>
        <w:tc>
          <w:tcPr>
            <w:tcW w:w="709" w:type="dxa"/>
            <w:tcBorders>
              <w:bottom w:val="single" w:sz="8" w:space="0" w:color="4F81BD"/>
            </w:tcBorders>
            <w:noWrap/>
          </w:tcPr>
          <w:p w:rsidR="00A95413" w:rsidRPr="00F351BA" w:rsidRDefault="00A95413" w:rsidP="00F351BA">
            <w:pPr>
              <w:spacing w:before="0" w:after="0" w:line="240" w:lineRule="auto"/>
              <w:rPr>
                <w:rFonts w:asciiTheme="minorHAnsi" w:hAnsiTheme="minorHAnsi" w:cstheme="minorHAnsi"/>
                <w:color w:val="365F91"/>
                <w:sz w:val="22"/>
                <w:szCs w:val="22"/>
              </w:rPr>
            </w:pPr>
            <w:r w:rsidRPr="00F351BA">
              <w:rPr>
                <w:rFonts w:asciiTheme="minorHAnsi" w:hAnsiTheme="minorHAnsi" w:cstheme="minorHAnsi"/>
                <w:color w:val="365F91"/>
                <w:sz w:val="22"/>
                <w:szCs w:val="22"/>
              </w:rPr>
              <w:t>20</w:t>
            </w:r>
          </w:p>
        </w:tc>
      </w:tr>
    </w:tbl>
    <w:p w:rsidR="00A95413" w:rsidRPr="00046999" w:rsidRDefault="00A95413" w:rsidP="001D4BB3">
      <w:pPr>
        <w:jc w:val="both"/>
        <w:rPr>
          <w:rFonts w:cs="Calibri"/>
          <w:sz w:val="22"/>
          <w:szCs w:val="22"/>
        </w:rPr>
      </w:pPr>
    </w:p>
    <w:p w:rsidR="00A95413" w:rsidRPr="00046999" w:rsidRDefault="00A95413" w:rsidP="001D4BB3">
      <w:pPr>
        <w:pStyle w:val="Kop2"/>
        <w:jc w:val="both"/>
        <w:rPr>
          <w:rFonts w:cs="Calibri"/>
        </w:rPr>
      </w:pPr>
      <w:bookmarkStart w:id="134" w:name="_Toc320365344"/>
      <w:r w:rsidRPr="00046999">
        <w:rPr>
          <w:rFonts w:cs="Calibri"/>
        </w:rPr>
        <w:t>8.2 Descriptives and normal distribution</w:t>
      </w:r>
      <w:bookmarkEnd w:id="134"/>
    </w:p>
    <w:p w:rsidR="00A95413" w:rsidRPr="00046999" w:rsidRDefault="00A95413" w:rsidP="001D4BB3">
      <w:pPr>
        <w:jc w:val="both"/>
        <w:rPr>
          <w:rFonts w:cs="Calibri"/>
          <w:sz w:val="22"/>
          <w:szCs w:val="22"/>
        </w:rPr>
      </w:pPr>
      <w:r w:rsidRPr="00046999">
        <w:rPr>
          <w:rFonts w:cs="Calibri"/>
          <w:sz w:val="22"/>
          <w:szCs w:val="22"/>
        </w:rPr>
        <w:t xml:space="preserve">In </w:t>
      </w:r>
      <w:r>
        <w:rPr>
          <w:rFonts w:cs="Calibri"/>
          <w:sz w:val="22"/>
          <w:szCs w:val="22"/>
        </w:rPr>
        <w:t>table 2 the descriptive statistics of</w:t>
      </w:r>
      <w:r w:rsidRPr="00046999">
        <w:rPr>
          <w:rFonts w:cs="Calibri"/>
          <w:sz w:val="22"/>
          <w:szCs w:val="22"/>
        </w:rPr>
        <w:t xml:space="preserve"> </w:t>
      </w:r>
      <w:r>
        <w:rPr>
          <w:rFonts w:cs="Calibri"/>
          <w:sz w:val="22"/>
          <w:szCs w:val="22"/>
        </w:rPr>
        <w:t>the</w:t>
      </w:r>
      <w:r w:rsidRPr="00046999">
        <w:rPr>
          <w:rFonts w:cs="Calibri"/>
          <w:sz w:val="22"/>
          <w:szCs w:val="22"/>
        </w:rPr>
        <w:t xml:space="preserve"> dependent and independent variables are provided. </w:t>
      </w:r>
      <w:r>
        <w:rPr>
          <w:rFonts w:cs="Calibri"/>
          <w:sz w:val="22"/>
          <w:szCs w:val="22"/>
        </w:rPr>
        <w:t>Thi</w:t>
      </w:r>
      <w:r w:rsidRPr="00046999">
        <w:rPr>
          <w:rFonts w:cs="Calibri"/>
          <w:sz w:val="22"/>
          <w:szCs w:val="22"/>
        </w:rPr>
        <w:t>s</w:t>
      </w:r>
      <w:r>
        <w:rPr>
          <w:rFonts w:cs="Calibri"/>
          <w:sz w:val="22"/>
          <w:szCs w:val="22"/>
        </w:rPr>
        <w:t xml:space="preserve"> table</w:t>
      </w:r>
      <w:r w:rsidRPr="00046999">
        <w:rPr>
          <w:rFonts w:cs="Calibri"/>
          <w:sz w:val="22"/>
          <w:szCs w:val="22"/>
        </w:rPr>
        <w:t xml:space="preserve"> show</w:t>
      </w:r>
      <w:r>
        <w:rPr>
          <w:rFonts w:cs="Calibri"/>
          <w:sz w:val="22"/>
          <w:szCs w:val="22"/>
        </w:rPr>
        <w:t>s</w:t>
      </w:r>
      <w:r w:rsidRPr="00046999">
        <w:rPr>
          <w:rFonts w:cs="Calibri"/>
          <w:sz w:val="22"/>
          <w:szCs w:val="22"/>
        </w:rPr>
        <w:t xml:space="preserve"> that whereas the average percentage for blockholder and managerial ownership are respectively 54,12% and 43,85%, government ownership is only 2,80%. Furthermore the average Dscore</w:t>
      </w:r>
      <w:r>
        <w:rPr>
          <w:rFonts w:cs="Calibri"/>
          <w:sz w:val="22"/>
          <w:szCs w:val="22"/>
        </w:rPr>
        <w:t xml:space="preserve"> (voluntary disclosures score)</w:t>
      </w:r>
      <w:r w:rsidRPr="00046999">
        <w:rPr>
          <w:rFonts w:cs="Calibri"/>
          <w:sz w:val="22"/>
          <w:szCs w:val="22"/>
        </w:rPr>
        <w:t xml:space="preserve"> per company is 17,07. </w:t>
      </w:r>
      <w:r>
        <w:rPr>
          <w:rFonts w:cs="Calibri"/>
          <w:sz w:val="22"/>
          <w:szCs w:val="22"/>
        </w:rPr>
        <w:t xml:space="preserve">This means that on average firms provide 17 of the 30 voluntary information items. As can be noted from the table the standard deviations from managerial ownership, blockholder ownership and leverage are rather high. As the variance is the standard deviation squared this also applies for the variance. A high variance/standard deviation means that the data points are distant from the mean. The Skewness and Kurtosis values can be used to determine normality. Skewness refers to the symmetry of the distribution; data if not normal, can be either left- or right skewed. When the value for skewness is positive it indicates a left-skewed distribution and when the value is negative it indicates a right-skewed distribution (Field, 2005). Kurtosis refers to the pointiness of the distribution. Positive kurtosis values indicate a pointy distribution and a negative value indicates a flat distribution (Field, 2005). As can be observed from the table, the values for skewness and kurtosis show high values for government ownership and size. This means that these variables are probably not normally distributed. In the next step further tests of normality are performed.  </w:t>
      </w:r>
    </w:p>
    <w:p w:rsidR="00A95413" w:rsidRPr="005371D2" w:rsidRDefault="00A95413" w:rsidP="00B26322">
      <w:pPr>
        <w:pStyle w:val="Bijschrift"/>
        <w:keepNext/>
        <w:jc w:val="both"/>
        <w:rPr>
          <w:rFonts w:cs="Calibri"/>
          <w:sz w:val="22"/>
          <w:szCs w:val="22"/>
        </w:rPr>
      </w:pPr>
      <w:r w:rsidRPr="00046999">
        <w:rPr>
          <w:rFonts w:cs="Calibri"/>
          <w:sz w:val="22"/>
          <w:szCs w:val="22"/>
        </w:rPr>
        <w:t xml:space="preserve">Table </w:t>
      </w:r>
      <w:r w:rsidR="00E0784B" w:rsidRPr="00046999">
        <w:rPr>
          <w:rFonts w:cs="Calibri"/>
          <w:sz w:val="22"/>
          <w:szCs w:val="22"/>
        </w:rPr>
        <w:fldChar w:fldCharType="begin"/>
      </w:r>
      <w:r w:rsidRPr="00046999">
        <w:rPr>
          <w:rFonts w:cs="Calibri"/>
          <w:sz w:val="22"/>
          <w:szCs w:val="22"/>
        </w:rPr>
        <w:instrText xml:space="preserve"> SEQ Table \* ARABIC </w:instrText>
      </w:r>
      <w:r w:rsidR="00E0784B" w:rsidRPr="00046999">
        <w:rPr>
          <w:rFonts w:cs="Calibri"/>
          <w:sz w:val="22"/>
          <w:szCs w:val="22"/>
        </w:rPr>
        <w:fldChar w:fldCharType="separate"/>
      </w:r>
      <w:r>
        <w:rPr>
          <w:rFonts w:cs="Calibri"/>
          <w:noProof/>
          <w:sz w:val="22"/>
          <w:szCs w:val="22"/>
        </w:rPr>
        <w:t>2</w:t>
      </w:r>
      <w:r w:rsidR="00E0784B" w:rsidRPr="00046999">
        <w:rPr>
          <w:rFonts w:cs="Calibri"/>
          <w:sz w:val="22"/>
          <w:szCs w:val="22"/>
        </w:rPr>
        <w:fldChar w:fldCharType="end"/>
      </w:r>
      <w:r>
        <w:rPr>
          <w:rFonts w:cs="Calibri"/>
          <w:sz w:val="22"/>
          <w:szCs w:val="22"/>
        </w:rPr>
        <w:t>: Descriptive</w:t>
      </w:r>
      <w:r w:rsidRPr="00046999">
        <w:rPr>
          <w:rFonts w:cs="Calibri"/>
          <w:sz w:val="22"/>
          <w:szCs w:val="22"/>
        </w:rPr>
        <w:t xml:space="preserve"> </w:t>
      </w:r>
      <w:r>
        <w:rPr>
          <w:rFonts w:cs="Calibri"/>
          <w:sz w:val="22"/>
          <w:szCs w:val="22"/>
        </w:rPr>
        <w:t>Statistics</w:t>
      </w:r>
    </w:p>
    <w:tbl>
      <w:tblPr>
        <w:tblStyle w:val="Lichtearcering-accent11"/>
        <w:tblW w:w="9983" w:type="dxa"/>
        <w:jc w:val="center"/>
        <w:tblLook w:val="04A0"/>
      </w:tblPr>
      <w:tblGrid>
        <w:gridCol w:w="1204"/>
        <w:gridCol w:w="1306"/>
        <w:gridCol w:w="1359"/>
        <w:gridCol w:w="1422"/>
        <w:gridCol w:w="1387"/>
        <w:gridCol w:w="1164"/>
        <w:gridCol w:w="1299"/>
        <w:gridCol w:w="842"/>
      </w:tblGrid>
      <w:tr w:rsidR="004B11AC" w:rsidRPr="004B11AC" w:rsidTr="00C50742">
        <w:trPr>
          <w:cnfStyle w:val="100000000000"/>
          <w:trHeight w:val="796"/>
          <w:jc w:val="center"/>
        </w:trPr>
        <w:tc>
          <w:tcPr>
            <w:cnfStyle w:val="001000000000"/>
            <w:tcW w:w="0" w:type="auto"/>
          </w:tcPr>
          <w:p w:rsidR="00187879" w:rsidRPr="00187879" w:rsidRDefault="00187879" w:rsidP="00187879">
            <w:pPr>
              <w:spacing w:before="0" w:after="0" w:line="240" w:lineRule="auto"/>
              <w:rPr>
                <w:rFonts w:asciiTheme="minorHAnsi" w:hAnsiTheme="minorHAnsi" w:cstheme="minorHAnsi"/>
                <w:sz w:val="22"/>
                <w:szCs w:val="22"/>
              </w:rPr>
            </w:pPr>
          </w:p>
        </w:tc>
        <w:tc>
          <w:tcPr>
            <w:tcW w:w="0" w:type="auto"/>
          </w:tcPr>
          <w:p w:rsidR="00187879" w:rsidRPr="00187879" w:rsidRDefault="00187879" w:rsidP="00187879">
            <w:pPr>
              <w:spacing w:before="0" w:after="0" w:line="240" w:lineRule="auto"/>
              <w:cnfStyle w:val="100000000000"/>
              <w:rPr>
                <w:rFonts w:asciiTheme="minorHAnsi" w:hAnsiTheme="minorHAnsi" w:cstheme="minorHAnsi"/>
                <w:sz w:val="22"/>
                <w:szCs w:val="22"/>
              </w:rPr>
            </w:pPr>
            <w:r w:rsidRPr="00187879">
              <w:rPr>
                <w:rFonts w:asciiTheme="minorHAnsi" w:hAnsiTheme="minorHAnsi" w:cstheme="minorHAnsi"/>
                <w:sz w:val="22"/>
                <w:szCs w:val="22"/>
              </w:rPr>
              <w:t>Managerial ownership</w:t>
            </w:r>
          </w:p>
        </w:tc>
        <w:tc>
          <w:tcPr>
            <w:tcW w:w="0" w:type="auto"/>
          </w:tcPr>
          <w:p w:rsidR="00187879" w:rsidRPr="00187879" w:rsidRDefault="00187879" w:rsidP="00187879">
            <w:pPr>
              <w:spacing w:before="0" w:after="0" w:line="240" w:lineRule="auto"/>
              <w:cnfStyle w:val="100000000000"/>
              <w:rPr>
                <w:rFonts w:asciiTheme="minorHAnsi" w:hAnsiTheme="minorHAnsi" w:cstheme="minorHAnsi"/>
                <w:sz w:val="22"/>
                <w:szCs w:val="22"/>
              </w:rPr>
            </w:pPr>
            <w:r w:rsidRPr="00187879">
              <w:rPr>
                <w:rFonts w:asciiTheme="minorHAnsi" w:hAnsiTheme="minorHAnsi" w:cstheme="minorHAnsi"/>
                <w:sz w:val="22"/>
                <w:szCs w:val="22"/>
              </w:rPr>
              <w:t>Blockholder ownership</w:t>
            </w:r>
          </w:p>
        </w:tc>
        <w:tc>
          <w:tcPr>
            <w:tcW w:w="0" w:type="auto"/>
          </w:tcPr>
          <w:p w:rsidR="00187879" w:rsidRPr="00187879" w:rsidRDefault="00187879" w:rsidP="00187879">
            <w:pPr>
              <w:spacing w:before="0" w:after="0" w:line="240" w:lineRule="auto"/>
              <w:cnfStyle w:val="100000000000"/>
              <w:rPr>
                <w:rFonts w:asciiTheme="minorHAnsi" w:hAnsiTheme="minorHAnsi" w:cstheme="minorHAnsi"/>
                <w:sz w:val="22"/>
                <w:szCs w:val="22"/>
              </w:rPr>
            </w:pPr>
            <w:r w:rsidRPr="00187879">
              <w:rPr>
                <w:rFonts w:asciiTheme="minorHAnsi" w:hAnsiTheme="minorHAnsi" w:cstheme="minorHAnsi"/>
                <w:sz w:val="22"/>
                <w:szCs w:val="22"/>
              </w:rPr>
              <w:t>Government ownership</w:t>
            </w:r>
          </w:p>
        </w:tc>
        <w:tc>
          <w:tcPr>
            <w:tcW w:w="0" w:type="auto"/>
          </w:tcPr>
          <w:p w:rsidR="00187879" w:rsidRPr="00187879" w:rsidRDefault="00187879" w:rsidP="00187879">
            <w:pPr>
              <w:spacing w:before="0" w:after="0" w:line="240" w:lineRule="auto"/>
              <w:cnfStyle w:val="100000000000"/>
              <w:rPr>
                <w:rFonts w:asciiTheme="minorHAnsi" w:hAnsiTheme="minorHAnsi" w:cstheme="minorHAnsi"/>
                <w:sz w:val="22"/>
                <w:szCs w:val="22"/>
              </w:rPr>
            </w:pPr>
            <w:r w:rsidRPr="00187879">
              <w:rPr>
                <w:rFonts w:asciiTheme="minorHAnsi" w:hAnsiTheme="minorHAnsi" w:cstheme="minorHAnsi"/>
                <w:sz w:val="22"/>
                <w:szCs w:val="22"/>
              </w:rPr>
              <w:t>Size</w:t>
            </w:r>
          </w:p>
        </w:tc>
        <w:tc>
          <w:tcPr>
            <w:tcW w:w="0" w:type="auto"/>
          </w:tcPr>
          <w:p w:rsidR="00187879" w:rsidRPr="00187879" w:rsidRDefault="00187879" w:rsidP="00187879">
            <w:pPr>
              <w:spacing w:before="0" w:after="0" w:line="240" w:lineRule="auto"/>
              <w:cnfStyle w:val="100000000000"/>
              <w:rPr>
                <w:rFonts w:asciiTheme="minorHAnsi" w:hAnsiTheme="minorHAnsi" w:cstheme="minorHAnsi"/>
                <w:sz w:val="22"/>
                <w:szCs w:val="22"/>
              </w:rPr>
            </w:pPr>
            <w:r w:rsidRPr="00187879">
              <w:rPr>
                <w:rFonts w:asciiTheme="minorHAnsi" w:hAnsiTheme="minorHAnsi" w:cstheme="minorHAnsi"/>
                <w:sz w:val="22"/>
                <w:szCs w:val="22"/>
              </w:rPr>
              <w:t>Leverage</w:t>
            </w:r>
          </w:p>
        </w:tc>
        <w:tc>
          <w:tcPr>
            <w:tcW w:w="0" w:type="auto"/>
          </w:tcPr>
          <w:p w:rsidR="00187879" w:rsidRPr="00187879" w:rsidRDefault="00187879" w:rsidP="00187879">
            <w:pPr>
              <w:spacing w:before="0" w:after="0" w:line="240" w:lineRule="auto"/>
              <w:cnfStyle w:val="100000000000"/>
              <w:rPr>
                <w:rFonts w:asciiTheme="minorHAnsi" w:hAnsiTheme="minorHAnsi" w:cstheme="minorHAnsi"/>
                <w:sz w:val="22"/>
                <w:szCs w:val="22"/>
              </w:rPr>
            </w:pPr>
            <w:r w:rsidRPr="00187879">
              <w:rPr>
                <w:rFonts w:asciiTheme="minorHAnsi" w:hAnsiTheme="minorHAnsi" w:cstheme="minorHAnsi"/>
                <w:sz w:val="22"/>
                <w:szCs w:val="22"/>
              </w:rPr>
              <w:t>Profitability</w:t>
            </w:r>
          </w:p>
        </w:tc>
        <w:tc>
          <w:tcPr>
            <w:tcW w:w="0" w:type="auto"/>
          </w:tcPr>
          <w:p w:rsidR="00187879" w:rsidRPr="00187879" w:rsidRDefault="00187879" w:rsidP="00187879">
            <w:pPr>
              <w:spacing w:before="0" w:after="0" w:line="240" w:lineRule="auto"/>
              <w:cnfStyle w:val="100000000000"/>
              <w:rPr>
                <w:rFonts w:asciiTheme="minorHAnsi" w:hAnsiTheme="minorHAnsi" w:cstheme="minorHAnsi"/>
                <w:sz w:val="22"/>
                <w:szCs w:val="22"/>
              </w:rPr>
            </w:pPr>
            <w:r w:rsidRPr="00187879">
              <w:rPr>
                <w:rFonts w:asciiTheme="minorHAnsi" w:hAnsiTheme="minorHAnsi" w:cstheme="minorHAnsi"/>
                <w:sz w:val="22"/>
                <w:szCs w:val="22"/>
              </w:rPr>
              <w:t>Dscore</w:t>
            </w:r>
          </w:p>
        </w:tc>
      </w:tr>
      <w:tr w:rsidR="00187879" w:rsidRPr="001827F3" w:rsidTr="00C50742">
        <w:trPr>
          <w:cnfStyle w:val="000000100000"/>
          <w:trHeight w:val="315"/>
          <w:jc w:val="center"/>
        </w:trPr>
        <w:tc>
          <w:tcPr>
            <w:cnfStyle w:val="001000000000"/>
            <w:tcW w:w="0" w:type="auto"/>
          </w:tcPr>
          <w:p w:rsidR="00187879" w:rsidRPr="00187879" w:rsidRDefault="00187879" w:rsidP="00187879">
            <w:pPr>
              <w:spacing w:before="0" w:after="0" w:line="240" w:lineRule="auto"/>
              <w:rPr>
                <w:rFonts w:asciiTheme="minorHAnsi" w:hAnsiTheme="minorHAnsi" w:cstheme="minorHAnsi"/>
                <w:sz w:val="22"/>
                <w:szCs w:val="22"/>
              </w:rPr>
            </w:pPr>
            <w:r w:rsidRPr="00187879">
              <w:rPr>
                <w:rFonts w:asciiTheme="minorHAnsi" w:hAnsiTheme="minorHAnsi" w:cstheme="minorHAnsi"/>
                <w:sz w:val="22"/>
                <w:szCs w:val="22"/>
              </w:rPr>
              <w:t>Mean</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43.8513</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54.12</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2.8043</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7025.66560</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23.84864</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5.82330</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17.07</w:t>
            </w:r>
          </w:p>
        </w:tc>
      </w:tr>
      <w:tr w:rsidR="004B11AC" w:rsidRPr="001827F3" w:rsidTr="00C50742">
        <w:trPr>
          <w:trHeight w:val="631"/>
          <w:jc w:val="center"/>
        </w:trPr>
        <w:tc>
          <w:tcPr>
            <w:cnfStyle w:val="001000000000"/>
            <w:tcW w:w="0" w:type="auto"/>
          </w:tcPr>
          <w:p w:rsidR="00187879" w:rsidRPr="00187879" w:rsidRDefault="00187879" w:rsidP="00187879">
            <w:pPr>
              <w:spacing w:before="0" w:after="0" w:line="240" w:lineRule="auto"/>
              <w:rPr>
                <w:rFonts w:asciiTheme="minorHAnsi" w:hAnsiTheme="minorHAnsi" w:cstheme="minorHAnsi"/>
                <w:sz w:val="22"/>
                <w:szCs w:val="22"/>
              </w:rPr>
            </w:pPr>
            <w:r w:rsidRPr="00187879">
              <w:rPr>
                <w:rFonts w:asciiTheme="minorHAnsi" w:hAnsiTheme="minorHAnsi" w:cstheme="minorHAnsi"/>
                <w:sz w:val="22"/>
                <w:szCs w:val="22"/>
              </w:rPr>
              <w:lastRenderedPageBreak/>
              <w:t>Std. Error of Mean</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2.56442</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2.280</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.76114</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1783.549933</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1.625755</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.646321</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.501</w:t>
            </w:r>
          </w:p>
        </w:tc>
      </w:tr>
      <w:tr w:rsidR="00187879" w:rsidRPr="001827F3" w:rsidTr="00C50742">
        <w:trPr>
          <w:cnfStyle w:val="000000100000"/>
          <w:trHeight w:val="315"/>
          <w:jc w:val="center"/>
        </w:trPr>
        <w:tc>
          <w:tcPr>
            <w:cnfStyle w:val="001000000000"/>
            <w:tcW w:w="0" w:type="auto"/>
          </w:tcPr>
          <w:p w:rsidR="00187879" w:rsidRPr="00187879" w:rsidRDefault="00187879" w:rsidP="00187879">
            <w:pPr>
              <w:spacing w:before="0" w:after="0" w:line="240" w:lineRule="auto"/>
              <w:rPr>
                <w:rFonts w:asciiTheme="minorHAnsi" w:hAnsiTheme="minorHAnsi" w:cstheme="minorHAnsi"/>
                <w:sz w:val="22"/>
                <w:szCs w:val="22"/>
              </w:rPr>
            </w:pPr>
            <w:r w:rsidRPr="00187879">
              <w:rPr>
                <w:rFonts w:asciiTheme="minorHAnsi" w:hAnsiTheme="minorHAnsi" w:cstheme="minorHAnsi"/>
                <w:sz w:val="22"/>
                <w:szCs w:val="22"/>
              </w:rPr>
              <w:t>Median</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49.3116</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54.93</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.9150</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911.83650</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22.74282</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4.73338</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17.50</w:t>
            </w:r>
          </w:p>
        </w:tc>
      </w:tr>
      <w:tr w:rsidR="004B11AC" w:rsidRPr="001827F3" w:rsidTr="00C50742">
        <w:trPr>
          <w:trHeight w:val="315"/>
          <w:jc w:val="center"/>
        </w:trPr>
        <w:tc>
          <w:tcPr>
            <w:cnfStyle w:val="001000000000"/>
            <w:tcW w:w="0" w:type="auto"/>
          </w:tcPr>
          <w:p w:rsidR="00187879" w:rsidRPr="00187879" w:rsidRDefault="00187879" w:rsidP="00187879">
            <w:pPr>
              <w:spacing w:before="0" w:after="0" w:line="240" w:lineRule="auto"/>
              <w:rPr>
                <w:rFonts w:asciiTheme="minorHAnsi" w:hAnsiTheme="minorHAnsi" w:cstheme="minorHAnsi"/>
                <w:sz w:val="22"/>
                <w:szCs w:val="22"/>
              </w:rPr>
            </w:pPr>
            <w:r w:rsidRPr="00187879">
              <w:rPr>
                <w:rFonts w:asciiTheme="minorHAnsi" w:hAnsiTheme="minorHAnsi" w:cstheme="minorHAnsi"/>
                <w:sz w:val="22"/>
                <w:szCs w:val="22"/>
              </w:rPr>
              <w:t>Mode</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.83</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0a</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.00</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15.592a</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.000a</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-20.965a</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19</w:t>
            </w:r>
          </w:p>
        </w:tc>
      </w:tr>
      <w:tr w:rsidR="00187879" w:rsidRPr="001827F3" w:rsidTr="00C50742">
        <w:trPr>
          <w:cnfStyle w:val="000000100000"/>
          <w:trHeight w:val="648"/>
          <w:jc w:val="center"/>
        </w:trPr>
        <w:tc>
          <w:tcPr>
            <w:cnfStyle w:val="001000000000"/>
            <w:tcW w:w="0" w:type="auto"/>
          </w:tcPr>
          <w:p w:rsidR="00187879" w:rsidRPr="00187879" w:rsidRDefault="00187879" w:rsidP="00187879">
            <w:pPr>
              <w:spacing w:before="0" w:after="0" w:line="240" w:lineRule="auto"/>
              <w:rPr>
                <w:rFonts w:asciiTheme="minorHAnsi" w:hAnsiTheme="minorHAnsi" w:cstheme="minorHAnsi"/>
                <w:sz w:val="22"/>
                <w:szCs w:val="22"/>
              </w:rPr>
            </w:pPr>
            <w:r w:rsidRPr="00187879">
              <w:rPr>
                <w:rFonts w:asciiTheme="minorHAnsi" w:hAnsiTheme="minorHAnsi" w:cstheme="minorHAnsi"/>
                <w:sz w:val="22"/>
                <w:szCs w:val="22"/>
              </w:rPr>
              <w:t>Std. Deviation</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25.64418</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22.795</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7.61140</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1.783550E4</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16.257551</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6.463210</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5.010</w:t>
            </w:r>
          </w:p>
        </w:tc>
      </w:tr>
      <w:tr w:rsidR="004B11AC" w:rsidRPr="001827F3" w:rsidTr="00C50742">
        <w:trPr>
          <w:trHeight w:val="631"/>
          <w:jc w:val="center"/>
        </w:trPr>
        <w:tc>
          <w:tcPr>
            <w:cnfStyle w:val="001000000000"/>
            <w:tcW w:w="0" w:type="auto"/>
          </w:tcPr>
          <w:p w:rsidR="00187879" w:rsidRPr="00187879" w:rsidRDefault="00187879" w:rsidP="00187879">
            <w:pPr>
              <w:spacing w:before="0" w:after="0" w:line="240" w:lineRule="auto"/>
              <w:rPr>
                <w:rFonts w:asciiTheme="minorHAnsi" w:hAnsiTheme="minorHAnsi" w:cstheme="minorHAnsi"/>
                <w:sz w:val="22"/>
                <w:szCs w:val="22"/>
              </w:rPr>
            </w:pPr>
            <w:r w:rsidRPr="00187879">
              <w:rPr>
                <w:rFonts w:asciiTheme="minorHAnsi" w:hAnsiTheme="minorHAnsi" w:cstheme="minorHAnsi"/>
                <w:sz w:val="22"/>
                <w:szCs w:val="22"/>
              </w:rPr>
              <w:t>Variance</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657.624</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519.625</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57.933</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3.181E8</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264.308</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41.773</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25.096</w:t>
            </w:r>
          </w:p>
        </w:tc>
      </w:tr>
      <w:tr w:rsidR="00187879" w:rsidRPr="001827F3" w:rsidTr="00C50742">
        <w:trPr>
          <w:cnfStyle w:val="000000100000"/>
          <w:trHeight w:val="532"/>
          <w:jc w:val="center"/>
        </w:trPr>
        <w:tc>
          <w:tcPr>
            <w:cnfStyle w:val="001000000000"/>
            <w:tcW w:w="0" w:type="auto"/>
          </w:tcPr>
          <w:p w:rsidR="00187879" w:rsidRPr="00187879" w:rsidRDefault="00187879" w:rsidP="00187879">
            <w:pPr>
              <w:spacing w:before="0" w:after="0" w:line="240" w:lineRule="auto"/>
              <w:rPr>
                <w:rFonts w:asciiTheme="minorHAnsi" w:hAnsiTheme="minorHAnsi" w:cstheme="minorHAnsi"/>
                <w:sz w:val="22"/>
                <w:szCs w:val="22"/>
              </w:rPr>
            </w:pPr>
            <w:r w:rsidRPr="00187879">
              <w:rPr>
                <w:rFonts w:asciiTheme="minorHAnsi" w:hAnsiTheme="minorHAnsi" w:cstheme="minorHAnsi"/>
                <w:sz w:val="22"/>
                <w:szCs w:val="22"/>
              </w:rPr>
              <w:t>Skewness</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-.058</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-.076</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5.443</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4.248</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.605</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.348</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-.463</w:t>
            </w:r>
          </w:p>
        </w:tc>
      </w:tr>
      <w:tr w:rsidR="004B11AC" w:rsidRPr="001827F3" w:rsidTr="00C50742">
        <w:trPr>
          <w:trHeight w:val="1079"/>
          <w:jc w:val="center"/>
        </w:trPr>
        <w:tc>
          <w:tcPr>
            <w:cnfStyle w:val="001000000000"/>
            <w:tcW w:w="0" w:type="auto"/>
          </w:tcPr>
          <w:p w:rsidR="00187879" w:rsidRPr="00187879" w:rsidRDefault="00187879" w:rsidP="00187879">
            <w:pPr>
              <w:spacing w:before="0" w:after="0" w:line="240" w:lineRule="auto"/>
              <w:rPr>
                <w:rFonts w:asciiTheme="minorHAnsi" w:hAnsiTheme="minorHAnsi" w:cstheme="minorHAnsi"/>
                <w:sz w:val="22"/>
                <w:szCs w:val="22"/>
              </w:rPr>
            </w:pPr>
            <w:r w:rsidRPr="00187879">
              <w:rPr>
                <w:rFonts w:asciiTheme="minorHAnsi" w:hAnsiTheme="minorHAnsi" w:cstheme="minorHAnsi"/>
                <w:sz w:val="22"/>
                <w:szCs w:val="22"/>
              </w:rPr>
              <w:t>Std. Error of Skewness</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.241</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.241</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.241</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.241</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.241</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.241</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.241</w:t>
            </w:r>
          </w:p>
        </w:tc>
      </w:tr>
      <w:tr w:rsidR="00187879" w:rsidRPr="001827F3" w:rsidTr="00C50742">
        <w:trPr>
          <w:cnfStyle w:val="000000100000"/>
          <w:trHeight w:val="315"/>
          <w:jc w:val="center"/>
        </w:trPr>
        <w:tc>
          <w:tcPr>
            <w:cnfStyle w:val="001000000000"/>
            <w:tcW w:w="0" w:type="auto"/>
          </w:tcPr>
          <w:p w:rsidR="00187879" w:rsidRPr="00187879" w:rsidRDefault="00187879" w:rsidP="00187879">
            <w:pPr>
              <w:spacing w:before="0" w:after="0" w:line="240" w:lineRule="auto"/>
              <w:rPr>
                <w:rFonts w:asciiTheme="minorHAnsi" w:hAnsiTheme="minorHAnsi" w:cstheme="minorHAnsi"/>
                <w:sz w:val="22"/>
                <w:szCs w:val="22"/>
              </w:rPr>
            </w:pPr>
            <w:r w:rsidRPr="00187879">
              <w:rPr>
                <w:rFonts w:asciiTheme="minorHAnsi" w:hAnsiTheme="minorHAnsi" w:cstheme="minorHAnsi"/>
                <w:sz w:val="22"/>
                <w:szCs w:val="22"/>
              </w:rPr>
              <w:t>Kurtosis</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-.688</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-.359</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33.356</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18.876</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.378</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4.028</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-.143</w:t>
            </w:r>
          </w:p>
        </w:tc>
      </w:tr>
      <w:tr w:rsidR="004B11AC" w:rsidRPr="001827F3" w:rsidTr="00C50742">
        <w:trPr>
          <w:trHeight w:val="796"/>
          <w:jc w:val="center"/>
        </w:trPr>
        <w:tc>
          <w:tcPr>
            <w:cnfStyle w:val="001000000000"/>
            <w:tcW w:w="0" w:type="auto"/>
          </w:tcPr>
          <w:p w:rsidR="00187879" w:rsidRPr="00187879" w:rsidRDefault="00187879" w:rsidP="00187879">
            <w:pPr>
              <w:spacing w:before="0" w:after="0" w:line="240" w:lineRule="auto"/>
              <w:rPr>
                <w:rFonts w:asciiTheme="minorHAnsi" w:hAnsiTheme="minorHAnsi" w:cstheme="minorHAnsi"/>
                <w:sz w:val="22"/>
                <w:szCs w:val="22"/>
              </w:rPr>
            </w:pPr>
            <w:r w:rsidRPr="00187879">
              <w:rPr>
                <w:rFonts w:asciiTheme="minorHAnsi" w:hAnsiTheme="minorHAnsi" w:cstheme="minorHAnsi"/>
                <w:sz w:val="22"/>
                <w:szCs w:val="22"/>
              </w:rPr>
              <w:t>Std. Error of Kurtosis</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.478</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.478</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.478</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.478</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.478</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.478</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.478</w:t>
            </w:r>
          </w:p>
        </w:tc>
      </w:tr>
      <w:tr w:rsidR="00187879" w:rsidRPr="001827F3" w:rsidTr="00C50742">
        <w:trPr>
          <w:cnfStyle w:val="000000100000"/>
          <w:trHeight w:val="332"/>
          <w:jc w:val="center"/>
        </w:trPr>
        <w:tc>
          <w:tcPr>
            <w:cnfStyle w:val="001000000000"/>
            <w:tcW w:w="0" w:type="auto"/>
          </w:tcPr>
          <w:p w:rsidR="00187879" w:rsidRPr="00187879" w:rsidRDefault="00187879" w:rsidP="00187879">
            <w:pPr>
              <w:spacing w:before="0" w:after="0" w:line="240" w:lineRule="auto"/>
              <w:rPr>
                <w:rFonts w:asciiTheme="minorHAnsi" w:hAnsiTheme="minorHAnsi" w:cstheme="minorHAnsi"/>
                <w:sz w:val="22"/>
                <w:szCs w:val="22"/>
              </w:rPr>
            </w:pPr>
            <w:r w:rsidRPr="00187879">
              <w:rPr>
                <w:rFonts w:asciiTheme="minorHAnsi" w:hAnsiTheme="minorHAnsi" w:cstheme="minorHAnsi"/>
                <w:sz w:val="22"/>
                <w:szCs w:val="22"/>
              </w:rPr>
              <w:t>Range</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98.59</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100</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58.18</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104445.408</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78.352</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46.848</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24</w:t>
            </w:r>
          </w:p>
        </w:tc>
      </w:tr>
      <w:tr w:rsidR="004B11AC" w:rsidRPr="001827F3" w:rsidTr="00C50742">
        <w:trPr>
          <w:trHeight w:val="532"/>
          <w:jc w:val="center"/>
        </w:trPr>
        <w:tc>
          <w:tcPr>
            <w:cnfStyle w:val="001000000000"/>
            <w:tcW w:w="0" w:type="auto"/>
          </w:tcPr>
          <w:p w:rsidR="00187879" w:rsidRPr="00187879" w:rsidRDefault="00187879" w:rsidP="00187879">
            <w:pPr>
              <w:spacing w:before="0" w:after="0" w:line="240" w:lineRule="auto"/>
              <w:rPr>
                <w:rFonts w:asciiTheme="minorHAnsi" w:hAnsiTheme="minorHAnsi" w:cstheme="minorHAnsi"/>
                <w:sz w:val="22"/>
                <w:szCs w:val="22"/>
              </w:rPr>
            </w:pPr>
            <w:r w:rsidRPr="00187879">
              <w:rPr>
                <w:rFonts w:asciiTheme="minorHAnsi" w:hAnsiTheme="minorHAnsi" w:cstheme="minorHAnsi"/>
                <w:sz w:val="22"/>
                <w:szCs w:val="22"/>
              </w:rPr>
              <w:t>Minimum</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.01</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0</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.00</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15.592</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.000</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-20.965</w:t>
            </w:r>
          </w:p>
        </w:tc>
        <w:tc>
          <w:tcPr>
            <w:tcW w:w="0" w:type="auto"/>
          </w:tcPr>
          <w:p w:rsidR="00187879" w:rsidRPr="00187879" w:rsidRDefault="00187879" w:rsidP="001827F3">
            <w:pPr>
              <w:spacing w:before="0" w:after="0" w:line="240" w:lineRule="auto"/>
              <w:cnfStyle w:val="000000000000"/>
              <w:rPr>
                <w:rFonts w:asciiTheme="minorHAnsi" w:hAnsiTheme="minorHAnsi" w:cstheme="minorHAnsi"/>
                <w:sz w:val="22"/>
                <w:szCs w:val="22"/>
              </w:rPr>
            </w:pPr>
            <w:r w:rsidRPr="00187879">
              <w:rPr>
                <w:rFonts w:asciiTheme="minorHAnsi" w:hAnsiTheme="minorHAnsi" w:cstheme="minorHAnsi"/>
                <w:sz w:val="22"/>
                <w:szCs w:val="22"/>
              </w:rPr>
              <w:t>2</w:t>
            </w:r>
          </w:p>
        </w:tc>
      </w:tr>
      <w:tr w:rsidR="00187879" w:rsidRPr="001827F3" w:rsidTr="00C50742">
        <w:trPr>
          <w:cnfStyle w:val="000000100000"/>
          <w:trHeight w:val="548"/>
          <w:jc w:val="center"/>
        </w:trPr>
        <w:tc>
          <w:tcPr>
            <w:cnfStyle w:val="001000000000"/>
            <w:tcW w:w="0" w:type="auto"/>
          </w:tcPr>
          <w:p w:rsidR="00187879" w:rsidRPr="00187879" w:rsidRDefault="00187879" w:rsidP="00187879">
            <w:pPr>
              <w:spacing w:before="0" w:after="0" w:line="240" w:lineRule="auto"/>
              <w:rPr>
                <w:rFonts w:asciiTheme="minorHAnsi" w:hAnsiTheme="minorHAnsi" w:cstheme="minorHAnsi"/>
                <w:sz w:val="22"/>
                <w:szCs w:val="22"/>
              </w:rPr>
            </w:pPr>
            <w:r w:rsidRPr="00187879">
              <w:rPr>
                <w:rFonts w:asciiTheme="minorHAnsi" w:hAnsiTheme="minorHAnsi" w:cstheme="minorHAnsi"/>
                <w:sz w:val="22"/>
                <w:szCs w:val="22"/>
              </w:rPr>
              <w:t>Maximum</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98.60</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100</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58.18</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104461.000</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78.352</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25.883</w:t>
            </w:r>
          </w:p>
        </w:tc>
        <w:tc>
          <w:tcPr>
            <w:tcW w:w="0" w:type="auto"/>
          </w:tcPr>
          <w:p w:rsidR="00187879" w:rsidRPr="00187879" w:rsidRDefault="00187879" w:rsidP="001827F3">
            <w:pPr>
              <w:spacing w:before="0" w:after="0" w:line="240" w:lineRule="auto"/>
              <w:cnfStyle w:val="000000100000"/>
              <w:rPr>
                <w:rFonts w:asciiTheme="minorHAnsi" w:hAnsiTheme="minorHAnsi" w:cstheme="minorHAnsi"/>
                <w:sz w:val="22"/>
                <w:szCs w:val="22"/>
              </w:rPr>
            </w:pPr>
            <w:r w:rsidRPr="00187879">
              <w:rPr>
                <w:rFonts w:asciiTheme="minorHAnsi" w:hAnsiTheme="minorHAnsi" w:cstheme="minorHAnsi"/>
                <w:sz w:val="22"/>
                <w:szCs w:val="22"/>
              </w:rPr>
              <w:t>26</w:t>
            </w:r>
          </w:p>
        </w:tc>
      </w:tr>
    </w:tbl>
    <w:p w:rsidR="005E1738" w:rsidRPr="00E76439" w:rsidRDefault="00A95413" w:rsidP="001D4BB3">
      <w:pPr>
        <w:jc w:val="both"/>
        <w:rPr>
          <w:rFonts w:cs="Calibri"/>
          <w:sz w:val="22"/>
          <w:szCs w:val="22"/>
        </w:rPr>
      </w:pPr>
      <w:r w:rsidRPr="00046999">
        <w:rPr>
          <w:rFonts w:cs="Calibri"/>
          <w:sz w:val="22"/>
          <w:szCs w:val="22"/>
        </w:rPr>
        <w:t>After the descriptive statistics it is important to see if the variables are normally distributed or not.</w:t>
      </w:r>
      <w:r>
        <w:rPr>
          <w:rFonts w:cs="Calibri"/>
          <w:sz w:val="22"/>
          <w:szCs w:val="22"/>
        </w:rPr>
        <w:t xml:space="preserve"> The skewness and kurtosis values already provided some useful information; here further tests are performed to determine normality. To see how the variables are distributed histograms and Q-Q plots are created (appendix IV).</w:t>
      </w:r>
      <w:r w:rsidRPr="00046999">
        <w:rPr>
          <w:rFonts w:cs="Calibri"/>
          <w:sz w:val="22"/>
          <w:szCs w:val="22"/>
        </w:rPr>
        <w:t xml:space="preserve"> </w:t>
      </w:r>
      <w:r>
        <w:rPr>
          <w:rFonts w:cs="Calibri"/>
          <w:sz w:val="22"/>
          <w:szCs w:val="22"/>
        </w:rPr>
        <w:t>By analyzing these i</w:t>
      </w:r>
      <w:r w:rsidRPr="00046999">
        <w:rPr>
          <w:rFonts w:cs="Calibri"/>
          <w:sz w:val="22"/>
          <w:szCs w:val="22"/>
        </w:rPr>
        <w:t>t shows that blockholder</w:t>
      </w:r>
      <w:r>
        <w:rPr>
          <w:rFonts w:cs="Calibri"/>
          <w:sz w:val="22"/>
          <w:szCs w:val="22"/>
        </w:rPr>
        <w:t xml:space="preserve"> ownership</w:t>
      </w:r>
      <w:r w:rsidRPr="00046999">
        <w:rPr>
          <w:rFonts w:cs="Calibri"/>
          <w:sz w:val="22"/>
          <w:szCs w:val="22"/>
        </w:rPr>
        <w:t>, managerial</w:t>
      </w:r>
      <w:r>
        <w:rPr>
          <w:rFonts w:cs="Calibri"/>
          <w:sz w:val="22"/>
          <w:szCs w:val="22"/>
        </w:rPr>
        <w:t xml:space="preserve"> ownership, profitability</w:t>
      </w:r>
      <w:r w:rsidRPr="00046999">
        <w:rPr>
          <w:rFonts w:cs="Calibri"/>
          <w:sz w:val="22"/>
          <w:szCs w:val="22"/>
        </w:rPr>
        <w:t xml:space="preserve"> and Dscore </w:t>
      </w:r>
      <w:r>
        <w:rPr>
          <w:rFonts w:cs="Calibri"/>
          <w:sz w:val="22"/>
          <w:szCs w:val="22"/>
        </w:rPr>
        <w:t>appear</w:t>
      </w:r>
      <w:r w:rsidRPr="00046999">
        <w:rPr>
          <w:rFonts w:cs="Calibri"/>
          <w:sz w:val="22"/>
          <w:szCs w:val="22"/>
        </w:rPr>
        <w:t xml:space="preserve"> to be </w:t>
      </w:r>
      <w:r>
        <w:rPr>
          <w:rFonts w:cs="Calibri"/>
          <w:sz w:val="22"/>
          <w:szCs w:val="22"/>
        </w:rPr>
        <w:t>normally distributed but g</w:t>
      </w:r>
      <w:r w:rsidRPr="00046999">
        <w:rPr>
          <w:rFonts w:cs="Calibri"/>
          <w:sz w:val="22"/>
          <w:szCs w:val="22"/>
        </w:rPr>
        <w:t>overnment</w:t>
      </w:r>
      <w:r>
        <w:rPr>
          <w:rFonts w:cs="Calibri"/>
          <w:sz w:val="22"/>
          <w:szCs w:val="22"/>
        </w:rPr>
        <w:t xml:space="preserve"> ownership</w:t>
      </w:r>
      <w:r w:rsidRPr="00046999">
        <w:rPr>
          <w:rFonts w:cs="Calibri"/>
          <w:sz w:val="22"/>
          <w:szCs w:val="22"/>
        </w:rPr>
        <w:t xml:space="preserve">, </w:t>
      </w:r>
      <w:r>
        <w:rPr>
          <w:rFonts w:cs="Calibri"/>
          <w:sz w:val="22"/>
          <w:szCs w:val="22"/>
        </w:rPr>
        <w:t xml:space="preserve">size and leverage not. </w:t>
      </w:r>
      <w:r w:rsidRPr="00046999">
        <w:rPr>
          <w:rFonts w:cs="Calibri"/>
          <w:sz w:val="22"/>
          <w:szCs w:val="22"/>
        </w:rPr>
        <w:t xml:space="preserve">Subsequently, </w:t>
      </w:r>
      <w:r>
        <w:rPr>
          <w:rFonts w:cs="Calibri"/>
          <w:sz w:val="22"/>
          <w:szCs w:val="22"/>
        </w:rPr>
        <w:t xml:space="preserve">all variables were also transformed by using a logarithm, </w:t>
      </w:r>
      <w:r w:rsidRPr="00046999">
        <w:rPr>
          <w:rFonts w:cs="Calibri"/>
          <w:sz w:val="22"/>
          <w:szCs w:val="22"/>
        </w:rPr>
        <w:t>square root</w:t>
      </w:r>
      <w:r>
        <w:rPr>
          <w:rFonts w:cs="Calibri"/>
          <w:sz w:val="22"/>
          <w:szCs w:val="22"/>
        </w:rPr>
        <w:t xml:space="preserve"> and reciprocal transformation</w:t>
      </w:r>
      <w:r w:rsidRPr="00046999">
        <w:rPr>
          <w:rFonts w:cs="Calibri"/>
          <w:sz w:val="22"/>
          <w:szCs w:val="22"/>
        </w:rPr>
        <w:t xml:space="preserve"> </w:t>
      </w:r>
      <w:r>
        <w:rPr>
          <w:rFonts w:cs="Calibri"/>
          <w:sz w:val="22"/>
          <w:szCs w:val="22"/>
        </w:rPr>
        <w:t>to see which form allowed for the most normal distribution</w:t>
      </w:r>
      <w:r w:rsidRPr="00046999">
        <w:rPr>
          <w:rFonts w:cs="Calibri"/>
          <w:sz w:val="22"/>
          <w:szCs w:val="22"/>
        </w:rPr>
        <w:t xml:space="preserve">. </w:t>
      </w:r>
      <w:r>
        <w:rPr>
          <w:rFonts w:cs="Calibri"/>
          <w:sz w:val="22"/>
          <w:szCs w:val="22"/>
        </w:rPr>
        <w:t>For m</w:t>
      </w:r>
      <w:r w:rsidRPr="00046999">
        <w:rPr>
          <w:rFonts w:cs="Calibri"/>
          <w:sz w:val="22"/>
          <w:szCs w:val="22"/>
        </w:rPr>
        <w:t>anagerial ownership, blockholder ownership</w:t>
      </w:r>
      <w:r>
        <w:rPr>
          <w:rFonts w:cs="Calibri"/>
          <w:sz w:val="22"/>
          <w:szCs w:val="22"/>
        </w:rPr>
        <w:t>, profitability</w:t>
      </w:r>
      <w:r w:rsidRPr="00046999">
        <w:rPr>
          <w:rFonts w:cs="Calibri"/>
          <w:sz w:val="22"/>
          <w:szCs w:val="22"/>
        </w:rPr>
        <w:t xml:space="preserve"> and Dscore </w:t>
      </w:r>
      <w:r>
        <w:rPr>
          <w:rFonts w:cs="Calibri"/>
          <w:sz w:val="22"/>
          <w:szCs w:val="22"/>
        </w:rPr>
        <w:t>no transformation is necessary, the data itself already allows for a normal distribution</w:t>
      </w:r>
      <w:r w:rsidRPr="00046999">
        <w:rPr>
          <w:rFonts w:cs="Calibri"/>
          <w:sz w:val="22"/>
          <w:szCs w:val="22"/>
        </w:rPr>
        <w:t xml:space="preserve">. For </w:t>
      </w:r>
      <w:r>
        <w:rPr>
          <w:rFonts w:cs="Calibri"/>
          <w:sz w:val="22"/>
          <w:szCs w:val="22"/>
        </w:rPr>
        <w:t xml:space="preserve">size </w:t>
      </w:r>
      <w:r w:rsidRPr="00046999">
        <w:rPr>
          <w:rFonts w:cs="Calibri"/>
          <w:sz w:val="22"/>
          <w:szCs w:val="22"/>
        </w:rPr>
        <w:t xml:space="preserve">a logarithm of the data allowed for normal distribution. For leverage a square root allowed for normal distribution. In addition, box plots are created </w:t>
      </w:r>
      <w:r>
        <w:rPr>
          <w:rFonts w:cs="Calibri"/>
          <w:sz w:val="22"/>
          <w:szCs w:val="22"/>
        </w:rPr>
        <w:t>to determine potential outliers; these are stated in appendix IV</w:t>
      </w:r>
      <w:r w:rsidR="008A6EA8">
        <w:rPr>
          <w:rFonts w:cs="Calibri"/>
          <w:sz w:val="22"/>
          <w:szCs w:val="22"/>
        </w:rPr>
        <w:t>. For m</w:t>
      </w:r>
      <w:r w:rsidRPr="00046999">
        <w:rPr>
          <w:rFonts w:cs="Calibri"/>
          <w:sz w:val="22"/>
          <w:szCs w:val="22"/>
        </w:rPr>
        <w:t xml:space="preserve">anagerial ownership, </w:t>
      </w:r>
      <w:r w:rsidR="008A6EA8">
        <w:rPr>
          <w:rFonts w:cs="Calibri"/>
          <w:sz w:val="22"/>
          <w:szCs w:val="22"/>
        </w:rPr>
        <w:t>b</w:t>
      </w:r>
      <w:r w:rsidRPr="00046999">
        <w:rPr>
          <w:rFonts w:cs="Calibri"/>
          <w:sz w:val="22"/>
          <w:szCs w:val="22"/>
        </w:rPr>
        <w:t xml:space="preserve">lockholder ownership, </w:t>
      </w:r>
      <w:r>
        <w:rPr>
          <w:rFonts w:cs="Calibri"/>
          <w:sz w:val="22"/>
          <w:szCs w:val="22"/>
        </w:rPr>
        <w:t>size and l</w:t>
      </w:r>
      <w:r w:rsidRPr="00046999">
        <w:rPr>
          <w:rFonts w:cs="Calibri"/>
          <w:sz w:val="22"/>
          <w:szCs w:val="22"/>
        </w:rPr>
        <w:t xml:space="preserve">everage no outliers are detected. However, Dscore and </w:t>
      </w:r>
      <w:r>
        <w:rPr>
          <w:rFonts w:cs="Calibri"/>
          <w:sz w:val="22"/>
          <w:szCs w:val="22"/>
        </w:rPr>
        <w:t>profitability</w:t>
      </w:r>
      <w:r w:rsidRPr="00046999">
        <w:rPr>
          <w:rFonts w:cs="Calibri"/>
          <w:sz w:val="22"/>
          <w:szCs w:val="22"/>
        </w:rPr>
        <w:t xml:space="preserve"> contain outliers. Due to the small sample size it is preferred not to exclude the </w:t>
      </w:r>
      <w:r>
        <w:rPr>
          <w:rFonts w:cs="Calibri"/>
          <w:sz w:val="22"/>
          <w:szCs w:val="22"/>
        </w:rPr>
        <w:t>outliers</w:t>
      </w:r>
      <w:r w:rsidRPr="00046999">
        <w:rPr>
          <w:rFonts w:cs="Calibri"/>
          <w:sz w:val="22"/>
          <w:szCs w:val="22"/>
        </w:rPr>
        <w:t xml:space="preserve"> but to change the </w:t>
      </w:r>
      <w:r>
        <w:rPr>
          <w:rFonts w:cs="Calibri"/>
          <w:sz w:val="22"/>
          <w:szCs w:val="22"/>
        </w:rPr>
        <w:t>outliers</w:t>
      </w:r>
      <w:r w:rsidRPr="00046999">
        <w:rPr>
          <w:rFonts w:cs="Calibri"/>
          <w:sz w:val="22"/>
          <w:szCs w:val="22"/>
        </w:rPr>
        <w:t xml:space="preserve">. Changing the score is executed according to the </w:t>
      </w:r>
      <w:r>
        <w:rPr>
          <w:rFonts w:cs="Calibri"/>
          <w:sz w:val="22"/>
          <w:szCs w:val="22"/>
        </w:rPr>
        <w:t>‘</w:t>
      </w:r>
      <w:r w:rsidRPr="00596FEB">
        <w:rPr>
          <w:rFonts w:cs="Calibri"/>
          <w:i/>
          <w:sz w:val="22"/>
          <w:szCs w:val="22"/>
        </w:rPr>
        <w:t>next highest score plus one: change the score to be one unit above the next highest score in the data set</w:t>
      </w:r>
      <w:r w:rsidRPr="00046999">
        <w:rPr>
          <w:rFonts w:cs="Calibri"/>
          <w:sz w:val="22"/>
          <w:szCs w:val="22"/>
        </w:rPr>
        <w:t xml:space="preserve">’ (Field, 2005). For example, the </w:t>
      </w:r>
      <w:r>
        <w:rPr>
          <w:rFonts w:cs="Calibri"/>
          <w:sz w:val="22"/>
          <w:szCs w:val="22"/>
        </w:rPr>
        <w:t xml:space="preserve">only outlier in </w:t>
      </w:r>
      <w:r w:rsidRPr="00046999">
        <w:rPr>
          <w:rFonts w:cs="Calibri"/>
          <w:sz w:val="22"/>
          <w:szCs w:val="22"/>
        </w:rPr>
        <w:t>D</w:t>
      </w:r>
      <w:r>
        <w:rPr>
          <w:rFonts w:cs="Calibri"/>
          <w:sz w:val="22"/>
          <w:szCs w:val="22"/>
        </w:rPr>
        <w:t>score is</w:t>
      </w:r>
      <w:r w:rsidRPr="00046999">
        <w:rPr>
          <w:rFonts w:cs="Calibri"/>
          <w:sz w:val="22"/>
          <w:szCs w:val="22"/>
        </w:rPr>
        <w:t xml:space="preserve"> no. 16 (Sofina)</w:t>
      </w:r>
      <w:r>
        <w:rPr>
          <w:rFonts w:cs="Calibri"/>
          <w:sz w:val="22"/>
          <w:szCs w:val="22"/>
        </w:rPr>
        <w:t xml:space="preserve"> which was ‘2’ and now becomes</w:t>
      </w:r>
      <w:r w:rsidRPr="00046999">
        <w:rPr>
          <w:rFonts w:cs="Calibri"/>
          <w:sz w:val="22"/>
          <w:szCs w:val="22"/>
        </w:rPr>
        <w:t xml:space="preserve"> </w:t>
      </w:r>
      <w:r>
        <w:rPr>
          <w:rFonts w:cs="Calibri"/>
          <w:sz w:val="22"/>
          <w:szCs w:val="22"/>
        </w:rPr>
        <w:t>‘</w:t>
      </w:r>
      <w:r w:rsidRPr="00046999">
        <w:rPr>
          <w:rFonts w:cs="Calibri"/>
          <w:sz w:val="22"/>
          <w:szCs w:val="22"/>
        </w:rPr>
        <w:t>5</w:t>
      </w:r>
      <w:r>
        <w:rPr>
          <w:rFonts w:cs="Calibri"/>
          <w:sz w:val="22"/>
          <w:szCs w:val="22"/>
        </w:rPr>
        <w:t>’</w:t>
      </w:r>
      <w:r w:rsidRPr="00046999">
        <w:rPr>
          <w:rFonts w:cs="Calibri"/>
          <w:sz w:val="22"/>
          <w:szCs w:val="22"/>
        </w:rPr>
        <w:t xml:space="preserve">. </w:t>
      </w:r>
      <w:r>
        <w:rPr>
          <w:rFonts w:cs="Calibri"/>
          <w:sz w:val="22"/>
          <w:szCs w:val="22"/>
        </w:rPr>
        <w:t xml:space="preserve">After the corrections of the outliers, Dscore and profitability allow for a normal distribution as well. All Q-Q plots of the variables after the corrections are shown in appendix IV. </w:t>
      </w:r>
      <w:r w:rsidRPr="00046999">
        <w:rPr>
          <w:rFonts w:cs="Calibri"/>
          <w:sz w:val="22"/>
          <w:szCs w:val="22"/>
        </w:rPr>
        <w:t>Only government ownership is not normally distributed (also by means of logarithm-, square root and reciprocal transformation</w:t>
      </w:r>
      <w:r w:rsidR="003E4E75">
        <w:rPr>
          <w:rFonts w:cs="Calibri"/>
          <w:sz w:val="22"/>
          <w:szCs w:val="22"/>
        </w:rPr>
        <w:t xml:space="preserve"> as shown in appendix IV</w:t>
      </w:r>
      <w:r w:rsidRPr="00046999">
        <w:rPr>
          <w:rFonts w:cs="Calibri"/>
          <w:sz w:val="22"/>
          <w:szCs w:val="22"/>
        </w:rPr>
        <w:t xml:space="preserve">). There are also </w:t>
      </w:r>
      <w:r w:rsidRPr="00046999">
        <w:rPr>
          <w:rFonts w:cs="Calibri"/>
          <w:sz w:val="22"/>
          <w:szCs w:val="22"/>
        </w:rPr>
        <w:lastRenderedPageBreak/>
        <w:t>too many outliers to correct for, therefore for government ownership a non-param</w:t>
      </w:r>
      <w:r w:rsidR="00E14763">
        <w:rPr>
          <w:rFonts w:cs="Calibri"/>
          <w:sz w:val="22"/>
          <w:szCs w:val="22"/>
        </w:rPr>
        <w:t>etric test is used (the Spearman</w:t>
      </w:r>
      <w:r w:rsidRPr="00046999">
        <w:rPr>
          <w:rFonts w:cs="Calibri"/>
          <w:sz w:val="22"/>
          <w:szCs w:val="22"/>
        </w:rPr>
        <w:t xml:space="preserve"> correlation). For the other variables a parametric test can be used and therefore a multiple linear regression is employed.</w:t>
      </w:r>
    </w:p>
    <w:p w:rsidR="00A95413" w:rsidRPr="00046999" w:rsidRDefault="00A95413" w:rsidP="001D4BB3">
      <w:pPr>
        <w:pStyle w:val="Kop2"/>
        <w:jc w:val="both"/>
        <w:rPr>
          <w:rFonts w:cs="Calibri"/>
        </w:rPr>
      </w:pPr>
      <w:bookmarkStart w:id="135" w:name="_Toc320365345"/>
      <w:r w:rsidRPr="00046999">
        <w:rPr>
          <w:rFonts w:cs="Calibri"/>
        </w:rPr>
        <w:t xml:space="preserve">8.3 </w:t>
      </w:r>
      <w:r>
        <w:rPr>
          <w:rFonts w:cs="Calibri"/>
        </w:rPr>
        <w:t xml:space="preserve">Tests </w:t>
      </w:r>
      <w:r w:rsidRPr="00046999">
        <w:rPr>
          <w:rFonts w:cs="Calibri"/>
        </w:rPr>
        <w:t>and Regressions</w:t>
      </w:r>
      <w:bookmarkEnd w:id="135"/>
    </w:p>
    <w:p w:rsidR="00A95413" w:rsidRPr="006020F0" w:rsidRDefault="006020F0" w:rsidP="001D4BB3">
      <w:pPr>
        <w:jc w:val="both"/>
        <w:rPr>
          <w:rFonts w:cs="Calibri"/>
          <w:sz w:val="22"/>
          <w:szCs w:val="22"/>
        </w:rPr>
      </w:pPr>
      <w:r w:rsidRPr="006020F0">
        <w:rPr>
          <w:rFonts w:cs="Calibri"/>
          <w:sz w:val="22"/>
          <w:szCs w:val="22"/>
        </w:rPr>
        <w:t>Table 4 shows the correlations between the variables.</w:t>
      </w:r>
    </w:p>
    <w:p w:rsidR="00A95413" w:rsidRPr="0086182C" w:rsidRDefault="00A95413" w:rsidP="0086182C">
      <w:pPr>
        <w:pStyle w:val="Bijschrift"/>
        <w:keepNext/>
        <w:rPr>
          <w:sz w:val="22"/>
          <w:szCs w:val="22"/>
        </w:rPr>
      </w:pPr>
      <w:r w:rsidRPr="0086182C">
        <w:rPr>
          <w:sz w:val="22"/>
          <w:szCs w:val="22"/>
        </w:rPr>
        <w:t xml:space="preserve">Table </w:t>
      </w:r>
      <w:r w:rsidR="00E0784B" w:rsidRPr="0086182C">
        <w:rPr>
          <w:sz w:val="22"/>
          <w:szCs w:val="22"/>
        </w:rPr>
        <w:fldChar w:fldCharType="begin"/>
      </w:r>
      <w:r w:rsidRPr="0086182C">
        <w:rPr>
          <w:sz w:val="22"/>
          <w:szCs w:val="22"/>
        </w:rPr>
        <w:instrText xml:space="preserve"> SEQ Table \* ARABIC </w:instrText>
      </w:r>
      <w:r w:rsidR="00E0784B" w:rsidRPr="0086182C">
        <w:rPr>
          <w:sz w:val="22"/>
          <w:szCs w:val="22"/>
        </w:rPr>
        <w:fldChar w:fldCharType="separate"/>
      </w:r>
      <w:r>
        <w:rPr>
          <w:noProof/>
          <w:sz w:val="22"/>
          <w:szCs w:val="22"/>
        </w:rPr>
        <w:t>4</w:t>
      </w:r>
      <w:r w:rsidR="00E0784B" w:rsidRPr="0086182C">
        <w:rPr>
          <w:sz w:val="22"/>
          <w:szCs w:val="22"/>
        </w:rPr>
        <w:fldChar w:fldCharType="end"/>
      </w:r>
      <w:r w:rsidRPr="0086182C">
        <w:rPr>
          <w:sz w:val="22"/>
          <w:szCs w:val="22"/>
        </w:rPr>
        <w:t>: Pearson Correlation Table</w:t>
      </w:r>
    </w:p>
    <w:tbl>
      <w:tblPr>
        <w:tblStyle w:val="Lichtearcering-accent120"/>
        <w:tblW w:w="5503" w:type="pct"/>
        <w:jc w:val="center"/>
        <w:tblInd w:w="-598" w:type="dxa"/>
        <w:tblLook w:val="04A0"/>
      </w:tblPr>
      <w:tblGrid>
        <w:gridCol w:w="1494"/>
        <w:gridCol w:w="1435"/>
        <w:gridCol w:w="1037"/>
        <w:gridCol w:w="1438"/>
        <w:gridCol w:w="1495"/>
        <w:gridCol w:w="946"/>
        <w:gridCol w:w="1221"/>
        <w:gridCol w:w="1473"/>
      </w:tblGrid>
      <w:tr w:rsidR="00826359" w:rsidRPr="00826359" w:rsidTr="00C50742">
        <w:trPr>
          <w:cnfStyle w:val="100000000000"/>
          <w:trHeight w:val="53"/>
          <w:jc w:val="center"/>
        </w:trPr>
        <w:tc>
          <w:tcPr>
            <w:cnfStyle w:val="001000000000"/>
            <w:tcW w:w="710" w:type="pct"/>
          </w:tcPr>
          <w:p w:rsidR="00826359" w:rsidRPr="00826359" w:rsidRDefault="00826359" w:rsidP="00826359">
            <w:pPr>
              <w:spacing w:before="0" w:after="0" w:line="240" w:lineRule="auto"/>
              <w:rPr>
                <w:sz w:val="22"/>
                <w:szCs w:val="22"/>
              </w:rPr>
            </w:pPr>
          </w:p>
        </w:tc>
        <w:tc>
          <w:tcPr>
            <w:tcW w:w="682" w:type="pct"/>
          </w:tcPr>
          <w:p w:rsidR="00826359" w:rsidRPr="00826359" w:rsidRDefault="00826359" w:rsidP="00826359">
            <w:pPr>
              <w:spacing w:before="0" w:after="0" w:line="240" w:lineRule="auto"/>
              <w:cnfStyle w:val="100000000000"/>
              <w:rPr>
                <w:sz w:val="22"/>
                <w:szCs w:val="22"/>
              </w:rPr>
            </w:pPr>
          </w:p>
        </w:tc>
        <w:tc>
          <w:tcPr>
            <w:tcW w:w="493" w:type="pct"/>
          </w:tcPr>
          <w:p w:rsidR="00826359" w:rsidRPr="00826359" w:rsidRDefault="00826359" w:rsidP="00826359">
            <w:pPr>
              <w:autoSpaceDE w:val="0"/>
              <w:autoSpaceDN w:val="0"/>
              <w:adjustRightInd w:val="0"/>
              <w:spacing w:before="0" w:after="0" w:line="320" w:lineRule="atLeast"/>
              <w:ind w:right="60"/>
              <w:jc w:val="both"/>
              <w:cnfStyle w:val="100000000000"/>
              <w:rPr>
                <w:rFonts w:cs="Calibri"/>
                <w:sz w:val="22"/>
                <w:szCs w:val="22"/>
              </w:rPr>
            </w:pPr>
            <w:r w:rsidRPr="00826359">
              <w:rPr>
                <w:rFonts w:cs="Calibri"/>
                <w:sz w:val="22"/>
                <w:szCs w:val="22"/>
              </w:rPr>
              <w:t>DScore</w:t>
            </w:r>
          </w:p>
        </w:tc>
        <w:tc>
          <w:tcPr>
            <w:tcW w:w="683" w:type="pct"/>
          </w:tcPr>
          <w:p w:rsidR="00826359" w:rsidRPr="00826359" w:rsidRDefault="00826359" w:rsidP="00826359">
            <w:pPr>
              <w:autoSpaceDE w:val="0"/>
              <w:autoSpaceDN w:val="0"/>
              <w:adjustRightInd w:val="0"/>
              <w:spacing w:before="0" w:after="0" w:line="320" w:lineRule="atLeast"/>
              <w:ind w:right="60"/>
              <w:jc w:val="both"/>
              <w:cnfStyle w:val="100000000000"/>
              <w:rPr>
                <w:rFonts w:cs="Calibri"/>
                <w:sz w:val="22"/>
                <w:szCs w:val="22"/>
              </w:rPr>
            </w:pPr>
            <w:r w:rsidRPr="00826359">
              <w:rPr>
                <w:rFonts w:cs="Calibri"/>
                <w:sz w:val="22"/>
                <w:szCs w:val="22"/>
              </w:rPr>
              <w:t>Managerial ownership</w:t>
            </w:r>
          </w:p>
        </w:tc>
        <w:tc>
          <w:tcPr>
            <w:tcW w:w="710" w:type="pct"/>
          </w:tcPr>
          <w:p w:rsidR="00826359" w:rsidRPr="00826359" w:rsidRDefault="00826359" w:rsidP="00826359">
            <w:pPr>
              <w:autoSpaceDE w:val="0"/>
              <w:autoSpaceDN w:val="0"/>
              <w:adjustRightInd w:val="0"/>
              <w:spacing w:before="0" w:after="0" w:line="320" w:lineRule="atLeast"/>
              <w:ind w:right="60"/>
              <w:jc w:val="both"/>
              <w:cnfStyle w:val="100000000000"/>
              <w:rPr>
                <w:rFonts w:cs="Calibri"/>
                <w:sz w:val="22"/>
                <w:szCs w:val="22"/>
              </w:rPr>
            </w:pPr>
            <w:r w:rsidRPr="00826359">
              <w:rPr>
                <w:rFonts w:cs="Calibri"/>
                <w:sz w:val="22"/>
                <w:szCs w:val="22"/>
              </w:rPr>
              <w:t>Blockholder ownership</w:t>
            </w:r>
          </w:p>
        </w:tc>
        <w:tc>
          <w:tcPr>
            <w:tcW w:w="442" w:type="pct"/>
          </w:tcPr>
          <w:p w:rsidR="00826359" w:rsidRPr="00826359" w:rsidRDefault="00826359" w:rsidP="00826359">
            <w:pPr>
              <w:autoSpaceDE w:val="0"/>
              <w:autoSpaceDN w:val="0"/>
              <w:adjustRightInd w:val="0"/>
              <w:spacing w:before="0" w:after="0" w:line="320" w:lineRule="atLeast"/>
              <w:ind w:right="60"/>
              <w:jc w:val="both"/>
              <w:cnfStyle w:val="100000000000"/>
              <w:rPr>
                <w:rFonts w:cs="Calibri"/>
                <w:sz w:val="22"/>
                <w:szCs w:val="22"/>
              </w:rPr>
            </w:pPr>
            <w:r w:rsidRPr="00826359">
              <w:rPr>
                <w:rFonts w:cs="Calibri"/>
                <w:sz w:val="22"/>
                <w:szCs w:val="22"/>
              </w:rPr>
              <w:t>Size</w:t>
            </w:r>
          </w:p>
        </w:tc>
        <w:tc>
          <w:tcPr>
            <w:tcW w:w="580" w:type="pct"/>
          </w:tcPr>
          <w:p w:rsidR="00826359" w:rsidRPr="00826359" w:rsidRDefault="00826359" w:rsidP="00826359">
            <w:pPr>
              <w:autoSpaceDE w:val="0"/>
              <w:autoSpaceDN w:val="0"/>
              <w:adjustRightInd w:val="0"/>
              <w:spacing w:before="0" w:after="0" w:line="320" w:lineRule="atLeast"/>
              <w:ind w:right="60"/>
              <w:jc w:val="both"/>
              <w:cnfStyle w:val="100000000000"/>
              <w:rPr>
                <w:rFonts w:cs="Calibri"/>
                <w:sz w:val="22"/>
                <w:szCs w:val="22"/>
              </w:rPr>
            </w:pPr>
            <w:r w:rsidRPr="00826359">
              <w:rPr>
                <w:rFonts w:cs="Calibri"/>
                <w:sz w:val="22"/>
                <w:szCs w:val="22"/>
              </w:rPr>
              <w:t>Leverage</w:t>
            </w:r>
          </w:p>
        </w:tc>
        <w:tc>
          <w:tcPr>
            <w:tcW w:w="700" w:type="pct"/>
          </w:tcPr>
          <w:p w:rsidR="00826359" w:rsidRPr="00826359" w:rsidRDefault="00826359" w:rsidP="00826359">
            <w:pPr>
              <w:autoSpaceDE w:val="0"/>
              <w:autoSpaceDN w:val="0"/>
              <w:adjustRightInd w:val="0"/>
              <w:spacing w:before="0" w:after="0" w:line="320" w:lineRule="atLeast"/>
              <w:ind w:right="60"/>
              <w:jc w:val="both"/>
              <w:cnfStyle w:val="100000000000"/>
              <w:rPr>
                <w:rFonts w:cs="Calibri"/>
                <w:sz w:val="22"/>
                <w:szCs w:val="22"/>
              </w:rPr>
            </w:pPr>
            <w:r w:rsidRPr="00826359">
              <w:rPr>
                <w:rFonts w:cs="Calibri"/>
                <w:sz w:val="22"/>
                <w:szCs w:val="22"/>
              </w:rPr>
              <w:t>Profitability</w:t>
            </w:r>
          </w:p>
        </w:tc>
      </w:tr>
      <w:tr w:rsidR="00826359" w:rsidRPr="00826359" w:rsidTr="00C50742">
        <w:trPr>
          <w:cnfStyle w:val="000000100000"/>
          <w:trHeight w:val="53"/>
          <w:jc w:val="center"/>
        </w:trPr>
        <w:tc>
          <w:tcPr>
            <w:cnfStyle w:val="001000000000"/>
            <w:tcW w:w="710" w:type="pct"/>
          </w:tcPr>
          <w:p w:rsidR="00826359" w:rsidRPr="00826359" w:rsidRDefault="00826359" w:rsidP="00826359">
            <w:pPr>
              <w:autoSpaceDE w:val="0"/>
              <w:autoSpaceDN w:val="0"/>
              <w:adjustRightInd w:val="0"/>
              <w:spacing w:before="0" w:after="0" w:line="320" w:lineRule="atLeast"/>
              <w:ind w:right="60"/>
              <w:jc w:val="both"/>
              <w:rPr>
                <w:rFonts w:cs="Calibri"/>
                <w:sz w:val="22"/>
                <w:szCs w:val="22"/>
              </w:rPr>
            </w:pPr>
            <w:r w:rsidRPr="00826359">
              <w:rPr>
                <w:rFonts w:cs="Calibri"/>
                <w:sz w:val="22"/>
                <w:szCs w:val="22"/>
              </w:rPr>
              <w:t>DScore</w:t>
            </w:r>
          </w:p>
        </w:tc>
        <w:tc>
          <w:tcPr>
            <w:tcW w:w="682" w:type="pct"/>
          </w:tcPr>
          <w:p w:rsidR="00826359" w:rsidRPr="00826359" w:rsidRDefault="00826359" w:rsidP="00826359">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Pearson Correlation</w:t>
            </w:r>
          </w:p>
        </w:tc>
        <w:tc>
          <w:tcPr>
            <w:tcW w:w="493"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1</w:t>
            </w:r>
          </w:p>
        </w:tc>
        <w:tc>
          <w:tcPr>
            <w:tcW w:w="683"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-.254*</w:t>
            </w:r>
          </w:p>
        </w:tc>
        <w:tc>
          <w:tcPr>
            <w:tcW w:w="710"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-.282**</w:t>
            </w:r>
          </w:p>
        </w:tc>
        <w:tc>
          <w:tcPr>
            <w:tcW w:w="442"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.548**</w:t>
            </w:r>
          </w:p>
        </w:tc>
        <w:tc>
          <w:tcPr>
            <w:tcW w:w="580"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.239*</w:t>
            </w:r>
          </w:p>
        </w:tc>
        <w:tc>
          <w:tcPr>
            <w:tcW w:w="700"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.079</w:t>
            </w:r>
          </w:p>
        </w:tc>
      </w:tr>
      <w:tr w:rsidR="00826359" w:rsidRPr="00826359" w:rsidTr="00C50742">
        <w:trPr>
          <w:trHeight w:val="53"/>
          <w:jc w:val="center"/>
        </w:trPr>
        <w:tc>
          <w:tcPr>
            <w:cnfStyle w:val="001000000000"/>
            <w:tcW w:w="710" w:type="pct"/>
          </w:tcPr>
          <w:p w:rsidR="00826359" w:rsidRPr="00826359" w:rsidRDefault="00826359" w:rsidP="00826359">
            <w:pPr>
              <w:autoSpaceDE w:val="0"/>
              <w:autoSpaceDN w:val="0"/>
              <w:adjustRightInd w:val="0"/>
              <w:spacing w:before="0" w:after="0" w:line="320" w:lineRule="atLeast"/>
              <w:ind w:right="60"/>
              <w:jc w:val="both"/>
              <w:rPr>
                <w:rFonts w:cs="Calibri"/>
                <w:sz w:val="22"/>
                <w:szCs w:val="22"/>
              </w:rPr>
            </w:pPr>
          </w:p>
        </w:tc>
        <w:tc>
          <w:tcPr>
            <w:tcW w:w="682" w:type="pct"/>
          </w:tcPr>
          <w:p w:rsidR="00826359" w:rsidRPr="00826359" w:rsidRDefault="00826359" w:rsidP="00826359">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 xml:space="preserve">Sig. </w:t>
            </w:r>
          </w:p>
          <w:p w:rsidR="00826359" w:rsidRPr="00826359" w:rsidRDefault="00826359" w:rsidP="00826359">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(2-tailed)</w:t>
            </w:r>
          </w:p>
        </w:tc>
        <w:tc>
          <w:tcPr>
            <w:tcW w:w="493"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p>
        </w:tc>
        <w:tc>
          <w:tcPr>
            <w:tcW w:w="683" w:type="pct"/>
          </w:tcPr>
          <w:p w:rsidR="00826359" w:rsidRPr="00826359" w:rsidRDefault="00826359" w:rsidP="00375135">
            <w:pPr>
              <w:autoSpaceDE w:val="0"/>
              <w:autoSpaceDN w:val="0"/>
              <w:adjustRightInd w:val="0"/>
              <w:spacing w:before="0" w:after="0" w:line="320" w:lineRule="atLeast"/>
              <w:ind w:left="60" w:right="60"/>
              <w:jc w:val="both"/>
              <w:cnfStyle w:val="000000000000"/>
              <w:rPr>
                <w:rFonts w:cs="Calibri"/>
                <w:sz w:val="22"/>
                <w:szCs w:val="22"/>
              </w:rPr>
            </w:pPr>
            <w:r w:rsidRPr="00826359">
              <w:rPr>
                <w:rFonts w:cs="Calibri"/>
                <w:sz w:val="22"/>
                <w:szCs w:val="22"/>
              </w:rPr>
              <w:t>.011</w:t>
            </w:r>
          </w:p>
        </w:tc>
        <w:tc>
          <w:tcPr>
            <w:tcW w:w="710" w:type="pct"/>
          </w:tcPr>
          <w:p w:rsidR="00826359" w:rsidRPr="00826359" w:rsidRDefault="00826359" w:rsidP="00375135">
            <w:pPr>
              <w:autoSpaceDE w:val="0"/>
              <w:autoSpaceDN w:val="0"/>
              <w:adjustRightInd w:val="0"/>
              <w:spacing w:before="0" w:after="0" w:line="320" w:lineRule="atLeast"/>
              <w:ind w:left="60" w:right="60"/>
              <w:jc w:val="both"/>
              <w:cnfStyle w:val="000000000000"/>
              <w:rPr>
                <w:rFonts w:cs="Calibri"/>
                <w:sz w:val="22"/>
                <w:szCs w:val="22"/>
              </w:rPr>
            </w:pPr>
            <w:r w:rsidRPr="00826359">
              <w:rPr>
                <w:rFonts w:cs="Calibri"/>
                <w:sz w:val="22"/>
                <w:szCs w:val="22"/>
              </w:rPr>
              <w:t>.004</w:t>
            </w:r>
          </w:p>
        </w:tc>
        <w:tc>
          <w:tcPr>
            <w:tcW w:w="442" w:type="pct"/>
          </w:tcPr>
          <w:p w:rsidR="00826359" w:rsidRPr="00826359" w:rsidRDefault="00826359" w:rsidP="00375135">
            <w:pPr>
              <w:autoSpaceDE w:val="0"/>
              <w:autoSpaceDN w:val="0"/>
              <w:adjustRightInd w:val="0"/>
              <w:spacing w:before="0" w:after="0" w:line="320" w:lineRule="atLeast"/>
              <w:ind w:left="60" w:right="60"/>
              <w:jc w:val="both"/>
              <w:cnfStyle w:val="000000000000"/>
              <w:rPr>
                <w:rFonts w:cs="Calibri"/>
                <w:sz w:val="22"/>
                <w:szCs w:val="22"/>
              </w:rPr>
            </w:pPr>
            <w:r w:rsidRPr="00826359">
              <w:rPr>
                <w:rFonts w:cs="Calibri"/>
                <w:sz w:val="22"/>
                <w:szCs w:val="22"/>
              </w:rPr>
              <w:t>.000</w:t>
            </w:r>
          </w:p>
        </w:tc>
        <w:tc>
          <w:tcPr>
            <w:tcW w:w="580" w:type="pct"/>
          </w:tcPr>
          <w:p w:rsidR="00826359" w:rsidRPr="00826359" w:rsidRDefault="00826359" w:rsidP="00375135">
            <w:pPr>
              <w:autoSpaceDE w:val="0"/>
              <w:autoSpaceDN w:val="0"/>
              <w:adjustRightInd w:val="0"/>
              <w:spacing w:before="0" w:after="0" w:line="320" w:lineRule="atLeast"/>
              <w:ind w:left="60" w:right="60"/>
              <w:jc w:val="both"/>
              <w:cnfStyle w:val="000000000000"/>
              <w:rPr>
                <w:rFonts w:cs="Calibri"/>
                <w:sz w:val="22"/>
                <w:szCs w:val="22"/>
              </w:rPr>
            </w:pPr>
            <w:r w:rsidRPr="00826359">
              <w:rPr>
                <w:rFonts w:cs="Calibri"/>
                <w:sz w:val="22"/>
                <w:szCs w:val="22"/>
              </w:rPr>
              <w:t>.016</w:t>
            </w:r>
          </w:p>
        </w:tc>
        <w:tc>
          <w:tcPr>
            <w:tcW w:w="700" w:type="pct"/>
          </w:tcPr>
          <w:p w:rsidR="00826359" w:rsidRPr="00826359" w:rsidRDefault="00826359" w:rsidP="00375135">
            <w:pPr>
              <w:autoSpaceDE w:val="0"/>
              <w:autoSpaceDN w:val="0"/>
              <w:adjustRightInd w:val="0"/>
              <w:spacing w:before="0" w:after="0" w:line="320" w:lineRule="atLeast"/>
              <w:ind w:left="60" w:right="60"/>
              <w:jc w:val="both"/>
              <w:cnfStyle w:val="000000000000"/>
              <w:rPr>
                <w:rFonts w:cs="Calibri"/>
                <w:sz w:val="22"/>
                <w:szCs w:val="22"/>
              </w:rPr>
            </w:pPr>
            <w:r w:rsidRPr="00826359">
              <w:rPr>
                <w:rFonts w:cs="Calibri"/>
                <w:sz w:val="22"/>
                <w:szCs w:val="22"/>
              </w:rPr>
              <w:t>.437</w:t>
            </w:r>
          </w:p>
        </w:tc>
      </w:tr>
      <w:tr w:rsidR="00826359" w:rsidRPr="00826359" w:rsidTr="00C50742">
        <w:trPr>
          <w:cnfStyle w:val="000000100000"/>
          <w:trHeight w:val="53"/>
          <w:jc w:val="center"/>
        </w:trPr>
        <w:tc>
          <w:tcPr>
            <w:cnfStyle w:val="001000000000"/>
            <w:tcW w:w="710" w:type="pct"/>
          </w:tcPr>
          <w:p w:rsidR="00826359" w:rsidRPr="00826359" w:rsidRDefault="00826359" w:rsidP="00826359">
            <w:pPr>
              <w:autoSpaceDE w:val="0"/>
              <w:autoSpaceDN w:val="0"/>
              <w:adjustRightInd w:val="0"/>
              <w:spacing w:before="0" w:after="0" w:line="320" w:lineRule="atLeast"/>
              <w:ind w:right="60"/>
              <w:jc w:val="both"/>
              <w:rPr>
                <w:rFonts w:cs="Calibri"/>
                <w:sz w:val="22"/>
                <w:szCs w:val="22"/>
              </w:rPr>
            </w:pPr>
            <w:r w:rsidRPr="00826359">
              <w:rPr>
                <w:rFonts w:cs="Calibri"/>
                <w:sz w:val="22"/>
                <w:szCs w:val="22"/>
              </w:rPr>
              <w:t>Managerial ownership</w:t>
            </w:r>
          </w:p>
        </w:tc>
        <w:tc>
          <w:tcPr>
            <w:tcW w:w="682" w:type="pct"/>
          </w:tcPr>
          <w:p w:rsidR="00826359" w:rsidRPr="00826359" w:rsidRDefault="00826359" w:rsidP="00826359">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Pearson Correlation</w:t>
            </w:r>
          </w:p>
        </w:tc>
        <w:tc>
          <w:tcPr>
            <w:tcW w:w="493"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-.254*</w:t>
            </w:r>
          </w:p>
        </w:tc>
        <w:tc>
          <w:tcPr>
            <w:tcW w:w="683"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1</w:t>
            </w:r>
          </w:p>
        </w:tc>
        <w:tc>
          <w:tcPr>
            <w:tcW w:w="710"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.714**</w:t>
            </w:r>
          </w:p>
        </w:tc>
        <w:tc>
          <w:tcPr>
            <w:tcW w:w="442"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-.298**</w:t>
            </w:r>
          </w:p>
        </w:tc>
        <w:tc>
          <w:tcPr>
            <w:tcW w:w="580"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-.062</w:t>
            </w:r>
          </w:p>
        </w:tc>
        <w:tc>
          <w:tcPr>
            <w:tcW w:w="700"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.045</w:t>
            </w:r>
          </w:p>
        </w:tc>
      </w:tr>
      <w:tr w:rsidR="00826359" w:rsidRPr="00826359" w:rsidTr="00C50742">
        <w:trPr>
          <w:trHeight w:val="53"/>
          <w:jc w:val="center"/>
        </w:trPr>
        <w:tc>
          <w:tcPr>
            <w:cnfStyle w:val="001000000000"/>
            <w:tcW w:w="710" w:type="pct"/>
          </w:tcPr>
          <w:p w:rsidR="00826359" w:rsidRPr="00826359" w:rsidRDefault="00826359" w:rsidP="00826359">
            <w:pPr>
              <w:autoSpaceDE w:val="0"/>
              <w:autoSpaceDN w:val="0"/>
              <w:adjustRightInd w:val="0"/>
              <w:spacing w:before="0" w:after="0" w:line="320" w:lineRule="atLeast"/>
              <w:ind w:right="60"/>
              <w:jc w:val="both"/>
              <w:rPr>
                <w:rFonts w:cs="Calibri"/>
                <w:sz w:val="22"/>
                <w:szCs w:val="22"/>
              </w:rPr>
            </w:pPr>
          </w:p>
        </w:tc>
        <w:tc>
          <w:tcPr>
            <w:tcW w:w="682" w:type="pct"/>
          </w:tcPr>
          <w:p w:rsidR="00826359" w:rsidRPr="00826359" w:rsidRDefault="00826359" w:rsidP="00826359">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 xml:space="preserve">Sig. </w:t>
            </w:r>
          </w:p>
          <w:p w:rsidR="00826359" w:rsidRPr="00826359" w:rsidRDefault="00826359" w:rsidP="00826359">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(2-tailed)</w:t>
            </w:r>
          </w:p>
        </w:tc>
        <w:tc>
          <w:tcPr>
            <w:tcW w:w="493"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.011</w:t>
            </w:r>
          </w:p>
        </w:tc>
        <w:tc>
          <w:tcPr>
            <w:tcW w:w="683" w:type="pct"/>
          </w:tcPr>
          <w:p w:rsidR="00826359" w:rsidRPr="00826359" w:rsidRDefault="00826359" w:rsidP="00375135">
            <w:pPr>
              <w:autoSpaceDE w:val="0"/>
              <w:autoSpaceDN w:val="0"/>
              <w:adjustRightInd w:val="0"/>
              <w:spacing w:before="0" w:after="0" w:line="240" w:lineRule="auto"/>
              <w:jc w:val="both"/>
              <w:cnfStyle w:val="000000000000"/>
              <w:rPr>
                <w:rFonts w:cs="Calibri"/>
                <w:sz w:val="22"/>
                <w:szCs w:val="22"/>
              </w:rPr>
            </w:pPr>
          </w:p>
        </w:tc>
        <w:tc>
          <w:tcPr>
            <w:tcW w:w="710"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.000</w:t>
            </w:r>
          </w:p>
        </w:tc>
        <w:tc>
          <w:tcPr>
            <w:tcW w:w="442"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.003</w:t>
            </w:r>
          </w:p>
        </w:tc>
        <w:tc>
          <w:tcPr>
            <w:tcW w:w="580"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.538</w:t>
            </w:r>
          </w:p>
        </w:tc>
        <w:tc>
          <w:tcPr>
            <w:tcW w:w="700"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.656</w:t>
            </w:r>
          </w:p>
        </w:tc>
      </w:tr>
      <w:tr w:rsidR="00826359" w:rsidRPr="00826359" w:rsidTr="00C50742">
        <w:trPr>
          <w:cnfStyle w:val="000000100000"/>
          <w:trHeight w:val="347"/>
          <w:jc w:val="center"/>
        </w:trPr>
        <w:tc>
          <w:tcPr>
            <w:cnfStyle w:val="001000000000"/>
            <w:tcW w:w="710" w:type="pct"/>
          </w:tcPr>
          <w:p w:rsidR="00826359" w:rsidRPr="00826359" w:rsidRDefault="00826359" w:rsidP="00826359">
            <w:pPr>
              <w:autoSpaceDE w:val="0"/>
              <w:autoSpaceDN w:val="0"/>
              <w:adjustRightInd w:val="0"/>
              <w:spacing w:before="0" w:after="0" w:line="320" w:lineRule="atLeast"/>
              <w:ind w:right="60"/>
              <w:jc w:val="both"/>
              <w:rPr>
                <w:rFonts w:cs="Calibri"/>
                <w:sz w:val="22"/>
                <w:szCs w:val="22"/>
              </w:rPr>
            </w:pPr>
            <w:r w:rsidRPr="00826359">
              <w:rPr>
                <w:rFonts w:cs="Calibri"/>
                <w:sz w:val="22"/>
                <w:szCs w:val="22"/>
              </w:rPr>
              <w:t>Blockholder ownership</w:t>
            </w:r>
          </w:p>
        </w:tc>
        <w:tc>
          <w:tcPr>
            <w:tcW w:w="682" w:type="pct"/>
          </w:tcPr>
          <w:p w:rsidR="00826359" w:rsidRPr="00826359" w:rsidRDefault="00826359" w:rsidP="00826359">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Pearson Correlation</w:t>
            </w:r>
          </w:p>
        </w:tc>
        <w:tc>
          <w:tcPr>
            <w:tcW w:w="493"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-.282**</w:t>
            </w:r>
          </w:p>
        </w:tc>
        <w:tc>
          <w:tcPr>
            <w:tcW w:w="683"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.714**</w:t>
            </w:r>
          </w:p>
        </w:tc>
        <w:tc>
          <w:tcPr>
            <w:tcW w:w="710"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1</w:t>
            </w:r>
          </w:p>
        </w:tc>
        <w:tc>
          <w:tcPr>
            <w:tcW w:w="442"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-.211*</w:t>
            </w:r>
          </w:p>
        </w:tc>
        <w:tc>
          <w:tcPr>
            <w:tcW w:w="580"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-.009</w:t>
            </w:r>
          </w:p>
        </w:tc>
        <w:tc>
          <w:tcPr>
            <w:tcW w:w="700"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-.009</w:t>
            </w:r>
          </w:p>
        </w:tc>
      </w:tr>
      <w:tr w:rsidR="00826359" w:rsidRPr="00826359" w:rsidTr="00C50742">
        <w:trPr>
          <w:trHeight w:val="231"/>
          <w:jc w:val="center"/>
        </w:trPr>
        <w:tc>
          <w:tcPr>
            <w:cnfStyle w:val="001000000000"/>
            <w:tcW w:w="710" w:type="pct"/>
          </w:tcPr>
          <w:p w:rsidR="00826359" w:rsidRPr="00826359" w:rsidRDefault="00826359" w:rsidP="00826359">
            <w:pPr>
              <w:autoSpaceDE w:val="0"/>
              <w:autoSpaceDN w:val="0"/>
              <w:adjustRightInd w:val="0"/>
              <w:spacing w:before="0" w:after="0" w:line="320" w:lineRule="atLeast"/>
              <w:ind w:right="60"/>
              <w:jc w:val="both"/>
              <w:rPr>
                <w:rFonts w:cs="Calibri"/>
                <w:sz w:val="22"/>
                <w:szCs w:val="22"/>
              </w:rPr>
            </w:pPr>
          </w:p>
        </w:tc>
        <w:tc>
          <w:tcPr>
            <w:tcW w:w="682" w:type="pct"/>
          </w:tcPr>
          <w:p w:rsidR="00826359" w:rsidRPr="00826359" w:rsidRDefault="00826359" w:rsidP="00826359">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 xml:space="preserve">Sig. </w:t>
            </w:r>
          </w:p>
          <w:p w:rsidR="00826359" w:rsidRPr="00826359" w:rsidRDefault="00826359" w:rsidP="00826359">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(2-tailed)</w:t>
            </w:r>
          </w:p>
        </w:tc>
        <w:tc>
          <w:tcPr>
            <w:tcW w:w="493"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.004</w:t>
            </w:r>
          </w:p>
        </w:tc>
        <w:tc>
          <w:tcPr>
            <w:tcW w:w="683"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.000</w:t>
            </w:r>
          </w:p>
        </w:tc>
        <w:tc>
          <w:tcPr>
            <w:tcW w:w="710" w:type="pct"/>
          </w:tcPr>
          <w:p w:rsidR="00826359" w:rsidRPr="00826359" w:rsidRDefault="00826359" w:rsidP="00375135">
            <w:pPr>
              <w:autoSpaceDE w:val="0"/>
              <w:autoSpaceDN w:val="0"/>
              <w:adjustRightInd w:val="0"/>
              <w:spacing w:before="0" w:after="0" w:line="240" w:lineRule="auto"/>
              <w:jc w:val="both"/>
              <w:cnfStyle w:val="000000000000"/>
              <w:rPr>
                <w:rFonts w:cs="Calibri"/>
                <w:sz w:val="22"/>
                <w:szCs w:val="22"/>
              </w:rPr>
            </w:pPr>
          </w:p>
        </w:tc>
        <w:tc>
          <w:tcPr>
            <w:tcW w:w="442"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.035</w:t>
            </w:r>
          </w:p>
        </w:tc>
        <w:tc>
          <w:tcPr>
            <w:tcW w:w="580"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.930</w:t>
            </w:r>
          </w:p>
        </w:tc>
        <w:tc>
          <w:tcPr>
            <w:tcW w:w="700"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.930</w:t>
            </w:r>
          </w:p>
        </w:tc>
      </w:tr>
      <w:tr w:rsidR="00826359" w:rsidRPr="00826359" w:rsidTr="00C50742">
        <w:trPr>
          <w:cnfStyle w:val="000000100000"/>
          <w:trHeight w:val="353"/>
          <w:jc w:val="center"/>
        </w:trPr>
        <w:tc>
          <w:tcPr>
            <w:cnfStyle w:val="001000000000"/>
            <w:tcW w:w="710" w:type="pct"/>
          </w:tcPr>
          <w:p w:rsidR="00826359" w:rsidRPr="00826359" w:rsidRDefault="00826359" w:rsidP="00826359">
            <w:pPr>
              <w:autoSpaceDE w:val="0"/>
              <w:autoSpaceDN w:val="0"/>
              <w:adjustRightInd w:val="0"/>
              <w:spacing w:before="0" w:after="0" w:line="320" w:lineRule="atLeast"/>
              <w:ind w:right="60"/>
              <w:jc w:val="both"/>
              <w:rPr>
                <w:rFonts w:cs="Calibri"/>
                <w:sz w:val="22"/>
                <w:szCs w:val="22"/>
              </w:rPr>
            </w:pPr>
            <w:r w:rsidRPr="00826359">
              <w:rPr>
                <w:rFonts w:cs="Calibri"/>
                <w:sz w:val="22"/>
                <w:szCs w:val="22"/>
              </w:rPr>
              <w:t>Size</w:t>
            </w:r>
          </w:p>
        </w:tc>
        <w:tc>
          <w:tcPr>
            <w:tcW w:w="682" w:type="pct"/>
          </w:tcPr>
          <w:p w:rsidR="00826359" w:rsidRPr="00826359" w:rsidRDefault="00826359" w:rsidP="00826359">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Pearson Correlation</w:t>
            </w:r>
          </w:p>
        </w:tc>
        <w:tc>
          <w:tcPr>
            <w:tcW w:w="493"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.548**</w:t>
            </w:r>
          </w:p>
        </w:tc>
        <w:tc>
          <w:tcPr>
            <w:tcW w:w="683"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-.298**</w:t>
            </w:r>
          </w:p>
        </w:tc>
        <w:tc>
          <w:tcPr>
            <w:tcW w:w="710"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-.211*</w:t>
            </w:r>
          </w:p>
        </w:tc>
        <w:tc>
          <w:tcPr>
            <w:tcW w:w="442"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1</w:t>
            </w:r>
          </w:p>
        </w:tc>
        <w:tc>
          <w:tcPr>
            <w:tcW w:w="580"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.260**</w:t>
            </w:r>
          </w:p>
        </w:tc>
        <w:tc>
          <w:tcPr>
            <w:tcW w:w="700"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-.099</w:t>
            </w:r>
          </w:p>
        </w:tc>
      </w:tr>
      <w:tr w:rsidR="00826359" w:rsidRPr="00826359" w:rsidTr="00C50742">
        <w:trPr>
          <w:trHeight w:val="237"/>
          <w:jc w:val="center"/>
        </w:trPr>
        <w:tc>
          <w:tcPr>
            <w:cnfStyle w:val="001000000000"/>
            <w:tcW w:w="710" w:type="pct"/>
          </w:tcPr>
          <w:p w:rsidR="00826359" w:rsidRPr="00826359" w:rsidRDefault="00826359" w:rsidP="00826359">
            <w:pPr>
              <w:autoSpaceDE w:val="0"/>
              <w:autoSpaceDN w:val="0"/>
              <w:adjustRightInd w:val="0"/>
              <w:spacing w:before="0" w:after="0" w:line="320" w:lineRule="atLeast"/>
              <w:ind w:right="60"/>
              <w:jc w:val="both"/>
              <w:rPr>
                <w:rFonts w:cs="Calibri"/>
                <w:sz w:val="22"/>
                <w:szCs w:val="22"/>
              </w:rPr>
            </w:pPr>
          </w:p>
        </w:tc>
        <w:tc>
          <w:tcPr>
            <w:tcW w:w="682" w:type="pct"/>
          </w:tcPr>
          <w:p w:rsidR="00826359" w:rsidRPr="00826359" w:rsidRDefault="00826359" w:rsidP="00826359">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 xml:space="preserve">Sig. </w:t>
            </w:r>
          </w:p>
          <w:p w:rsidR="00826359" w:rsidRPr="00826359" w:rsidRDefault="00826359" w:rsidP="00826359">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(2-tailed)</w:t>
            </w:r>
          </w:p>
        </w:tc>
        <w:tc>
          <w:tcPr>
            <w:tcW w:w="493"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.000</w:t>
            </w:r>
          </w:p>
        </w:tc>
        <w:tc>
          <w:tcPr>
            <w:tcW w:w="683"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.003</w:t>
            </w:r>
          </w:p>
        </w:tc>
        <w:tc>
          <w:tcPr>
            <w:tcW w:w="710"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.035</w:t>
            </w:r>
          </w:p>
        </w:tc>
        <w:tc>
          <w:tcPr>
            <w:tcW w:w="442" w:type="pct"/>
          </w:tcPr>
          <w:p w:rsidR="00826359" w:rsidRPr="00826359" w:rsidRDefault="00826359" w:rsidP="00375135">
            <w:pPr>
              <w:autoSpaceDE w:val="0"/>
              <w:autoSpaceDN w:val="0"/>
              <w:adjustRightInd w:val="0"/>
              <w:spacing w:before="0" w:after="0" w:line="240" w:lineRule="auto"/>
              <w:jc w:val="both"/>
              <w:cnfStyle w:val="000000000000"/>
              <w:rPr>
                <w:rFonts w:cs="Calibri"/>
                <w:sz w:val="22"/>
                <w:szCs w:val="22"/>
              </w:rPr>
            </w:pPr>
          </w:p>
        </w:tc>
        <w:tc>
          <w:tcPr>
            <w:tcW w:w="580"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.009</w:t>
            </w:r>
          </w:p>
        </w:tc>
        <w:tc>
          <w:tcPr>
            <w:tcW w:w="700"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.325</w:t>
            </w:r>
          </w:p>
        </w:tc>
      </w:tr>
      <w:tr w:rsidR="00826359" w:rsidRPr="00826359" w:rsidTr="00C50742">
        <w:trPr>
          <w:cnfStyle w:val="000000100000"/>
          <w:trHeight w:val="347"/>
          <w:jc w:val="center"/>
        </w:trPr>
        <w:tc>
          <w:tcPr>
            <w:cnfStyle w:val="001000000000"/>
            <w:tcW w:w="710" w:type="pct"/>
          </w:tcPr>
          <w:p w:rsidR="00826359" w:rsidRPr="00826359" w:rsidRDefault="00826359" w:rsidP="00826359">
            <w:pPr>
              <w:autoSpaceDE w:val="0"/>
              <w:autoSpaceDN w:val="0"/>
              <w:adjustRightInd w:val="0"/>
              <w:spacing w:before="0" w:after="0" w:line="320" w:lineRule="atLeast"/>
              <w:ind w:right="60"/>
              <w:jc w:val="both"/>
              <w:rPr>
                <w:rFonts w:cs="Calibri"/>
                <w:sz w:val="22"/>
                <w:szCs w:val="22"/>
              </w:rPr>
            </w:pPr>
            <w:r w:rsidRPr="00826359">
              <w:rPr>
                <w:rFonts w:cs="Calibri"/>
                <w:sz w:val="22"/>
                <w:szCs w:val="22"/>
              </w:rPr>
              <w:t xml:space="preserve"> Leverage</w:t>
            </w:r>
          </w:p>
        </w:tc>
        <w:tc>
          <w:tcPr>
            <w:tcW w:w="682" w:type="pct"/>
          </w:tcPr>
          <w:p w:rsidR="00826359" w:rsidRPr="00826359" w:rsidRDefault="00826359" w:rsidP="00826359">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Pearson Correlation</w:t>
            </w:r>
          </w:p>
        </w:tc>
        <w:tc>
          <w:tcPr>
            <w:tcW w:w="493"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p>
        </w:tc>
        <w:tc>
          <w:tcPr>
            <w:tcW w:w="683" w:type="pct"/>
          </w:tcPr>
          <w:p w:rsidR="00826359" w:rsidRPr="00826359" w:rsidRDefault="00826359" w:rsidP="00375135">
            <w:pPr>
              <w:autoSpaceDE w:val="0"/>
              <w:autoSpaceDN w:val="0"/>
              <w:adjustRightInd w:val="0"/>
              <w:spacing w:before="0" w:after="0" w:line="320" w:lineRule="atLeast"/>
              <w:ind w:left="60" w:right="60"/>
              <w:jc w:val="both"/>
              <w:cnfStyle w:val="000000100000"/>
              <w:rPr>
                <w:rFonts w:cs="Calibri"/>
                <w:sz w:val="22"/>
                <w:szCs w:val="22"/>
              </w:rPr>
            </w:pPr>
            <w:r w:rsidRPr="00826359">
              <w:rPr>
                <w:rFonts w:cs="Calibri"/>
                <w:sz w:val="22"/>
                <w:szCs w:val="22"/>
              </w:rPr>
              <w:t>-.062</w:t>
            </w:r>
          </w:p>
        </w:tc>
        <w:tc>
          <w:tcPr>
            <w:tcW w:w="710" w:type="pct"/>
          </w:tcPr>
          <w:p w:rsidR="00826359" w:rsidRPr="00826359" w:rsidRDefault="00826359" w:rsidP="00375135">
            <w:pPr>
              <w:autoSpaceDE w:val="0"/>
              <w:autoSpaceDN w:val="0"/>
              <w:adjustRightInd w:val="0"/>
              <w:spacing w:before="0" w:after="0" w:line="320" w:lineRule="atLeast"/>
              <w:ind w:left="60" w:right="60"/>
              <w:jc w:val="both"/>
              <w:cnfStyle w:val="000000100000"/>
              <w:rPr>
                <w:rFonts w:cs="Calibri"/>
                <w:sz w:val="22"/>
                <w:szCs w:val="22"/>
              </w:rPr>
            </w:pPr>
            <w:r w:rsidRPr="00826359">
              <w:rPr>
                <w:rFonts w:cs="Calibri"/>
                <w:sz w:val="22"/>
                <w:szCs w:val="22"/>
              </w:rPr>
              <w:t>-.009</w:t>
            </w:r>
          </w:p>
        </w:tc>
        <w:tc>
          <w:tcPr>
            <w:tcW w:w="442" w:type="pct"/>
          </w:tcPr>
          <w:p w:rsidR="00826359" w:rsidRPr="00826359" w:rsidRDefault="00826359" w:rsidP="00375135">
            <w:pPr>
              <w:autoSpaceDE w:val="0"/>
              <w:autoSpaceDN w:val="0"/>
              <w:adjustRightInd w:val="0"/>
              <w:spacing w:before="0" w:after="0" w:line="320" w:lineRule="atLeast"/>
              <w:ind w:left="60" w:right="60"/>
              <w:jc w:val="both"/>
              <w:cnfStyle w:val="000000100000"/>
              <w:rPr>
                <w:rFonts w:cs="Calibri"/>
                <w:sz w:val="22"/>
                <w:szCs w:val="22"/>
              </w:rPr>
            </w:pPr>
            <w:r w:rsidRPr="00826359">
              <w:rPr>
                <w:rFonts w:cs="Calibri"/>
                <w:sz w:val="22"/>
                <w:szCs w:val="22"/>
              </w:rPr>
              <w:t>.260**</w:t>
            </w:r>
          </w:p>
        </w:tc>
        <w:tc>
          <w:tcPr>
            <w:tcW w:w="580" w:type="pct"/>
          </w:tcPr>
          <w:p w:rsidR="00826359" w:rsidRPr="00826359" w:rsidRDefault="00826359" w:rsidP="00375135">
            <w:pPr>
              <w:autoSpaceDE w:val="0"/>
              <w:autoSpaceDN w:val="0"/>
              <w:adjustRightInd w:val="0"/>
              <w:spacing w:before="0" w:after="0" w:line="320" w:lineRule="atLeast"/>
              <w:ind w:left="60" w:right="60"/>
              <w:jc w:val="both"/>
              <w:cnfStyle w:val="000000100000"/>
              <w:rPr>
                <w:rFonts w:cs="Calibri"/>
                <w:sz w:val="22"/>
                <w:szCs w:val="22"/>
              </w:rPr>
            </w:pPr>
            <w:r w:rsidRPr="00826359">
              <w:rPr>
                <w:rFonts w:cs="Calibri"/>
                <w:sz w:val="22"/>
                <w:szCs w:val="22"/>
              </w:rPr>
              <w:t>1</w:t>
            </w:r>
          </w:p>
        </w:tc>
        <w:tc>
          <w:tcPr>
            <w:tcW w:w="700" w:type="pct"/>
          </w:tcPr>
          <w:p w:rsidR="00826359" w:rsidRPr="00826359" w:rsidRDefault="00826359" w:rsidP="00375135">
            <w:pPr>
              <w:autoSpaceDE w:val="0"/>
              <w:autoSpaceDN w:val="0"/>
              <w:adjustRightInd w:val="0"/>
              <w:spacing w:before="0" w:after="0" w:line="320" w:lineRule="atLeast"/>
              <w:ind w:left="60" w:right="60"/>
              <w:jc w:val="both"/>
              <w:cnfStyle w:val="000000100000"/>
              <w:rPr>
                <w:rFonts w:cs="Calibri"/>
                <w:sz w:val="22"/>
                <w:szCs w:val="22"/>
              </w:rPr>
            </w:pPr>
            <w:r w:rsidRPr="00826359">
              <w:rPr>
                <w:rFonts w:cs="Calibri"/>
                <w:sz w:val="22"/>
                <w:szCs w:val="22"/>
              </w:rPr>
              <w:t>-.165</w:t>
            </w:r>
          </w:p>
        </w:tc>
      </w:tr>
      <w:tr w:rsidR="00826359" w:rsidRPr="00826359" w:rsidTr="00C50742">
        <w:trPr>
          <w:trHeight w:val="231"/>
          <w:jc w:val="center"/>
        </w:trPr>
        <w:tc>
          <w:tcPr>
            <w:cnfStyle w:val="001000000000"/>
            <w:tcW w:w="710" w:type="pct"/>
          </w:tcPr>
          <w:p w:rsidR="00826359" w:rsidRPr="00826359" w:rsidRDefault="00826359" w:rsidP="00826359">
            <w:pPr>
              <w:autoSpaceDE w:val="0"/>
              <w:autoSpaceDN w:val="0"/>
              <w:adjustRightInd w:val="0"/>
              <w:spacing w:before="0" w:after="0" w:line="240" w:lineRule="auto"/>
              <w:jc w:val="both"/>
              <w:rPr>
                <w:rFonts w:cs="Calibri"/>
                <w:color w:val="000000"/>
                <w:sz w:val="22"/>
                <w:szCs w:val="22"/>
              </w:rPr>
            </w:pPr>
          </w:p>
        </w:tc>
        <w:tc>
          <w:tcPr>
            <w:tcW w:w="682" w:type="pct"/>
          </w:tcPr>
          <w:p w:rsidR="00826359" w:rsidRPr="00826359" w:rsidRDefault="00826359" w:rsidP="00826359">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 xml:space="preserve">Sig. </w:t>
            </w:r>
          </w:p>
          <w:p w:rsidR="00826359" w:rsidRPr="00826359" w:rsidRDefault="00826359" w:rsidP="00826359">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(2-tailed)</w:t>
            </w:r>
          </w:p>
        </w:tc>
        <w:tc>
          <w:tcPr>
            <w:tcW w:w="493"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p>
        </w:tc>
        <w:tc>
          <w:tcPr>
            <w:tcW w:w="683" w:type="pct"/>
          </w:tcPr>
          <w:p w:rsidR="00826359" w:rsidRPr="00826359" w:rsidRDefault="00826359" w:rsidP="00375135">
            <w:pPr>
              <w:autoSpaceDE w:val="0"/>
              <w:autoSpaceDN w:val="0"/>
              <w:adjustRightInd w:val="0"/>
              <w:spacing w:before="0" w:after="0" w:line="320" w:lineRule="atLeast"/>
              <w:ind w:left="60" w:right="60"/>
              <w:jc w:val="both"/>
              <w:cnfStyle w:val="000000000000"/>
              <w:rPr>
                <w:rFonts w:cs="Calibri"/>
                <w:sz w:val="22"/>
                <w:szCs w:val="22"/>
              </w:rPr>
            </w:pPr>
            <w:r w:rsidRPr="00826359">
              <w:rPr>
                <w:rFonts w:cs="Calibri"/>
                <w:sz w:val="22"/>
                <w:szCs w:val="22"/>
              </w:rPr>
              <w:t>.538</w:t>
            </w:r>
          </w:p>
        </w:tc>
        <w:tc>
          <w:tcPr>
            <w:tcW w:w="710" w:type="pct"/>
          </w:tcPr>
          <w:p w:rsidR="00826359" w:rsidRPr="00826359" w:rsidRDefault="00826359" w:rsidP="00375135">
            <w:pPr>
              <w:autoSpaceDE w:val="0"/>
              <w:autoSpaceDN w:val="0"/>
              <w:adjustRightInd w:val="0"/>
              <w:spacing w:before="0" w:after="0" w:line="320" w:lineRule="atLeast"/>
              <w:ind w:left="60" w:right="60"/>
              <w:jc w:val="both"/>
              <w:cnfStyle w:val="000000000000"/>
              <w:rPr>
                <w:rFonts w:cs="Calibri"/>
                <w:sz w:val="22"/>
                <w:szCs w:val="22"/>
              </w:rPr>
            </w:pPr>
            <w:r w:rsidRPr="00826359">
              <w:rPr>
                <w:rFonts w:cs="Calibri"/>
                <w:sz w:val="22"/>
                <w:szCs w:val="22"/>
              </w:rPr>
              <w:t>.930</w:t>
            </w:r>
          </w:p>
        </w:tc>
        <w:tc>
          <w:tcPr>
            <w:tcW w:w="442" w:type="pct"/>
          </w:tcPr>
          <w:p w:rsidR="00826359" w:rsidRPr="00826359" w:rsidRDefault="00826359" w:rsidP="00375135">
            <w:pPr>
              <w:autoSpaceDE w:val="0"/>
              <w:autoSpaceDN w:val="0"/>
              <w:adjustRightInd w:val="0"/>
              <w:spacing w:before="0" w:after="0" w:line="320" w:lineRule="atLeast"/>
              <w:ind w:left="60" w:right="60"/>
              <w:jc w:val="both"/>
              <w:cnfStyle w:val="000000000000"/>
              <w:rPr>
                <w:rFonts w:cs="Calibri"/>
                <w:sz w:val="22"/>
                <w:szCs w:val="22"/>
              </w:rPr>
            </w:pPr>
            <w:r w:rsidRPr="00826359">
              <w:rPr>
                <w:rFonts w:cs="Calibri"/>
                <w:sz w:val="22"/>
                <w:szCs w:val="22"/>
              </w:rPr>
              <w:t>.009</w:t>
            </w:r>
          </w:p>
        </w:tc>
        <w:tc>
          <w:tcPr>
            <w:tcW w:w="580"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p>
        </w:tc>
        <w:tc>
          <w:tcPr>
            <w:tcW w:w="700" w:type="pct"/>
          </w:tcPr>
          <w:p w:rsidR="00826359" w:rsidRPr="00826359" w:rsidRDefault="00826359" w:rsidP="00375135">
            <w:pPr>
              <w:autoSpaceDE w:val="0"/>
              <w:autoSpaceDN w:val="0"/>
              <w:adjustRightInd w:val="0"/>
              <w:spacing w:before="0" w:after="0" w:line="320" w:lineRule="atLeast"/>
              <w:ind w:left="60" w:right="60"/>
              <w:jc w:val="both"/>
              <w:cnfStyle w:val="000000000000"/>
              <w:rPr>
                <w:rFonts w:cs="Calibri"/>
                <w:sz w:val="22"/>
                <w:szCs w:val="22"/>
              </w:rPr>
            </w:pPr>
            <w:r w:rsidRPr="00826359">
              <w:rPr>
                <w:rFonts w:cs="Calibri"/>
                <w:sz w:val="22"/>
                <w:szCs w:val="22"/>
              </w:rPr>
              <w:t>.100</w:t>
            </w:r>
          </w:p>
        </w:tc>
      </w:tr>
      <w:tr w:rsidR="00826359" w:rsidRPr="00826359" w:rsidTr="00C50742">
        <w:trPr>
          <w:cnfStyle w:val="000000100000"/>
          <w:trHeight w:val="353"/>
          <w:jc w:val="center"/>
        </w:trPr>
        <w:tc>
          <w:tcPr>
            <w:cnfStyle w:val="001000000000"/>
            <w:tcW w:w="710" w:type="pct"/>
          </w:tcPr>
          <w:p w:rsidR="00826359" w:rsidRPr="00826359" w:rsidRDefault="00826359" w:rsidP="00826359">
            <w:pPr>
              <w:autoSpaceDE w:val="0"/>
              <w:autoSpaceDN w:val="0"/>
              <w:adjustRightInd w:val="0"/>
              <w:spacing w:before="0" w:after="0" w:line="320" w:lineRule="atLeast"/>
              <w:ind w:right="60"/>
              <w:jc w:val="both"/>
              <w:rPr>
                <w:rFonts w:cs="Calibri"/>
                <w:color w:val="000000"/>
                <w:sz w:val="22"/>
                <w:szCs w:val="22"/>
              </w:rPr>
            </w:pPr>
            <w:r w:rsidRPr="00826359">
              <w:rPr>
                <w:rFonts w:cs="Calibri"/>
                <w:sz w:val="22"/>
                <w:szCs w:val="22"/>
              </w:rPr>
              <w:t xml:space="preserve"> Profitability</w:t>
            </w:r>
          </w:p>
        </w:tc>
        <w:tc>
          <w:tcPr>
            <w:tcW w:w="682" w:type="pct"/>
          </w:tcPr>
          <w:p w:rsidR="00826359" w:rsidRPr="00826359" w:rsidRDefault="00826359" w:rsidP="00826359">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Pearson Correlation</w:t>
            </w:r>
          </w:p>
        </w:tc>
        <w:tc>
          <w:tcPr>
            <w:tcW w:w="493"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.079</w:t>
            </w:r>
          </w:p>
        </w:tc>
        <w:tc>
          <w:tcPr>
            <w:tcW w:w="683"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.045</w:t>
            </w:r>
          </w:p>
        </w:tc>
        <w:tc>
          <w:tcPr>
            <w:tcW w:w="710"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-.009</w:t>
            </w:r>
          </w:p>
        </w:tc>
        <w:tc>
          <w:tcPr>
            <w:tcW w:w="442"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-.099</w:t>
            </w:r>
          </w:p>
        </w:tc>
        <w:tc>
          <w:tcPr>
            <w:tcW w:w="580"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-.165</w:t>
            </w:r>
          </w:p>
        </w:tc>
        <w:tc>
          <w:tcPr>
            <w:tcW w:w="700" w:type="pct"/>
          </w:tcPr>
          <w:p w:rsidR="00826359" w:rsidRPr="00826359" w:rsidRDefault="00826359" w:rsidP="00375135">
            <w:pPr>
              <w:autoSpaceDE w:val="0"/>
              <w:autoSpaceDN w:val="0"/>
              <w:adjustRightInd w:val="0"/>
              <w:spacing w:before="0" w:after="0" w:line="320" w:lineRule="atLeast"/>
              <w:ind w:right="60"/>
              <w:jc w:val="both"/>
              <w:cnfStyle w:val="000000100000"/>
              <w:rPr>
                <w:rFonts w:cs="Calibri"/>
                <w:sz w:val="22"/>
                <w:szCs w:val="22"/>
              </w:rPr>
            </w:pPr>
            <w:r w:rsidRPr="00826359">
              <w:rPr>
                <w:rFonts w:cs="Calibri"/>
                <w:sz w:val="22"/>
                <w:szCs w:val="22"/>
              </w:rPr>
              <w:t>1</w:t>
            </w:r>
          </w:p>
        </w:tc>
      </w:tr>
      <w:tr w:rsidR="00826359" w:rsidRPr="00826359" w:rsidTr="00C50742">
        <w:trPr>
          <w:trHeight w:val="231"/>
          <w:jc w:val="center"/>
        </w:trPr>
        <w:tc>
          <w:tcPr>
            <w:cnfStyle w:val="001000000000"/>
            <w:tcW w:w="710" w:type="pct"/>
          </w:tcPr>
          <w:p w:rsidR="00826359" w:rsidRPr="00826359" w:rsidRDefault="00826359" w:rsidP="00826359">
            <w:pPr>
              <w:autoSpaceDE w:val="0"/>
              <w:autoSpaceDN w:val="0"/>
              <w:adjustRightInd w:val="0"/>
              <w:spacing w:before="0" w:after="0" w:line="240" w:lineRule="auto"/>
              <w:jc w:val="both"/>
              <w:rPr>
                <w:rFonts w:cs="Calibri"/>
                <w:color w:val="000000"/>
                <w:sz w:val="22"/>
                <w:szCs w:val="22"/>
              </w:rPr>
            </w:pPr>
          </w:p>
        </w:tc>
        <w:tc>
          <w:tcPr>
            <w:tcW w:w="682" w:type="pct"/>
          </w:tcPr>
          <w:p w:rsidR="00826359" w:rsidRPr="00826359" w:rsidRDefault="00826359" w:rsidP="00826359">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 xml:space="preserve">Sig. </w:t>
            </w:r>
          </w:p>
          <w:p w:rsidR="00826359" w:rsidRPr="00826359" w:rsidRDefault="00826359" w:rsidP="00826359">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(2-tailed)</w:t>
            </w:r>
          </w:p>
        </w:tc>
        <w:tc>
          <w:tcPr>
            <w:tcW w:w="493"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.437</w:t>
            </w:r>
          </w:p>
        </w:tc>
        <w:tc>
          <w:tcPr>
            <w:tcW w:w="683"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.656</w:t>
            </w:r>
          </w:p>
        </w:tc>
        <w:tc>
          <w:tcPr>
            <w:tcW w:w="710"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.930</w:t>
            </w:r>
          </w:p>
        </w:tc>
        <w:tc>
          <w:tcPr>
            <w:tcW w:w="442"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.325</w:t>
            </w:r>
          </w:p>
        </w:tc>
        <w:tc>
          <w:tcPr>
            <w:tcW w:w="580" w:type="pct"/>
          </w:tcPr>
          <w:p w:rsidR="00826359" w:rsidRPr="00826359" w:rsidRDefault="00826359" w:rsidP="00375135">
            <w:pPr>
              <w:autoSpaceDE w:val="0"/>
              <w:autoSpaceDN w:val="0"/>
              <w:adjustRightInd w:val="0"/>
              <w:spacing w:before="0" w:after="0" w:line="320" w:lineRule="atLeast"/>
              <w:ind w:right="60"/>
              <w:jc w:val="both"/>
              <w:cnfStyle w:val="000000000000"/>
              <w:rPr>
                <w:rFonts w:cs="Calibri"/>
                <w:sz w:val="22"/>
                <w:szCs w:val="22"/>
              </w:rPr>
            </w:pPr>
            <w:r w:rsidRPr="00826359">
              <w:rPr>
                <w:rFonts w:cs="Calibri"/>
                <w:sz w:val="22"/>
                <w:szCs w:val="22"/>
              </w:rPr>
              <w:t>.100</w:t>
            </w:r>
          </w:p>
        </w:tc>
        <w:tc>
          <w:tcPr>
            <w:tcW w:w="700" w:type="pct"/>
          </w:tcPr>
          <w:p w:rsidR="00826359" w:rsidRPr="00826359" w:rsidRDefault="00826359" w:rsidP="00375135">
            <w:pPr>
              <w:autoSpaceDE w:val="0"/>
              <w:autoSpaceDN w:val="0"/>
              <w:adjustRightInd w:val="0"/>
              <w:spacing w:before="0" w:after="0" w:line="240" w:lineRule="auto"/>
              <w:jc w:val="both"/>
              <w:cnfStyle w:val="000000000000"/>
              <w:rPr>
                <w:rFonts w:cs="Calibri"/>
                <w:sz w:val="22"/>
                <w:szCs w:val="22"/>
              </w:rPr>
            </w:pPr>
          </w:p>
        </w:tc>
      </w:tr>
    </w:tbl>
    <w:p w:rsidR="00A95413" w:rsidRPr="00046999" w:rsidRDefault="00A95413" w:rsidP="001D4BB3">
      <w:pPr>
        <w:jc w:val="both"/>
        <w:rPr>
          <w:rFonts w:cs="Calibri"/>
          <w:sz w:val="22"/>
          <w:szCs w:val="22"/>
        </w:rPr>
      </w:pPr>
      <w:r w:rsidRPr="00046999">
        <w:rPr>
          <w:rFonts w:cs="Calibri"/>
          <w:sz w:val="22"/>
          <w:szCs w:val="22"/>
        </w:rPr>
        <w:t xml:space="preserve">The associations are only described once; if managerial ownership is significantly associated with </w:t>
      </w:r>
      <w:r>
        <w:rPr>
          <w:rFonts w:cs="Calibri"/>
          <w:sz w:val="22"/>
          <w:szCs w:val="22"/>
        </w:rPr>
        <w:t>size</w:t>
      </w:r>
      <w:r w:rsidRPr="00046999">
        <w:rPr>
          <w:rFonts w:cs="Calibri"/>
          <w:sz w:val="22"/>
          <w:szCs w:val="22"/>
        </w:rPr>
        <w:t xml:space="preserve">, </w:t>
      </w:r>
      <w:r>
        <w:rPr>
          <w:rFonts w:cs="Calibri"/>
          <w:sz w:val="22"/>
          <w:szCs w:val="22"/>
        </w:rPr>
        <w:t>size</w:t>
      </w:r>
      <w:r w:rsidRPr="00046999">
        <w:rPr>
          <w:rFonts w:cs="Calibri"/>
          <w:sz w:val="22"/>
          <w:szCs w:val="22"/>
        </w:rPr>
        <w:t xml:space="preserve"> is also significantly associated with managerial ownership. Here the associations are described:</w:t>
      </w:r>
    </w:p>
    <w:p w:rsidR="00A95413" w:rsidRPr="00046999" w:rsidRDefault="00A95413" w:rsidP="001D4BB3">
      <w:pPr>
        <w:jc w:val="both"/>
        <w:rPr>
          <w:rFonts w:cs="Calibri"/>
          <w:sz w:val="22"/>
          <w:szCs w:val="22"/>
        </w:rPr>
      </w:pPr>
      <w:r w:rsidRPr="00046999">
        <w:rPr>
          <w:rFonts w:cs="Calibri"/>
          <w:sz w:val="22"/>
          <w:szCs w:val="22"/>
        </w:rPr>
        <w:t xml:space="preserve">The results show that various variables are significantly associated. Managerial ownership is negatively associated with Dscore with a coefficient of r=-.254 which is also significant at p&lt;0.05. This means that </w:t>
      </w:r>
      <w:r w:rsidRPr="00046999">
        <w:rPr>
          <w:rFonts w:cs="Calibri"/>
          <w:sz w:val="22"/>
          <w:szCs w:val="22"/>
        </w:rPr>
        <w:lastRenderedPageBreak/>
        <w:t xml:space="preserve">there is less than 0.05 probability that this correlation coefficient would have occurred by chance in this sample (Field, 2005). Blockholder ownership is also negatively associated with Dscore with a coefficient of r=-.282 at a significance level of p&lt;0.01. </w:t>
      </w:r>
      <w:r>
        <w:rPr>
          <w:rFonts w:cs="Calibri"/>
          <w:sz w:val="22"/>
          <w:szCs w:val="22"/>
        </w:rPr>
        <w:t>Size</w:t>
      </w:r>
      <w:r w:rsidRPr="00046999">
        <w:rPr>
          <w:rFonts w:cs="Calibri"/>
          <w:sz w:val="22"/>
          <w:szCs w:val="22"/>
        </w:rPr>
        <w:t xml:space="preserve"> is positively associated with Dscore with a coefficient of r=.548 at a significance level of p&lt;0.01. Leverage is also positively associated with Dscore with a coefficient of r=.239 at a significance level of p&lt;0.05. </w:t>
      </w:r>
      <w:r>
        <w:rPr>
          <w:rFonts w:cs="Calibri"/>
          <w:sz w:val="22"/>
          <w:szCs w:val="22"/>
        </w:rPr>
        <w:t>Profitability</w:t>
      </w:r>
      <w:r w:rsidRPr="00046999">
        <w:rPr>
          <w:rFonts w:cs="Calibri"/>
          <w:sz w:val="22"/>
          <w:szCs w:val="22"/>
        </w:rPr>
        <w:t xml:space="preserve"> is positively but not significantly associated with Dscore. </w:t>
      </w:r>
    </w:p>
    <w:p w:rsidR="00A95413" w:rsidRPr="00046999" w:rsidRDefault="00A95413" w:rsidP="001D4BB3">
      <w:pPr>
        <w:jc w:val="both"/>
        <w:rPr>
          <w:rFonts w:cs="Calibri"/>
          <w:sz w:val="22"/>
          <w:szCs w:val="22"/>
        </w:rPr>
      </w:pPr>
      <w:r w:rsidRPr="00046999">
        <w:rPr>
          <w:rFonts w:cs="Calibri"/>
          <w:sz w:val="22"/>
          <w:szCs w:val="22"/>
        </w:rPr>
        <w:t>Managerial ownership</w:t>
      </w:r>
      <w:r w:rsidR="006817B3">
        <w:rPr>
          <w:rFonts w:cs="Calibri"/>
          <w:sz w:val="22"/>
          <w:szCs w:val="22"/>
        </w:rPr>
        <w:t xml:space="preserve"> is positively associated with b</w:t>
      </w:r>
      <w:r w:rsidRPr="00046999">
        <w:rPr>
          <w:rFonts w:cs="Calibri"/>
          <w:sz w:val="22"/>
          <w:szCs w:val="22"/>
        </w:rPr>
        <w:t xml:space="preserve">lockholder ownership with a coefficient of r=.714 and is also significant at p&lt;0.01. Managerial ownership is negatively associated with </w:t>
      </w:r>
      <w:r>
        <w:rPr>
          <w:rFonts w:cs="Calibri"/>
          <w:sz w:val="22"/>
          <w:szCs w:val="22"/>
        </w:rPr>
        <w:t>size</w:t>
      </w:r>
      <w:r w:rsidRPr="00046999">
        <w:rPr>
          <w:rFonts w:cs="Calibri"/>
          <w:sz w:val="22"/>
          <w:szCs w:val="22"/>
        </w:rPr>
        <w:t xml:space="preserve"> with a coefficient of r=-.298 and is significant at p&lt;0.01. </w:t>
      </w:r>
      <w:r>
        <w:rPr>
          <w:rFonts w:cs="Calibri"/>
          <w:sz w:val="22"/>
          <w:szCs w:val="22"/>
        </w:rPr>
        <w:t>Profitability</w:t>
      </w:r>
      <w:r w:rsidRPr="00046999">
        <w:rPr>
          <w:rFonts w:cs="Calibri"/>
          <w:sz w:val="22"/>
          <w:szCs w:val="22"/>
        </w:rPr>
        <w:t xml:space="preserve"> </w:t>
      </w:r>
      <w:r>
        <w:rPr>
          <w:rFonts w:cs="Calibri"/>
          <w:sz w:val="22"/>
          <w:szCs w:val="22"/>
        </w:rPr>
        <w:t>and l</w:t>
      </w:r>
      <w:r w:rsidRPr="00046999">
        <w:rPr>
          <w:rFonts w:cs="Calibri"/>
          <w:sz w:val="22"/>
          <w:szCs w:val="22"/>
        </w:rPr>
        <w:t>everage are negatively but not significantly associated with managerial ownership.</w:t>
      </w:r>
    </w:p>
    <w:p w:rsidR="00A95413" w:rsidRPr="00046999" w:rsidRDefault="00A95413" w:rsidP="001D4BB3">
      <w:pPr>
        <w:jc w:val="both"/>
        <w:rPr>
          <w:rFonts w:cs="Calibri"/>
          <w:sz w:val="22"/>
          <w:szCs w:val="22"/>
        </w:rPr>
      </w:pPr>
      <w:r w:rsidRPr="00046999">
        <w:rPr>
          <w:rFonts w:cs="Calibri"/>
          <w:sz w:val="22"/>
          <w:szCs w:val="22"/>
        </w:rPr>
        <w:t xml:space="preserve">Blockholder ownership is negatively related with </w:t>
      </w:r>
      <w:r>
        <w:rPr>
          <w:rFonts w:cs="Calibri"/>
          <w:sz w:val="22"/>
          <w:szCs w:val="22"/>
        </w:rPr>
        <w:t>size</w:t>
      </w:r>
      <w:r w:rsidRPr="00046999">
        <w:rPr>
          <w:rFonts w:cs="Calibri"/>
          <w:sz w:val="22"/>
          <w:szCs w:val="22"/>
        </w:rPr>
        <w:t xml:space="preserve"> with a coefficient of r=-.211 and is also significant at p&lt;0.05. Furthermore, both </w:t>
      </w:r>
      <w:r>
        <w:rPr>
          <w:rFonts w:cs="Calibri"/>
          <w:sz w:val="22"/>
          <w:szCs w:val="22"/>
        </w:rPr>
        <w:t>profitability</w:t>
      </w:r>
      <w:r w:rsidRPr="00046999">
        <w:rPr>
          <w:rFonts w:cs="Calibri"/>
          <w:sz w:val="22"/>
          <w:szCs w:val="22"/>
        </w:rPr>
        <w:t xml:space="preserve"> </w:t>
      </w:r>
      <w:r>
        <w:rPr>
          <w:rFonts w:cs="Calibri"/>
          <w:sz w:val="22"/>
          <w:szCs w:val="22"/>
        </w:rPr>
        <w:t>and l</w:t>
      </w:r>
      <w:r w:rsidRPr="00046999">
        <w:rPr>
          <w:rFonts w:cs="Calibri"/>
          <w:sz w:val="22"/>
          <w:szCs w:val="22"/>
        </w:rPr>
        <w:t>everage are negatively but not</w:t>
      </w:r>
      <w:r w:rsidR="007B5DD0">
        <w:rPr>
          <w:rFonts w:cs="Calibri"/>
          <w:sz w:val="22"/>
          <w:szCs w:val="22"/>
        </w:rPr>
        <w:t xml:space="preserve"> significantly associated with b</w:t>
      </w:r>
      <w:r w:rsidRPr="00046999">
        <w:rPr>
          <w:rFonts w:cs="Calibri"/>
          <w:sz w:val="22"/>
          <w:szCs w:val="22"/>
        </w:rPr>
        <w:t xml:space="preserve">lockholder ownership. </w:t>
      </w:r>
      <w:r>
        <w:rPr>
          <w:rFonts w:cs="Calibri"/>
          <w:sz w:val="22"/>
          <w:szCs w:val="22"/>
        </w:rPr>
        <w:t>Size</w:t>
      </w:r>
      <w:r w:rsidRPr="00046999">
        <w:rPr>
          <w:rFonts w:cs="Calibri"/>
          <w:sz w:val="22"/>
          <w:szCs w:val="22"/>
        </w:rPr>
        <w:t xml:space="preserve"> is negatively associated with </w:t>
      </w:r>
      <w:r>
        <w:rPr>
          <w:rFonts w:cs="Calibri"/>
          <w:sz w:val="22"/>
          <w:szCs w:val="22"/>
        </w:rPr>
        <w:t>profitability</w:t>
      </w:r>
      <w:r w:rsidRPr="00046999">
        <w:rPr>
          <w:rFonts w:cs="Calibri"/>
          <w:sz w:val="22"/>
          <w:szCs w:val="22"/>
        </w:rPr>
        <w:t xml:space="preserve"> with a coefficient of r=-.099 but not significant. </w:t>
      </w:r>
      <w:r>
        <w:rPr>
          <w:rFonts w:cs="Calibri"/>
          <w:sz w:val="22"/>
          <w:szCs w:val="22"/>
        </w:rPr>
        <w:t>Size is positively associated with l</w:t>
      </w:r>
      <w:r w:rsidRPr="00046999">
        <w:rPr>
          <w:rFonts w:cs="Calibri"/>
          <w:sz w:val="22"/>
          <w:szCs w:val="22"/>
        </w:rPr>
        <w:t xml:space="preserve">everage with a coefficient of r=.260 and significant at p&lt;0.01. </w:t>
      </w:r>
      <w:r>
        <w:rPr>
          <w:rFonts w:cs="Calibri"/>
          <w:sz w:val="22"/>
          <w:szCs w:val="22"/>
        </w:rPr>
        <w:t>Profitability</w:t>
      </w:r>
      <w:r w:rsidRPr="00046999">
        <w:rPr>
          <w:rFonts w:cs="Calibri"/>
          <w:sz w:val="22"/>
          <w:szCs w:val="22"/>
        </w:rPr>
        <w:t xml:space="preserve"> is negativ</w:t>
      </w:r>
      <w:r>
        <w:rPr>
          <w:rFonts w:cs="Calibri"/>
          <w:sz w:val="22"/>
          <w:szCs w:val="22"/>
        </w:rPr>
        <w:t>ely associated with l</w:t>
      </w:r>
      <w:r w:rsidRPr="00046999">
        <w:rPr>
          <w:rFonts w:cs="Calibri"/>
          <w:sz w:val="22"/>
          <w:szCs w:val="22"/>
        </w:rPr>
        <w:t>everage with a coefficient of r=-.165 but not significant. As blockholder ownership and managerial ownership are significantly associated, the regression will also be tested on blockholder ownership and managerial ownership separately (incl. control variables).</w:t>
      </w:r>
    </w:p>
    <w:p w:rsidR="00A95413" w:rsidRPr="00046999" w:rsidRDefault="00A95413" w:rsidP="001D4BB3">
      <w:pPr>
        <w:jc w:val="both"/>
        <w:rPr>
          <w:rFonts w:cs="Calibri"/>
          <w:sz w:val="22"/>
          <w:szCs w:val="22"/>
          <w:u w:val="single"/>
        </w:rPr>
      </w:pPr>
      <w:r w:rsidRPr="00046999">
        <w:rPr>
          <w:rFonts w:cs="Calibri"/>
          <w:sz w:val="22"/>
          <w:szCs w:val="22"/>
          <w:u w:val="single"/>
        </w:rPr>
        <w:t>Non-parametric analysis</w:t>
      </w:r>
    </w:p>
    <w:p w:rsidR="00A95413" w:rsidRPr="00046999" w:rsidRDefault="00A95413" w:rsidP="001D4BB3">
      <w:pPr>
        <w:jc w:val="both"/>
        <w:rPr>
          <w:rFonts w:cs="Calibri"/>
          <w:sz w:val="22"/>
          <w:szCs w:val="22"/>
        </w:rPr>
      </w:pPr>
      <w:r w:rsidRPr="00046999">
        <w:rPr>
          <w:rFonts w:cs="Calibri"/>
          <w:sz w:val="22"/>
          <w:szCs w:val="22"/>
        </w:rPr>
        <w:t xml:space="preserve">First, the relation between government ownership and voluntary disclosures is tested </w:t>
      </w:r>
      <w:r w:rsidR="004D713B">
        <w:rPr>
          <w:rFonts w:cs="Calibri"/>
          <w:sz w:val="22"/>
          <w:szCs w:val="22"/>
        </w:rPr>
        <w:t>via a non-</w:t>
      </w:r>
      <w:r w:rsidRPr="00046999">
        <w:rPr>
          <w:rFonts w:cs="Calibri"/>
          <w:sz w:val="22"/>
          <w:szCs w:val="22"/>
        </w:rPr>
        <w:t>parametric test</w:t>
      </w:r>
      <w:r w:rsidR="004D713B">
        <w:rPr>
          <w:rFonts w:cs="Calibri"/>
          <w:sz w:val="22"/>
          <w:szCs w:val="22"/>
        </w:rPr>
        <w:t xml:space="preserve">, </w:t>
      </w:r>
      <w:r w:rsidR="00263399">
        <w:rPr>
          <w:rFonts w:cs="Calibri"/>
          <w:sz w:val="22"/>
          <w:szCs w:val="22"/>
        </w:rPr>
        <w:t>as</w:t>
      </w:r>
      <w:r w:rsidR="004D713B">
        <w:rPr>
          <w:rFonts w:cs="Calibri"/>
          <w:sz w:val="22"/>
          <w:szCs w:val="22"/>
        </w:rPr>
        <w:t xml:space="preserve"> the data is not normally distributed</w:t>
      </w:r>
      <w:r w:rsidRPr="00046999">
        <w:rPr>
          <w:rFonts w:cs="Calibri"/>
          <w:sz w:val="22"/>
          <w:szCs w:val="22"/>
        </w:rPr>
        <w:t xml:space="preserve">. </w:t>
      </w:r>
      <w:r w:rsidR="004D713B">
        <w:rPr>
          <w:rFonts w:cs="Calibri"/>
          <w:sz w:val="22"/>
          <w:szCs w:val="22"/>
        </w:rPr>
        <w:t>Table 5 gives the</w:t>
      </w:r>
      <w:r w:rsidRPr="00046999">
        <w:rPr>
          <w:rFonts w:cs="Calibri"/>
          <w:sz w:val="22"/>
          <w:szCs w:val="22"/>
        </w:rPr>
        <w:t xml:space="preserve"> results of</w:t>
      </w:r>
      <w:r w:rsidR="004D713B">
        <w:rPr>
          <w:rFonts w:cs="Calibri"/>
          <w:sz w:val="22"/>
          <w:szCs w:val="22"/>
        </w:rPr>
        <w:t xml:space="preserve"> this test.</w:t>
      </w:r>
    </w:p>
    <w:p w:rsidR="00A95413" w:rsidRPr="0086182C" w:rsidRDefault="00A95413" w:rsidP="0086182C">
      <w:pPr>
        <w:pStyle w:val="Bijschrift"/>
        <w:keepNext/>
        <w:rPr>
          <w:sz w:val="22"/>
          <w:szCs w:val="22"/>
        </w:rPr>
      </w:pPr>
      <w:r w:rsidRPr="0086182C">
        <w:rPr>
          <w:sz w:val="22"/>
          <w:szCs w:val="22"/>
        </w:rPr>
        <w:t xml:space="preserve">Table </w:t>
      </w:r>
      <w:r w:rsidR="00E0784B" w:rsidRPr="0086182C">
        <w:rPr>
          <w:sz w:val="22"/>
          <w:szCs w:val="22"/>
        </w:rPr>
        <w:fldChar w:fldCharType="begin"/>
      </w:r>
      <w:r w:rsidRPr="0086182C">
        <w:rPr>
          <w:sz w:val="22"/>
          <w:szCs w:val="22"/>
        </w:rPr>
        <w:instrText xml:space="preserve"> SEQ Table \* ARABIC </w:instrText>
      </w:r>
      <w:r w:rsidR="00E0784B" w:rsidRPr="0086182C">
        <w:rPr>
          <w:sz w:val="22"/>
          <w:szCs w:val="22"/>
        </w:rPr>
        <w:fldChar w:fldCharType="separate"/>
      </w:r>
      <w:r>
        <w:rPr>
          <w:noProof/>
          <w:sz w:val="22"/>
          <w:szCs w:val="22"/>
        </w:rPr>
        <w:t>5</w:t>
      </w:r>
      <w:r w:rsidR="00E0784B" w:rsidRPr="0086182C">
        <w:rPr>
          <w:sz w:val="22"/>
          <w:szCs w:val="22"/>
        </w:rPr>
        <w:fldChar w:fldCharType="end"/>
      </w:r>
      <w:r w:rsidRPr="0086182C">
        <w:rPr>
          <w:sz w:val="22"/>
          <w:szCs w:val="22"/>
        </w:rPr>
        <w:t>: Spearman Correlation Table</w:t>
      </w:r>
    </w:p>
    <w:tbl>
      <w:tblPr>
        <w:tblStyle w:val="Lichtearcering-accent13"/>
        <w:tblW w:w="10231" w:type="dxa"/>
        <w:jc w:val="center"/>
        <w:tblLook w:val="04A0"/>
      </w:tblPr>
      <w:tblGrid>
        <w:gridCol w:w="1405"/>
        <w:gridCol w:w="1471"/>
        <w:gridCol w:w="1348"/>
        <w:gridCol w:w="981"/>
        <w:gridCol w:w="1494"/>
        <w:gridCol w:w="949"/>
        <w:gridCol w:w="1160"/>
        <w:gridCol w:w="1423"/>
      </w:tblGrid>
      <w:tr w:rsidR="00C50742" w:rsidRPr="00C50742" w:rsidTr="004D4C39">
        <w:trPr>
          <w:cnfStyle w:val="100000000000"/>
          <w:trHeight w:val="84"/>
          <w:jc w:val="center"/>
        </w:trPr>
        <w:tc>
          <w:tcPr>
            <w:cnfStyle w:val="001000000000"/>
            <w:tcW w:w="1405" w:type="dxa"/>
          </w:tcPr>
          <w:p w:rsidR="00C50742" w:rsidRPr="00C50742" w:rsidRDefault="00C50742" w:rsidP="00C50742">
            <w:pPr>
              <w:spacing w:before="0" w:after="0" w:line="240" w:lineRule="auto"/>
              <w:rPr>
                <w:sz w:val="22"/>
                <w:szCs w:val="22"/>
              </w:rPr>
            </w:pPr>
          </w:p>
        </w:tc>
        <w:tc>
          <w:tcPr>
            <w:tcW w:w="1471" w:type="dxa"/>
          </w:tcPr>
          <w:p w:rsidR="00C50742" w:rsidRPr="00C50742" w:rsidRDefault="00C50742" w:rsidP="00C50742">
            <w:pPr>
              <w:spacing w:before="0" w:after="0" w:line="240" w:lineRule="auto"/>
              <w:cnfStyle w:val="100000000000"/>
              <w:rPr>
                <w:sz w:val="22"/>
                <w:szCs w:val="22"/>
              </w:rPr>
            </w:pPr>
          </w:p>
        </w:tc>
        <w:tc>
          <w:tcPr>
            <w:tcW w:w="1348" w:type="dxa"/>
          </w:tcPr>
          <w:p w:rsidR="00C50742" w:rsidRPr="00C50742" w:rsidRDefault="00C50742" w:rsidP="00C50742">
            <w:pPr>
              <w:spacing w:before="0" w:after="0" w:line="240" w:lineRule="auto"/>
              <w:cnfStyle w:val="100000000000"/>
              <w:rPr>
                <w:sz w:val="22"/>
                <w:szCs w:val="22"/>
              </w:rPr>
            </w:pPr>
          </w:p>
        </w:tc>
        <w:tc>
          <w:tcPr>
            <w:tcW w:w="981" w:type="dxa"/>
          </w:tcPr>
          <w:p w:rsidR="00C50742" w:rsidRPr="00C50742" w:rsidRDefault="00C50742" w:rsidP="00C50742">
            <w:pPr>
              <w:autoSpaceDE w:val="0"/>
              <w:autoSpaceDN w:val="0"/>
              <w:adjustRightInd w:val="0"/>
              <w:spacing w:before="0" w:after="0" w:line="320" w:lineRule="atLeast"/>
              <w:ind w:left="60" w:right="60"/>
              <w:jc w:val="both"/>
              <w:cnfStyle w:val="100000000000"/>
              <w:rPr>
                <w:rFonts w:cs="Calibri"/>
                <w:sz w:val="22"/>
                <w:szCs w:val="22"/>
                <w:lang w:val="nl-NL"/>
              </w:rPr>
            </w:pPr>
            <w:r w:rsidRPr="00C50742">
              <w:rPr>
                <w:rFonts w:cs="Calibri"/>
                <w:sz w:val="22"/>
                <w:szCs w:val="22"/>
                <w:lang w:val="nl-NL"/>
              </w:rPr>
              <w:t>DScore</w:t>
            </w:r>
          </w:p>
        </w:tc>
        <w:tc>
          <w:tcPr>
            <w:tcW w:w="1494" w:type="dxa"/>
          </w:tcPr>
          <w:p w:rsidR="00C50742" w:rsidRPr="00C50742" w:rsidRDefault="00C50742" w:rsidP="00C50742">
            <w:pPr>
              <w:autoSpaceDE w:val="0"/>
              <w:autoSpaceDN w:val="0"/>
              <w:adjustRightInd w:val="0"/>
              <w:spacing w:before="0" w:after="0" w:line="320" w:lineRule="atLeast"/>
              <w:ind w:left="60" w:right="60"/>
              <w:jc w:val="both"/>
              <w:cnfStyle w:val="100000000000"/>
              <w:rPr>
                <w:rFonts w:cs="Calibri"/>
                <w:sz w:val="22"/>
                <w:szCs w:val="22"/>
                <w:lang w:val="nl-NL"/>
              </w:rPr>
            </w:pPr>
            <w:r w:rsidRPr="00C50742">
              <w:rPr>
                <w:rFonts w:cs="Calibri"/>
                <w:sz w:val="22"/>
                <w:szCs w:val="22"/>
                <w:lang w:val="nl-NL"/>
              </w:rPr>
              <w:t>Government ownership</w:t>
            </w:r>
          </w:p>
        </w:tc>
        <w:tc>
          <w:tcPr>
            <w:tcW w:w="949" w:type="dxa"/>
          </w:tcPr>
          <w:p w:rsidR="00C50742" w:rsidRPr="00C50742" w:rsidRDefault="00C50742" w:rsidP="00C50742">
            <w:pPr>
              <w:autoSpaceDE w:val="0"/>
              <w:autoSpaceDN w:val="0"/>
              <w:adjustRightInd w:val="0"/>
              <w:spacing w:before="0" w:after="0" w:line="320" w:lineRule="atLeast"/>
              <w:ind w:left="60" w:right="60"/>
              <w:jc w:val="both"/>
              <w:cnfStyle w:val="100000000000"/>
              <w:rPr>
                <w:rFonts w:cs="Calibri"/>
                <w:sz w:val="22"/>
                <w:szCs w:val="22"/>
                <w:lang w:val="nl-NL"/>
              </w:rPr>
            </w:pPr>
            <w:r w:rsidRPr="00C50742">
              <w:rPr>
                <w:rFonts w:cs="Calibri"/>
                <w:sz w:val="22"/>
                <w:szCs w:val="22"/>
                <w:lang w:val="nl-NL"/>
              </w:rPr>
              <w:t>Size</w:t>
            </w:r>
          </w:p>
        </w:tc>
        <w:tc>
          <w:tcPr>
            <w:tcW w:w="1160" w:type="dxa"/>
          </w:tcPr>
          <w:p w:rsidR="00C50742" w:rsidRPr="00C50742" w:rsidRDefault="00C50742" w:rsidP="00C50742">
            <w:pPr>
              <w:autoSpaceDE w:val="0"/>
              <w:autoSpaceDN w:val="0"/>
              <w:adjustRightInd w:val="0"/>
              <w:spacing w:before="0" w:after="0" w:line="320" w:lineRule="atLeast"/>
              <w:ind w:left="60" w:right="60"/>
              <w:jc w:val="both"/>
              <w:cnfStyle w:val="100000000000"/>
              <w:rPr>
                <w:rFonts w:cs="Calibri"/>
                <w:sz w:val="22"/>
                <w:szCs w:val="22"/>
                <w:lang w:val="nl-NL"/>
              </w:rPr>
            </w:pPr>
            <w:r w:rsidRPr="00C50742">
              <w:rPr>
                <w:rFonts w:cs="Calibri"/>
                <w:sz w:val="22"/>
                <w:szCs w:val="22"/>
                <w:lang w:val="nl-NL"/>
              </w:rPr>
              <w:t>Leverage</w:t>
            </w:r>
          </w:p>
        </w:tc>
        <w:tc>
          <w:tcPr>
            <w:tcW w:w="1423" w:type="dxa"/>
          </w:tcPr>
          <w:p w:rsidR="00C50742" w:rsidRPr="00C50742" w:rsidRDefault="00C50742" w:rsidP="00C50742">
            <w:pPr>
              <w:autoSpaceDE w:val="0"/>
              <w:autoSpaceDN w:val="0"/>
              <w:adjustRightInd w:val="0"/>
              <w:spacing w:before="0" w:after="0" w:line="320" w:lineRule="atLeast"/>
              <w:ind w:left="60" w:right="60"/>
              <w:jc w:val="both"/>
              <w:cnfStyle w:val="100000000000"/>
              <w:rPr>
                <w:rFonts w:cs="Calibri"/>
                <w:sz w:val="22"/>
                <w:szCs w:val="22"/>
                <w:lang w:val="nl-NL"/>
              </w:rPr>
            </w:pPr>
            <w:r w:rsidRPr="00C50742">
              <w:rPr>
                <w:rFonts w:cs="Calibri"/>
                <w:sz w:val="22"/>
                <w:szCs w:val="22"/>
                <w:lang w:val="nl-NL"/>
              </w:rPr>
              <w:t>Profitability</w:t>
            </w:r>
          </w:p>
        </w:tc>
      </w:tr>
      <w:tr w:rsidR="00C50742" w:rsidRPr="00C50742" w:rsidTr="004D4C39">
        <w:trPr>
          <w:cnfStyle w:val="000000100000"/>
          <w:trHeight w:val="84"/>
          <w:jc w:val="center"/>
        </w:trPr>
        <w:tc>
          <w:tcPr>
            <w:cnfStyle w:val="001000000000"/>
            <w:tcW w:w="1405" w:type="dxa"/>
          </w:tcPr>
          <w:p w:rsidR="00C50742" w:rsidRPr="00C50742" w:rsidRDefault="00C50742" w:rsidP="00C50742">
            <w:pPr>
              <w:autoSpaceDE w:val="0"/>
              <w:autoSpaceDN w:val="0"/>
              <w:adjustRightInd w:val="0"/>
              <w:spacing w:before="0" w:after="0" w:line="320" w:lineRule="atLeast"/>
              <w:ind w:left="60" w:right="60"/>
              <w:jc w:val="both"/>
              <w:rPr>
                <w:rFonts w:cs="Calibri"/>
                <w:sz w:val="22"/>
                <w:szCs w:val="22"/>
                <w:lang w:val="nl-NL"/>
              </w:rPr>
            </w:pPr>
            <w:r w:rsidRPr="00C50742">
              <w:rPr>
                <w:rFonts w:cs="Calibri"/>
                <w:sz w:val="22"/>
                <w:szCs w:val="22"/>
                <w:lang w:val="nl-NL"/>
              </w:rPr>
              <w:t>Spearman's rho</w:t>
            </w:r>
          </w:p>
        </w:tc>
        <w:tc>
          <w:tcPr>
            <w:tcW w:w="1471"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DScore</w:t>
            </w:r>
          </w:p>
        </w:tc>
        <w:tc>
          <w:tcPr>
            <w:tcW w:w="1348"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Correlation Coefficient</w:t>
            </w:r>
          </w:p>
        </w:tc>
        <w:tc>
          <w:tcPr>
            <w:tcW w:w="981"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1.000</w:t>
            </w:r>
          </w:p>
        </w:tc>
        <w:tc>
          <w:tcPr>
            <w:tcW w:w="1494"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.427**</w:t>
            </w:r>
          </w:p>
        </w:tc>
        <w:tc>
          <w:tcPr>
            <w:tcW w:w="949"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.577**</w:t>
            </w:r>
          </w:p>
        </w:tc>
        <w:tc>
          <w:tcPr>
            <w:tcW w:w="1160"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.197*</w:t>
            </w:r>
          </w:p>
        </w:tc>
        <w:tc>
          <w:tcPr>
            <w:tcW w:w="1423"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.080</w:t>
            </w:r>
          </w:p>
        </w:tc>
      </w:tr>
      <w:tr w:rsidR="00C50742" w:rsidRPr="00C50742" w:rsidTr="004D4C39">
        <w:trPr>
          <w:trHeight w:val="84"/>
          <w:jc w:val="center"/>
        </w:trPr>
        <w:tc>
          <w:tcPr>
            <w:cnfStyle w:val="001000000000"/>
            <w:tcW w:w="1405" w:type="dxa"/>
          </w:tcPr>
          <w:p w:rsidR="00C50742" w:rsidRPr="00C50742" w:rsidRDefault="00C50742" w:rsidP="00C50742">
            <w:pPr>
              <w:autoSpaceDE w:val="0"/>
              <w:autoSpaceDN w:val="0"/>
              <w:adjustRightInd w:val="0"/>
              <w:spacing w:before="0" w:after="0" w:line="320" w:lineRule="atLeast"/>
              <w:ind w:left="60" w:right="60"/>
              <w:jc w:val="both"/>
              <w:rPr>
                <w:rFonts w:cs="Calibri"/>
                <w:sz w:val="22"/>
                <w:szCs w:val="22"/>
                <w:lang w:val="nl-NL"/>
              </w:rPr>
            </w:pPr>
          </w:p>
        </w:tc>
        <w:tc>
          <w:tcPr>
            <w:tcW w:w="1471"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p>
        </w:tc>
        <w:tc>
          <w:tcPr>
            <w:tcW w:w="1348"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Sig. (2-tailed)</w:t>
            </w:r>
          </w:p>
        </w:tc>
        <w:tc>
          <w:tcPr>
            <w:tcW w:w="981"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w:t>
            </w:r>
          </w:p>
        </w:tc>
        <w:tc>
          <w:tcPr>
            <w:tcW w:w="1494"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.000</w:t>
            </w:r>
          </w:p>
        </w:tc>
        <w:tc>
          <w:tcPr>
            <w:tcW w:w="949"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.000</w:t>
            </w:r>
          </w:p>
        </w:tc>
        <w:tc>
          <w:tcPr>
            <w:tcW w:w="1160"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.049</w:t>
            </w:r>
          </w:p>
        </w:tc>
        <w:tc>
          <w:tcPr>
            <w:tcW w:w="1423"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.426</w:t>
            </w:r>
          </w:p>
        </w:tc>
      </w:tr>
      <w:tr w:rsidR="00C50742" w:rsidRPr="00C50742" w:rsidTr="004D4C39">
        <w:trPr>
          <w:cnfStyle w:val="000000100000"/>
          <w:trHeight w:val="84"/>
          <w:jc w:val="center"/>
        </w:trPr>
        <w:tc>
          <w:tcPr>
            <w:cnfStyle w:val="001000000000"/>
            <w:tcW w:w="1405" w:type="dxa"/>
          </w:tcPr>
          <w:p w:rsidR="00C50742" w:rsidRPr="00C50742" w:rsidRDefault="00C50742" w:rsidP="00C50742">
            <w:pPr>
              <w:autoSpaceDE w:val="0"/>
              <w:autoSpaceDN w:val="0"/>
              <w:adjustRightInd w:val="0"/>
              <w:spacing w:before="0" w:after="0" w:line="320" w:lineRule="atLeast"/>
              <w:ind w:left="60" w:right="60"/>
              <w:jc w:val="both"/>
              <w:rPr>
                <w:rFonts w:cs="Calibri"/>
                <w:sz w:val="22"/>
                <w:szCs w:val="22"/>
                <w:lang w:val="nl-NL"/>
              </w:rPr>
            </w:pPr>
          </w:p>
        </w:tc>
        <w:tc>
          <w:tcPr>
            <w:tcW w:w="1471"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Government ownership</w:t>
            </w:r>
          </w:p>
        </w:tc>
        <w:tc>
          <w:tcPr>
            <w:tcW w:w="1348"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Correlation Coefficient</w:t>
            </w:r>
          </w:p>
        </w:tc>
        <w:tc>
          <w:tcPr>
            <w:tcW w:w="981"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.427**</w:t>
            </w:r>
          </w:p>
        </w:tc>
        <w:tc>
          <w:tcPr>
            <w:tcW w:w="1494"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1.000</w:t>
            </w:r>
          </w:p>
        </w:tc>
        <w:tc>
          <w:tcPr>
            <w:tcW w:w="949"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.583**</w:t>
            </w:r>
          </w:p>
        </w:tc>
        <w:tc>
          <w:tcPr>
            <w:tcW w:w="1160"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.114</w:t>
            </w:r>
          </w:p>
        </w:tc>
        <w:tc>
          <w:tcPr>
            <w:tcW w:w="1423"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-.090</w:t>
            </w:r>
          </w:p>
        </w:tc>
      </w:tr>
      <w:tr w:rsidR="00C50742" w:rsidRPr="00C50742" w:rsidTr="004D4C39">
        <w:trPr>
          <w:trHeight w:val="84"/>
          <w:jc w:val="center"/>
        </w:trPr>
        <w:tc>
          <w:tcPr>
            <w:cnfStyle w:val="001000000000"/>
            <w:tcW w:w="1405" w:type="dxa"/>
          </w:tcPr>
          <w:p w:rsidR="00C50742" w:rsidRPr="00C50742" w:rsidRDefault="00C50742" w:rsidP="00C50742">
            <w:pPr>
              <w:autoSpaceDE w:val="0"/>
              <w:autoSpaceDN w:val="0"/>
              <w:adjustRightInd w:val="0"/>
              <w:spacing w:before="0" w:after="0" w:line="320" w:lineRule="atLeast"/>
              <w:ind w:left="60" w:right="60"/>
              <w:jc w:val="both"/>
              <w:rPr>
                <w:rFonts w:cs="Calibri"/>
                <w:sz w:val="22"/>
                <w:szCs w:val="22"/>
                <w:lang w:val="nl-NL"/>
              </w:rPr>
            </w:pPr>
          </w:p>
        </w:tc>
        <w:tc>
          <w:tcPr>
            <w:tcW w:w="1471"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p>
        </w:tc>
        <w:tc>
          <w:tcPr>
            <w:tcW w:w="1348"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Sig. (2-tailed)</w:t>
            </w:r>
          </w:p>
        </w:tc>
        <w:tc>
          <w:tcPr>
            <w:tcW w:w="981"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.000</w:t>
            </w:r>
          </w:p>
        </w:tc>
        <w:tc>
          <w:tcPr>
            <w:tcW w:w="1494"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w:t>
            </w:r>
          </w:p>
        </w:tc>
        <w:tc>
          <w:tcPr>
            <w:tcW w:w="949"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.000</w:t>
            </w:r>
          </w:p>
        </w:tc>
        <w:tc>
          <w:tcPr>
            <w:tcW w:w="1160"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.258</w:t>
            </w:r>
          </w:p>
        </w:tc>
        <w:tc>
          <w:tcPr>
            <w:tcW w:w="1423"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.375</w:t>
            </w:r>
          </w:p>
        </w:tc>
      </w:tr>
      <w:tr w:rsidR="00C50742" w:rsidRPr="00C50742" w:rsidTr="004D4C39">
        <w:trPr>
          <w:cnfStyle w:val="000000100000"/>
          <w:trHeight w:val="84"/>
          <w:jc w:val="center"/>
        </w:trPr>
        <w:tc>
          <w:tcPr>
            <w:cnfStyle w:val="001000000000"/>
            <w:tcW w:w="1405" w:type="dxa"/>
          </w:tcPr>
          <w:p w:rsidR="00C50742" w:rsidRPr="00C50742" w:rsidRDefault="00C50742" w:rsidP="00C50742">
            <w:pPr>
              <w:autoSpaceDE w:val="0"/>
              <w:autoSpaceDN w:val="0"/>
              <w:adjustRightInd w:val="0"/>
              <w:spacing w:before="0" w:after="0" w:line="320" w:lineRule="atLeast"/>
              <w:ind w:left="60" w:right="60"/>
              <w:jc w:val="both"/>
              <w:rPr>
                <w:rFonts w:cs="Calibri"/>
                <w:sz w:val="22"/>
                <w:szCs w:val="22"/>
                <w:lang w:val="nl-NL"/>
              </w:rPr>
            </w:pPr>
          </w:p>
        </w:tc>
        <w:tc>
          <w:tcPr>
            <w:tcW w:w="1471"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Size</w:t>
            </w:r>
          </w:p>
        </w:tc>
        <w:tc>
          <w:tcPr>
            <w:tcW w:w="1348"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Correlation Coefficient</w:t>
            </w:r>
          </w:p>
        </w:tc>
        <w:tc>
          <w:tcPr>
            <w:tcW w:w="981"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.577**</w:t>
            </w:r>
          </w:p>
        </w:tc>
        <w:tc>
          <w:tcPr>
            <w:tcW w:w="1494"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.583**</w:t>
            </w:r>
          </w:p>
        </w:tc>
        <w:tc>
          <w:tcPr>
            <w:tcW w:w="949"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1.000</w:t>
            </w:r>
          </w:p>
        </w:tc>
        <w:tc>
          <w:tcPr>
            <w:tcW w:w="1160"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.227*</w:t>
            </w:r>
          </w:p>
        </w:tc>
        <w:tc>
          <w:tcPr>
            <w:tcW w:w="1423"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-.085</w:t>
            </w:r>
          </w:p>
        </w:tc>
      </w:tr>
      <w:tr w:rsidR="00C50742" w:rsidRPr="00C50742" w:rsidTr="004D4C39">
        <w:trPr>
          <w:trHeight w:val="369"/>
          <w:jc w:val="center"/>
        </w:trPr>
        <w:tc>
          <w:tcPr>
            <w:cnfStyle w:val="001000000000"/>
            <w:tcW w:w="1405" w:type="dxa"/>
          </w:tcPr>
          <w:p w:rsidR="00C50742" w:rsidRPr="00C50742" w:rsidRDefault="00C50742" w:rsidP="00C50742">
            <w:pPr>
              <w:autoSpaceDE w:val="0"/>
              <w:autoSpaceDN w:val="0"/>
              <w:adjustRightInd w:val="0"/>
              <w:spacing w:before="0" w:after="0" w:line="320" w:lineRule="atLeast"/>
              <w:ind w:left="60" w:right="60"/>
              <w:jc w:val="both"/>
              <w:rPr>
                <w:rFonts w:cs="Calibri"/>
                <w:sz w:val="22"/>
                <w:szCs w:val="22"/>
                <w:lang w:val="nl-NL"/>
              </w:rPr>
            </w:pPr>
          </w:p>
        </w:tc>
        <w:tc>
          <w:tcPr>
            <w:tcW w:w="1471"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p>
        </w:tc>
        <w:tc>
          <w:tcPr>
            <w:tcW w:w="1348"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Sig. (2-tailed)</w:t>
            </w:r>
          </w:p>
        </w:tc>
        <w:tc>
          <w:tcPr>
            <w:tcW w:w="981"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.000</w:t>
            </w:r>
          </w:p>
        </w:tc>
        <w:tc>
          <w:tcPr>
            <w:tcW w:w="1494"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.000</w:t>
            </w:r>
          </w:p>
        </w:tc>
        <w:tc>
          <w:tcPr>
            <w:tcW w:w="949"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w:t>
            </w:r>
          </w:p>
        </w:tc>
        <w:tc>
          <w:tcPr>
            <w:tcW w:w="1160"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.023</w:t>
            </w:r>
          </w:p>
        </w:tc>
        <w:tc>
          <w:tcPr>
            <w:tcW w:w="1423"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.403</w:t>
            </w:r>
          </w:p>
        </w:tc>
      </w:tr>
      <w:tr w:rsidR="00C50742" w:rsidRPr="00C50742" w:rsidTr="004D4C39">
        <w:trPr>
          <w:cnfStyle w:val="000000100000"/>
          <w:trHeight w:val="747"/>
          <w:jc w:val="center"/>
        </w:trPr>
        <w:tc>
          <w:tcPr>
            <w:cnfStyle w:val="001000000000"/>
            <w:tcW w:w="1405" w:type="dxa"/>
          </w:tcPr>
          <w:p w:rsidR="00C50742" w:rsidRPr="00C50742" w:rsidRDefault="00C50742" w:rsidP="00C50742">
            <w:pPr>
              <w:autoSpaceDE w:val="0"/>
              <w:autoSpaceDN w:val="0"/>
              <w:adjustRightInd w:val="0"/>
              <w:spacing w:before="0" w:after="0" w:line="320" w:lineRule="atLeast"/>
              <w:ind w:left="60" w:right="60"/>
              <w:jc w:val="both"/>
              <w:rPr>
                <w:rFonts w:cs="Calibri"/>
                <w:sz w:val="22"/>
                <w:szCs w:val="22"/>
                <w:lang w:val="nl-NL"/>
              </w:rPr>
            </w:pPr>
          </w:p>
        </w:tc>
        <w:tc>
          <w:tcPr>
            <w:tcW w:w="1471"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Leverage</w:t>
            </w:r>
          </w:p>
        </w:tc>
        <w:tc>
          <w:tcPr>
            <w:tcW w:w="1348"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Correlation Coefficient</w:t>
            </w:r>
          </w:p>
        </w:tc>
        <w:tc>
          <w:tcPr>
            <w:tcW w:w="981"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.197*</w:t>
            </w:r>
          </w:p>
        </w:tc>
        <w:tc>
          <w:tcPr>
            <w:tcW w:w="1494"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.114</w:t>
            </w:r>
          </w:p>
        </w:tc>
        <w:tc>
          <w:tcPr>
            <w:tcW w:w="949"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.227*</w:t>
            </w:r>
          </w:p>
        </w:tc>
        <w:tc>
          <w:tcPr>
            <w:tcW w:w="1160"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1.000</w:t>
            </w:r>
          </w:p>
        </w:tc>
        <w:tc>
          <w:tcPr>
            <w:tcW w:w="1423"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-.165</w:t>
            </w:r>
          </w:p>
        </w:tc>
      </w:tr>
      <w:tr w:rsidR="00C50742" w:rsidRPr="00C50742" w:rsidTr="004D4C39">
        <w:trPr>
          <w:trHeight w:val="369"/>
          <w:jc w:val="center"/>
        </w:trPr>
        <w:tc>
          <w:tcPr>
            <w:cnfStyle w:val="001000000000"/>
            <w:tcW w:w="1405" w:type="dxa"/>
          </w:tcPr>
          <w:p w:rsidR="00C50742" w:rsidRPr="00C50742" w:rsidRDefault="00C50742" w:rsidP="00C50742">
            <w:pPr>
              <w:spacing w:before="0" w:after="0" w:line="240" w:lineRule="auto"/>
              <w:rPr>
                <w:sz w:val="22"/>
                <w:szCs w:val="22"/>
              </w:rPr>
            </w:pPr>
          </w:p>
        </w:tc>
        <w:tc>
          <w:tcPr>
            <w:tcW w:w="1471" w:type="dxa"/>
          </w:tcPr>
          <w:p w:rsidR="00C50742" w:rsidRPr="00C50742" w:rsidRDefault="00C50742" w:rsidP="00C50742">
            <w:pPr>
              <w:autoSpaceDE w:val="0"/>
              <w:autoSpaceDN w:val="0"/>
              <w:adjustRightInd w:val="0"/>
              <w:spacing w:before="0" w:after="0" w:line="240" w:lineRule="auto"/>
              <w:jc w:val="both"/>
              <w:cnfStyle w:val="000000000000"/>
              <w:rPr>
                <w:rFonts w:cs="Calibri"/>
                <w:sz w:val="22"/>
                <w:szCs w:val="22"/>
                <w:lang w:val="nl-NL"/>
              </w:rPr>
            </w:pPr>
          </w:p>
        </w:tc>
        <w:tc>
          <w:tcPr>
            <w:tcW w:w="1348"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Sig. (2-tailed)</w:t>
            </w:r>
          </w:p>
        </w:tc>
        <w:tc>
          <w:tcPr>
            <w:tcW w:w="981"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.049</w:t>
            </w:r>
          </w:p>
        </w:tc>
        <w:tc>
          <w:tcPr>
            <w:tcW w:w="1494"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.258</w:t>
            </w:r>
          </w:p>
        </w:tc>
        <w:tc>
          <w:tcPr>
            <w:tcW w:w="949"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.023</w:t>
            </w:r>
          </w:p>
        </w:tc>
        <w:tc>
          <w:tcPr>
            <w:tcW w:w="1160"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w:t>
            </w:r>
          </w:p>
        </w:tc>
        <w:tc>
          <w:tcPr>
            <w:tcW w:w="1423"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.100</w:t>
            </w:r>
          </w:p>
        </w:tc>
      </w:tr>
      <w:tr w:rsidR="00C50742" w:rsidRPr="00C50742" w:rsidTr="004D4C39">
        <w:trPr>
          <w:cnfStyle w:val="000000100000"/>
          <w:trHeight w:val="747"/>
          <w:jc w:val="center"/>
        </w:trPr>
        <w:tc>
          <w:tcPr>
            <w:cnfStyle w:val="001000000000"/>
            <w:tcW w:w="1405" w:type="dxa"/>
          </w:tcPr>
          <w:p w:rsidR="00C50742" w:rsidRPr="00C50742" w:rsidRDefault="00C50742" w:rsidP="00C50742">
            <w:pPr>
              <w:spacing w:before="0" w:after="0" w:line="240" w:lineRule="auto"/>
              <w:rPr>
                <w:sz w:val="22"/>
                <w:szCs w:val="22"/>
              </w:rPr>
            </w:pPr>
          </w:p>
        </w:tc>
        <w:tc>
          <w:tcPr>
            <w:tcW w:w="1471"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color w:val="000000"/>
                <w:sz w:val="22"/>
                <w:szCs w:val="22"/>
                <w:lang w:val="nl-NL"/>
              </w:rPr>
            </w:pPr>
            <w:r w:rsidRPr="00C50742">
              <w:rPr>
                <w:rFonts w:cs="Calibri"/>
                <w:sz w:val="22"/>
                <w:szCs w:val="22"/>
                <w:lang w:val="nl-NL"/>
              </w:rPr>
              <w:t>Profitability</w:t>
            </w:r>
          </w:p>
        </w:tc>
        <w:tc>
          <w:tcPr>
            <w:tcW w:w="1348"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Correlation Coefficient</w:t>
            </w:r>
          </w:p>
        </w:tc>
        <w:tc>
          <w:tcPr>
            <w:tcW w:w="981"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.080</w:t>
            </w:r>
          </w:p>
        </w:tc>
        <w:tc>
          <w:tcPr>
            <w:tcW w:w="1494"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-.090</w:t>
            </w:r>
          </w:p>
        </w:tc>
        <w:tc>
          <w:tcPr>
            <w:tcW w:w="949"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-.085</w:t>
            </w:r>
          </w:p>
        </w:tc>
        <w:tc>
          <w:tcPr>
            <w:tcW w:w="1160"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-.165</w:t>
            </w:r>
          </w:p>
        </w:tc>
        <w:tc>
          <w:tcPr>
            <w:tcW w:w="1423" w:type="dxa"/>
          </w:tcPr>
          <w:p w:rsidR="00C50742" w:rsidRPr="00C50742" w:rsidRDefault="00C50742" w:rsidP="00C50742">
            <w:pPr>
              <w:autoSpaceDE w:val="0"/>
              <w:autoSpaceDN w:val="0"/>
              <w:adjustRightInd w:val="0"/>
              <w:spacing w:before="0" w:after="0" w:line="320" w:lineRule="atLeast"/>
              <w:ind w:left="60" w:right="60"/>
              <w:jc w:val="both"/>
              <w:cnfStyle w:val="000000100000"/>
              <w:rPr>
                <w:rFonts w:cs="Calibri"/>
                <w:sz w:val="22"/>
                <w:szCs w:val="22"/>
                <w:lang w:val="nl-NL"/>
              </w:rPr>
            </w:pPr>
            <w:r w:rsidRPr="00C50742">
              <w:rPr>
                <w:rFonts w:cs="Calibri"/>
                <w:sz w:val="22"/>
                <w:szCs w:val="22"/>
                <w:lang w:val="nl-NL"/>
              </w:rPr>
              <w:t>1.000</w:t>
            </w:r>
          </w:p>
        </w:tc>
      </w:tr>
      <w:tr w:rsidR="00C50742" w:rsidRPr="00C50742" w:rsidTr="004D4C39">
        <w:trPr>
          <w:trHeight w:val="379"/>
          <w:jc w:val="center"/>
        </w:trPr>
        <w:tc>
          <w:tcPr>
            <w:cnfStyle w:val="001000000000"/>
            <w:tcW w:w="1405" w:type="dxa"/>
          </w:tcPr>
          <w:p w:rsidR="00C50742" w:rsidRPr="00C50742" w:rsidRDefault="00C50742" w:rsidP="00C50742">
            <w:pPr>
              <w:spacing w:before="0" w:after="0" w:line="240" w:lineRule="auto"/>
              <w:rPr>
                <w:sz w:val="22"/>
                <w:szCs w:val="22"/>
              </w:rPr>
            </w:pPr>
          </w:p>
        </w:tc>
        <w:tc>
          <w:tcPr>
            <w:tcW w:w="1471" w:type="dxa"/>
          </w:tcPr>
          <w:p w:rsidR="00C50742" w:rsidRPr="00C50742" w:rsidRDefault="00C50742" w:rsidP="00C50742">
            <w:pPr>
              <w:autoSpaceDE w:val="0"/>
              <w:autoSpaceDN w:val="0"/>
              <w:adjustRightInd w:val="0"/>
              <w:spacing w:before="0" w:after="0" w:line="240" w:lineRule="auto"/>
              <w:jc w:val="both"/>
              <w:cnfStyle w:val="000000000000"/>
              <w:rPr>
                <w:rFonts w:cs="Calibri"/>
                <w:sz w:val="22"/>
                <w:szCs w:val="22"/>
                <w:lang w:val="nl-NL"/>
              </w:rPr>
            </w:pPr>
          </w:p>
        </w:tc>
        <w:tc>
          <w:tcPr>
            <w:tcW w:w="1348"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Sig. (2-tailed)</w:t>
            </w:r>
          </w:p>
        </w:tc>
        <w:tc>
          <w:tcPr>
            <w:tcW w:w="981"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.426</w:t>
            </w:r>
          </w:p>
        </w:tc>
        <w:tc>
          <w:tcPr>
            <w:tcW w:w="1494"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.375</w:t>
            </w:r>
          </w:p>
        </w:tc>
        <w:tc>
          <w:tcPr>
            <w:tcW w:w="949"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.403</w:t>
            </w:r>
          </w:p>
        </w:tc>
        <w:tc>
          <w:tcPr>
            <w:tcW w:w="1160"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.100</w:t>
            </w:r>
          </w:p>
        </w:tc>
        <w:tc>
          <w:tcPr>
            <w:tcW w:w="1423" w:type="dxa"/>
          </w:tcPr>
          <w:p w:rsidR="00C50742" w:rsidRPr="00C50742" w:rsidRDefault="00C50742" w:rsidP="00C50742">
            <w:pPr>
              <w:autoSpaceDE w:val="0"/>
              <w:autoSpaceDN w:val="0"/>
              <w:adjustRightInd w:val="0"/>
              <w:spacing w:before="0" w:after="0" w:line="320" w:lineRule="atLeast"/>
              <w:ind w:left="60" w:right="60"/>
              <w:jc w:val="both"/>
              <w:cnfStyle w:val="000000000000"/>
              <w:rPr>
                <w:rFonts w:cs="Calibri"/>
                <w:sz w:val="22"/>
                <w:szCs w:val="22"/>
                <w:lang w:val="nl-NL"/>
              </w:rPr>
            </w:pPr>
            <w:r w:rsidRPr="00C50742">
              <w:rPr>
                <w:rFonts w:cs="Calibri"/>
                <w:sz w:val="22"/>
                <w:szCs w:val="22"/>
                <w:lang w:val="nl-NL"/>
              </w:rPr>
              <w:t>.</w:t>
            </w:r>
          </w:p>
        </w:tc>
      </w:tr>
    </w:tbl>
    <w:p w:rsidR="00A95413" w:rsidRPr="00046999" w:rsidRDefault="00A95413" w:rsidP="001D4BB3">
      <w:pPr>
        <w:jc w:val="both"/>
        <w:rPr>
          <w:rFonts w:cs="Calibri"/>
          <w:sz w:val="22"/>
          <w:szCs w:val="22"/>
        </w:rPr>
      </w:pPr>
      <w:r w:rsidRPr="00046999">
        <w:rPr>
          <w:rFonts w:cs="Calibri"/>
          <w:sz w:val="22"/>
          <w:szCs w:val="22"/>
        </w:rPr>
        <w:t xml:space="preserve">The table shows that government ownership is positively associated with Dscore with a coefficient of r=.427 and is significant at P&lt;0.01. Furthermore, </w:t>
      </w:r>
      <w:r>
        <w:rPr>
          <w:rFonts w:cs="Calibri"/>
          <w:sz w:val="22"/>
          <w:szCs w:val="22"/>
        </w:rPr>
        <w:t>size and l</w:t>
      </w:r>
      <w:r w:rsidRPr="00046999">
        <w:rPr>
          <w:rFonts w:cs="Calibri"/>
          <w:sz w:val="22"/>
          <w:szCs w:val="22"/>
        </w:rPr>
        <w:t xml:space="preserve">everage are also significantly positively associated with Dscore. </w:t>
      </w:r>
      <w:r>
        <w:rPr>
          <w:rFonts w:cs="Calibri"/>
          <w:sz w:val="22"/>
          <w:szCs w:val="22"/>
        </w:rPr>
        <w:t>Size</w:t>
      </w:r>
      <w:r w:rsidRPr="00046999">
        <w:rPr>
          <w:rFonts w:cs="Calibri"/>
          <w:sz w:val="22"/>
          <w:szCs w:val="22"/>
        </w:rPr>
        <w:t xml:space="preserve"> is a</w:t>
      </w:r>
      <w:r w:rsidR="0092635B">
        <w:rPr>
          <w:rFonts w:cs="Calibri"/>
          <w:sz w:val="22"/>
          <w:szCs w:val="22"/>
        </w:rPr>
        <w:t>lso positively associated with g</w:t>
      </w:r>
      <w:r w:rsidRPr="00046999">
        <w:rPr>
          <w:rFonts w:cs="Calibri"/>
          <w:sz w:val="22"/>
          <w:szCs w:val="22"/>
        </w:rPr>
        <w:t xml:space="preserve">overnment ownership and significant at p&lt;0.01. The last significant association is between </w:t>
      </w:r>
      <w:r>
        <w:rPr>
          <w:rFonts w:cs="Calibri"/>
          <w:sz w:val="22"/>
          <w:szCs w:val="22"/>
        </w:rPr>
        <w:t>size and l</w:t>
      </w:r>
      <w:r w:rsidRPr="00046999">
        <w:rPr>
          <w:rFonts w:cs="Calibri"/>
          <w:sz w:val="22"/>
          <w:szCs w:val="22"/>
        </w:rPr>
        <w:t>everage, at p&lt;0.05 level.</w:t>
      </w:r>
    </w:p>
    <w:p w:rsidR="00A95413" w:rsidRPr="00046999" w:rsidRDefault="00A95413" w:rsidP="001D4BB3">
      <w:pPr>
        <w:jc w:val="both"/>
        <w:rPr>
          <w:rFonts w:cs="Calibri"/>
          <w:sz w:val="22"/>
          <w:szCs w:val="22"/>
          <w:u w:val="single"/>
        </w:rPr>
      </w:pPr>
      <w:r w:rsidRPr="00046999">
        <w:rPr>
          <w:rFonts w:cs="Calibri"/>
          <w:sz w:val="22"/>
          <w:szCs w:val="22"/>
          <w:u w:val="single"/>
        </w:rPr>
        <w:t>Regression analysis</w:t>
      </w:r>
    </w:p>
    <w:p w:rsidR="00A95413" w:rsidRPr="00046999" w:rsidRDefault="00A95413" w:rsidP="001D4BB3">
      <w:pPr>
        <w:jc w:val="both"/>
        <w:rPr>
          <w:rFonts w:cs="Calibri"/>
          <w:sz w:val="22"/>
          <w:szCs w:val="22"/>
        </w:rPr>
      </w:pPr>
      <w:r w:rsidRPr="00046999">
        <w:rPr>
          <w:rFonts w:cs="Calibri"/>
          <w:sz w:val="22"/>
          <w:szCs w:val="22"/>
        </w:rPr>
        <w:t>Now the regression analysis is conducted; as government ownership is not normally distributed this variable is excluded from the regression. Furthermore three types of regressions are made:</w:t>
      </w:r>
    </w:p>
    <w:p w:rsidR="00A95413" w:rsidRPr="00046999" w:rsidRDefault="00A95413" w:rsidP="00391812">
      <w:pPr>
        <w:pStyle w:val="Lijstalinea"/>
        <w:numPr>
          <w:ilvl w:val="0"/>
          <w:numId w:val="14"/>
        </w:numPr>
        <w:autoSpaceDE w:val="0"/>
        <w:autoSpaceDN w:val="0"/>
        <w:adjustRightInd w:val="0"/>
        <w:spacing w:after="0"/>
        <w:jc w:val="both"/>
        <w:rPr>
          <w:rStyle w:val="fdnolabel1"/>
          <w:rFonts w:cs="Calibri"/>
          <w:i/>
          <w:sz w:val="22"/>
          <w:szCs w:val="22"/>
          <w:bdr w:val="none" w:sz="0" w:space="0" w:color="auto" w:frame="1"/>
        </w:rPr>
      </w:pPr>
      <w:r w:rsidRPr="00046999">
        <w:rPr>
          <w:rFonts w:cs="Calibri"/>
          <w:i/>
          <w:sz w:val="22"/>
          <w:szCs w:val="22"/>
        </w:rPr>
        <w:t xml:space="preserve">Dscore = </w:t>
      </w:r>
      <w:r w:rsidRPr="00046999">
        <w:rPr>
          <w:rStyle w:val="fdnolabel1"/>
          <w:rFonts w:cs="Calibri"/>
          <w:i/>
          <w:sz w:val="22"/>
          <w:szCs w:val="22"/>
          <w:bdr w:val="none" w:sz="0" w:space="0" w:color="auto" w:frame="1"/>
        </w:rPr>
        <w:t>β</w:t>
      </w:r>
      <w:r w:rsidRPr="00046999">
        <w:rPr>
          <w:rStyle w:val="fdnolabel1"/>
          <w:rFonts w:cs="Calibri"/>
          <w:i/>
          <w:sz w:val="22"/>
          <w:szCs w:val="22"/>
          <w:bdr w:val="none" w:sz="0" w:space="0" w:color="auto" w:frame="1"/>
          <w:vertAlign w:val="subscript"/>
        </w:rPr>
        <w:t>0</w:t>
      </w:r>
      <w:r w:rsidRPr="00046999">
        <w:rPr>
          <w:rStyle w:val="fdnolabel1"/>
          <w:rFonts w:cs="Calibri"/>
          <w:i/>
          <w:sz w:val="22"/>
          <w:szCs w:val="22"/>
          <w:bdr w:val="none" w:sz="0" w:space="0" w:color="auto" w:frame="1"/>
        </w:rPr>
        <w:t>+</w:t>
      </w:r>
      <w:r w:rsidRPr="00046999">
        <w:rPr>
          <w:rStyle w:val="fdnolabel1"/>
          <w:rFonts w:cs="Calibri"/>
          <w:b/>
          <w:i/>
          <w:sz w:val="22"/>
          <w:szCs w:val="22"/>
          <w:bdr w:val="none" w:sz="0" w:space="0" w:color="auto" w:frame="1"/>
        </w:rPr>
        <w:t>β</w:t>
      </w:r>
      <w:r w:rsidRPr="00046999">
        <w:rPr>
          <w:rStyle w:val="fdnolabel1"/>
          <w:rFonts w:cs="Calibri"/>
          <w:b/>
          <w:i/>
          <w:sz w:val="22"/>
          <w:szCs w:val="22"/>
          <w:bdr w:val="none" w:sz="0" w:space="0" w:color="auto" w:frame="1"/>
          <w:vertAlign w:val="subscript"/>
        </w:rPr>
        <w:t>1</w:t>
      </w:r>
      <w:r w:rsidRPr="00046999">
        <w:rPr>
          <w:rStyle w:val="fdnolabel1"/>
          <w:rFonts w:cs="Calibri"/>
          <w:b/>
          <w:i/>
          <w:sz w:val="22"/>
          <w:szCs w:val="22"/>
          <w:bdr w:val="none" w:sz="0" w:space="0" w:color="auto" w:frame="1"/>
        </w:rPr>
        <w:t>MOWN</w:t>
      </w:r>
      <w:r w:rsidRPr="00046999">
        <w:rPr>
          <w:rStyle w:val="fdnolabel1"/>
          <w:rFonts w:cs="Calibri"/>
          <w:i/>
          <w:sz w:val="22"/>
          <w:szCs w:val="22"/>
          <w:bdr w:val="none" w:sz="0" w:space="0" w:color="auto" w:frame="1"/>
        </w:rPr>
        <w:t>+</w:t>
      </w:r>
      <w:r w:rsidRPr="00046999">
        <w:rPr>
          <w:rStyle w:val="fdnolabel1"/>
          <w:rFonts w:cs="Calibri"/>
          <w:b/>
          <w:i/>
          <w:sz w:val="22"/>
          <w:szCs w:val="22"/>
          <w:bdr w:val="none" w:sz="0" w:space="0" w:color="auto" w:frame="1"/>
        </w:rPr>
        <w:t>β</w:t>
      </w:r>
      <w:r w:rsidRPr="00046999">
        <w:rPr>
          <w:rStyle w:val="fdnolabel1"/>
          <w:rFonts w:cs="Calibri"/>
          <w:b/>
          <w:i/>
          <w:sz w:val="22"/>
          <w:szCs w:val="22"/>
          <w:bdr w:val="none" w:sz="0" w:space="0" w:color="auto" w:frame="1"/>
          <w:vertAlign w:val="subscript"/>
        </w:rPr>
        <w:t>2</w:t>
      </w:r>
      <w:r w:rsidRPr="00046999">
        <w:rPr>
          <w:rStyle w:val="fdnolabel1"/>
          <w:rFonts w:cs="Calibri"/>
          <w:b/>
          <w:i/>
          <w:sz w:val="22"/>
          <w:szCs w:val="22"/>
          <w:bdr w:val="none" w:sz="0" w:space="0" w:color="auto" w:frame="1"/>
        </w:rPr>
        <w:t>BOWN</w:t>
      </w:r>
      <w:r w:rsidRPr="00046999">
        <w:rPr>
          <w:rStyle w:val="fdnolabel1"/>
          <w:rFonts w:cs="Calibri"/>
          <w:i/>
          <w:sz w:val="22"/>
          <w:szCs w:val="22"/>
          <w:bdr w:val="none" w:sz="0" w:space="0" w:color="auto" w:frame="1"/>
        </w:rPr>
        <w:t>+ β</w:t>
      </w:r>
      <w:r w:rsidRPr="00046999">
        <w:rPr>
          <w:rStyle w:val="fdnolabel1"/>
          <w:rFonts w:cs="Calibri"/>
          <w:i/>
          <w:sz w:val="22"/>
          <w:szCs w:val="22"/>
          <w:bdr w:val="none" w:sz="0" w:space="0" w:color="auto" w:frame="1"/>
          <w:vertAlign w:val="subscript"/>
        </w:rPr>
        <w:t>3</w:t>
      </w:r>
      <w:r w:rsidRPr="00046999">
        <w:rPr>
          <w:rStyle w:val="fdnolabel1"/>
          <w:rFonts w:cs="Calibri"/>
          <w:i/>
          <w:sz w:val="22"/>
          <w:szCs w:val="22"/>
          <w:bdr w:val="none" w:sz="0" w:space="0" w:color="auto" w:frame="1"/>
        </w:rPr>
        <w:t>SIZE+β</w:t>
      </w:r>
      <w:r w:rsidRPr="00046999">
        <w:rPr>
          <w:rStyle w:val="fdnolabel1"/>
          <w:rFonts w:cs="Calibri"/>
          <w:i/>
          <w:sz w:val="22"/>
          <w:szCs w:val="22"/>
          <w:bdr w:val="none" w:sz="0" w:space="0" w:color="auto" w:frame="1"/>
          <w:vertAlign w:val="subscript"/>
        </w:rPr>
        <w:t>4</w:t>
      </w:r>
      <w:r w:rsidRPr="00046999">
        <w:rPr>
          <w:rStyle w:val="fdnolabel1"/>
          <w:rFonts w:cs="Calibri"/>
          <w:i/>
          <w:sz w:val="22"/>
          <w:szCs w:val="22"/>
          <w:bdr w:val="none" w:sz="0" w:space="0" w:color="auto" w:frame="1"/>
        </w:rPr>
        <w:t>LEV+β</w:t>
      </w:r>
      <w:r w:rsidRPr="00046999">
        <w:rPr>
          <w:rStyle w:val="fdnolabel1"/>
          <w:rFonts w:cs="Calibri"/>
          <w:i/>
          <w:sz w:val="22"/>
          <w:szCs w:val="22"/>
          <w:bdr w:val="none" w:sz="0" w:space="0" w:color="auto" w:frame="1"/>
          <w:vertAlign w:val="subscript"/>
        </w:rPr>
        <w:t>5</w:t>
      </w:r>
      <w:r w:rsidRPr="00046999">
        <w:rPr>
          <w:rStyle w:val="fdnolabel1"/>
          <w:rFonts w:cs="Calibri"/>
          <w:i/>
          <w:sz w:val="22"/>
          <w:szCs w:val="22"/>
          <w:bdr w:val="none" w:sz="0" w:space="0" w:color="auto" w:frame="1"/>
        </w:rPr>
        <w:t>PROF+</w:t>
      </w:r>
      <w:r w:rsidR="0080569A">
        <w:rPr>
          <w:rFonts w:cs="Calibri"/>
          <w:i/>
          <w:noProof/>
          <w:sz w:val="22"/>
          <w:szCs w:val="22"/>
          <w:bdr w:val="none" w:sz="0" w:space="0" w:color="auto" w:frame="1"/>
          <w:lang w:val="nl-NL" w:eastAsia="nl-NL"/>
        </w:rPr>
        <w:drawing>
          <wp:inline distT="0" distB="0" distL="0" distR="0">
            <wp:extent cx="85090" cy="56515"/>
            <wp:effectExtent l="19050" t="0" r="0" b="0"/>
            <wp:docPr id="11" name="Afbeelding 11" descr="var epsi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var epsilon"/>
                    <pic:cNvPicPr>
                      <a:picLocks noChangeAspect="1" noChangeArrowheads="1"/>
                    </pic:cNvPicPr>
                  </pic:nvPicPr>
                  <pic:blipFill>
                    <a:blip r:embed="rId14"/>
                    <a:srcRect/>
                    <a:stretch>
                      <a:fillRect/>
                    </a:stretch>
                  </pic:blipFill>
                  <pic:spPr bwMode="auto">
                    <a:xfrm>
                      <a:off x="0" y="0"/>
                      <a:ext cx="85090" cy="56515"/>
                    </a:xfrm>
                    <a:prstGeom prst="rect">
                      <a:avLst/>
                    </a:prstGeom>
                    <a:noFill/>
                    <a:ln w="9525">
                      <a:noFill/>
                      <a:miter lim="800000"/>
                      <a:headEnd/>
                      <a:tailEnd/>
                    </a:ln>
                  </pic:spPr>
                </pic:pic>
              </a:graphicData>
            </a:graphic>
          </wp:inline>
        </w:drawing>
      </w:r>
    </w:p>
    <w:p w:rsidR="00A95413" w:rsidRPr="00046999" w:rsidRDefault="00A95413" w:rsidP="00391812">
      <w:pPr>
        <w:pStyle w:val="Lijstalinea"/>
        <w:numPr>
          <w:ilvl w:val="0"/>
          <w:numId w:val="14"/>
        </w:numPr>
        <w:autoSpaceDE w:val="0"/>
        <w:autoSpaceDN w:val="0"/>
        <w:adjustRightInd w:val="0"/>
        <w:spacing w:after="0"/>
        <w:jc w:val="both"/>
        <w:rPr>
          <w:rStyle w:val="fdnolabel1"/>
          <w:rFonts w:cs="Calibri"/>
          <w:i/>
          <w:sz w:val="22"/>
          <w:szCs w:val="22"/>
          <w:bdr w:val="none" w:sz="0" w:space="0" w:color="auto" w:frame="1"/>
        </w:rPr>
      </w:pPr>
      <w:r w:rsidRPr="00046999">
        <w:rPr>
          <w:rStyle w:val="fdnolabel1"/>
          <w:rFonts w:cs="Calibri"/>
          <w:i/>
          <w:sz w:val="22"/>
          <w:szCs w:val="22"/>
          <w:bdr w:val="none" w:sz="0" w:space="0" w:color="auto" w:frame="1"/>
        </w:rPr>
        <w:t>Dscore= β</w:t>
      </w:r>
      <w:r w:rsidRPr="00046999">
        <w:rPr>
          <w:rStyle w:val="fdnolabel1"/>
          <w:rFonts w:cs="Calibri"/>
          <w:i/>
          <w:sz w:val="22"/>
          <w:szCs w:val="22"/>
          <w:bdr w:val="none" w:sz="0" w:space="0" w:color="auto" w:frame="1"/>
          <w:vertAlign w:val="subscript"/>
        </w:rPr>
        <w:t>0</w:t>
      </w:r>
      <w:r w:rsidRPr="00046999">
        <w:rPr>
          <w:rStyle w:val="fdnolabel1"/>
          <w:rFonts w:cs="Calibri"/>
          <w:i/>
          <w:sz w:val="22"/>
          <w:szCs w:val="22"/>
          <w:bdr w:val="none" w:sz="0" w:space="0" w:color="auto" w:frame="1"/>
        </w:rPr>
        <w:t>+</w:t>
      </w:r>
      <w:r w:rsidRPr="00046999">
        <w:rPr>
          <w:rStyle w:val="fdnolabel1"/>
          <w:rFonts w:cs="Calibri"/>
          <w:b/>
          <w:i/>
          <w:sz w:val="22"/>
          <w:szCs w:val="22"/>
          <w:bdr w:val="none" w:sz="0" w:space="0" w:color="auto" w:frame="1"/>
        </w:rPr>
        <w:t>β</w:t>
      </w:r>
      <w:r w:rsidRPr="00046999">
        <w:rPr>
          <w:rStyle w:val="fdnolabel1"/>
          <w:rFonts w:cs="Calibri"/>
          <w:b/>
          <w:i/>
          <w:sz w:val="22"/>
          <w:szCs w:val="22"/>
          <w:bdr w:val="none" w:sz="0" w:space="0" w:color="auto" w:frame="1"/>
          <w:vertAlign w:val="subscript"/>
        </w:rPr>
        <w:t>1</w:t>
      </w:r>
      <w:r w:rsidRPr="00046999">
        <w:rPr>
          <w:rStyle w:val="fdnolabel1"/>
          <w:rFonts w:cs="Calibri"/>
          <w:b/>
          <w:i/>
          <w:sz w:val="22"/>
          <w:szCs w:val="22"/>
          <w:bdr w:val="none" w:sz="0" w:space="0" w:color="auto" w:frame="1"/>
        </w:rPr>
        <w:t>BOWN</w:t>
      </w:r>
      <w:r w:rsidRPr="00046999">
        <w:rPr>
          <w:rStyle w:val="fdnolabel1"/>
          <w:rFonts w:cs="Calibri"/>
          <w:i/>
          <w:sz w:val="22"/>
          <w:szCs w:val="22"/>
          <w:bdr w:val="none" w:sz="0" w:space="0" w:color="auto" w:frame="1"/>
        </w:rPr>
        <w:t xml:space="preserve"> + β</w:t>
      </w:r>
      <w:r w:rsidRPr="00046999">
        <w:rPr>
          <w:rStyle w:val="fdnolabel1"/>
          <w:rFonts w:cs="Calibri"/>
          <w:i/>
          <w:sz w:val="22"/>
          <w:szCs w:val="22"/>
          <w:bdr w:val="none" w:sz="0" w:space="0" w:color="auto" w:frame="1"/>
          <w:vertAlign w:val="subscript"/>
        </w:rPr>
        <w:t>2</w:t>
      </w:r>
      <w:r w:rsidRPr="00046999">
        <w:rPr>
          <w:rStyle w:val="fdnolabel1"/>
          <w:rFonts w:cs="Calibri"/>
          <w:i/>
          <w:sz w:val="22"/>
          <w:szCs w:val="22"/>
          <w:bdr w:val="none" w:sz="0" w:space="0" w:color="auto" w:frame="1"/>
        </w:rPr>
        <w:t>SIZE+β</w:t>
      </w:r>
      <w:r w:rsidRPr="00046999">
        <w:rPr>
          <w:rStyle w:val="fdnolabel1"/>
          <w:rFonts w:cs="Calibri"/>
          <w:i/>
          <w:sz w:val="22"/>
          <w:szCs w:val="22"/>
          <w:bdr w:val="none" w:sz="0" w:space="0" w:color="auto" w:frame="1"/>
          <w:vertAlign w:val="subscript"/>
        </w:rPr>
        <w:t>3</w:t>
      </w:r>
      <w:r w:rsidRPr="00046999">
        <w:rPr>
          <w:rStyle w:val="fdnolabel1"/>
          <w:rFonts w:cs="Calibri"/>
          <w:i/>
          <w:sz w:val="22"/>
          <w:szCs w:val="22"/>
          <w:bdr w:val="none" w:sz="0" w:space="0" w:color="auto" w:frame="1"/>
        </w:rPr>
        <w:t>LEV+β</w:t>
      </w:r>
      <w:r w:rsidRPr="00046999">
        <w:rPr>
          <w:rStyle w:val="fdnolabel1"/>
          <w:rFonts w:cs="Calibri"/>
          <w:i/>
          <w:sz w:val="22"/>
          <w:szCs w:val="22"/>
          <w:bdr w:val="none" w:sz="0" w:space="0" w:color="auto" w:frame="1"/>
          <w:vertAlign w:val="subscript"/>
        </w:rPr>
        <w:t>7</w:t>
      </w:r>
      <w:r w:rsidRPr="00046999">
        <w:rPr>
          <w:rStyle w:val="fdnolabel1"/>
          <w:rFonts w:cs="Calibri"/>
          <w:i/>
          <w:sz w:val="22"/>
          <w:szCs w:val="22"/>
          <w:bdr w:val="none" w:sz="0" w:space="0" w:color="auto" w:frame="1"/>
        </w:rPr>
        <w:t>PROF+</w:t>
      </w:r>
      <w:r w:rsidR="0080569A">
        <w:rPr>
          <w:rFonts w:cs="Calibri"/>
          <w:i/>
          <w:noProof/>
          <w:sz w:val="22"/>
          <w:szCs w:val="22"/>
          <w:bdr w:val="none" w:sz="0" w:space="0" w:color="auto" w:frame="1"/>
          <w:lang w:val="nl-NL" w:eastAsia="nl-NL"/>
        </w:rPr>
        <w:drawing>
          <wp:inline distT="0" distB="0" distL="0" distR="0">
            <wp:extent cx="85090" cy="56515"/>
            <wp:effectExtent l="19050" t="0" r="0" b="0"/>
            <wp:docPr id="12" name="Afbeelding 12" descr="var epsi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var epsilon"/>
                    <pic:cNvPicPr>
                      <a:picLocks noChangeAspect="1" noChangeArrowheads="1"/>
                    </pic:cNvPicPr>
                  </pic:nvPicPr>
                  <pic:blipFill>
                    <a:blip r:embed="rId14"/>
                    <a:srcRect/>
                    <a:stretch>
                      <a:fillRect/>
                    </a:stretch>
                  </pic:blipFill>
                  <pic:spPr bwMode="auto">
                    <a:xfrm>
                      <a:off x="0" y="0"/>
                      <a:ext cx="85090" cy="56515"/>
                    </a:xfrm>
                    <a:prstGeom prst="rect">
                      <a:avLst/>
                    </a:prstGeom>
                    <a:noFill/>
                    <a:ln w="9525">
                      <a:noFill/>
                      <a:miter lim="800000"/>
                      <a:headEnd/>
                      <a:tailEnd/>
                    </a:ln>
                  </pic:spPr>
                </pic:pic>
              </a:graphicData>
            </a:graphic>
          </wp:inline>
        </w:drawing>
      </w:r>
    </w:p>
    <w:p w:rsidR="00A95413" w:rsidRPr="00046999" w:rsidRDefault="00A95413" w:rsidP="00391812">
      <w:pPr>
        <w:pStyle w:val="Lijstalinea"/>
        <w:numPr>
          <w:ilvl w:val="0"/>
          <w:numId w:val="14"/>
        </w:numPr>
        <w:autoSpaceDE w:val="0"/>
        <w:autoSpaceDN w:val="0"/>
        <w:adjustRightInd w:val="0"/>
        <w:spacing w:after="0"/>
        <w:jc w:val="both"/>
        <w:rPr>
          <w:rStyle w:val="fdnolabel1"/>
          <w:rFonts w:cs="Calibri"/>
          <w:i/>
          <w:sz w:val="22"/>
          <w:szCs w:val="22"/>
          <w:bdr w:val="none" w:sz="0" w:space="0" w:color="auto" w:frame="1"/>
        </w:rPr>
      </w:pPr>
      <w:r w:rsidRPr="00046999">
        <w:rPr>
          <w:rStyle w:val="fdnolabel1"/>
          <w:rFonts w:cs="Calibri"/>
          <w:i/>
          <w:sz w:val="22"/>
          <w:szCs w:val="22"/>
          <w:bdr w:val="none" w:sz="0" w:space="0" w:color="auto" w:frame="1"/>
        </w:rPr>
        <w:t>Dscore= β</w:t>
      </w:r>
      <w:r w:rsidRPr="00046999">
        <w:rPr>
          <w:rStyle w:val="fdnolabel1"/>
          <w:rFonts w:cs="Calibri"/>
          <w:i/>
          <w:sz w:val="22"/>
          <w:szCs w:val="22"/>
          <w:bdr w:val="none" w:sz="0" w:space="0" w:color="auto" w:frame="1"/>
          <w:vertAlign w:val="subscript"/>
        </w:rPr>
        <w:t>0</w:t>
      </w:r>
      <w:r w:rsidRPr="00046999">
        <w:rPr>
          <w:rStyle w:val="fdnolabel1"/>
          <w:rFonts w:cs="Calibri"/>
          <w:i/>
          <w:sz w:val="22"/>
          <w:szCs w:val="22"/>
          <w:bdr w:val="none" w:sz="0" w:space="0" w:color="auto" w:frame="1"/>
        </w:rPr>
        <w:t>+</w:t>
      </w:r>
      <w:r w:rsidRPr="00046999">
        <w:rPr>
          <w:rStyle w:val="fdnolabel1"/>
          <w:rFonts w:cs="Calibri"/>
          <w:b/>
          <w:i/>
          <w:sz w:val="22"/>
          <w:szCs w:val="22"/>
          <w:bdr w:val="none" w:sz="0" w:space="0" w:color="auto" w:frame="1"/>
        </w:rPr>
        <w:t>β</w:t>
      </w:r>
      <w:r w:rsidRPr="00046999">
        <w:rPr>
          <w:rStyle w:val="fdnolabel1"/>
          <w:rFonts w:cs="Calibri"/>
          <w:b/>
          <w:i/>
          <w:sz w:val="22"/>
          <w:szCs w:val="22"/>
          <w:bdr w:val="none" w:sz="0" w:space="0" w:color="auto" w:frame="1"/>
          <w:vertAlign w:val="subscript"/>
        </w:rPr>
        <w:t>1</w:t>
      </w:r>
      <w:r w:rsidRPr="00046999">
        <w:rPr>
          <w:rStyle w:val="fdnolabel1"/>
          <w:rFonts w:cs="Calibri"/>
          <w:b/>
          <w:i/>
          <w:sz w:val="22"/>
          <w:szCs w:val="22"/>
          <w:bdr w:val="none" w:sz="0" w:space="0" w:color="auto" w:frame="1"/>
        </w:rPr>
        <w:t>MOWN</w:t>
      </w:r>
      <w:r w:rsidRPr="00046999">
        <w:rPr>
          <w:rStyle w:val="fdnolabel1"/>
          <w:rFonts w:cs="Calibri"/>
          <w:i/>
          <w:sz w:val="22"/>
          <w:szCs w:val="22"/>
          <w:bdr w:val="none" w:sz="0" w:space="0" w:color="auto" w:frame="1"/>
        </w:rPr>
        <w:t xml:space="preserve"> + β</w:t>
      </w:r>
      <w:r w:rsidRPr="00046999">
        <w:rPr>
          <w:rStyle w:val="fdnolabel1"/>
          <w:rFonts w:cs="Calibri"/>
          <w:i/>
          <w:sz w:val="22"/>
          <w:szCs w:val="22"/>
          <w:bdr w:val="none" w:sz="0" w:space="0" w:color="auto" w:frame="1"/>
          <w:vertAlign w:val="subscript"/>
        </w:rPr>
        <w:t>2</w:t>
      </w:r>
      <w:r w:rsidRPr="00046999">
        <w:rPr>
          <w:rStyle w:val="fdnolabel1"/>
          <w:rFonts w:cs="Calibri"/>
          <w:i/>
          <w:sz w:val="22"/>
          <w:szCs w:val="22"/>
          <w:bdr w:val="none" w:sz="0" w:space="0" w:color="auto" w:frame="1"/>
        </w:rPr>
        <w:t>SIZE+β</w:t>
      </w:r>
      <w:r w:rsidRPr="00046999">
        <w:rPr>
          <w:rStyle w:val="fdnolabel1"/>
          <w:rFonts w:cs="Calibri"/>
          <w:i/>
          <w:sz w:val="22"/>
          <w:szCs w:val="22"/>
          <w:bdr w:val="none" w:sz="0" w:space="0" w:color="auto" w:frame="1"/>
          <w:vertAlign w:val="subscript"/>
        </w:rPr>
        <w:t>3</w:t>
      </w:r>
      <w:r w:rsidRPr="00046999">
        <w:rPr>
          <w:rStyle w:val="fdnolabel1"/>
          <w:rFonts w:cs="Calibri"/>
          <w:i/>
          <w:sz w:val="22"/>
          <w:szCs w:val="22"/>
          <w:bdr w:val="none" w:sz="0" w:space="0" w:color="auto" w:frame="1"/>
        </w:rPr>
        <w:t>LEV+β</w:t>
      </w:r>
      <w:r w:rsidRPr="00046999">
        <w:rPr>
          <w:rStyle w:val="fdnolabel1"/>
          <w:rFonts w:cs="Calibri"/>
          <w:i/>
          <w:sz w:val="22"/>
          <w:szCs w:val="22"/>
          <w:bdr w:val="none" w:sz="0" w:space="0" w:color="auto" w:frame="1"/>
          <w:vertAlign w:val="subscript"/>
        </w:rPr>
        <w:t>7</w:t>
      </w:r>
      <w:r w:rsidRPr="00046999">
        <w:rPr>
          <w:rStyle w:val="fdnolabel1"/>
          <w:rFonts w:cs="Calibri"/>
          <w:i/>
          <w:sz w:val="22"/>
          <w:szCs w:val="22"/>
          <w:bdr w:val="none" w:sz="0" w:space="0" w:color="auto" w:frame="1"/>
        </w:rPr>
        <w:t>PROF+</w:t>
      </w:r>
      <w:r w:rsidR="0080569A">
        <w:rPr>
          <w:rFonts w:cs="Calibri"/>
          <w:i/>
          <w:noProof/>
          <w:sz w:val="22"/>
          <w:szCs w:val="22"/>
          <w:bdr w:val="none" w:sz="0" w:space="0" w:color="auto" w:frame="1"/>
          <w:lang w:val="nl-NL" w:eastAsia="nl-NL"/>
        </w:rPr>
        <w:drawing>
          <wp:inline distT="0" distB="0" distL="0" distR="0">
            <wp:extent cx="85090" cy="56515"/>
            <wp:effectExtent l="19050" t="0" r="0" b="0"/>
            <wp:docPr id="13" name="Afbeelding 13" descr="var epsi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var epsilon"/>
                    <pic:cNvPicPr>
                      <a:picLocks noChangeAspect="1" noChangeArrowheads="1"/>
                    </pic:cNvPicPr>
                  </pic:nvPicPr>
                  <pic:blipFill>
                    <a:blip r:embed="rId14"/>
                    <a:srcRect/>
                    <a:stretch>
                      <a:fillRect/>
                    </a:stretch>
                  </pic:blipFill>
                  <pic:spPr bwMode="auto">
                    <a:xfrm>
                      <a:off x="0" y="0"/>
                      <a:ext cx="85090" cy="56515"/>
                    </a:xfrm>
                    <a:prstGeom prst="rect">
                      <a:avLst/>
                    </a:prstGeom>
                    <a:noFill/>
                    <a:ln w="9525">
                      <a:noFill/>
                      <a:miter lim="800000"/>
                      <a:headEnd/>
                      <a:tailEnd/>
                    </a:ln>
                  </pic:spPr>
                </pic:pic>
              </a:graphicData>
            </a:graphic>
          </wp:inline>
        </w:drawing>
      </w:r>
    </w:p>
    <w:p w:rsidR="00A95413" w:rsidRPr="00046999" w:rsidRDefault="00A95413" w:rsidP="001D4BB3">
      <w:pPr>
        <w:pStyle w:val="Lijstalinea"/>
        <w:autoSpaceDE w:val="0"/>
        <w:autoSpaceDN w:val="0"/>
        <w:adjustRightInd w:val="0"/>
        <w:spacing w:after="0"/>
        <w:jc w:val="both"/>
        <w:rPr>
          <w:rStyle w:val="fdnolabel1"/>
          <w:rFonts w:cs="Calibri"/>
          <w:i/>
          <w:sz w:val="22"/>
          <w:szCs w:val="22"/>
          <w:bdr w:val="none" w:sz="0" w:space="0" w:color="auto" w:frame="1"/>
        </w:rPr>
      </w:pPr>
    </w:p>
    <w:p w:rsidR="00A95413" w:rsidRPr="005C5A3F" w:rsidRDefault="00A95413" w:rsidP="005C5A3F">
      <w:pPr>
        <w:pStyle w:val="Bijschrift"/>
        <w:keepNext/>
        <w:rPr>
          <w:sz w:val="22"/>
          <w:szCs w:val="22"/>
        </w:rPr>
      </w:pPr>
      <w:r w:rsidRPr="005C5A3F">
        <w:rPr>
          <w:sz w:val="22"/>
          <w:szCs w:val="22"/>
        </w:rPr>
        <w:t xml:space="preserve">Table </w:t>
      </w:r>
      <w:r w:rsidR="00E0784B" w:rsidRPr="005C5A3F">
        <w:rPr>
          <w:sz w:val="22"/>
          <w:szCs w:val="22"/>
        </w:rPr>
        <w:fldChar w:fldCharType="begin"/>
      </w:r>
      <w:r w:rsidRPr="005C5A3F">
        <w:rPr>
          <w:sz w:val="22"/>
          <w:szCs w:val="22"/>
        </w:rPr>
        <w:instrText xml:space="preserve"> SEQ Table \* ARABIC </w:instrText>
      </w:r>
      <w:r w:rsidR="00E0784B" w:rsidRPr="005C5A3F">
        <w:rPr>
          <w:sz w:val="22"/>
          <w:szCs w:val="22"/>
        </w:rPr>
        <w:fldChar w:fldCharType="separate"/>
      </w:r>
      <w:r>
        <w:rPr>
          <w:noProof/>
          <w:sz w:val="22"/>
          <w:szCs w:val="22"/>
        </w:rPr>
        <w:t>6</w:t>
      </w:r>
      <w:r w:rsidR="00E0784B" w:rsidRPr="005C5A3F">
        <w:rPr>
          <w:sz w:val="22"/>
          <w:szCs w:val="22"/>
        </w:rPr>
        <w:fldChar w:fldCharType="end"/>
      </w:r>
      <w:r w:rsidRPr="005C5A3F">
        <w:rPr>
          <w:sz w:val="22"/>
          <w:szCs w:val="22"/>
        </w:rPr>
        <w:t>: Regression 1,2 and 3</w:t>
      </w:r>
    </w:p>
    <w:tbl>
      <w:tblPr>
        <w:tblW w:w="0" w:type="auto"/>
        <w:tblBorders>
          <w:top w:val="single" w:sz="8" w:space="0" w:color="4F81BD"/>
          <w:bottom w:val="single" w:sz="8" w:space="0" w:color="4F81BD"/>
        </w:tblBorders>
        <w:tblLook w:val="00A0"/>
      </w:tblPr>
      <w:tblGrid>
        <w:gridCol w:w="1368"/>
        <w:gridCol w:w="1368"/>
        <w:gridCol w:w="1368"/>
        <w:gridCol w:w="1368"/>
        <w:gridCol w:w="1368"/>
        <w:gridCol w:w="1368"/>
        <w:gridCol w:w="1368"/>
      </w:tblGrid>
      <w:tr w:rsidR="00A95413" w:rsidRPr="00F63097" w:rsidTr="00F63097">
        <w:tc>
          <w:tcPr>
            <w:tcW w:w="1368" w:type="dxa"/>
            <w:tcBorders>
              <w:top w:val="single" w:sz="8" w:space="0" w:color="4F81BD"/>
              <w:left w:val="nil"/>
              <w:bottom w:val="single" w:sz="8" w:space="0" w:color="4F81BD"/>
              <w:right w:val="nil"/>
            </w:tcBorders>
          </w:tcPr>
          <w:p w:rsidR="00A95413" w:rsidRPr="00F63097" w:rsidRDefault="00A95413" w:rsidP="00F63097">
            <w:pPr>
              <w:autoSpaceDE w:val="0"/>
              <w:autoSpaceDN w:val="0"/>
              <w:adjustRightInd w:val="0"/>
              <w:spacing w:before="0" w:after="0" w:line="240" w:lineRule="auto"/>
              <w:jc w:val="both"/>
              <w:rPr>
                <w:rStyle w:val="fdnolabel1"/>
                <w:rFonts w:cs="Calibri"/>
                <w:b/>
                <w:bCs/>
                <w:color w:val="365F91"/>
                <w:sz w:val="22"/>
                <w:szCs w:val="22"/>
                <w:bdr w:val="none" w:sz="0" w:space="0" w:color="auto" w:frame="1"/>
              </w:rPr>
            </w:pPr>
          </w:p>
        </w:tc>
        <w:tc>
          <w:tcPr>
            <w:tcW w:w="1368" w:type="dxa"/>
            <w:tcBorders>
              <w:top w:val="single" w:sz="8" w:space="0" w:color="4F81BD"/>
              <w:left w:val="nil"/>
              <w:bottom w:val="single" w:sz="8" w:space="0" w:color="4F81BD"/>
              <w:right w:val="nil"/>
            </w:tcBorders>
          </w:tcPr>
          <w:p w:rsidR="00A95413" w:rsidRPr="00F63097" w:rsidRDefault="00A95413" w:rsidP="00F63097">
            <w:pPr>
              <w:autoSpaceDE w:val="0"/>
              <w:autoSpaceDN w:val="0"/>
              <w:adjustRightInd w:val="0"/>
              <w:spacing w:before="0" w:after="0" w:line="240" w:lineRule="auto"/>
              <w:jc w:val="both"/>
              <w:rPr>
                <w:rStyle w:val="fdnolabel1"/>
                <w:rFonts w:cs="Calibri"/>
                <w:b/>
                <w:bCs/>
                <w:color w:val="365F91"/>
                <w:sz w:val="22"/>
                <w:szCs w:val="22"/>
                <w:bdr w:val="none" w:sz="0" w:space="0" w:color="auto" w:frame="1"/>
              </w:rPr>
            </w:pPr>
            <w:r w:rsidRPr="00F63097">
              <w:rPr>
                <w:rStyle w:val="fdnolabel1"/>
                <w:rFonts w:cs="Calibri"/>
                <w:bCs/>
                <w:color w:val="365F91"/>
                <w:sz w:val="22"/>
                <w:szCs w:val="22"/>
                <w:bdr w:val="none" w:sz="0" w:space="0" w:color="auto" w:frame="1"/>
              </w:rPr>
              <w:t>Regression 1</w:t>
            </w:r>
          </w:p>
        </w:tc>
        <w:tc>
          <w:tcPr>
            <w:tcW w:w="1368" w:type="dxa"/>
            <w:tcBorders>
              <w:top w:val="single" w:sz="8" w:space="0" w:color="4F81BD"/>
              <w:left w:val="nil"/>
              <w:bottom w:val="single" w:sz="8" w:space="0" w:color="4F81BD"/>
              <w:right w:val="nil"/>
            </w:tcBorders>
          </w:tcPr>
          <w:p w:rsidR="00A95413" w:rsidRPr="00F63097" w:rsidRDefault="00A95413" w:rsidP="00F63097">
            <w:pPr>
              <w:autoSpaceDE w:val="0"/>
              <w:autoSpaceDN w:val="0"/>
              <w:adjustRightInd w:val="0"/>
              <w:spacing w:before="0" w:after="0" w:line="240" w:lineRule="auto"/>
              <w:jc w:val="both"/>
              <w:rPr>
                <w:rStyle w:val="fdnolabel1"/>
                <w:rFonts w:cs="Calibri"/>
                <w:b/>
                <w:bCs/>
                <w:color w:val="365F91"/>
                <w:sz w:val="22"/>
                <w:szCs w:val="22"/>
                <w:bdr w:val="none" w:sz="0" w:space="0" w:color="auto" w:frame="1"/>
              </w:rPr>
            </w:pPr>
            <w:r w:rsidRPr="00F63097">
              <w:rPr>
                <w:rStyle w:val="fdnolabel1"/>
                <w:rFonts w:cs="Calibri"/>
                <w:bCs/>
                <w:color w:val="365F91"/>
                <w:sz w:val="22"/>
                <w:szCs w:val="22"/>
                <w:bdr w:val="none" w:sz="0" w:space="0" w:color="auto" w:frame="1"/>
              </w:rPr>
              <w:t>Significance</w:t>
            </w:r>
          </w:p>
        </w:tc>
        <w:tc>
          <w:tcPr>
            <w:tcW w:w="1368" w:type="dxa"/>
            <w:tcBorders>
              <w:top w:val="single" w:sz="8" w:space="0" w:color="4F81BD"/>
              <w:left w:val="nil"/>
              <w:bottom w:val="single" w:sz="8" w:space="0" w:color="4F81BD"/>
              <w:right w:val="nil"/>
            </w:tcBorders>
          </w:tcPr>
          <w:p w:rsidR="00A95413" w:rsidRPr="00F63097" w:rsidRDefault="00A95413" w:rsidP="00F63097">
            <w:pPr>
              <w:autoSpaceDE w:val="0"/>
              <w:autoSpaceDN w:val="0"/>
              <w:adjustRightInd w:val="0"/>
              <w:spacing w:before="0" w:after="0" w:line="240" w:lineRule="auto"/>
              <w:jc w:val="both"/>
              <w:rPr>
                <w:rStyle w:val="fdnolabel1"/>
                <w:rFonts w:cs="Calibri"/>
                <w:b/>
                <w:bCs/>
                <w:color w:val="365F91"/>
                <w:sz w:val="22"/>
                <w:szCs w:val="22"/>
                <w:bdr w:val="none" w:sz="0" w:space="0" w:color="auto" w:frame="1"/>
              </w:rPr>
            </w:pPr>
            <w:r w:rsidRPr="00F63097">
              <w:rPr>
                <w:rStyle w:val="fdnolabel1"/>
                <w:rFonts w:cs="Calibri"/>
                <w:bCs/>
                <w:color w:val="365F91"/>
                <w:sz w:val="22"/>
                <w:szCs w:val="22"/>
                <w:bdr w:val="none" w:sz="0" w:space="0" w:color="auto" w:frame="1"/>
              </w:rPr>
              <w:t>Regression 2</w:t>
            </w:r>
          </w:p>
        </w:tc>
        <w:tc>
          <w:tcPr>
            <w:tcW w:w="1368" w:type="dxa"/>
            <w:tcBorders>
              <w:top w:val="single" w:sz="8" w:space="0" w:color="4F81BD"/>
              <w:left w:val="nil"/>
              <w:bottom w:val="single" w:sz="8" w:space="0" w:color="4F81BD"/>
              <w:right w:val="nil"/>
            </w:tcBorders>
          </w:tcPr>
          <w:p w:rsidR="00A95413" w:rsidRPr="00F63097" w:rsidRDefault="00A95413" w:rsidP="00F63097">
            <w:pPr>
              <w:autoSpaceDE w:val="0"/>
              <w:autoSpaceDN w:val="0"/>
              <w:adjustRightInd w:val="0"/>
              <w:spacing w:before="0" w:after="0" w:line="240" w:lineRule="auto"/>
              <w:jc w:val="both"/>
              <w:rPr>
                <w:rStyle w:val="fdnolabel1"/>
                <w:rFonts w:cs="Calibri"/>
                <w:b/>
                <w:bCs/>
                <w:color w:val="365F91"/>
                <w:sz w:val="22"/>
                <w:szCs w:val="22"/>
                <w:bdr w:val="none" w:sz="0" w:space="0" w:color="auto" w:frame="1"/>
              </w:rPr>
            </w:pPr>
            <w:r w:rsidRPr="00F63097">
              <w:rPr>
                <w:rStyle w:val="fdnolabel1"/>
                <w:rFonts w:cs="Calibri"/>
                <w:bCs/>
                <w:color w:val="365F91"/>
                <w:sz w:val="22"/>
                <w:szCs w:val="22"/>
                <w:bdr w:val="none" w:sz="0" w:space="0" w:color="auto" w:frame="1"/>
              </w:rPr>
              <w:t>Significance</w:t>
            </w:r>
          </w:p>
        </w:tc>
        <w:tc>
          <w:tcPr>
            <w:tcW w:w="1368" w:type="dxa"/>
            <w:tcBorders>
              <w:top w:val="single" w:sz="8" w:space="0" w:color="4F81BD"/>
              <w:left w:val="nil"/>
              <w:bottom w:val="single" w:sz="8" w:space="0" w:color="4F81BD"/>
              <w:right w:val="nil"/>
            </w:tcBorders>
          </w:tcPr>
          <w:p w:rsidR="00A95413" w:rsidRPr="00F63097" w:rsidRDefault="00A95413" w:rsidP="00F63097">
            <w:pPr>
              <w:autoSpaceDE w:val="0"/>
              <w:autoSpaceDN w:val="0"/>
              <w:adjustRightInd w:val="0"/>
              <w:spacing w:before="0" w:after="0" w:line="240" w:lineRule="auto"/>
              <w:jc w:val="both"/>
              <w:rPr>
                <w:rStyle w:val="fdnolabel1"/>
                <w:rFonts w:cs="Calibri"/>
                <w:b/>
                <w:bCs/>
                <w:color w:val="365F91"/>
                <w:sz w:val="22"/>
                <w:szCs w:val="22"/>
                <w:bdr w:val="none" w:sz="0" w:space="0" w:color="auto" w:frame="1"/>
              </w:rPr>
            </w:pPr>
            <w:r w:rsidRPr="00F63097">
              <w:rPr>
                <w:rStyle w:val="fdnolabel1"/>
                <w:rFonts w:cs="Calibri"/>
                <w:bCs/>
                <w:color w:val="365F91"/>
                <w:sz w:val="22"/>
                <w:szCs w:val="22"/>
                <w:bdr w:val="none" w:sz="0" w:space="0" w:color="auto" w:frame="1"/>
              </w:rPr>
              <w:t>Regression 3</w:t>
            </w:r>
          </w:p>
        </w:tc>
        <w:tc>
          <w:tcPr>
            <w:tcW w:w="1368" w:type="dxa"/>
            <w:tcBorders>
              <w:top w:val="single" w:sz="8" w:space="0" w:color="4F81BD"/>
              <w:left w:val="nil"/>
              <w:bottom w:val="single" w:sz="8" w:space="0" w:color="4F81BD"/>
              <w:right w:val="nil"/>
            </w:tcBorders>
          </w:tcPr>
          <w:p w:rsidR="00A95413" w:rsidRPr="00F63097" w:rsidRDefault="00A95413" w:rsidP="00F63097">
            <w:pPr>
              <w:autoSpaceDE w:val="0"/>
              <w:autoSpaceDN w:val="0"/>
              <w:adjustRightInd w:val="0"/>
              <w:spacing w:before="0" w:after="0" w:line="240" w:lineRule="auto"/>
              <w:jc w:val="both"/>
              <w:rPr>
                <w:rStyle w:val="fdnolabel1"/>
                <w:rFonts w:cs="Calibri"/>
                <w:b/>
                <w:bCs/>
                <w:color w:val="365F91"/>
                <w:sz w:val="22"/>
                <w:szCs w:val="22"/>
                <w:bdr w:val="none" w:sz="0" w:space="0" w:color="auto" w:frame="1"/>
              </w:rPr>
            </w:pPr>
            <w:r w:rsidRPr="00F63097">
              <w:rPr>
                <w:rStyle w:val="fdnolabel1"/>
                <w:rFonts w:cs="Calibri"/>
                <w:bCs/>
                <w:color w:val="365F91"/>
                <w:sz w:val="22"/>
                <w:szCs w:val="22"/>
                <w:bdr w:val="none" w:sz="0" w:space="0" w:color="auto" w:frame="1"/>
              </w:rPr>
              <w:t>Significance</w:t>
            </w:r>
          </w:p>
        </w:tc>
      </w:tr>
      <w:tr w:rsidR="00A95413" w:rsidRPr="00F63097" w:rsidTr="00F63097">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b/>
                <w:bCs/>
                <w:color w:val="365F91"/>
                <w:sz w:val="22"/>
                <w:szCs w:val="22"/>
                <w:bdr w:val="none" w:sz="0" w:space="0" w:color="auto" w:frame="1"/>
              </w:rPr>
            </w:pPr>
            <w:r w:rsidRPr="00F63097">
              <w:rPr>
                <w:rStyle w:val="fdnolabel1"/>
                <w:rFonts w:cs="Calibri"/>
                <w:b/>
                <w:bCs/>
                <w:color w:val="365F91"/>
                <w:sz w:val="22"/>
                <w:szCs w:val="22"/>
                <w:bdr w:val="none" w:sz="0" w:space="0" w:color="auto" w:frame="1"/>
              </w:rPr>
              <w:t>R-Square</w:t>
            </w: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36,4%</w:t>
            </w: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36,3%</w:t>
            </w: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34,3%</w:t>
            </w: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p>
        </w:tc>
      </w:tr>
      <w:tr w:rsidR="00A95413" w:rsidRPr="00F63097" w:rsidTr="00F63097">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b/>
                <w:bCs/>
                <w:color w:val="365F91"/>
                <w:sz w:val="22"/>
                <w:szCs w:val="22"/>
                <w:bdr w:val="none" w:sz="0" w:space="0" w:color="auto" w:frame="1"/>
              </w:rPr>
            </w:pPr>
            <w:r w:rsidRPr="00F63097">
              <w:rPr>
                <w:rStyle w:val="fdnolabel1"/>
                <w:rFonts w:cs="Calibri"/>
                <w:b/>
                <w:bCs/>
                <w:color w:val="365F91"/>
                <w:sz w:val="22"/>
                <w:szCs w:val="22"/>
                <w:bdr w:val="none" w:sz="0" w:space="0" w:color="auto" w:frame="1"/>
              </w:rPr>
              <w:t>Sig. ANOVA</w:t>
            </w: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0.000</w:t>
            </w: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0.000</w:t>
            </w: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0.000</w:t>
            </w: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p>
        </w:tc>
      </w:tr>
      <w:tr w:rsidR="00A95413" w:rsidRPr="00F63097" w:rsidTr="00F63097">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b/>
                <w:bCs/>
                <w:color w:val="365F91"/>
                <w:sz w:val="22"/>
                <w:szCs w:val="22"/>
                <w:u w:val="single"/>
                <w:bdr w:val="none" w:sz="0" w:space="0" w:color="auto" w:frame="1"/>
              </w:rPr>
            </w:pPr>
            <w:r w:rsidRPr="00F63097">
              <w:rPr>
                <w:rStyle w:val="fdnolabel1"/>
                <w:rFonts w:cs="Calibri"/>
                <w:bCs/>
                <w:color w:val="365F91"/>
                <w:sz w:val="22"/>
                <w:szCs w:val="22"/>
                <w:u w:val="single"/>
                <w:bdr w:val="none" w:sz="0" w:space="0" w:color="auto" w:frame="1"/>
              </w:rPr>
              <w:t>Coefficients</w:t>
            </w: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p>
        </w:tc>
      </w:tr>
      <w:tr w:rsidR="00A95413" w:rsidRPr="00F63097" w:rsidTr="00F63097">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b/>
                <w:bCs/>
                <w:color w:val="365F91"/>
                <w:sz w:val="22"/>
                <w:szCs w:val="22"/>
                <w:bdr w:val="none" w:sz="0" w:space="0" w:color="auto" w:frame="1"/>
              </w:rPr>
            </w:pPr>
            <w:r w:rsidRPr="00F63097">
              <w:rPr>
                <w:rStyle w:val="fdnolabel1"/>
                <w:rFonts w:cs="Calibri"/>
                <w:b/>
                <w:bCs/>
                <w:color w:val="365F91"/>
                <w:sz w:val="22"/>
                <w:szCs w:val="22"/>
                <w:bdr w:val="none" w:sz="0" w:space="0" w:color="auto" w:frame="1"/>
              </w:rPr>
              <w:t>Managerial</w:t>
            </w: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.008</w:t>
            </w: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.730</w:t>
            </w: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-.020</w:t>
            </w: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.233</w:t>
            </w:r>
          </w:p>
        </w:tc>
      </w:tr>
      <w:tr w:rsidR="00A95413" w:rsidRPr="00F63097" w:rsidTr="00F63097">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b/>
                <w:bCs/>
                <w:color w:val="365F91"/>
                <w:sz w:val="22"/>
                <w:szCs w:val="22"/>
                <w:bdr w:val="none" w:sz="0" w:space="0" w:color="auto" w:frame="1"/>
              </w:rPr>
            </w:pPr>
            <w:r w:rsidRPr="00F63097">
              <w:rPr>
                <w:rStyle w:val="fdnolabel1"/>
                <w:rFonts w:cs="Calibri"/>
                <w:b/>
                <w:bCs/>
                <w:color w:val="365F91"/>
                <w:sz w:val="22"/>
                <w:szCs w:val="22"/>
                <w:bdr w:val="none" w:sz="0" w:space="0" w:color="auto" w:frame="1"/>
              </w:rPr>
              <w:t>Blockholder</w:t>
            </w: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-.044</w:t>
            </w: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b/>
                <w:color w:val="365F91"/>
                <w:sz w:val="22"/>
                <w:szCs w:val="22"/>
                <w:bdr w:val="none" w:sz="0" w:space="0" w:color="auto" w:frame="1"/>
              </w:rPr>
            </w:pPr>
            <w:r w:rsidRPr="00F63097">
              <w:rPr>
                <w:rStyle w:val="fdnolabel1"/>
                <w:rFonts w:cs="Calibri"/>
                <w:b/>
                <w:color w:val="365F91"/>
                <w:sz w:val="22"/>
                <w:szCs w:val="22"/>
                <w:bdr w:val="none" w:sz="0" w:space="0" w:color="auto" w:frame="1"/>
              </w:rPr>
              <w:t>.085</w:t>
            </w: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-.038</w:t>
            </w: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b/>
                <w:color w:val="365F91"/>
                <w:sz w:val="22"/>
                <w:szCs w:val="22"/>
                <w:bdr w:val="none" w:sz="0" w:space="0" w:color="auto" w:frame="1"/>
              </w:rPr>
            </w:pPr>
            <w:r w:rsidRPr="00F63097">
              <w:rPr>
                <w:rStyle w:val="fdnolabel1"/>
                <w:rFonts w:cs="Calibri"/>
                <w:b/>
                <w:color w:val="365F91"/>
                <w:sz w:val="22"/>
                <w:szCs w:val="22"/>
                <w:bdr w:val="none" w:sz="0" w:space="0" w:color="auto" w:frame="1"/>
              </w:rPr>
              <w:t>.038</w:t>
            </w: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p>
        </w:tc>
      </w:tr>
      <w:tr w:rsidR="00A95413" w:rsidRPr="00F63097" w:rsidTr="00F63097">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b/>
                <w:bCs/>
                <w:color w:val="365F91"/>
                <w:sz w:val="22"/>
                <w:szCs w:val="22"/>
                <w:bdr w:val="none" w:sz="0" w:space="0" w:color="auto" w:frame="1"/>
              </w:rPr>
            </w:pPr>
            <w:r w:rsidRPr="00F63097">
              <w:rPr>
                <w:rStyle w:val="fdnolabel1"/>
                <w:rFonts w:cs="Calibri"/>
                <w:b/>
                <w:bCs/>
                <w:color w:val="365F91"/>
                <w:sz w:val="22"/>
                <w:szCs w:val="22"/>
                <w:bdr w:val="none" w:sz="0" w:space="0" w:color="auto" w:frame="1"/>
              </w:rPr>
              <w:t>Size</w:t>
            </w: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2.823</w:t>
            </w: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b/>
                <w:color w:val="365F91"/>
                <w:sz w:val="22"/>
                <w:szCs w:val="22"/>
                <w:bdr w:val="none" w:sz="0" w:space="0" w:color="auto" w:frame="1"/>
              </w:rPr>
            </w:pPr>
            <w:r w:rsidRPr="00F63097">
              <w:rPr>
                <w:rStyle w:val="fdnolabel1"/>
                <w:rFonts w:cs="Calibri"/>
                <w:b/>
                <w:color w:val="365F91"/>
                <w:sz w:val="22"/>
                <w:szCs w:val="22"/>
                <w:bdr w:val="none" w:sz="0" w:space="0" w:color="auto" w:frame="1"/>
              </w:rPr>
              <w:t>.000</w:t>
            </w: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2.788</w:t>
            </w: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b/>
                <w:color w:val="365F91"/>
                <w:sz w:val="22"/>
                <w:szCs w:val="22"/>
                <w:bdr w:val="none" w:sz="0" w:space="0" w:color="auto" w:frame="1"/>
              </w:rPr>
            </w:pPr>
            <w:r w:rsidRPr="00F63097">
              <w:rPr>
                <w:rStyle w:val="fdnolabel1"/>
                <w:rFonts w:cs="Calibri"/>
                <w:b/>
                <w:color w:val="365F91"/>
                <w:sz w:val="22"/>
                <w:szCs w:val="22"/>
                <w:bdr w:val="none" w:sz="0" w:space="0" w:color="auto" w:frame="1"/>
              </w:rPr>
              <w:t>.000</w:t>
            </w: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2.835</w:t>
            </w:r>
          </w:p>
        </w:tc>
        <w:tc>
          <w:tcPr>
            <w:tcW w:w="1368" w:type="dxa"/>
          </w:tcPr>
          <w:p w:rsidR="00A95413" w:rsidRPr="00F63097" w:rsidRDefault="00A95413" w:rsidP="00F63097">
            <w:pPr>
              <w:autoSpaceDE w:val="0"/>
              <w:autoSpaceDN w:val="0"/>
              <w:adjustRightInd w:val="0"/>
              <w:spacing w:before="0" w:after="0" w:line="240" w:lineRule="auto"/>
              <w:jc w:val="both"/>
              <w:rPr>
                <w:rStyle w:val="fdnolabel1"/>
                <w:rFonts w:cs="Calibri"/>
                <w:b/>
                <w:color w:val="365F91"/>
                <w:sz w:val="22"/>
                <w:szCs w:val="22"/>
                <w:bdr w:val="none" w:sz="0" w:space="0" w:color="auto" w:frame="1"/>
              </w:rPr>
            </w:pPr>
            <w:r w:rsidRPr="00F63097">
              <w:rPr>
                <w:rStyle w:val="fdnolabel1"/>
                <w:rFonts w:cs="Calibri"/>
                <w:b/>
                <w:color w:val="365F91"/>
                <w:sz w:val="22"/>
                <w:szCs w:val="22"/>
                <w:bdr w:val="none" w:sz="0" w:space="0" w:color="auto" w:frame="1"/>
              </w:rPr>
              <w:t>.000</w:t>
            </w:r>
          </w:p>
        </w:tc>
      </w:tr>
      <w:tr w:rsidR="00A95413" w:rsidRPr="00F63097" w:rsidTr="00F63097">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b/>
                <w:bCs/>
                <w:color w:val="365F91"/>
                <w:sz w:val="22"/>
                <w:szCs w:val="22"/>
                <w:bdr w:val="none" w:sz="0" w:space="0" w:color="auto" w:frame="1"/>
              </w:rPr>
            </w:pPr>
            <w:r w:rsidRPr="00F63097">
              <w:rPr>
                <w:rStyle w:val="fdnolabel1"/>
                <w:rFonts w:cs="Calibri"/>
                <w:b/>
                <w:bCs/>
                <w:color w:val="365F91"/>
                <w:sz w:val="22"/>
                <w:szCs w:val="22"/>
                <w:bdr w:val="none" w:sz="0" w:space="0" w:color="auto" w:frame="1"/>
              </w:rPr>
              <w:t>Leverage</w:t>
            </w: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.345</w:t>
            </w: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.120</w:t>
            </w: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.343</w:t>
            </w: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.119</w:t>
            </w: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.328</w:t>
            </w:r>
          </w:p>
        </w:tc>
        <w:tc>
          <w:tcPr>
            <w:tcW w:w="1368" w:type="dxa"/>
            <w:tcBorders>
              <w:left w:val="nil"/>
              <w:right w:val="nil"/>
            </w:tcBorders>
            <w:shd w:val="clear" w:color="auto" w:fill="D3DFEE"/>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.142</w:t>
            </w:r>
          </w:p>
        </w:tc>
      </w:tr>
      <w:tr w:rsidR="00A95413" w:rsidRPr="00F63097" w:rsidTr="00F63097">
        <w:trPr>
          <w:trHeight w:val="79"/>
        </w:trPr>
        <w:tc>
          <w:tcPr>
            <w:tcW w:w="1368" w:type="dxa"/>
            <w:tcBorders>
              <w:bottom w:val="single" w:sz="8" w:space="0" w:color="4F81BD"/>
            </w:tcBorders>
          </w:tcPr>
          <w:p w:rsidR="00A95413" w:rsidRPr="00F63097" w:rsidRDefault="00A95413" w:rsidP="00F63097">
            <w:pPr>
              <w:autoSpaceDE w:val="0"/>
              <w:autoSpaceDN w:val="0"/>
              <w:adjustRightInd w:val="0"/>
              <w:spacing w:before="0" w:after="0" w:line="240" w:lineRule="auto"/>
              <w:jc w:val="both"/>
              <w:rPr>
                <w:rStyle w:val="fdnolabel1"/>
                <w:rFonts w:cs="Calibri"/>
                <w:b/>
                <w:bCs/>
                <w:color w:val="365F91"/>
                <w:sz w:val="22"/>
                <w:szCs w:val="22"/>
                <w:bdr w:val="none" w:sz="0" w:space="0" w:color="auto" w:frame="1"/>
              </w:rPr>
            </w:pPr>
            <w:r w:rsidRPr="00F63097">
              <w:rPr>
                <w:rStyle w:val="fdnolabel1"/>
                <w:rFonts w:cs="Calibri"/>
                <w:b/>
                <w:bCs/>
                <w:color w:val="365F91"/>
                <w:sz w:val="22"/>
                <w:szCs w:val="22"/>
                <w:bdr w:val="none" w:sz="0" w:space="0" w:color="auto" w:frame="1"/>
              </w:rPr>
              <w:t>Profitability</w:t>
            </w:r>
          </w:p>
        </w:tc>
        <w:tc>
          <w:tcPr>
            <w:tcW w:w="1368" w:type="dxa"/>
            <w:tcBorders>
              <w:bottom w:val="single" w:sz="8" w:space="0" w:color="4F81BD"/>
            </w:tcBorders>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.149</w:t>
            </w:r>
          </w:p>
        </w:tc>
        <w:tc>
          <w:tcPr>
            <w:tcW w:w="1368" w:type="dxa"/>
            <w:tcBorders>
              <w:bottom w:val="single" w:sz="8" w:space="0" w:color="4F81BD"/>
            </w:tcBorders>
          </w:tcPr>
          <w:p w:rsidR="00A95413" w:rsidRPr="00F63097" w:rsidRDefault="00A95413" w:rsidP="00F63097">
            <w:pPr>
              <w:autoSpaceDE w:val="0"/>
              <w:autoSpaceDN w:val="0"/>
              <w:adjustRightInd w:val="0"/>
              <w:spacing w:before="0" w:after="0" w:line="240" w:lineRule="auto"/>
              <w:jc w:val="both"/>
              <w:rPr>
                <w:rStyle w:val="fdnolabel1"/>
                <w:rFonts w:cs="Calibri"/>
                <w:b/>
                <w:color w:val="365F91"/>
                <w:sz w:val="22"/>
                <w:szCs w:val="22"/>
                <w:bdr w:val="none" w:sz="0" w:space="0" w:color="auto" w:frame="1"/>
              </w:rPr>
            </w:pPr>
            <w:r w:rsidRPr="00F63097">
              <w:rPr>
                <w:rStyle w:val="fdnolabel1"/>
                <w:rFonts w:cs="Calibri"/>
                <w:b/>
                <w:color w:val="365F91"/>
                <w:sz w:val="22"/>
                <w:szCs w:val="22"/>
                <w:bdr w:val="none" w:sz="0" w:space="0" w:color="auto" w:frame="1"/>
              </w:rPr>
              <w:t>.083</w:t>
            </w:r>
          </w:p>
        </w:tc>
        <w:tc>
          <w:tcPr>
            <w:tcW w:w="1368" w:type="dxa"/>
            <w:tcBorders>
              <w:bottom w:val="single" w:sz="8" w:space="0" w:color="4F81BD"/>
            </w:tcBorders>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.150</w:t>
            </w:r>
          </w:p>
        </w:tc>
        <w:tc>
          <w:tcPr>
            <w:tcW w:w="1368" w:type="dxa"/>
            <w:tcBorders>
              <w:bottom w:val="single" w:sz="8" w:space="0" w:color="4F81BD"/>
            </w:tcBorders>
          </w:tcPr>
          <w:p w:rsidR="00A95413" w:rsidRPr="00F63097" w:rsidRDefault="00A95413" w:rsidP="00F63097">
            <w:pPr>
              <w:autoSpaceDE w:val="0"/>
              <w:autoSpaceDN w:val="0"/>
              <w:adjustRightInd w:val="0"/>
              <w:spacing w:before="0" w:after="0" w:line="240" w:lineRule="auto"/>
              <w:jc w:val="both"/>
              <w:rPr>
                <w:rStyle w:val="fdnolabel1"/>
                <w:rFonts w:cs="Calibri"/>
                <w:b/>
                <w:color w:val="365F91"/>
                <w:sz w:val="22"/>
                <w:szCs w:val="22"/>
                <w:bdr w:val="none" w:sz="0" w:space="0" w:color="auto" w:frame="1"/>
              </w:rPr>
            </w:pPr>
            <w:r w:rsidRPr="00F63097">
              <w:rPr>
                <w:rStyle w:val="fdnolabel1"/>
                <w:rFonts w:cs="Calibri"/>
                <w:b/>
                <w:color w:val="365F91"/>
                <w:sz w:val="22"/>
                <w:szCs w:val="22"/>
                <w:bdr w:val="none" w:sz="0" w:space="0" w:color="auto" w:frame="1"/>
              </w:rPr>
              <w:t>.078</w:t>
            </w:r>
          </w:p>
        </w:tc>
        <w:tc>
          <w:tcPr>
            <w:tcW w:w="1368" w:type="dxa"/>
            <w:tcBorders>
              <w:bottom w:val="single" w:sz="8" w:space="0" w:color="4F81BD"/>
            </w:tcBorders>
          </w:tcPr>
          <w:p w:rsidR="00A95413" w:rsidRPr="00F63097" w:rsidRDefault="00A95413" w:rsidP="00F63097">
            <w:pPr>
              <w:autoSpaceDE w:val="0"/>
              <w:autoSpaceDN w:val="0"/>
              <w:adjustRightInd w:val="0"/>
              <w:spacing w:before="0" w:after="0" w:line="240" w:lineRule="auto"/>
              <w:jc w:val="both"/>
              <w:rPr>
                <w:rStyle w:val="fdnolabel1"/>
                <w:rFonts w:cs="Calibri"/>
                <w:color w:val="365F91"/>
                <w:sz w:val="22"/>
                <w:szCs w:val="22"/>
                <w:bdr w:val="none" w:sz="0" w:space="0" w:color="auto" w:frame="1"/>
              </w:rPr>
            </w:pPr>
            <w:r w:rsidRPr="00F63097">
              <w:rPr>
                <w:rStyle w:val="fdnolabel1"/>
                <w:rFonts w:cs="Calibri"/>
                <w:color w:val="365F91"/>
                <w:sz w:val="22"/>
                <w:szCs w:val="22"/>
                <w:bdr w:val="none" w:sz="0" w:space="0" w:color="auto" w:frame="1"/>
              </w:rPr>
              <w:t>.156</w:t>
            </w:r>
          </w:p>
        </w:tc>
        <w:tc>
          <w:tcPr>
            <w:tcW w:w="1368" w:type="dxa"/>
            <w:tcBorders>
              <w:bottom w:val="single" w:sz="8" w:space="0" w:color="4F81BD"/>
            </w:tcBorders>
          </w:tcPr>
          <w:p w:rsidR="00A95413" w:rsidRPr="00F63097" w:rsidRDefault="00A95413" w:rsidP="00F63097">
            <w:pPr>
              <w:autoSpaceDE w:val="0"/>
              <w:autoSpaceDN w:val="0"/>
              <w:adjustRightInd w:val="0"/>
              <w:spacing w:before="0" w:after="0" w:line="240" w:lineRule="auto"/>
              <w:jc w:val="both"/>
              <w:rPr>
                <w:rStyle w:val="fdnolabel1"/>
                <w:rFonts w:cs="Calibri"/>
                <w:b/>
                <w:color w:val="365F91"/>
                <w:sz w:val="22"/>
                <w:szCs w:val="22"/>
                <w:bdr w:val="none" w:sz="0" w:space="0" w:color="auto" w:frame="1"/>
              </w:rPr>
            </w:pPr>
            <w:r w:rsidRPr="00F63097">
              <w:rPr>
                <w:rStyle w:val="fdnolabel1"/>
                <w:rFonts w:cs="Calibri"/>
                <w:b/>
                <w:color w:val="365F91"/>
                <w:sz w:val="22"/>
                <w:szCs w:val="22"/>
                <w:bdr w:val="none" w:sz="0" w:space="0" w:color="auto" w:frame="1"/>
              </w:rPr>
              <w:t>.071</w:t>
            </w:r>
          </w:p>
        </w:tc>
      </w:tr>
    </w:tbl>
    <w:p w:rsidR="00A95413" w:rsidRPr="00046999" w:rsidRDefault="00A95413" w:rsidP="001D4BB3">
      <w:pPr>
        <w:autoSpaceDE w:val="0"/>
        <w:autoSpaceDN w:val="0"/>
        <w:adjustRightInd w:val="0"/>
        <w:spacing w:after="0"/>
        <w:jc w:val="both"/>
        <w:rPr>
          <w:rStyle w:val="fdnolabel1"/>
          <w:rFonts w:cs="Calibri"/>
          <w:sz w:val="22"/>
          <w:szCs w:val="22"/>
          <w:u w:val="single"/>
          <w:bdr w:val="none" w:sz="0" w:space="0" w:color="auto" w:frame="1"/>
        </w:rPr>
      </w:pPr>
      <w:r w:rsidRPr="00046999">
        <w:rPr>
          <w:rStyle w:val="fdnolabel1"/>
          <w:rFonts w:cs="Calibri"/>
          <w:sz w:val="22"/>
          <w:szCs w:val="22"/>
          <w:u w:val="single"/>
          <w:bdr w:val="none" w:sz="0" w:space="0" w:color="auto" w:frame="1"/>
        </w:rPr>
        <w:t>Results of regression 1: (Managerial ownership, Blockholder ownership, Size, Leverage and Profitability)</w:t>
      </w:r>
    </w:p>
    <w:p w:rsidR="00A95413" w:rsidRPr="00046999" w:rsidRDefault="00A95413" w:rsidP="001D4BB3">
      <w:pPr>
        <w:jc w:val="both"/>
        <w:rPr>
          <w:rFonts w:cs="Calibri"/>
          <w:sz w:val="22"/>
          <w:szCs w:val="22"/>
        </w:rPr>
      </w:pPr>
      <w:r w:rsidRPr="00046999">
        <w:rPr>
          <w:rFonts w:cs="Calibri"/>
          <w:sz w:val="22"/>
          <w:szCs w:val="22"/>
        </w:rPr>
        <w:t>The R-square of this regression is 0,364 which means that 36,4% of the variance</w:t>
      </w:r>
      <w:r>
        <w:rPr>
          <w:rFonts w:cs="Calibri"/>
          <w:sz w:val="22"/>
          <w:szCs w:val="22"/>
        </w:rPr>
        <w:t xml:space="preserve"> in Dscore</w:t>
      </w:r>
      <w:r w:rsidR="00134104">
        <w:rPr>
          <w:rFonts w:cs="Calibri"/>
          <w:sz w:val="22"/>
          <w:szCs w:val="22"/>
        </w:rPr>
        <w:t xml:space="preserve"> is explained by the variables m</w:t>
      </w:r>
      <w:r w:rsidRPr="00046999">
        <w:rPr>
          <w:rFonts w:cs="Calibri"/>
          <w:sz w:val="22"/>
          <w:szCs w:val="22"/>
        </w:rPr>
        <w:t>ana</w:t>
      </w:r>
      <w:r w:rsidR="00134104">
        <w:rPr>
          <w:rFonts w:cs="Calibri"/>
          <w:sz w:val="22"/>
          <w:szCs w:val="22"/>
        </w:rPr>
        <w:t>gerial ownership, b</w:t>
      </w:r>
      <w:r w:rsidRPr="00046999">
        <w:rPr>
          <w:rFonts w:cs="Calibri"/>
          <w:sz w:val="22"/>
          <w:szCs w:val="22"/>
        </w:rPr>
        <w:t xml:space="preserve">lockholder ownership, </w:t>
      </w:r>
      <w:r>
        <w:rPr>
          <w:rFonts w:cs="Calibri"/>
          <w:sz w:val="22"/>
          <w:szCs w:val="22"/>
        </w:rPr>
        <w:t>size, leverage and profitability</w:t>
      </w:r>
      <w:r w:rsidRPr="00046999">
        <w:rPr>
          <w:rFonts w:cs="Calibri"/>
          <w:sz w:val="22"/>
          <w:szCs w:val="22"/>
        </w:rPr>
        <w:t xml:space="preserve">. Furthermore, the ANOVA table tests whether the entire model is significant. The score is 0.000 which is </w:t>
      </w:r>
      <w:r>
        <w:rPr>
          <w:rFonts w:cs="Calibri"/>
          <w:sz w:val="22"/>
          <w:szCs w:val="22"/>
        </w:rPr>
        <w:t>therefore significant at</w:t>
      </w:r>
      <w:r w:rsidRPr="00046999">
        <w:rPr>
          <w:rFonts w:cs="Calibri"/>
          <w:sz w:val="22"/>
          <w:szCs w:val="22"/>
        </w:rPr>
        <w:t xml:space="preserve"> </w:t>
      </w:r>
      <w:r>
        <w:rPr>
          <w:rFonts w:cs="Calibri"/>
          <w:sz w:val="22"/>
          <w:szCs w:val="22"/>
        </w:rPr>
        <w:t xml:space="preserve">the </w:t>
      </w:r>
      <w:r w:rsidRPr="00046999">
        <w:rPr>
          <w:rFonts w:cs="Calibri"/>
          <w:sz w:val="22"/>
          <w:szCs w:val="22"/>
        </w:rPr>
        <w:t>0.01</w:t>
      </w:r>
      <w:r>
        <w:rPr>
          <w:rFonts w:cs="Calibri"/>
          <w:sz w:val="22"/>
          <w:szCs w:val="22"/>
        </w:rPr>
        <w:t xml:space="preserve"> level</w:t>
      </w:r>
      <w:r w:rsidRPr="00046999">
        <w:rPr>
          <w:rFonts w:cs="Calibri"/>
          <w:sz w:val="22"/>
          <w:szCs w:val="22"/>
        </w:rPr>
        <w:t xml:space="preserve"> (P&lt; 0.01). The coefficients table provides the results of the actual regression. The regression coefficients are shown in </w:t>
      </w:r>
      <w:r>
        <w:rPr>
          <w:rFonts w:cs="Calibri"/>
          <w:sz w:val="22"/>
          <w:szCs w:val="22"/>
        </w:rPr>
        <w:t xml:space="preserve">the </w:t>
      </w:r>
      <w:r w:rsidRPr="00046999">
        <w:rPr>
          <w:rFonts w:cs="Calibri"/>
          <w:sz w:val="22"/>
          <w:szCs w:val="22"/>
        </w:rPr>
        <w:t>column</w:t>
      </w:r>
      <w:r>
        <w:rPr>
          <w:rFonts w:cs="Calibri"/>
          <w:sz w:val="22"/>
          <w:szCs w:val="22"/>
        </w:rPr>
        <w:t xml:space="preserve"> ‘regression 1’</w:t>
      </w:r>
      <w:r w:rsidRPr="00046999">
        <w:rPr>
          <w:rFonts w:cs="Calibri"/>
          <w:sz w:val="22"/>
          <w:szCs w:val="22"/>
        </w:rPr>
        <w:t>. T</w:t>
      </w:r>
      <w:r>
        <w:rPr>
          <w:rFonts w:cs="Calibri"/>
          <w:sz w:val="22"/>
          <w:szCs w:val="22"/>
        </w:rPr>
        <w:t>he values indicate the amount of</w:t>
      </w:r>
      <w:r w:rsidRPr="00046999">
        <w:rPr>
          <w:rFonts w:cs="Calibri"/>
          <w:sz w:val="22"/>
          <w:szCs w:val="22"/>
        </w:rPr>
        <w:t xml:space="preserve"> change in the dependent variable (Dscore). As can be observed from the table an increase in </w:t>
      </w:r>
      <w:r w:rsidRPr="00046999">
        <w:rPr>
          <w:rFonts w:cs="Calibri"/>
          <w:sz w:val="22"/>
          <w:szCs w:val="22"/>
        </w:rPr>
        <w:lastRenderedPageBreak/>
        <w:t xml:space="preserve">managerial ownership is associated with an increase in voluntary disclosures, the coefficient is B=0.008. However, this association is not significant. Furthermore, there is a negative association between blockholder ownership and in voluntary disclosures with the coefficient B=-.044. This association is significant at p&lt;0.10. An increase in </w:t>
      </w:r>
      <w:r>
        <w:rPr>
          <w:rFonts w:cs="Calibri"/>
          <w:sz w:val="22"/>
          <w:szCs w:val="22"/>
        </w:rPr>
        <w:t>size</w:t>
      </w:r>
      <w:r w:rsidRPr="00046999">
        <w:rPr>
          <w:rFonts w:cs="Calibri"/>
          <w:sz w:val="22"/>
          <w:szCs w:val="22"/>
        </w:rPr>
        <w:t xml:space="preserve">, leverage and </w:t>
      </w:r>
      <w:r>
        <w:rPr>
          <w:rFonts w:cs="Calibri"/>
          <w:sz w:val="22"/>
          <w:szCs w:val="22"/>
        </w:rPr>
        <w:t>profitability</w:t>
      </w:r>
      <w:r w:rsidRPr="00046999">
        <w:rPr>
          <w:rFonts w:cs="Calibri"/>
          <w:sz w:val="22"/>
          <w:szCs w:val="22"/>
        </w:rPr>
        <w:t xml:space="preserve"> are associated with an increase in voluntary disclosures, so they are all positively associated. The control variable </w:t>
      </w:r>
      <w:r>
        <w:rPr>
          <w:rFonts w:cs="Calibri"/>
          <w:sz w:val="22"/>
          <w:szCs w:val="22"/>
        </w:rPr>
        <w:t>size</w:t>
      </w:r>
      <w:r w:rsidRPr="00046999">
        <w:rPr>
          <w:rFonts w:cs="Calibri"/>
          <w:sz w:val="22"/>
          <w:szCs w:val="22"/>
        </w:rPr>
        <w:t xml:space="preserve"> is significantly associated to voluntary disclosures with B=2.823 at p&lt;0.01, </w:t>
      </w:r>
      <w:r>
        <w:rPr>
          <w:rFonts w:cs="Calibri"/>
          <w:sz w:val="22"/>
          <w:szCs w:val="22"/>
        </w:rPr>
        <w:t>profitability</w:t>
      </w:r>
      <w:r w:rsidRPr="00046999">
        <w:rPr>
          <w:rFonts w:cs="Calibri"/>
          <w:sz w:val="22"/>
          <w:szCs w:val="22"/>
        </w:rPr>
        <w:t xml:space="preserve"> is similar to blockholder ownership significant at p&lt;0.10 with B=.345. Leverage appears to be not significantly associated with voluntary disclosures with a coefficient of B=0.149.</w:t>
      </w:r>
    </w:p>
    <w:p w:rsidR="00A95413" w:rsidRPr="00046999" w:rsidRDefault="00A95413" w:rsidP="001D4BB3">
      <w:pPr>
        <w:autoSpaceDE w:val="0"/>
        <w:autoSpaceDN w:val="0"/>
        <w:adjustRightInd w:val="0"/>
        <w:spacing w:after="0"/>
        <w:jc w:val="both"/>
        <w:rPr>
          <w:rStyle w:val="fdnolabel1"/>
          <w:rFonts w:cs="Calibri"/>
          <w:sz w:val="22"/>
          <w:szCs w:val="22"/>
          <w:u w:val="single"/>
          <w:bdr w:val="none" w:sz="0" w:space="0" w:color="auto" w:frame="1"/>
        </w:rPr>
      </w:pPr>
      <w:r w:rsidRPr="00046999">
        <w:rPr>
          <w:rStyle w:val="fdnolabel1"/>
          <w:rFonts w:cs="Calibri"/>
          <w:sz w:val="22"/>
          <w:szCs w:val="22"/>
          <w:u w:val="single"/>
          <w:bdr w:val="none" w:sz="0" w:space="0" w:color="auto" w:frame="1"/>
        </w:rPr>
        <w:t xml:space="preserve">Results of regression 2: (Blockholder ownership, </w:t>
      </w:r>
      <w:r>
        <w:rPr>
          <w:rStyle w:val="fdnolabel1"/>
          <w:rFonts w:cs="Calibri"/>
          <w:sz w:val="22"/>
          <w:szCs w:val="22"/>
          <w:u w:val="single"/>
          <w:bdr w:val="none" w:sz="0" w:space="0" w:color="auto" w:frame="1"/>
        </w:rPr>
        <w:t>size, leverage and p</w:t>
      </w:r>
      <w:r w:rsidRPr="00046999">
        <w:rPr>
          <w:rStyle w:val="fdnolabel1"/>
          <w:rFonts w:cs="Calibri"/>
          <w:sz w:val="22"/>
          <w:szCs w:val="22"/>
          <w:u w:val="single"/>
          <w:bdr w:val="none" w:sz="0" w:space="0" w:color="auto" w:frame="1"/>
        </w:rPr>
        <w:t>rofitability)</w:t>
      </w:r>
    </w:p>
    <w:p w:rsidR="00A95413" w:rsidRPr="00046999" w:rsidRDefault="00A95413" w:rsidP="001D4BB3">
      <w:pPr>
        <w:jc w:val="both"/>
        <w:rPr>
          <w:rFonts w:cs="Calibri"/>
          <w:sz w:val="22"/>
          <w:szCs w:val="22"/>
        </w:rPr>
      </w:pPr>
      <w:r w:rsidRPr="00046999">
        <w:rPr>
          <w:rFonts w:cs="Calibri"/>
          <w:sz w:val="22"/>
          <w:szCs w:val="22"/>
        </w:rPr>
        <w:t xml:space="preserve">Here the results show R-square is 0,363 so 36,3% of the variance </w:t>
      </w:r>
      <w:r>
        <w:rPr>
          <w:rFonts w:cs="Calibri"/>
          <w:sz w:val="22"/>
          <w:szCs w:val="22"/>
        </w:rPr>
        <w:t xml:space="preserve">in Dscore </w:t>
      </w:r>
      <w:r w:rsidR="00CD3CE9">
        <w:rPr>
          <w:rFonts w:cs="Calibri"/>
          <w:sz w:val="22"/>
          <w:szCs w:val="22"/>
        </w:rPr>
        <w:t>is explained by the variables b</w:t>
      </w:r>
      <w:r w:rsidRPr="00046999">
        <w:rPr>
          <w:rFonts w:cs="Calibri"/>
          <w:sz w:val="22"/>
          <w:szCs w:val="22"/>
        </w:rPr>
        <w:t xml:space="preserve">lockholder ownership, </w:t>
      </w:r>
      <w:r>
        <w:rPr>
          <w:rFonts w:cs="Calibri"/>
          <w:sz w:val="22"/>
          <w:szCs w:val="22"/>
        </w:rPr>
        <w:t>size, l</w:t>
      </w:r>
      <w:r w:rsidRPr="00046999">
        <w:rPr>
          <w:rFonts w:cs="Calibri"/>
          <w:sz w:val="22"/>
          <w:szCs w:val="22"/>
        </w:rPr>
        <w:t xml:space="preserve">everage and </w:t>
      </w:r>
      <w:r>
        <w:rPr>
          <w:rFonts w:cs="Calibri"/>
          <w:sz w:val="22"/>
          <w:szCs w:val="22"/>
        </w:rPr>
        <w:t>profitability</w:t>
      </w:r>
      <w:r w:rsidRPr="00046999">
        <w:rPr>
          <w:rFonts w:cs="Calibri"/>
          <w:sz w:val="22"/>
          <w:szCs w:val="22"/>
        </w:rPr>
        <w:t xml:space="preserve">. Furthermore the model </w:t>
      </w:r>
      <w:r>
        <w:rPr>
          <w:rFonts w:cs="Calibri"/>
          <w:sz w:val="22"/>
          <w:szCs w:val="22"/>
        </w:rPr>
        <w:t>is</w:t>
      </w:r>
      <w:r w:rsidRPr="00046999">
        <w:rPr>
          <w:rFonts w:cs="Calibri"/>
          <w:sz w:val="22"/>
          <w:szCs w:val="22"/>
        </w:rPr>
        <w:t xml:space="preserve"> significant</w:t>
      </w:r>
      <w:r>
        <w:rPr>
          <w:rFonts w:cs="Calibri"/>
          <w:sz w:val="22"/>
          <w:szCs w:val="22"/>
        </w:rPr>
        <w:t xml:space="preserve"> at the 0.01 level</w:t>
      </w:r>
      <w:r w:rsidRPr="00046999">
        <w:rPr>
          <w:rFonts w:cs="Calibri"/>
          <w:sz w:val="22"/>
          <w:szCs w:val="22"/>
        </w:rPr>
        <w:t xml:space="preserve"> as the ANOVA table shows </w:t>
      </w:r>
      <w:r>
        <w:rPr>
          <w:rFonts w:cs="Calibri"/>
          <w:sz w:val="22"/>
          <w:szCs w:val="22"/>
        </w:rPr>
        <w:t xml:space="preserve">a score of </w:t>
      </w:r>
      <w:r w:rsidRPr="00046999">
        <w:rPr>
          <w:rFonts w:cs="Calibri"/>
          <w:sz w:val="22"/>
          <w:szCs w:val="22"/>
        </w:rPr>
        <w:t xml:space="preserve">0.000. In the </w:t>
      </w:r>
      <w:r>
        <w:rPr>
          <w:rFonts w:cs="Calibri"/>
          <w:sz w:val="22"/>
          <w:szCs w:val="22"/>
        </w:rPr>
        <w:t xml:space="preserve">table under the column ‘regression 2’ </w:t>
      </w:r>
      <w:r w:rsidRPr="00046999">
        <w:rPr>
          <w:rFonts w:cs="Calibri"/>
          <w:sz w:val="22"/>
          <w:szCs w:val="22"/>
        </w:rPr>
        <w:t>it</w:t>
      </w:r>
      <w:r>
        <w:rPr>
          <w:rFonts w:cs="Calibri"/>
          <w:sz w:val="22"/>
          <w:szCs w:val="22"/>
        </w:rPr>
        <w:t xml:space="preserve"> is shown that an increase in </w:t>
      </w:r>
      <w:r w:rsidR="00CD3CE9">
        <w:rPr>
          <w:rFonts w:cs="Calibri"/>
          <w:sz w:val="22"/>
          <w:szCs w:val="22"/>
        </w:rPr>
        <w:t>b</w:t>
      </w:r>
      <w:r w:rsidRPr="00046999">
        <w:rPr>
          <w:rFonts w:cs="Calibri"/>
          <w:sz w:val="22"/>
          <w:szCs w:val="22"/>
        </w:rPr>
        <w:t xml:space="preserve">lockholder ownership is negatively associated with the extent of voluntary disclosures with the coefficient B=-.038 and is significant at p&lt;0.05. Furthermore, </w:t>
      </w:r>
      <w:r>
        <w:rPr>
          <w:rFonts w:cs="Calibri"/>
          <w:sz w:val="22"/>
          <w:szCs w:val="22"/>
        </w:rPr>
        <w:t>size</w:t>
      </w:r>
      <w:r w:rsidRPr="00046999">
        <w:rPr>
          <w:rFonts w:cs="Calibri"/>
          <w:sz w:val="22"/>
          <w:szCs w:val="22"/>
        </w:rPr>
        <w:t xml:space="preserve"> is again positively associated with voluntary disclosures with the coefficient B=2.788 and significant at p&lt;0.01. Leverage is also positively associated with voluntary disclosures with the coefficient B=.343, however the association is not significant. Finally, </w:t>
      </w:r>
      <w:r>
        <w:rPr>
          <w:rFonts w:cs="Calibri"/>
          <w:sz w:val="22"/>
          <w:szCs w:val="22"/>
        </w:rPr>
        <w:t>profitability</w:t>
      </w:r>
      <w:r w:rsidRPr="00046999">
        <w:rPr>
          <w:rFonts w:cs="Calibri"/>
          <w:sz w:val="22"/>
          <w:szCs w:val="22"/>
        </w:rPr>
        <w:t xml:space="preserve"> is also positively associated with voluntary disclosures with the coefficient B4=.150 and is significant at P&lt;0.10.</w:t>
      </w:r>
    </w:p>
    <w:p w:rsidR="00A95413" w:rsidRPr="00046999" w:rsidRDefault="00A95413" w:rsidP="001D4BB3">
      <w:pPr>
        <w:autoSpaceDE w:val="0"/>
        <w:autoSpaceDN w:val="0"/>
        <w:adjustRightInd w:val="0"/>
        <w:spacing w:after="0"/>
        <w:jc w:val="both"/>
        <w:rPr>
          <w:rFonts w:cs="Calibri"/>
          <w:sz w:val="22"/>
          <w:szCs w:val="22"/>
          <w:u w:val="single"/>
          <w:bdr w:val="none" w:sz="0" w:space="0" w:color="auto" w:frame="1"/>
        </w:rPr>
      </w:pPr>
      <w:r w:rsidRPr="00046999">
        <w:rPr>
          <w:rStyle w:val="fdnolabel1"/>
          <w:rFonts w:cs="Calibri"/>
          <w:sz w:val="22"/>
          <w:szCs w:val="22"/>
          <w:u w:val="single"/>
          <w:bdr w:val="none" w:sz="0" w:space="0" w:color="auto" w:frame="1"/>
        </w:rPr>
        <w:t>Results of regression 3: (Managerial ownership, Size, Leverage and Profitability)</w:t>
      </w:r>
    </w:p>
    <w:p w:rsidR="00A95413" w:rsidRDefault="00A95413" w:rsidP="001D4BB3">
      <w:pPr>
        <w:jc w:val="both"/>
        <w:rPr>
          <w:rFonts w:cs="Calibri"/>
          <w:sz w:val="22"/>
          <w:szCs w:val="22"/>
        </w:rPr>
      </w:pPr>
      <w:r>
        <w:rPr>
          <w:rFonts w:cs="Calibri"/>
          <w:sz w:val="22"/>
          <w:szCs w:val="22"/>
        </w:rPr>
        <w:t xml:space="preserve">The results from regression 3 show that </w:t>
      </w:r>
      <w:r w:rsidRPr="00046999">
        <w:rPr>
          <w:rFonts w:cs="Calibri"/>
          <w:sz w:val="22"/>
          <w:szCs w:val="22"/>
        </w:rPr>
        <w:t>34,3% of the variance</w:t>
      </w:r>
      <w:r>
        <w:rPr>
          <w:rFonts w:cs="Calibri"/>
          <w:sz w:val="22"/>
          <w:szCs w:val="22"/>
        </w:rPr>
        <w:t xml:space="preserve"> in Dscore</w:t>
      </w:r>
      <w:r w:rsidR="00AD77E2">
        <w:rPr>
          <w:rFonts w:cs="Calibri"/>
          <w:sz w:val="22"/>
          <w:szCs w:val="22"/>
        </w:rPr>
        <w:t xml:space="preserve"> is explained by the variables m</w:t>
      </w:r>
      <w:r w:rsidRPr="00046999">
        <w:rPr>
          <w:rFonts w:cs="Calibri"/>
          <w:sz w:val="22"/>
          <w:szCs w:val="22"/>
        </w:rPr>
        <w:t xml:space="preserve">anagerial ownership, </w:t>
      </w:r>
      <w:r>
        <w:rPr>
          <w:rFonts w:cs="Calibri"/>
          <w:sz w:val="22"/>
          <w:szCs w:val="22"/>
        </w:rPr>
        <w:t xml:space="preserve">size, </w:t>
      </w:r>
      <w:r w:rsidRPr="00046999">
        <w:rPr>
          <w:rFonts w:cs="Calibri"/>
          <w:sz w:val="22"/>
          <w:szCs w:val="22"/>
        </w:rPr>
        <w:t xml:space="preserve">leverage and </w:t>
      </w:r>
      <w:r>
        <w:rPr>
          <w:rFonts w:cs="Calibri"/>
          <w:sz w:val="22"/>
          <w:szCs w:val="22"/>
        </w:rPr>
        <w:t>profitability</w:t>
      </w:r>
      <w:r w:rsidRPr="00046999">
        <w:rPr>
          <w:rFonts w:cs="Calibri"/>
          <w:sz w:val="22"/>
          <w:szCs w:val="22"/>
        </w:rPr>
        <w:t>. The mode</w:t>
      </w:r>
      <w:r>
        <w:rPr>
          <w:rFonts w:cs="Calibri"/>
          <w:sz w:val="22"/>
          <w:szCs w:val="22"/>
        </w:rPr>
        <w:t>l is also significant at the 0.01 level as a score of 0.000</w:t>
      </w:r>
      <w:r w:rsidRPr="00046999">
        <w:rPr>
          <w:rFonts w:cs="Calibri"/>
          <w:sz w:val="22"/>
          <w:szCs w:val="22"/>
        </w:rPr>
        <w:t xml:space="preserve"> as can be observed from the ANOVA table. </w:t>
      </w:r>
      <w:r>
        <w:rPr>
          <w:rFonts w:cs="Calibri"/>
          <w:sz w:val="22"/>
          <w:szCs w:val="22"/>
        </w:rPr>
        <w:t>The column ‘regression 3’</w:t>
      </w:r>
      <w:r w:rsidRPr="00046999">
        <w:rPr>
          <w:rFonts w:cs="Calibri"/>
          <w:sz w:val="22"/>
          <w:szCs w:val="22"/>
        </w:rPr>
        <w:t xml:space="preserve"> </w:t>
      </w:r>
      <w:r>
        <w:rPr>
          <w:rFonts w:cs="Calibri"/>
          <w:sz w:val="22"/>
          <w:szCs w:val="22"/>
        </w:rPr>
        <w:t xml:space="preserve">in table 5 </w:t>
      </w:r>
      <w:r w:rsidRPr="00046999">
        <w:rPr>
          <w:rFonts w:cs="Calibri"/>
          <w:sz w:val="22"/>
          <w:szCs w:val="22"/>
        </w:rPr>
        <w:t xml:space="preserve">shows </w:t>
      </w:r>
      <w:r>
        <w:rPr>
          <w:rFonts w:cs="Calibri"/>
          <w:sz w:val="22"/>
          <w:szCs w:val="22"/>
        </w:rPr>
        <w:t xml:space="preserve">that </w:t>
      </w:r>
      <w:r w:rsidRPr="00046999">
        <w:rPr>
          <w:rFonts w:cs="Calibri"/>
          <w:sz w:val="22"/>
          <w:szCs w:val="22"/>
        </w:rPr>
        <w:t>managerial ownership is slightly negative</w:t>
      </w:r>
      <w:r>
        <w:rPr>
          <w:rFonts w:cs="Calibri"/>
          <w:sz w:val="22"/>
          <w:szCs w:val="22"/>
        </w:rPr>
        <w:t>ly</w:t>
      </w:r>
      <w:r w:rsidRPr="00046999">
        <w:rPr>
          <w:rFonts w:cs="Calibri"/>
          <w:sz w:val="22"/>
          <w:szCs w:val="22"/>
        </w:rPr>
        <w:t xml:space="preserve"> related to the degree of voluntary disclosures with the coefficient B=-0.020. However, this association is not significant. The control variables are all positively associated with the degree of voluntary disclosures. The control variable </w:t>
      </w:r>
      <w:r>
        <w:rPr>
          <w:rFonts w:cs="Calibri"/>
          <w:sz w:val="22"/>
          <w:szCs w:val="22"/>
        </w:rPr>
        <w:t>size</w:t>
      </w:r>
      <w:r w:rsidRPr="00046999">
        <w:rPr>
          <w:rFonts w:cs="Calibri"/>
          <w:sz w:val="22"/>
          <w:szCs w:val="22"/>
        </w:rPr>
        <w:t xml:space="preserve"> is significantly associated to voluntary dis</w:t>
      </w:r>
      <w:r>
        <w:rPr>
          <w:rFonts w:cs="Calibri"/>
          <w:sz w:val="22"/>
          <w:szCs w:val="22"/>
        </w:rPr>
        <w:t>closures with B=2.835 at p&lt;0.01 and</w:t>
      </w:r>
      <w:r w:rsidRPr="00046999">
        <w:rPr>
          <w:rFonts w:cs="Calibri"/>
          <w:sz w:val="22"/>
          <w:szCs w:val="22"/>
        </w:rPr>
        <w:t xml:space="preserve"> </w:t>
      </w:r>
      <w:r>
        <w:rPr>
          <w:rFonts w:cs="Calibri"/>
          <w:sz w:val="22"/>
          <w:szCs w:val="22"/>
        </w:rPr>
        <w:t>profitability</w:t>
      </w:r>
      <w:r w:rsidRPr="00046999">
        <w:rPr>
          <w:rFonts w:cs="Calibri"/>
          <w:sz w:val="22"/>
          <w:szCs w:val="22"/>
        </w:rPr>
        <w:t xml:space="preserve"> is significant at p&lt;0.10 with B=.156.</w:t>
      </w:r>
    </w:p>
    <w:p w:rsidR="004D4C55" w:rsidRPr="00046999" w:rsidRDefault="00A95413" w:rsidP="001D4BB3">
      <w:pPr>
        <w:jc w:val="both"/>
        <w:rPr>
          <w:rFonts w:cs="Calibri"/>
          <w:sz w:val="22"/>
          <w:szCs w:val="22"/>
        </w:rPr>
      </w:pPr>
      <w:r>
        <w:rPr>
          <w:rFonts w:cs="Calibri"/>
          <w:sz w:val="22"/>
          <w:szCs w:val="22"/>
        </w:rPr>
        <w:t>The outcomes of the three regressions and the interpretations of the results are analyzed and further described in the next chapter.</w:t>
      </w:r>
    </w:p>
    <w:p w:rsidR="00A95413" w:rsidRPr="005B5050" w:rsidRDefault="00A95413" w:rsidP="005B5050">
      <w:pPr>
        <w:pStyle w:val="Kop2"/>
        <w:jc w:val="both"/>
        <w:rPr>
          <w:rFonts w:cs="Calibri"/>
        </w:rPr>
      </w:pPr>
      <w:bookmarkStart w:id="136" w:name="_Toc320365346"/>
      <w:r w:rsidRPr="00046999">
        <w:rPr>
          <w:rFonts w:cs="Calibri"/>
        </w:rPr>
        <w:t>8.4 Country</w:t>
      </w:r>
      <w:bookmarkEnd w:id="136"/>
      <w:r w:rsidRPr="00046999">
        <w:rPr>
          <w:rFonts w:cs="Calibri"/>
        </w:rPr>
        <w:t xml:space="preserve"> </w:t>
      </w:r>
    </w:p>
    <w:p w:rsidR="00A95413" w:rsidRDefault="00A95413" w:rsidP="001D4BB3">
      <w:pPr>
        <w:jc w:val="both"/>
        <w:rPr>
          <w:rFonts w:cs="Calibri"/>
          <w:sz w:val="22"/>
          <w:szCs w:val="22"/>
        </w:rPr>
      </w:pPr>
      <w:r w:rsidRPr="00046999">
        <w:rPr>
          <w:rFonts w:cs="Calibri"/>
          <w:sz w:val="22"/>
          <w:szCs w:val="22"/>
        </w:rPr>
        <w:t xml:space="preserve">As the data </w:t>
      </w:r>
      <w:r>
        <w:rPr>
          <w:rFonts w:cs="Calibri"/>
          <w:sz w:val="22"/>
          <w:szCs w:val="22"/>
        </w:rPr>
        <w:t>is</w:t>
      </w:r>
      <w:r w:rsidRPr="00046999">
        <w:rPr>
          <w:rFonts w:cs="Calibri"/>
          <w:sz w:val="22"/>
          <w:szCs w:val="22"/>
        </w:rPr>
        <w:t xml:space="preserve"> </w:t>
      </w:r>
      <w:r>
        <w:rPr>
          <w:rFonts w:cs="Calibri"/>
          <w:sz w:val="22"/>
          <w:szCs w:val="22"/>
        </w:rPr>
        <w:t>collected</w:t>
      </w:r>
      <w:r w:rsidRPr="00046999">
        <w:rPr>
          <w:rFonts w:cs="Calibri"/>
          <w:sz w:val="22"/>
          <w:szCs w:val="22"/>
        </w:rPr>
        <w:t xml:space="preserve"> </w:t>
      </w:r>
      <w:r>
        <w:rPr>
          <w:rFonts w:cs="Calibri"/>
          <w:sz w:val="22"/>
          <w:szCs w:val="22"/>
        </w:rPr>
        <w:t>from</w:t>
      </w:r>
      <w:r w:rsidRPr="00046999">
        <w:rPr>
          <w:rFonts w:cs="Calibri"/>
          <w:sz w:val="22"/>
          <w:szCs w:val="22"/>
        </w:rPr>
        <w:t xml:space="preserve"> five different European countries, it is interesting to see if differences </w:t>
      </w:r>
      <w:r>
        <w:rPr>
          <w:rFonts w:cs="Calibri"/>
          <w:sz w:val="22"/>
          <w:szCs w:val="22"/>
        </w:rPr>
        <w:t xml:space="preserve">exist </w:t>
      </w:r>
      <w:r w:rsidRPr="00046999">
        <w:rPr>
          <w:rFonts w:cs="Calibri"/>
          <w:sz w:val="22"/>
          <w:szCs w:val="22"/>
        </w:rPr>
        <w:t>between the countries</w:t>
      </w:r>
      <w:r>
        <w:rPr>
          <w:rFonts w:cs="Calibri"/>
          <w:sz w:val="22"/>
          <w:szCs w:val="22"/>
        </w:rPr>
        <w:t>.</w:t>
      </w:r>
      <w:r w:rsidRPr="00046999">
        <w:rPr>
          <w:rFonts w:cs="Calibri"/>
          <w:sz w:val="22"/>
          <w:szCs w:val="22"/>
        </w:rPr>
        <w:t xml:space="preserve"> Regarding the 20 firms analyzed per country it was shown that the Netherlands discloses the most information (average of 20,1). After that is was France (19,05) followed by Germany (17,2) and Belgium (15,1). Last was Italy with an average</w:t>
      </w:r>
      <w:r>
        <w:rPr>
          <w:rFonts w:cs="Calibri"/>
          <w:sz w:val="22"/>
          <w:szCs w:val="22"/>
        </w:rPr>
        <w:t xml:space="preserve"> score</w:t>
      </w:r>
      <w:r w:rsidRPr="00046999">
        <w:rPr>
          <w:rFonts w:cs="Calibri"/>
          <w:sz w:val="22"/>
          <w:szCs w:val="22"/>
        </w:rPr>
        <w:t xml:space="preserve"> of 13,9. </w:t>
      </w:r>
      <w:r>
        <w:rPr>
          <w:rFonts w:cs="Calibri"/>
          <w:sz w:val="22"/>
          <w:szCs w:val="22"/>
        </w:rPr>
        <w:t>Analyzing the</w:t>
      </w:r>
      <w:r w:rsidRPr="00046999">
        <w:rPr>
          <w:rFonts w:cs="Calibri"/>
          <w:sz w:val="22"/>
          <w:szCs w:val="22"/>
        </w:rPr>
        <w:t xml:space="preserve"> ownership</w:t>
      </w:r>
      <w:r>
        <w:rPr>
          <w:rFonts w:cs="Calibri"/>
          <w:sz w:val="22"/>
          <w:szCs w:val="22"/>
        </w:rPr>
        <w:t xml:space="preserve"> variables</w:t>
      </w:r>
      <w:r w:rsidRPr="00046999">
        <w:rPr>
          <w:rFonts w:cs="Calibri"/>
          <w:sz w:val="22"/>
          <w:szCs w:val="22"/>
        </w:rPr>
        <w:t xml:space="preserve"> it is observed that no </w:t>
      </w:r>
      <w:r>
        <w:rPr>
          <w:rFonts w:cs="Calibri"/>
          <w:sz w:val="22"/>
          <w:szCs w:val="22"/>
        </w:rPr>
        <w:t>crucial</w:t>
      </w:r>
      <w:r w:rsidRPr="00046999">
        <w:rPr>
          <w:rFonts w:cs="Calibri"/>
          <w:sz w:val="22"/>
          <w:szCs w:val="22"/>
        </w:rPr>
        <w:t xml:space="preserve"> differences exist regarding government ownership; in all countries it is around 2 or 3%. The highest blockholder ownership was observed in Italy with 61,48% followed by Germany with 61,12%. Subsequently France with 54%, Belgium with 50,19% and the Net</w:t>
      </w:r>
      <w:r>
        <w:rPr>
          <w:rFonts w:cs="Calibri"/>
          <w:sz w:val="22"/>
          <w:szCs w:val="22"/>
        </w:rPr>
        <w:t>herlands with 43,81%. The highest</w:t>
      </w:r>
      <w:r w:rsidRPr="00046999">
        <w:rPr>
          <w:rFonts w:cs="Calibri"/>
          <w:sz w:val="22"/>
          <w:szCs w:val="22"/>
        </w:rPr>
        <w:t xml:space="preserve"> managerial ownership was observed in Germany with 49,45%. Subsequently, </w:t>
      </w:r>
      <w:r w:rsidRPr="00046999">
        <w:rPr>
          <w:rFonts w:cs="Calibri"/>
          <w:sz w:val="22"/>
          <w:szCs w:val="22"/>
        </w:rPr>
        <w:lastRenderedPageBreak/>
        <w:t xml:space="preserve">Belgium scored 46,24%, France </w:t>
      </w:r>
      <w:r>
        <w:rPr>
          <w:rFonts w:cs="Calibri"/>
          <w:sz w:val="22"/>
          <w:szCs w:val="22"/>
        </w:rPr>
        <w:t xml:space="preserve">scored </w:t>
      </w:r>
      <w:r w:rsidRPr="00046999">
        <w:rPr>
          <w:rFonts w:cs="Calibri"/>
          <w:sz w:val="22"/>
          <w:szCs w:val="22"/>
        </w:rPr>
        <w:t xml:space="preserve">44,21%, Italy </w:t>
      </w:r>
      <w:r>
        <w:rPr>
          <w:rFonts w:cs="Calibri"/>
          <w:sz w:val="22"/>
          <w:szCs w:val="22"/>
        </w:rPr>
        <w:t xml:space="preserve">scored </w:t>
      </w:r>
      <w:r w:rsidRPr="00046999">
        <w:rPr>
          <w:rFonts w:cs="Calibri"/>
          <w:sz w:val="22"/>
          <w:szCs w:val="22"/>
        </w:rPr>
        <w:t>43,85% and the Netherlands</w:t>
      </w:r>
      <w:r>
        <w:rPr>
          <w:rFonts w:cs="Calibri"/>
          <w:sz w:val="22"/>
          <w:szCs w:val="22"/>
        </w:rPr>
        <w:t xml:space="preserve"> scored</w:t>
      </w:r>
      <w:r w:rsidRPr="00046999">
        <w:rPr>
          <w:rFonts w:cs="Calibri"/>
          <w:sz w:val="22"/>
          <w:szCs w:val="22"/>
        </w:rPr>
        <w:t xml:space="preserve"> 35,50%. </w:t>
      </w:r>
      <w:r>
        <w:rPr>
          <w:rFonts w:cs="Calibri"/>
          <w:sz w:val="22"/>
          <w:szCs w:val="22"/>
        </w:rPr>
        <w:t xml:space="preserve">The next table provides the results of regression 1 </w:t>
      </w:r>
      <w:r w:rsidRPr="009F1319">
        <w:rPr>
          <w:rFonts w:cs="Calibri"/>
          <w:sz w:val="22"/>
          <w:szCs w:val="22"/>
        </w:rPr>
        <w:t>(</w:t>
      </w:r>
      <w:r w:rsidR="00B429AB">
        <w:rPr>
          <w:rStyle w:val="fdnolabel1"/>
          <w:rFonts w:cs="Calibri"/>
          <w:sz w:val="22"/>
          <w:szCs w:val="22"/>
          <w:bdr w:val="none" w:sz="0" w:space="0" w:color="auto" w:frame="1"/>
        </w:rPr>
        <w:t>managerial ownership, blockholder ownership, size, leverage and p</w:t>
      </w:r>
      <w:r w:rsidRPr="009F1319">
        <w:rPr>
          <w:rStyle w:val="fdnolabel1"/>
          <w:rFonts w:cs="Calibri"/>
          <w:sz w:val="22"/>
          <w:szCs w:val="22"/>
          <w:bdr w:val="none" w:sz="0" w:space="0" w:color="auto" w:frame="1"/>
        </w:rPr>
        <w:t xml:space="preserve">rofitability) </w:t>
      </w:r>
      <w:r>
        <w:rPr>
          <w:rStyle w:val="fdnolabel1"/>
          <w:rFonts w:cs="Calibri"/>
          <w:sz w:val="22"/>
          <w:szCs w:val="22"/>
          <w:bdr w:val="none" w:sz="0" w:space="0" w:color="auto" w:frame="1"/>
        </w:rPr>
        <w:t>per country.</w:t>
      </w:r>
    </w:p>
    <w:p w:rsidR="00A95413" w:rsidRPr="0061488D" w:rsidRDefault="00A95413" w:rsidP="0061488D">
      <w:pPr>
        <w:pStyle w:val="Bijschrift"/>
        <w:keepNext/>
        <w:rPr>
          <w:sz w:val="22"/>
          <w:szCs w:val="22"/>
        </w:rPr>
      </w:pPr>
      <w:r w:rsidRPr="0061488D">
        <w:rPr>
          <w:sz w:val="22"/>
          <w:szCs w:val="22"/>
        </w:rPr>
        <w:t xml:space="preserve">Table </w:t>
      </w:r>
      <w:r w:rsidR="00E0784B" w:rsidRPr="0061488D">
        <w:rPr>
          <w:sz w:val="22"/>
          <w:szCs w:val="22"/>
        </w:rPr>
        <w:fldChar w:fldCharType="begin"/>
      </w:r>
      <w:r w:rsidRPr="0061488D">
        <w:rPr>
          <w:sz w:val="22"/>
          <w:szCs w:val="22"/>
        </w:rPr>
        <w:instrText xml:space="preserve"> SEQ Table \* ARABIC </w:instrText>
      </w:r>
      <w:r w:rsidR="00E0784B" w:rsidRPr="0061488D">
        <w:rPr>
          <w:sz w:val="22"/>
          <w:szCs w:val="22"/>
        </w:rPr>
        <w:fldChar w:fldCharType="separate"/>
      </w:r>
      <w:r>
        <w:rPr>
          <w:noProof/>
          <w:sz w:val="22"/>
          <w:szCs w:val="22"/>
        </w:rPr>
        <w:t>7</w:t>
      </w:r>
      <w:r w:rsidR="00E0784B" w:rsidRPr="0061488D">
        <w:rPr>
          <w:sz w:val="22"/>
          <w:szCs w:val="22"/>
        </w:rPr>
        <w:fldChar w:fldCharType="end"/>
      </w:r>
      <w:r w:rsidRPr="0061488D">
        <w:rPr>
          <w:sz w:val="22"/>
          <w:szCs w:val="22"/>
        </w:rPr>
        <w:t>: Regression per country</w:t>
      </w:r>
      <w:r w:rsidR="00E14763">
        <w:rPr>
          <w:sz w:val="22"/>
          <w:szCs w:val="22"/>
        </w:rPr>
        <w:t xml:space="preserve"> (Spearman</w:t>
      </w:r>
      <w:r>
        <w:rPr>
          <w:sz w:val="22"/>
          <w:szCs w:val="22"/>
        </w:rPr>
        <w:t xml:space="preserve"> correlation for government ownership)</w:t>
      </w:r>
    </w:p>
    <w:tbl>
      <w:tblPr>
        <w:tblW w:w="9620" w:type="dxa"/>
        <w:tblBorders>
          <w:top w:val="single" w:sz="8" w:space="0" w:color="4F81BD"/>
          <w:bottom w:val="single" w:sz="8" w:space="0" w:color="4F81BD"/>
        </w:tblBorders>
        <w:tblLook w:val="00A0"/>
      </w:tblPr>
      <w:tblGrid>
        <w:gridCol w:w="1370"/>
        <w:gridCol w:w="960"/>
        <w:gridCol w:w="655"/>
        <w:gridCol w:w="1055"/>
        <w:gridCol w:w="658"/>
        <w:gridCol w:w="825"/>
        <w:gridCol w:w="659"/>
        <w:gridCol w:w="827"/>
        <w:gridCol w:w="610"/>
        <w:gridCol w:w="1342"/>
        <w:gridCol w:w="659"/>
      </w:tblGrid>
      <w:tr w:rsidR="00A95413" w:rsidRPr="00F63097" w:rsidTr="00F63097">
        <w:trPr>
          <w:trHeight w:val="385"/>
        </w:trPr>
        <w:tc>
          <w:tcPr>
            <w:tcW w:w="1356" w:type="dxa"/>
            <w:tcBorders>
              <w:top w:val="single" w:sz="8" w:space="0" w:color="4F81BD"/>
              <w:left w:val="nil"/>
              <w:bottom w:val="single" w:sz="8" w:space="0" w:color="4F81BD"/>
              <w:right w:val="nil"/>
            </w:tcBorders>
          </w:tcPr>
          <w:p w:rsidR="00A95413" w:rsidRPr="00F63097" w:rsidRDefault="00A95413" w:rsidP="00F63097">
            <w:pPr>
              <w:spacing w:before="0" w:after="0" w:line="240" w:lineRule="auto"/>
              <w:jc w:val="both"/>
              <w:rPr>
                <w:rFonts w:cs="Calibri"/>
                <w:b/>
                <w:bCs/>
                <w:color w:val="365F91"/>
                <w:sz w:val="22"/>
                <w:szCs w:val="22"/>
              </w:rPr>
            </w:pPr>
          </w:p>
        </w:tc>
        <w:tc>
          <w:tcPr>
            <w:tcW w:w="960" w:type="dxa"/>
            <w:tcBorders>
              <w:top w:val="single" w:sz="8" w:space="0" w:color="4F81BD"/>
              <w:left w:val="nil"/>
              <w:bottom w:val="single" w:sz="8" w:space="0" w:color="4F81BD"/>
              <w:right w:val="nil"/>
            </w:tcBorders>
          </w:tcPr>
          <w:p w:rsidR="00A95413" w:rsidRPr="00F63097" w:rsidRDefault="00A95413" w:rsidP="00F63097">
            <w:pPr>
              <w:spacing w:before="0" w:after="0" w:line="240" w:lineRule="auto"/>
              <w:jc w:val="both"/>
              <w:rPr>
                <w:rFonts w:cs="Calibri"/>
                <w:b/>
                <w:bCs/>
                <w:color w:val="365F91"/>
                <w:sz w:val="22"/>
                <w:szCs w:val="22"/>
              </w:rPr>
            </w:pPr>
            <w:r w:rsidRPr="00F63097">
              <w:rPr>
                <w:rFonts w:cs="Calibri"/>
                <w:b/>
                <w:bCs/>
                <w:color w:val="365F91"/>
                <w:sz w:val="22"/>
                <w:szCs w:val="22"/>
              </w:rPr>
              <w:t>Belgium</w:t>
            </w:r>
          </w:p>
        </w:tc>
        <w:tc>
          <w:tcPr>
            <w:tcW w:w="659" w:type="dxa"/>
            <w:tcBorders>
              <w:top w:val="single" w:sz="8" w:space="0" w:color="4F81BD"/>
              <w:left w:val="nil"/>
              <w:bottom w:val="single" w:sz="8" w:space="0" w:color="4F81BD"/>
              <w:right w:val="nil"/>
            </w:tcBorders>
          </w:tcPr>
          <w:p w:rsidR="00A95413" w:rsidRPr="00F63097" w:rsidRDefault="00A95413" w:rsidP="00F63097">
            <w:pPr>
              <w:spacing w:before="0" w:after="0" w:line="240" w:lineRule="auto"/>
              <w:jc w:val="both"/>
              <w:rPr>
                <w:rFonts w:cs="Calibri"/>
                <w:b/>
                <w:bCs/>
                <w:color w:val="365F91"/>
                <w:sz w:val="22"/>
                <w:szCs w:val="22"/>
              </w:rPr>
            </w:pPr>
            <w:r w:rsidRPr="00F63097">
              <w:rPr>
                <w:rFonts w:cs="Calibri"/>
                <w:bCs/>
                <w:color w:val="365F91"/>
                <w:sz w:val="22"/>
                <w:szCs w:val="22"/>
              </w:rPr>
              <w:t>Sig.</w:t>
            </w:r>
          </w:p>
        </w:tc>
        <w:tc>
          <w:tcPr>
            <w:tcW w:w="1055" w:type="dxa"/>
            <w:tcBorders>
              <w:top w:val="single" w:sz="8" w:space="0" w:color="4F81BD"/>
              <w:left w:val="nil"/>
              <w:bottom w:val="single" w:sz="8" w:space="0" w:color="4F81BD"/>
              <w:right w:val="nil"/>
            </w:tcBorders>
          </w:tcPr>
          <w:p w:rsidR="00A95413" w:rsidRPr="00F63097" w:rsidRDefault="00A95413" w:rsidP="00F63097">
            <w:pPr>
              <w:spacing w:before="0" w:after="0" w:line="240" w:lineRule="auto"/>
              <w:jc w:val="both"/>
              <w:rPr>
                <w:rFonts w:cs="Calibri"/>
                <w:b/>
                <w:bCs/>
                <w:color w:val="365F91"/>
                <w:sz w:val="22"/>
                <w:szCs w:val="22"/>
              </w:rPr>
            </w:pPr>
            <w:r w:rsidRPr="00F63097">
              <w:rPr>
                <w:rFonts w:cs="Calibri"/>
                <w:b/>
                <w:bCs/>
                <w:color w:val="365F91"/>
                <w:sz w:val="22"/>
                <w:szCs w:val="22"/>
              </w:rPr>
              <w:t>Germany</w:t>
            </w:r>
          </w:p>
        </w:tc>
        <w:tc>
          <w:tcPr>
            <w:tcW w:w="661" w:type="dxa"/>
            <w:tcBorders>
              <w:top w:val="single" w:sz="8" w:space="0" w:color="4F81BD"/>
              <w:left w:val="nil"/>
              <w:bottom w:val="single" w:sz="8" w:space="0" w:color="4F81BD"/>
              <w:right w:val="nil"/>
            </w:tcBorders>
          </w:tcPr>
          <w:p w:rsidR="00A95413" w:rsidRPr="00F63097" w:rsidRDefault="00A95413" w:rsidP="00F63097">
            <w:pPr>
              <w:spacing w:before="0" w:after="0" w:line="240" w:lineRule="auto"/>
              <w:jc w:val="both"/>
              <w:rPr>
                <w:rFonts w:cs="Calibri"/>
                <w:b/>
                <w:bCs/>
                <w:color w:val="365F91"/>
                <w:sz w:val="22"/>
                <w:szCs w:val="22"/>
              </w:rPr>
            </w:pPr>
            <w:r w:rsidRPr="00F63097">
              <w:rPr>
                <w:rFonts w:cs="Calibri"/>
                <w:bCs/>
                <w:color w:val="365F91"/>
                <w:sz w:val="22"/>
                <w:szCs w:val="22"/>
              </w:rPr>
              <w:t>Sig.</w:t>
            </w:r>
          </w:p>
        </w:tc>
        <w:tc>
          <w:tcPr>
            <w:tcW w:w="825" w:type="dxa"/>
            <w:tcBorders>
              <w:top w:val="single" w:sz="8" w:space="0" w:color="4F81BD"/>
              <w:left w:val="nil"/>
              <w:bottom w:val="single" w:sz="8" w:space="0" w:color="4F81BD"/>
              <w:right w:val="nil"/>
            </w:tcBorders>
          </w:tcPr>
          <w:p w:rsidR="00A95413" w:rsidRPr="00F63097" w:rsidRDefault="00A95413" w:rsidP="00F63097">
            <w:pPr>
              <w:spacing w:before="0" w:after="0" w:line="240" w:lineRule="auto"/>
              <w:jc w:val="both"/>
              <w:rPr>
                <w:rFonts w:cs="Calibri"/>
                <w:b/>
                <w:bCs/>
                <w:color w:val="365F91"/>
                <w:sz w:val="22"/>
                <w:szCs w:val="22"/>
              </w:rPr>
            </w:pPr>
            <w:r w:rsidRPr="00F63097">
              <w:rPr>
                <w:rFonts w:cs="Calibri"/>
                <w:b/>
                <w:bCs/>
                <w:color w:val="365F91"/>
                <w:sz w:val="22"/>
                <w:szCs w:val="22"/>
              </w:rPr>
              <w:t>France</w:t>
            </w:r>
          </w:p>
        </w:tc>
        <w:tc>
          <w:tcPr>
            <w:tcW w:w="662" w:type="dxa"/>
            <w:tcBorders>
              <w:top w:val="single" w:sz="8" w:space="0" w:color="4F81BD"/>
              <w:left w:val="nil"/>
              <w:bottom w:val="single" w:sz="8" w:space="0" w:color="4F81BD"/>
              <w:right w:val="nil"/>
            </w:tcBorders>
          </w:tcPr>
          <w:p w:rsidR="00A95413" w:rsidRPr="00F63097" w:rsidRDefault="00A95413" w:rsidP="00F63097">
            <w:pPr>
              <w:spacing w:before="0" w:after="0" w:line="240" w:lineRule="auto"/>
              <w:jc w:val="both"/>
              <w:rPr>
                <w:rFonts w:cs="Calibri"/>
                <w:b/>
                <w:bCs/>
                <w:color w:val="365F91"/>
                <w:sz w:val="22"/>
                <w:szCs w:val="22"/>
              </w:rPr>
            </w:pPr>
            <w:r w:rsidRPr="00F63097">
              <w:rPr>
                <w:rFonts w:cs="Calibri"/>
                <w:bCs/>
                <w:color w:val="365F91"/>
                <w:sz w:val="22"/>
                <w:szCs w:val="22"/>
              </w:rPr>
              <w:t>Sig.</w:t>
            </w:r>
          </w:p>
        </w:tc>
        <w:tc>
          <w:tcPr>
            <w:tcW w:w="831" w:type="dxa"/>
            <w:tcBorders>
              <w:top w:val="single" w:sz="8" w:space="0" w:color="4F81BD"/>
              <w:left w:val="nil"/>
              <w:bottom w:val="single" w:sz="8" w:space="0" w:color="4F81BD"/>
              <w:right w:val="nil"/>
            </w:tcBorders>
          </w:tcPr>
          <w:p w:rsidR="00A95413" w:rsidRPr="00F63097" w:rsidRDefault="00A95413" w:rsidP="00F63097">
            <w:pPr>
              <w:spacing w:before="0" w:after="0" w:line="240" w:lineRule="auto"/>
              <w:jc w:val="both"/>
              <w:rPr>
                <w:rFonts w:cs="Calibri"/>
                <w:b/>
                <w:bCs/>
                <w:color w:val="365F91"/>
                <w:sz w:val="22"/>
                <w:szCs w:val="22"/>
              </w:rPr>
            </w:pPr>
            <w:r w:rsidRPr="00F63097">
              <w:rPr>
                <w:rFonts w:cs="Calibri"/>
                <w:b/>
                <w:bCs/>
                <w:color w:val="365F91"/>
                <w:sz w:val="22"/>
                <w:szCs w:val="22"/>
              </w:rPr>
              <w:t>Italy</w:t>
            </w:r>
          </w:p>
        </w:tc>
        <w:tc>
          <w:tcPr>
            <w:tcW w:w="607" w:type="dxa"/>
            <w:tcBorders>
              <w:top w:val="single" w:sz="8" w:space="0" w:color="4F81BD"/>
              <w:left w:val="nil"/>
              <w:bottom w:val="single" w:sz="8" w:space="0" w:color="4F81BD"/>
              <w:right w:val="nil"/>
            </w:tcBorders>
          </w:tcPr>
          <w:p w:rsidR="00A95413" w:rsidRPr="00F63097" w:rsidRDefault="00A95413" w:rsidP="00F63097">
            <w:pPr>
              <w:spacing w:before="0" w:after="0" w:line="240" w:lineRule="auto"/>
              <w:jc w:val="both"/>
              <w:rPr>
                <w:rFonts w:cs="Calibri"/>
                <w:b/>
                <w:bCs/>
                <w:color w:val="365F91"/>
                <w:sz w:val="22"/>
                <w:szCs w:val="22"/>
              </w:rPr>
            </w:pPr>
            <w:r w:rsidRPr="00F63097">
              <w:rPr>
                <w:rFonts w:cs="Calibri"/>
                <w:bCs/>
                <w:color w:val="365F91"/>
                <w:sz w:val="22"/>
                <w:szCs w:val="22"/>
              </w:rPr>
              <w:t>Sig.</w:t>
            </w:r>
          </w:p>
        </w:tc>
        <w:tc>
          <w:tcPr>
            <w:tcW w:w="1342" w:type="dxa"/>
            <w:tcBorders>
              <w:top w:val="single" w:sz="8" w:space="0" w:color="4F81BD"/>
              <w:left w:val="nil"/>
              <w:bottom w:val="single" w:sz="8" w:space="0" w:color="4F81BD"/>
              <w:right w:val="nil"/>
            </w:tcBorders>
          </w:tcPr>
          <w:p w:rsidR="00A95413" w:rsidRPr="00F63097" w:rsidRDefault="00A95413" w:rsidP="00F63097">
            <w:pPr>
              <w:spacing w:before="0" w:after="0" w:line="240" w:lineRule="auto"/>
              <w:jc w:val="both"/>
              <w:rPr>
                <w:rFonts w:cs="Calibri"/>
                <w:b/>
                <w:bCs/>
                <w:color w:val="365F91"/>
                <w:sz w:val="22"/>
                <w:szCs w:val="22"/>
              </w:rPr>
            </w:pPr>
            <w:r w:rsidRPr="00F63097">
              <w:rPr>
                <w:rFonts w:cs="Calibri"/>
                <w:b/>
                <w:bCs/>
                <w:color w:val="365F91"/>
                <w:sz w:val="22"/>
                <w:szCs w:val="22"/>
              </w:rPr>
              <w:t>Netherlands</w:t>
            </w:r>
          </w:p>
        </w:tc>
        <w:tc>
          <w:tcPr>
            <w:tcW w:w="662" w:type="dxa"/>
            <w:tcBorders>
              <w:top w:val="single" w:sz="8" w:space="0" w:color="4F81BD"/>
              <w:left w:val="nil"/>
              <w:bottom w:val="single" w:sz="8" w:space="0" w:color="4F81BD"/>
              <w:right w:val="nil"/>
            </w:tcBorders>
          </w:tcPr>
          <w:p w:rsidR="00A95413" w:rsidRPr="00F63097" w:rsidRDefault="00A95413" w:rsidP="00F63097">
            <w:pPr>
              <w:spacing w:before="0" w:after="0" w:line="240" w:lineRule="auto"/>
              <w:jc w:val="both"/>
              <w:rPr>
                <w:rFonts w:cs="Calibri"/>
                <w:b/>
                <w:bCs/>
                <w:color w:val="365F91"/>
                <w:sz w:val="22"/>
                <w:szCs w:val="22"/>
              </w:rPr>
            </w:pPr>
            <w:r w:rsidRPr="00F63097">
              <w:rPr>
                <w:rFonts w:cs="Calibri"/>
                <w:bCs/>
                <w:color w:val="365F91"/>
                <w:sz w:val="22"/>
                <w:szCs w:val="22"/>
              </w:rPr>
              <w:t>Sig.</w:t>
            </w:r>
          </w:p>
        </w:tc>
      </w:tr>
      <w:tr w:rsidR="00A95413" w:rsidRPr="00F63097" w:rsidTr="00F63097">
        <w:trPr>
          <w:trHeight w:val="385"/>
        </w:trPr>
        <w:tc>
          <w:tcPr>
            <w:tcW w:w="1356" w:type="dxa"/>
            <w:tcBorders>
              <w:left w:val="nil"/>
              <w:right w:val="nil"/>
            </w:tcBorders>
            <w:shd w:val="clear" w:color="auto" w:fill="D3DFEE"/>
          </w:tcPr>
          <w:p w:rsidR="00A95413" w:rsidRPr="00F63097" w:rsidRDefault="00A95413" w:rsidP="00F63097">
            <w:pPr>
              <w:spacing w:before="0" w:after="0" w:line="240" w:lineRule="auto"/>
              <w:jc w:val="both"/>
              <w:rPr>
                <w:rFonts w:cs="Calibri"/>
                <w:b/>
                <w:bCs/>
                <w:color w:val="365F91"/>
                <w:sz w:val="22"/>
                <w:szCs w:val="22"/>
              </w:rPr>
            </w:pPr>
            <w:r w:rsidRPr="00F63097">
              <w:rPr>
                <w:rFonts w:cs="Calibri"/>
                <w:b/>
                <w:bCs/>
                <w:color w:val="365F91"/>
                <w:sz w:val="22"/>
                <w:szCs w:val="22"/>
              </w:rPr>
              <w:t>R-square</w:t>
            </w:r>
          </w:p>
        </w:tc>
        <w:tc>
          <w:tcPr>
            <w:tcW w:w="960"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26,8%</w:t>
            </w:r>
          </w:p>
        </w:tc>
        <w:tc>
          <w:tcPr>
            <w:tcW w:w="659"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p>
        </w:tc>
        <w:tc>
          <w:tcPr>
            <w:tcW w:w="1055"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76,7%</w:t>
            </w:r>
          </w:p>
        </w:tc>
        <w:tc>
          <w:tcPr>
            <w:tcW w:w="661"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p>
        </w:tc>
        <w:tc>
          <w:tcPr>
            <w:tcW w:w="825"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39,7%</w:t>
            </w:r>
          </w:p>
        </w:tc>
        <w:tc>
          <w:tcPr>
            <w:tcW w:w="662"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p>
        </w:tc>
        <w:tc>
          <w:tcPr>
            <w:tcW w:w="831"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26,0%</w:t>
            </w:r>
          </w:p>
        </w:tc>
        <w:tc>
          <w:tcPr>
            <w:tcW w:w="607"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p>
        </w:tc>
        <w:tc>
          <w:tcPr>
            <w:tcW w:w="1342"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59,5%</w:t>
            </w:r>
          </w:p>
        </w:tc>
        <w:tc>
          <w:tcPr>
            <w:tcW w:w="662"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p>
        </w:tc>
      </w:tr>
      <w:tr w:rsidR="00A95413" w:rsidRPr="00F63097" w:rsidTr="00F63097">
        <w:trPr>
          <w:trHeight w:val="385"/>
        </w:trPr>
        <w:tc>
          <w:tcPr>
            <w:tcW w:w="1356" w:type="dxa"/>
          </w:tcPr>
          <w:p w:rsidR="00A95413" w:rsidRPr="00F63097" w:rsidRDefault="00A95413" w:rsidP="00F63097">
            <w:pPr>
              <w:spacing w:before="0" w:after="0" w:line="240" w:lineRule="auto"/>
              <w:jc w:val="both"/>
              <w:rPr>
                <w:rFonts w:cs="Calibri"/>
                <w:b/>
                <w:bCs/>
                <w:color w:val="365F91"/>
                <w:sz w:val="22"/>
                <w:szCs w:val="22"/>
              </w:rPr>
            </w:pPr>
            <w:r w:rsidRPr="00F63097">
              <w:rPr>
                <w:rFonts w:cs="Calibri"/>
                <w:b/>
                <w:bCs/>
                <w:color w:val="365F91"/>
                <w:sz w:val="22"/>
                <w:szCs w:val="22"/>
              </w:rPr>
              <w:t>Sig. ANOVA</w:t>
            </w:r>
          </w:p>
        </w:tc>
        <w:tc>
          <w:tcPr>
            <w:tcW w:w="960"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0.439</w:t>
            </w:r>
          </w:p>
        </w:tc>
        <w:tc>
          <w:tcPr>
            <w:tcW w:w="659" w:type="dxa"/>
          </w:tcPr>
          <w:p w:rsidR="00A95413" w:rsidRPr="00F63097" w:rsidRDefault="00A95413" w:rsidP="00F63097">
            <w:pPr>
              <w:spacing w:before="0" w:after="0" w:line="240" w:lineRule="auto"/>
              <w:jc w:val="both"/>
              <w:rPr>
                <w:rFonts w:cs="Calibri"/>
                <w:color w:val="365F91"/>
                <w:sz w:val="22"/>
                <w:szCs w:val="22"/>
              </w:rPr>
            </w:pPr>
          </w:p>
        </w:tc>
        <w:tc>
          <w:tcPr>
            <w:tcW w:w="1055"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0.000</w:t>
            </w:r>
          </w:p>
        </w:tc>
        <w:tc>
          <w:tcPr>
            <w:tcW w:w="661" w:type="dxa"/>
          </w:tcPr>
          <w:p w:rsidR="00A95413" w:rsidRPr="00F63097" w:rsidRDefault="00A95413" w:rsidP="00F63097">
            <w:pPr>
              <w:spacing w:before="0" w:after="0" w:line="240" w:lineRule="auto"/>
              <w:jc w:val="both"/>
              <w:rPr>
                <w:rFonts w:cs="Calibri"/>
                <w:color w:val="365F91"/>
                <w:sz w:val="22"/>
                <w:szCs w:val="22"/>
              </w:rPr>
            </w:pPr>
          </w:p>
        </w:tc>
        <w:tc>
          <w:tcPr>
            <w:tcW w:w="825"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0.169</w:t>
            </w:r>
          </w:p>
        </w:tc>
        <w:tc>
          <w:tcPr>
            <w:tcW w:w="662" w:type="dxa"/>
          </w:tcPr>
          <w:p w:rsidR="00A95413" w:rsidRPr="00F63097" w:rsidRDefault="00A95413" w:rsidP="00F63097">
            <w:pPr>
              <w:spacing w:before="0" w:after="0" w:line="240" w:lineRule="auto"/>
              <w:jc w:val="both"/>
              <w:rPr>
                <w:rFonts w:cs="Calibri"/>
                <w:color w:val="365F91"/>
                <w:sz w:val="22"/>
                <w:szCs w:val="22"/>
              </w:rPr>
            </w:pPr>
          </w:p>
        </w:tc>
        <w:tc>
          <w:tcPr>
            <w:tcW w:w="831"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0.461</w:t>
            </w:r>
          </w:p>
        </w:tc>
        <w:tc>
          <w:tcPr>
            <w:tcW w:w="607" w:type="dxa"/>
          </w:tcPr>
          <w:p w:rsidR="00A95413" w:rsidRPr="00F63097" w:rsidRDefault="00A95413" w:rsidP="00F63097">
            <w:pPr>
              <w:spacing w:before="0" w:after="0" w:line="240" w:lineRule="auto"/>
              <w:jc w:val="both"/>
              <w:rPr>
                <w:rFonts w:cs="Calibri"/>
                <w:color w:val="365F91"/>
                <w:sz w:val="22"/>
                <w:szCs w:val="22"/>
              </w:rPr>
            </w:pPr>
          </w:p>
        </w:tc>
        <w:tc>
          <w:tcPr>
            <w:tcW w:w="1342"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0.017</w:t>
            </w:r>
          </w:p>
        </w:tc>
        <w:tc>
          <w:tcPr>
            <w:tcW w:w="662" w:type="dxa"/>
          </w:tcPr>
          <w:p w:rsidR="00A95413" w:rsidRPr="00F63097" w:rsidRDefault="00A95413" w:rsidP="00F63097">
            <w:pPr>
              <w:spacing w:before="0" w:after="0" w:line="240" w:lineRule="auto"/>
              <w:jc w:val="both"/>
              <w:rPr>
                <w:rFonts w:cs="Calibri"/>
                <w:color w:val="365F91"/>
                <w:sz w:val="22"/>
                <w:szCs w:val="22"/>
              </w:rPr>
            </w:pPr>
          </w:p>
        </w:tc>
      </w:tr>
      <w:tr w:rsidR="00A95413" w:rsidRPr="00F63097" w:rsidTr="00F63097">
        <w:trPr>
          <w:trHeight w:val="385"/>
        </w:trPr>
        <w:tc>
          <w:tcPr>
            <w:tcW w:w="1356" w:type="dxa"/>
            <w:tcBorders>
              <w:left w:val="nil"/>
              <w:right w:val="nil"/>
            </w:tcBorders>
            <w:shd w:val="clear" w:color="auto" w:fill="D3DFEE"/>
          </w:tcPr>
          <w:p w:rsidR="00A95413" w:rsidRPr="00F63097" w:rsidRDefault="00A95413" w:rsidP="00F63097">
            <w:pPr>
              <w:spacing w:before="0" w:after="0" w:line="240" w:lineRule="auto"/>
              <w:jc w:val="both"/>
              <w:rPr>
                <w:rFonts w:cs="Calibri"/>
                <w:b/>
                <w:bCs/>
                <w:color w:val="365F91"/>
                <w:sz w:val="22"/>
                <w:szCs w:val="22"/>
                <w:u w:val="single"/>
              </w:rPr>
            </w:pPr>
            <w:r w:rsidRPr="00F63097">
              <w:rPr>
                <w:rFonts w:cs="Calibri"/>
                <w:b/>
                <w:bCs/>
                <w:color w:val="365F91"/>
                <w:sz w:val="22"/>
                <w:szCs w:val="22"/>
                <w:u w:val="single"/>
              </w:rPr>
              <w:t>Coefficients:</w:t>
            </w:r>
          </w:p>
        </w:tc>
        <w:tc>
          <w:tcPr>
            <w:tcW w:w="960"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p>
        </w:tc>
        <w:tc>
          <w:tcPr>
            <w:tcW w:w="659"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p>
        </w:tc>
        <w:tc>
          <w:tcPr>
            <w:tcW w:w="1055"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p>
        </w:tc>
        <w:tc>
          <w:tcPr>
            <w:tcW w:w="661"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p>
        </w:tc>
        <w:tc>
          <w:tcPr>
            <w:tcW w:w="825"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p>
        </w:tc>
        <w:tc>
          <w:tcPr>
            <w:tcW w:w="662"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p>
        </w:tc>
        <w:tc>
          <w:tcPr>
            <w:tcW w:w="831"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p>
        </w:tc>
        <w:tc>
          <w:tcPr>
            <w:tcW w:w="607"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p>
        </w:tc>
        <w:tc>
          <w:tcPr>
            <w:tcW w:w="1342"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p>
        </w:tc>
        <w:tc>
          <w:tcPr>
            <w:tcW w:w="662"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p>
        </w:tc>
      </w:tr>
      <w:tr w:rsidR="00A95413" w:rsidRPr="00F63097" w:rsidTr="00F63097">
        <w:trPr>
          <w:trHeight w:val="385"/>
        </w:trPr>
        <w:tc>
          <w:tcPr>
            <w:tcW w:w="1356" w:type="dxa"/>
          </w:tcPr>
          <w:p w:rsidR="00A95413" w:rsidRPr="00F63097" w:rsidRDefault="00A95413" w:rsidP="00F63097">
            <w:pPr>
              <w:spacing w:before="0" w:after="0" w:line="240" w:lineRule="auto"/>
              <w:jc w:val="both"/>
              <w:rPr>
                <w:rFonts w:cs="Calibri"/>
                <w:b/>
                <w:bCs/>
                <w:color w:val="365F91"/>
                <w:sz w:val="22"/>
                <w:szCs w:val="22"/>
              </w:rPr>
            </w:pPr>
            <w:r w:rsidRPr="00F63097">
              <w:rPr>
                <w:rFonts w:cs="Calibri"/>
                <w:b/>
                <w:bCs/>
                <w:color w:val="365F91"/>
                <w:sz w:val="22"/>
                <w:szCs w:val="22"/>
              </w:rPr>
              <w:t>Managerial</w:t>
            </w:r>
          </w:p>
        </w:tc>
        <w:tc>
          <w:tcPr>
            <w:tcW w:w="960"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.055</w:t>
            </w:r>
          </w:p>
        </w:tc>
        <w:tc>
          <w:tcPr>
            <w:tcW w:w="659"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.822</w:t>
            </w:r>
          </w:p>
        </w:tc>
        <w:tc>
          <w:tcPr>
            <w:tcW w:w="1055"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-.035</w:t>
            </w:r>
          </w:p>
        </w:tc>
        <w:tc>
          <w:tcPr>
            <w:tcW w:w="661"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.286</w:t>
            </w:r>
          </w:p>
        </w:tc>
        <w:tc>
          <w:tcPr>
            <w:tcW w:w="825"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-.024</w:t>
            </w:r>
          </w:p>
        </w:tc>
        <w:tc>
          <w:tcPr>
            <w:tcW w:w="662"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.766</w:t>
            </w:r>
          </w:p>
        </w:tc>
        <w:tc>
          <w:tcPr>
            <w:tcW w:w="831"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.036</w:t>
            </w:r>
          </w:p>
        </w:tc>
        <w:tc>
          <w:tcPr>
            <w:tcW w:w="607"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.449</w:t>
            </w:r>
          </w:p>
        </w:tc>
        <w:tc>
          <w:tcPr>
            <w:tcW w:w="1342"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.012</w:t>
            </w:r>
          </w:p>
        </w:tc>
        <w:tc>
          <w:tcPr>
            <w:tcW w:w="662"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.705</w:t>
            </w:r>
          </w:p>
        </w:tc>
      </w:tr>
      <w:tr w:rsidR="00A95413" w:rsidRPr="00F63097" w:rsidTr="00F63097">
        <w:trPr>
          <w:trHeight w:val="385"/>
        </w:trPr>
        <w:tc>
          <w:tcPr>
            <w:tcW w:w="1356" w:type="dxa"/>
            <w:tcBorders>
              <w:left w:val="nil"/>
              <w:right w:val="nil"/>
            </w:tcBorders>
            <w:shd w:val="clear" w:color="auto" w:fill="D3DFEE"/>
          </w:tcPr>
          <w:p w:rsidR="00A95413" w:rsidRPr="00F63097" w:rsidRDefault="00A95413" w:rsidP="00F63097">
            <w:pPr>
              <w:spacing w:before="0" w:after="0" w:line="240" w:lineRule="auto"/>
              <w:jc w:val="both"/>
              <w:rPr>
                <w:rFonts w:cs="Calibri"/>
                <w:b/>
                <w:bCs/>
                <w:color w:val="365F91"/>
                <w:sz w:val="22"/>
                <w:szCs w:val="22"/>
              </w:rPr>
            </w:pPr>
            <w:r w:rsidRPr="00F63097">
              <w:rPr>
                <w:rFonts w:cs="Calibri"/>
                <w:b/>
                <w:bCs/>
                <w:color w:val="365F91"/>
                <w:sz w:val="22"/>
                <w:szCs w:val="22"/>
              </w:rPr>
              <w:t>Blockholder</w:t>
            </w:r>
          </w:p>
        </w:tc>
        <w:tc>
          <w:tcPr>
            <w:tcW w:w="960"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-.034</w:t>
            </w:r>
          </w:p>
        </w:tc>
        <w:tc>
          <w:tcPr>
            <w:tcW w:w="659"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.902</w:t>
            </w:r>
          </w:p>
        </w:tc>
        <w:tc>
          <w:tcPr>
            <w:tcW w:w="1055"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-.029</w:t>
            </w:r>
          </w:p>
        </w:tc>
        <w:tc>
          <w:tcPr>
            <w:tcW w:w="661"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.385</w:t>
            </w:r>
          </w:p>
        </w:tc>
        <w:tc>
          <w:tcPr>
            <w:tcW w:w="825"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.048</w:t>
            </w:r>
          </w:p>
        </w:tc>
        <w:tc>
          <w:tcPr>
            <w:tcW w:w="662"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.544</w:t>
            </w:r>
          </w:p>
        </w:tc>
        <w:tc>
          <w:tcPr>
            <w:tcW w:w="831"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-.105</w:t>
            </w:r>
          </w:p>
        </w:tc>
        <w:tc>
          <w:tcPr>
            <w:tcW w:w="607"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.158</w:t>
            </w:r>
          </w:p>
        </w:tc>
        <w:tc>
          <w:tcPr>
            <w:tcW w:w="1342"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-.044</w:t>
            </w:r>
          </w:p>
        </w:tc>
        <w:tc>
          <w:tcPr>
            <w:tcW w:w="662"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.335</w:t>
            </w:r>
          </w:p>
        </w:tc>
      </w:tr>
      <w:tr w:rsidR="00A95413" w:rsidRPr="00F63097" w:rsidTr="00F63097">
        <w:trPr>
          <w:trHeight w:val="385"/>
        </w:trPr>
        <w:tc>
          <w:tcPr>
            <w:tcW w:w="1356" w:type="dxa"/>
          </w:tcPr>
          <w:p w:rsidR="00A95413" w:rsidRPr="00F63097" w:rsidRDefault="00A95413" w:rsidP="00F63097">
            <w:pPr>
              <w:spacing w:before="0" w:after="0" w:line="240" w:lineRule="auto"/>
              <w:jc w:val="both"/>
              <w:rPr>
                <w:rFonts w:cs="Calibri"/>
                <w:b/>
                <w:bCs/>
                <w:color w:val="365F91"/>
                <w:sz w:val="22"/>
                <w:szCs w:val="22"/>
              </w:rPr>
            </w:pPr>
            <w:r w:rsidRPr="00F63097">
              <w:rPr>
                <w:rFonts w:cs="Calibri"/>
                <w:b/>
                <w:bCs/>
                <w:color w:val="365F91"/>
                <w:sz w:val="22"/>
                <w:szCs w:val="22"/>
              </w:rPr>
              <w:t>Government</w:t>
            </w:r>
          </w:p>
        </w:tc>
        <w:tc>
          <w:tcPr>
            <w:tcW w:w="960"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.494</w:t>
            </w:r>
          </w:p>
        </w:tc>
        <w:tc>
          <w:tcPr>
            <w:tcW w:w="659" w:type="dxa"/>
          </w:tcPr>
          <w:p w:rsidR="00A95413" w:rsidRPr="00F63097" w:rsidRDefault="00A95413" w:rsidP="00F63097">
            <w:pPr>
              <w:spacing w:before="0" w:after="0" w:line="240" w:lineRule="auto"/>
              <w:jc w:val="both"/>
              <w:rPr>
                <w:rFonts w:cs="Calibri"/>
                <w:b/>
                <w:color w:val="365F91"/>
                <w:sz w:val="22"/>
                <w:szCs w:val="22"/>
              </w:rPr>
            </w:pPr>
            <w:r w:rsidRPr="00F63097">
              <w:rPr>
                <w:rFonts w:cs="Calibri"/>
                <w:b/>
                <w:color w:val="365F91"/>
                <w:sz w:val="22"/>
                <w:szCs w:val="22"/>
              </w:rPr>
              <w:t>.027</w:t>
            </w:r>
          </w:p>
        </w:tc>
        <w:tc>
          <w:tcPr>
            <w:tcW w:w="1055"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.403</w:t>
            </w:r>
          </w:p>
        </w:tc>
        <w:tc>
          <w:tcPr>
            <w:tcW w:w="661" w:type="dxa"/>
          </w:tcPr>
          <w:p w:rsidR="00A95413" w:rsidRPr="00F63097" w:rsidRDefault="00A95413" w:rsidP="00F63097">
            <w:pPr>
              <w:spacing w:before="0" w:after="0" w:line="240" w:lineRule="auto"/>
              <w:jc w:val="both"/>
              <w:rPr>
                <w:rFonts w:cs="Calibri"/>
                <w:b/>
                <w:color w:val="365F91"/>
                <w:sz w:val="22"/>
                <w:szCs w:val="22"/>
              </w:rPr>
            </w:pPr>
            <w:r w:rsidRPr="00F63097">
              <w:rPr>
                <w:rFonts w:cs="Calibri"/>
                <w:b/>
                <w:color w:val="365F91"/>
                <w:sz w:val="22"/>
                <w:szCs w:val="22"/>
              </w:rPr>
              <w:t>.078</w:t>
            </w:r>
          </w:p>
        </w:tc>
        <w:tc>
          <w:tcPr>
            <w:tcW w:w="825"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.337</w:t>
            </w:r>
          </w:p>
        </w:tc>
        <w:tc>
          <w:tcPr>
            <w:tcW w:w="662"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.146</w:t>
            </w:r>
          </w:p>
        </w:tc>
        <w:tc>
          <w:tcPr>
            <w:tcW w:w="831"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.572</w:t>
            </w:r>
          </w:p>
        </w:tc>
        <w:tc>
          <w:tcPr>
            <w:tcW w:w="607" w:type="dxa"/>
          </w:tcPr>
          <w:p w:rsidR="00A95413" w:rsidRPr="00F63097" w:rsidRDefault="00A95413" w:rsidP="00F63097">
            <w:pPr>
              <w:spacing w:before="0" w:after="0" w:line="240" w:lineRule="auto"/>
              <w:jc w:val="both"/>
              <w:rPr>
                <w:rFonts w:cs="Calibri"/>
                <w:b/>
                <w:color w:val="365F91"/>
                <w:sz w:val="22"/>
                <w:szCs w:val="22"/>
              </w:rPr>
            </w:pPr>
            <w:r w:rsidRPr="00F63097">
              <w:rPr>
                <w:rFonts w:cs="Calibri"/>
                <w:b/>
                <w:color w:val="365F91"/>
                <w:sz w:val="22"/>
                <w:szCs w:val="22"/>
              </w:rPr>
              <w:t>.008</w:t>
            </w:r>
          </w:p>
        </w:tc>
        <w:tc>
          <w:tcPr>
            <w:tcW w:w="1342"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.706</w:t>
            </w:r>
          </w:p>
        </w:tc>
        <w:tc>
          <w:tcPr>
            <w:tcW w:w="662" w:type="dxa"/>
          </w:tcPr>
          <w:p w:rsidR="00A95413" w:rsidRPr="00F63097" w:rsidRDefault="00A95413" w:rsidP="00F63097">
            <w:pPr>
              <w:spacing w:before="0" w:after="0" w:line="240" w:lineRule="auto"/>
              <w:jc w:val="both"/>
              <w:rPr>
                <w:rFonts w:cs="Calibri"/>
                <w:b/>
                <w:color w:val="365F91"/>
                <w:sz w:val="22"/>
                <w:szCs w:val="22"/>
              </w:rPr>
            </w:pPr>
            <w:r w:rsidRPr="00F63097">
              <w:rPr>
                <w:rFonts w:cs="Calibri"/>
                <w:b/>
                <w:color w:val="365F91"/>
                <w:sz w:val="22"/>
                <w:szCs w:val="22"/>
              </w:rPr>
              <w:t>.001</w:t>
            </w:r>
          </w:p>
        </w:tc>
      </w:tr>
      <w:tr w:rsidR="00A95413" w:rsidRPr="00F63097" w:rsidTr="00F63097">
        <w:trPr>
          <w:trHeight w:val="365"/>
        </w:trPr>
        <w:tc>
          <w:tcPr>
            <w:tcW w:w="1356" w:type="dxa"/>
            <w:tcBorders>
              <w:left w:val="nil"/>
              <w:right w:val="nil"/>
            </w:tcBorders>
            <w:shd w:val="clear" w:color="auto" w:fill="D3DFEE"/>
          </w:tcPr>
          <w:p w:rsidR="00A95413" w:rsidRPr="00F63097" w:rsidRDefault="00A95413" w:rsidP="00F63097">
            <w:pPr>
              <w:spacing w:before="0" w:after="0" w:line="240" w:lineRule="auto"/>
              <w:jc w:val="both"/>
              <w:rPr>
                <w:rFonts w:cs="Calibri"/>
                <w:b/>
                <w:bCs/>
                <w:color w:val="365F91"/>
                <w:sz w:val="22"/>
                <w:szCs w:val="22"/>
              </w:rPr>
            </w:pPr>
            <w:r w:rsidRPr="00F63097">
              <w:rPr>
                <w:rFonts w:cs="Calibri"/>
                <w:b/>
                <w:bCs/>
                <w:color w:val="365F91"/>
                <w:sz w:val="22"/>
                <w:szCs w:val="22"/>
              </w:rPr>
              <w:t>Size</w:t>
            </w:r>
          </w:p>
        </w:tc>
        <w:tc>
          <w:tcPr>
            <w:tcW w:w="960"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3.668</w:t>
            </w:r>
          </w:p>
        </w:tc>
        <w:tc>
          <w:tcPr>
            <w:tcW w:w="659"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.118</w:t>
            </w:r>
          </w:p>
        </w:tc>
        <w:tc>
          <w:tcPr>
            <w:tcW w:w="1055"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3.298</w:t>
            </w:r>
          </w:p>
        </w:tc>
        <w:tc>
          <w:tcPr>
            <w:tcW w:w="661" w:type="dxa"/>
            <w:tcBorders>
              <w:left w:val="nil"/>
              <w:right w:val="nil"/>
            </w:tcBorders>
            <w:shd w:val="clear" w:color="auto" w:fill="D3DFEE"/>
          </w:tcPr>
          <w:p w:rsidR="00A95413" w:rsidRPr="00F63097" w:rsidRDefault="00A95413" w:rsidP="00F63097">
            <w:pPr>
              <w:spacing w:before="0" w:after="0" w:line="240" w:lineRule="auto"/>
              <w:jc w:val="both"/>
              <w:rPr>
                <w:rFonts w:cs="Calibri"/>
                <w:b/>
                <w:color w:val="365F91"/>
                <w:sz w:val="22"/>
                <w:szCs w:val="22"/>
              </w:rPr>
            </w:pPr>
            <w:r w:rsidRPr="00F63097">
              <w:rPr>
                <w:rFonts w:cs="Calibri"/>
                <w:b/>
                <w:color w:val="365F91"/>
                <w:sz w:val="22"/>
                <w:szCs w:val="22"/>
              </w:rPr>
              <w:t>.001</w:t>
            </w:r>
          </w:p>
        </w:tc>
        <w:tc>
          <w:tcPr>
            <w:tcW w:w="825"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3.097</w:t>
            </w:r>
          </w:p>
        </w:tc>
        <w:tc>
          <w:tcPr>
            <w:tcW w:w="662" w:type="dxa"/>
            <w:tcBorders>
              <w:left w:val="nil"/>
              <w:right w:val="nil"/>
            </w:tcBorders>
            <w:shd w:val="clear" w:color="auto" w:fill="D3DFEE"/>
          </w:tcPr>
          <w:p w:rsidR="00A95413" w:rsidRPr="00F63097" w:rsidRDefault="00A95413" w:rsidP="00F63097">
            <w:pPr>
              <w:spacing w:before="0" w:after="0" w:line="240" w:lineRule="auto"/>
              <w:jc w:val="both"/>
              <w:rPr>
                <w:rFonts w:cs="Calibri"/>
                <w:b/>
                <w:color w:val="365F91"/>
                <w:sz w:val="22"/>
                <w:szCs w:val="22"/>
              </w:rPr>
            </w:pPr>
            <w:r w:rsidRPr="00F63097">
              <w:rPr>
                <w:rFonts w:cs="Calibri"/>
                <w:b/>
                <w:color w:val="365F91"/>
                <w:sz w:val="22"/>
                <w:szCs w:val="22"/>
              </w:rPr>
              <w:t>.082</w:t>
            </w:r>
          </w:p>
        </w:tc>
        <w:tc>
          <w:tcPr>
            <w:tcW w:w="831"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.601</w:t>
            </w:r>
          </w:p>
        </w:tc>
        <w:tc>
          <w:tcPr>
            <w:tcW w:w="607"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.696</w:t>
            </w:r>
          </w:p>
        </w:tc>
        <w:tc>
          <w:tcPr>
            <w:tcW w:w="1342" w:type="dxa"/>
            <w:tcBorders>
              <w:left w:val="nil"/>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2.794</w:t>
            </w:r>
          </w:p>
        </w:tc>
        <w:tc>
          <w:tcPr>
            <w:tcW w:w="662" w:type="dxa"/>
            <w:tcBorders>
              <w:left w:val="nil"/>
              <w:right w:val="nil"/>
            </w:tcBorders>
            <w:shd w:val="clear" w:color="auto" w:fill="D3DFEE"/>
          </w:tcPr>
          <w:p w:rsidR="00A95413" w:rsidRPr="00F63097" w:rsidRDefault="00A95413" w:rsidP="00F63097">
            <w:pPr>
              <w:spacing w:before="0" w:after="0" w:line="240" w:lineRule="auto"/>
              <w:jc w:val="both"/>
              <w:rPr>
                <w:rFonts w:cs="Calibri"/>
                <w:b/>
                <w:color w:val="365F91"/>
                <w:sz w:val="22"/>
                <w:szCs w:val="22"/>
              </w:rPr>
            </w:pPr>
            <w:r w:rsidRPr="00F63097">
              <w:rPr>
                <w:rFonts w:cs="Calibri"/>
                <w:b/>
                <w:color w:val="365F91"/>
                <w:sz w:val="22"/>
                <w:szCs w:val="22"/>
              </w:rPr>
              <w:t>.030</w:t>
            </w:r>
          </w:p>
        </w:tc>
      </w:tr>
      <w:tr w:rsidR="00A95413" w:rsidRPr="00F63097" w:rsidTr="00F63097">
        <w:trPr>
          <w:trHeight w:val="365"/>
        </w:trPr>
        <w:tc>
          <w:tcPr>
            <w:tcW w:w="1356" w:type="dxa"/>
          </w:tcPr>
          <w:p w:rsidR="00A95413" w:rsidRPr="00F63097" w:rsidRDefault="00A95413" w:rsidP="00F63097">
            <w:pPr>
              <w:spacing w:before="0" w:after="0" w:line="240" w:lineRule="auto"/>
              <w:jc w:val="both"/>
              <w:rPr>
                <w:rFonts w:cs="Calibri"/>
                <w:b/>
                <w:bCs/>
                <w:color w:val="365F91"/>
                <w:sz w:val="22"/>
                <w:szCs w:val="22"/>
              </w:rPr>
            </w:pPr>
            <w:r w:rsidRPr="00F63097">
              <w:rPr>
                <w:rFonts w:cs="Calibri"/>
                <w:b/>
                <w:bCs/>
                <w:color w:val="365F91"/>
                <w:sz w:val="22"/>
                <w:szCs w:val="22"/>
              </w:rPr>
              <w:t>Leverage</w:t>
            </w:r>
          </w:p>
        </w:tc>
        <w:tc>
          <w:tcPr>
            <w:tcW w:w="960"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-.044</w:t>
            </w:r>
          </w:p>
        </w:tc>
        <w:tc>
          <w:tcPr>
            <w:tcW w:w="659"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.952</w:t>
            </w:r>
          </w:p>
        </w:tc>
        <w:tc>
          <w:tcPr>
            <w:tcW w:w="1055"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.148</w:t>
            </w:r>
          </w:p>
        </w:tc>
        <w:tc>
          <w:tcPr>
            <w:tcW w:w="661"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.631</w:t>
            </w:r>
          </w:p>
        </w:tc>
        <w:tc>
          <w:tcPr>
            <w:tcW w:w="825"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1.287</w:t>
            </w:r>
          </w:p>
        </w:tc>
        <w:tc>
          <w:tcPr>
            <w:tcW w:w="662" w:type="dxa"/>
          </w:tcPr>
          <w:p w:rsidR="00A95413" w:rsidRPr="00F63097" w:rsidRDefault="00A95413" w:rsidP="00F63097">
            <w:pPr>
              <w:spacing w:before="0" w:after="0" w:line="240" w:lineRule="auto"/>
              <w:jc w:val="both"/>
              <w:rPr>
                <w:rFonts w:cs="Calibri"/>
                <w:b/>
                <w:color w:val="365F91"/>
                <w:sz w:val="22"/>
                <w:szCs w:val="22"/>
              </w:rPr>
            </w:pPr>
            <w:r w:rsidRPr="00F63097">
              <w:rPr>
                <w:rFonts w:cs="Calibri"/>
                <w:b/>
                <w:color w:val="365F91"/>
                <w:sz w:val="22"/>
                <w:szCs w:val="22"/>
              </w:rPr>
              <w:t>.078</w:t>
            </w:r>
          </w:p>
        </w:tc>
        <w:tc>
          <w:tcPr>
            <w:tcW w:w="831"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-2.341</w:t>
            </w:r>
          </w:p>
        </w:tc>
        <w:tc>
          <w:tcPr>
            <w:tcW w:w="607"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.579</w:t>
            </w:r>
          </w:p>
        </w:tc>
        <w:tc>
          <w:tcPr>
            <w:tcW w:w="1342"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-.421</w:t>
            </w:r>
          </w:p>
        </w:tc>
        <w:tc>
          <w:tcPr>
            <w:tcW w:w="662" w:type="dxa"/>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.447</w:t>
            </w:r>
          </w:p>
        </w:tc>
      </w:tr>
      <w:tr w:rsidR="00A95413" w:rsidRPr="00F63097" w:rsidTr="00F63097">
        <w:trPr>
          <w:trHeight w:val="365"/>
        </w:trPr>
        <w:tc>
          <w:tcPr>
            <w:tcW w:w="1356" w:type="dxa"/>
            <w:tcBorders>
              <w:left w:val="nil"/>
              <w:bottom w:val="single" w:sz="8" w:space="0" w:color="4F81BD"/>
              <w:right w:val="nil"/>
            </w:tcBorders>
            <w:shd w:val="clear" w:color="auto" w:fill="D3DFEE"/>
          </w:tcPr>
          <w:p w:rsidR="00A95413" w:rsidRPr="00F63097" w:rsidRDefault="00A95413" w:rsidP="00F63097">
            <w:pPr>
              <w:spacing w:before="0" w:after="0" w:line="240" w:lineRule="auto"/>
              <w:jc w:val="both"/>
              <w:rPr>
                <w:rFonts w:cs="Calibri"/>
                <w:b/>
                <w:bCs/>
                <w:color w:val="365F91"/>
                <w:sz w:val="22"/>
                <w:szCs w:val="22"/>
              </w:rPr>
            </w:pPr>
            <w:r w:rsidRPr="00F63097">
              <w:rPr>
                <w:rFonts w:cs="Calibri"/>
                <w:b/>
                <w:bCs/>
                <w:color w:val="365F91"/>
                <w:sz w:val="22"/>
                <w:szCs w:val="22"/>
              </w:rPr>
              <w:t>Profitability</w:t>
            </w:r>
          </w:p>
        </w:tc>
        <w:tc>
          <w:tcPr>
            <w:tcW w:w="960" w:type="dxa"/>
            <w:tcBorders>
              <w:left w:val="nil"/>
              <w:bottom w:val="single" w:sz="8" w:space="0" w:color="4F81BD"/>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.063</w:t>
            </w:r>
          </w:p>
        </w:tc>
        <w:tc>
          <w:tcPr>
            <w:tcW w:w="659" w:type="dxa"/>
            <w:tcBorders>
              <w:left w:val="nil"/>
              <w:bottom w:val="single" w:sz="8" w:space="0" w:color="4F81BD"/>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.805</w:t>
            </w:r>
          </w:p>
        </w:tc>
        <w:tc>
          <w:tcPr>
            <w:tcW w:w="1055" w:type="dxa"/>
            <w:tcBorders>
              <w:left w:val="nil"/>
              <w:bottom w:val="single" w:sz="8" w:space="0" w:color="4F81BD"/>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-.008</w:t>
            </w:r>
          </w:p>
        </w:tc>
        <w:tc>
          <w:tcPr>
            <w:tcW w:w="661" w:type="dxa"/>
            <w:tcBorders>
              <w:left w:val="nil"/>
              <w:bottom w:val="single" w:sz="8" w:space="0" w:color="4F81BD"/>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.955</w:t>
            </w:r>
          </w:p>
        </w:tc>
        <w:tc>
          <w:tcPr>
            <w:tcW w:w="825" w:type="dxa"/>
            <w:tcBorders>
              <w:left w:val="nil"/>
              <w:bottom w:val="single" w:sz="8" w:space="0" w:color="4F81BD"/>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.144</w:t>
            </w:r>
          </w:p>
        </w:tc>
        <w:tc>
          <w:tcPr>
            <w:tcW w:w="662" w:type="dxa"/>
            <w:tcBorders>
              <w:left w:val="nil"/>
              <w:bottom w:val="single" w:sz="8" w:space="0" w:color="4F81BD"/>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.724</w:t>
            </w:r>
          </w:p>
        </w:tc>
        <w:tc>
          <w:tcPr>
            <w:tcW w:w="831" w:type="dxa"/>
            <w:tcBorders>
              <w:left w:val="nil"/>
              <w:bottom w:val="single" w:sz="8" w:space="0" w:color="4F81BD"/>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.789</w:t>
            </w:r>
          </w:p>
        </w:tc>
        <w:tc>
          <w:tcPr>
            <w:tcW w:w="607" w:type="dxa"/>
            <w:tcBorders>
              <w:left w:val="nil"/>
              <w:bottom w:val="single" w:sz="8" w:space="0" w:color="4F81BD"/>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.242</w:t>
            </w:r>
          </w:p>
        </w:tc>
        <w:tc>
          <w:tcPr>
            <w:tcW w:w="1342" w:type="dxa"/>
            <w:tcBorders>
              <w:left w:val="nil"/>
              <w:bottom w:val="single" w:sz="8" w:space="0" w:color="4F81BD"/>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-.002</w:t>
            </w:r>
          </w:p>
        </w:tc>
        <w:tc>
          <w:tcPr>
            <w:tcW w:w="662" w:type="dxa"/>
            <w:tcBorders>
              <w:left w:val="nil"/>
              <w:bottom w:val="single" w:sz="8" w:space="0" w:color="4F81BD"/>
              <w:right w:val="nil"/>
            </w:tcBorders>
            <w:shd w:val="clear" w:color="auto" w:fill="D3DFEE"/>
          </w:tcPr>
          <w:p w:rsidR="00A95413" w:rsidRPr="00F63097" w:rsidRDefault="00A95413" w:rsidP="00F63097">
            <w:pPr>
              <w:spacing w:before="0" w:after="0" w:line="240" w:lineRule="auto"/>
              <w:jc w:val="both"/>
              <w:rPr>
                <w:rFonts w:cs="Calibri"/>
                <w:color w:val="365F91"/>
                <w:sz w:val="22"/>
                <w:szCs w:val="22"/>
              </w:rPr>
            </w:pPr>
            <w:r w:rsidRPr="00F63097">
              <w:rPr>
                <w:rFonts w:cs="Calibri"/>
                <w:color w:val="365F91"/>
                <w:sz w:val="22"/>
                <w:szCs w:val="22"/>
              </w:rPr>
              <w:t>.987</w:t>
            </w:r>
          </w:p>
        </w:tc>
      </w:tr>
    </w:tbl>
    <w:p w:rsidR="00A95413" w:rsidRPr="00046999" w:rsidRDefault="00A95413" w:rsidP="001D4BB3">
      <w:pPr>
        <w:jc w:val="both"/>
        <w:rPr>
          <w:rFonts w:cs="Calibri"/>
          <w:sz w:val="22"/>
          <w:szCs w:val="22"/>
        </w:rPr>
      </w:pPr>
      <w:r w:rsidRPr="00046999">
        <w:rPr>
          <w:rFonts w:cs="Calibri"/>
          <w:sz w:val="22"/>
          <w:szCs w:val="22"/>
        </w:rPr>
        <w:t>Examining the regression</w:t>
      </w:r>
      <w:r>
        <w:rPr>
          <w:rFonts w:cs="Calibri"/>
          <w:sz w:val="22"/>
          <w:szCs w:val="22"/>
        </w:rPr>
        <w:t>s</w:t>
      </w:r>
      <w:r w:rsidRPr="00046999">
        <w:rPr>
          <w:rFonts w:cs="Calibri"/>
          <w:sz w:val="22"/>
          <w:szCs w:val="22"/>
        </w:rPr>
        <w:t xml:space="preserve"> of the countries individually no significant associations between</w:t>
      </w:r>
      <w:r>
        <w:rPr>
          <w:rFonts w:cs="Calibri"/>
          <w:sz w:val="22"/>
          <w:szCs w:val="22"/>
        </w:rPr>
        <w:t xml:space="preserve"> managerial and blockholder</w:t>
      </w:r>
      <w:r w:rsidRPr="00046999">
        <w:rPr>
          <w:rFonts w:cs="Calibri"/>
          <w:sz w:val="22"/>
          <w:szCs w:val="22"/>
        </w:rPr>
        <w:t xml:space="preserve"> ownership and voluntary disclosures are observed. </w:t>
      </w:r>
      <w:r>
        <w:rPr>
          <w:rFonts w:cs="Calibri"/>
          <w:sz w:val="22"/>
          <w:szCs w:val="22"/>
        </w:rPr>
        <w:t>Government ownership is significantly associated with Dscore in all countries except France. Furthermore, t</w:t>
      </w:r>
      <w:r w:rsidRPr="00046999">
        <w:rPr>
          <w:rFonts w:cs="Calibri"/>
          <w:sz w:val="22"/>
          <w:szCs w:val="22"/>
        </w:rPr>
        <w:t xml:space="preserve">he control variable </w:t>
      </w:r>
      <w:r>
        <w:rPr>
          <w:rFonts w:cs="Calibri"/>
          <w:sz w:val="22"/>
          <w:szCs w:val="22"/>
        </w:rPr>
        <w:t>size</w:t>
      </w:r>
      <w:r w:rsidRPr="00046999">
        <w:rPr>
          <w:rFonts w:cs="Calibri"/>
          <w:sz w:val="22"/>
          <w:szCs w:val="22"/>
        </w:rPr>
        <w:t xml:space="preserve"> has a </w:t>
      </w:r>
      <w:r>
        <w:rPr>
          <w:rFonts w:cs="Calibri"/>
          <w:sz w:val="22"/>
          <w:szCs w:val="22"/>
        </w:rPr>
        <w:t xml:space="preserve">strong </w:t>
      </w:r>
      <w:r w:rsidRPr="00046999">
        <w:rPr>
          <w:rFonts w:cs="Calibri"/>
          <w:sz w:val="22"/>
          <w:szCs w:val="22"/>
        </w:rPr>
        <w:t>positive association with the extent of voluntary disclosures in</w:t>
      </w:r>
      <w:r>
        <w:rPr>
          <w:rFonts w:cs="Calibri"/>
          <w:sz w:val="22"/>
          <w:szCs w:val="22"/>
        </w:rPr>
        <w:t xml:space="preserve"> all countries;</w:t>
      </w:r>
      <w:r w:rsidRPr="00046999">
        <w:rPr>
          <w:rFonts w:cs="Calibri"/>
          <w:sz w:val="22"/>
          <w:szCs w:val="22"/>
        </w:rPr>
        <w:t xml:space="preserve"> in Germany and in The Netherlands significant at p&lt;0.05, in France at p&lt;0.10. </w:t>
      </w:r>
      <w:r>
        <w:rPr>
          <w:rFonts w:cs="Calibri"/>
          <w:sz w:val="22"/>
          <w:szCs w:val="22"/>
        </w:rPr>
        <w:t>At last, leverage significantly positively associated with voluntary disclosures in France at p&lt;0.10.</w:t>
      </w:r>
    </w:p>
    <w:p w:rsidR="00A95413" w:rsidRDefault="00A95413" w:rsidP="001D4BB3">
      <w:pPr>
        <w:pStyle w:val="Kop2"/>
        <w:jc w:val="both"/>
        <w:rPr>
          <w:rFonts w:cs="Calibri"/>
        </w:rPr>
      </w:pPr>
      <w:bookmarkStart w:id="137" w:name="_Toc320365347"/>
      <w:r w:rsidRPr="00046999">
        <w:rPr>
          <w:rFonts w:cs="Calibri"/>
        </w:rPr>
        <w:t>8.5 Information type</w:t>
      </w:r>
      <w:bookmarkEnd w:id="137"/>
    </w:p>
    <w:p w:rsidR="00A95413" w:rsidRDefault="00A95413" w:rsidP="001D4BB3">
      <w:pPr>
        <w:jc w:val="both"/>
        <w:rPr>
          <w:rFonts w:cs="Calibri"/>
          <w:sz w:val="22"/>
          <w:szCs w:val="22"/>
        </w:rPr>
      </w:pPr>
      <w:r w:rsidRPr="00046999">
        <w:rPr>
          <w:rFonts w:cs="Calibri"/>
          <w:sz w:val="22"/>
          <w:szCs w:val="22"/>
        </w:rPr>
        <w:t xml:space="preserve">In the disclosure score sheet a distinction is made between financial, non-financial and strategic information. As mentioned before, the results could differ amongst information type. The disclosure scores show that in general firms scored best on strategic information; the highest score is 145 in The Netherlands followed by France (143), Germany (142), Belgium (126) and Italy (115). Subsequently, </w:t>
      </w:r>
      <w:r>
        <w:rPr>
          <w:rFonts w:cs="Calibri"/>
          <w:sz w:val="22"/>
          <w:szCs w:val="22"/>
        </w:rPr>
        <w:t>the second most</w:t>
      </w:r>
      <w:r w:rsidRPr="00046999">
        <w:rPr>
          <w:rFonts w:cs="Calibri"/>
          <w:sz w:val="22"/>
          <w:szCs w:val="22"/>
        </w:rPr>
        <w:t xml:space="preserve"> points are obtained </w:t>
      </w:r>
      <w:r>
        <w:rPr>
          <w:rFonts w:cs="Calibri"/>
          <w:sz w:val="22"/>
          <w:szCs w:val="22"/>
        </w:rPr>
        <w:t>for</w:t>
      </w:r>
      <w:r w:rsidRPr="00046999">
        <w:rPr>
          <w:rFonts w:cs="Calibri"/>
          <w:sz w:val="22"/>
          <w:szCs w:val="22"/>
        </w:rPr>
        <w:t xml:space="preserve"> the non-financial </w:t>
      </w:r>
      <w:r>
        <w:rPr>
          <w:rFonts w:cs="Calibri"/>
          <w:sz w:val="22"/>
          <w:szCs w:val="22"/>
        </w:rPr>
        <w:t>information type</w:t>
      </w:r>
      <w:r w:rsidRPr="00046999">
        <w:rPr>
          <w:rFonts w:cs="Calibri"/>
          <w:sz w:val="22"/>
          <w:szCs w:val="22"/>
        </w:rPr>
        <w:t xml:space="preserve">. The Netherlands scored here the highest as well with a score of 150 followed by France (148), Belgium (102), Italy (89) and Germany (97). At last the scores on financial information; again the Netherlands scores the highest with 107 points, closely followed by Germany (105). France scored 90 points and Italy and Belgium both obtained 74 points. Looking at whether the information types are normal distributed histograms and Q-Q plots are created (appendix V) and as </w:t>
      </w:r>
      <w:r>
        <w:rPr>
          <w:rFonts w:cs="Calibri"/>
          <w:sz w:val="22"/>
          <w:szCs w:val="22"/>
        </w:rPr>
        <w:t>can be noted</w:t>
      </w:r>
      <w:r w:rsidRPr="00046999">
        <w:rPr>
          <w:rFonts w:cs="Calibri"/>
          <w:sz w:val="22"/>
          <w:szCs w:val="22"/>
        </w:rPr>
        <w:t xml:space="preserve"> the information types are normally distributed. Therefore, a multiple linear regression can be used in order to analyze whether there is a difference between information type and ownership structure. </w:t>
      </w:r>
      <w:r>
        <w:rPr>
          <w:rFonts w:cs="Calibri"/>
          <w:sz w:val="22"/>
          <w:szCs w:val="22"/>
        </w:rPr>
        <w:t xml:space="preserve">The results are shown in the following table. </w:t>
      </w:r>
    </w:p>
    <w:p w:rsidR="00A95413" w:rsidRPr="0061488D" w:rsidRDefault="00A95413" w:rsidP="0061488D">
      <w:pPr>
        <w:pStyle w:val="Bijschrift"/>
        <w:keepNext/>
        <w:rPr>
          <w:sz w:val="22"/>
          <w:szCs w:val="22"/>
        </w:rPr>
      </w:pPr>
      <w:r w:rsidRPr="0061488D">
        <w:rPr>
          <w:sz w:val="22"/>
          <w:szCs w:val="22"/>
        </w:rPr>
        <w:lastRenderedPageBreak/>
        <w:t xml:space="preserve">Table </w:t>
      </w:r>
      <w:r w:rsidR="00E0784B" w:rsidRPr="0061488D">
        <w:rPr>
          <w:sz w:val="22"/>
          <w:szCs w:val="22"/>
        </w:rPr>
        <w:fldChar w:fldCharType="begin"/>
      </w:r>
      <w:r w:rsidRPr="0061488D">
        <w:rPr>
          <w:sz w:val="22"/>
          <w:szCs w:val="22"/>
        </w:rPr>
        <w:instrText xml:space="preserve"> SEQ Table \* ARABIC </w:instrText>
      </w:r>
      <w:r w:rsidR="00E0784B" w:rsidRPr="0061488D">
        <w:rPr>
          <w:sz w:val="22"/>
          <w:szCs w:val="22"/>
        </w:rPr>
        <w:fldChar w:fldCharType="separate"/>
      </w:r>
      <w:r>
        <w:rPr>
          <w:noProof/>
          <w:sz w:val="22"/>
          <w:szCs w:val="22"/>
        </w:rPr>
        <w:t>8</w:t>
      </w:r>
      <w:r w:rsidR="00E0784B" w:rsidRPr="0061488D">
        <w:rPr>
          <w:sz w:val="22"/>
          <w:szCs w:val="22"/>
        </w:rPr>
        <w:fldChar w:fldCharType="end"/>
      </w:r>
      <w:r w:rsidRPr="0061488D">
        <w:rPr>
          <w:sz w:val="22"/>
          <w:szCs w:val="22"/>
        </w:rPr>
        <w:t>: Regression per information type</w:t>
      </w:r>
    </w:p>
    <w:tbl>
      <w:tblPr>
        <w:tblW w:w="9366" w:type="dxa"/>
        <w:tblBorders>
          <w:top w:val="single" w:sz="8" w:space="0" w:color="4F81BD"/>
          <w:bottom w:val="single" w:sz="8" w:space="0" w:color="4F81BD"/>
        </w:tblBorders>
        <w:tblLook w:val="00A0"/>
      </w:tblPr>
      <w:tblGrid>
        <w:gridCol w:w="1441"/>
        <w:gridCol w:w="1113"/>
        <w:gridCol w:w="1381"/>
        <w:gridCol w:w="1555"/>
        <w:gridCol w:w="1381"/>
        <w:gridCol w:w="1114"/>
        <w:gridCol w:w="1381"/>
      </w:tblGrid>
      <w:tr w:rsidR="00A95413" w:rsidRPr="00F63097" w:rsidTr="004207B1">
        <w:tc>
          <w:tcPr>
            <w:tcW w:w="1441" w:type="dxa"/>
            <w:tcBorders>
              <w:top w:val="single" w:sz="8" w:space="0" w:color="4F81BD"/>
              <w:left w:val="nil"/>
              <w:bottom w:val="single" w:sz="8" w:space="0" w:color="4F81BD"/>
              <w:right w:val="nil"/>
            </w:tcBorders>
          </w:tcPr>
          <w:p w:rsidR="00A95413" w:rsidRPr="00060454" w:rsidRDefault="00A95413" w:rsidP="004207B1">
            <w:pPr>
              <w:spacing w:before="0" w:after="0" w:line="240" w:lineRule="auto"/>
              <w:jc w:val="both"/>
              <w:rPr>
                <w:rFonts w:cs="Calibri"/>
                <w:b/>
                <w:bCs/>
                <w:color w:val="365F91"/>
                <w:sz w:val="22"/>
                <w:szCs w:val="22"/>
              </w:rPr>
            </w:pPr>
          </w:p>
        </w:tc>
        <w:tc>
          <w:tcPr>
            <w:tcW w:w="1113" w:type="dxa"/>
            <w:tcBorders>
              <w:top w:val="single" w:sz="8" w:space="0" w:color="4F81BD"/>
              <w:left w:val="nil"/>
              <w:bottom w:val="single" w:sz="8" w:space="0" w:color="4F81BD"/>
              <w:right w:val="nil"/>
            </w:tcBorders>
          </w:tcPr>
          <w:p w:rsidR="00A95413" w:rsidRPr="00060454" w:rsidRDefault="00A95413" w:rsidP="004207B1">
            <w:pPr>
              <w:spacing w:before="0" w:after="0" w:line="240" w:lineRule="auto"/>
              <w:jc w:val="both"/>
              <w:rPr>
                <w:rFonts w:cs="Calibri"/>
                <w:b/>
                <w:bCs/>
                <w:color w:val="365F91"/>
                <w:sz w:val="22"/>
                <w:szCs w:val="22"/>
              </w:rPr>
            </w:pPr>
            <w:r w:rsidRPr="00060454">
              <w:rPr>
                <w:rFonts w:cs="Calibri"/>
                <w:b/>
                <w:bCs/>
                <w:color w:val="365F91"/>
                <w:sz w:val="22"/>
                <w:szCs w:val="22"/>
              </w:rPr>
              <w:t>Strategic</w:t>
            </w:r>
          </w:p>
        </w:tc>
        <w:tc>
          <w:tcPr>
            <w:tcW w:w="1381" w:type="dxa"/>
            <w:tcBorders>
              <w:top w:val="single" w:sz="8" w:space="0" w:color="4F81BD"/>
              <w:left w:val="nil"/>
              <w:bottom w:val="single" w:sz="8" w:space="0" w:color="4F81BD"/>
              <w:right w:val="nil"/>
            </w:tcBorders>
          </w:tcPr>
          <w:p w:rsidR="00A95413" w:rsidRPr="00060454" w:rsidRDefault="00A95413" w:rsidP="004207B1">
            <w:pPr>
              <w:spacing w:before="0" w:after="0" w:line="240" w:lineRule="auto"/>
              <w:jc w:val="both"/>
              <w:rPr>
                <w:rFonts w:cs="Calibri"/>
                <w:b/>
                <w:bCs/>
                <w:color w:val="365F91"/>
                <w:sz w:val="22"/>
                <w:szCs w:val="22"/>
              </w:rPr>
            </w:pPr>
            <w:r w:rsidRPr="00060454">
              <w:rPr>
                <w:rFonts w:cs="Calibri"/>
                <w:b/>
                <w:bCs/>
                <w:color w:val="365F91"/>
                <w:sz w:val="22"/>
                <w:szCs w:val="22"/>
              </w:rPr>
              <w:t>Significance</w:t>
            </w:r>
          </w:p>
        </w:tc>
        <w:tc>
          <w:tcPr>
            <w:tcW w:w="1555" w:type="dxa"/>
            <w:tcBorders>
              <w:top w:val="single" w:sz="8" w:space="0" w:color="4F81BD"/>
              <w:left w:val="nil"/>
              <w:bottom w:val="single" w:sz="8" w:space="0" w:color="4F81BD"/>
              <w:right w:val="nil"/>
            </w:tcBorders>
          </w:tcPr>
          <w:p w:rsidR="00A95413" w:rsidRPr="00060454" w:rsidRDefault="00A95413" w:rsidP="004207B1">
            <w:pPr>
              <w:spacing w:before="0" w:after="0" w:line="240" w:lineRule="auto"/>
              <w:jc w:val="both"/>
              <w:rPr>
                <w:rFonts w:cs="Calibri"/>
                <w:b/>
                <w:bCs/>
                <w:color w:val="365F91"/>
                <w:sz w:val="22"/>
                <w:szCs w:val="22"/>
              </w:rPr>
            </w:pPr>
            <w:r w:rsidRPr="00060454">
              <w:rPr>
                <w:rFonts w:cs="Calibri"/>
                <w:b/>
                <w:bCs/>
                <w:color w:val="365F91"/>
                <w:sz w:val="22"/>
                <w:szCs w:val="22"/>
              </w:rPr>
              <w:t>Non-Financial</w:t>
            </w:r>
          </w:p>
        </w:tc>
        <w:tc>
          <w:tcPr>
            <w:tcW w:w="1381" w:type="dxa"/>
            <w:tcBorders>
              <w:top w:val="single" w:sz="8" w:space="0" w:color="4F81BD"/>
              <w:left w:val="nil"/>
              <w:bottom w:val="single" w:sz="8" w:space="0" w:color="4F81BD"/>
              <w:right w:val="nil"/>
            </w:tcBorders>
          </w:tcPr>
          <w:p w:rsidR="00A95413" w:rsidRPr="00060454" w:rsidRDefault="00A95413" w:rsidP="004207B1">
            <w:pPr>
              <w:spacing w:before="0" w:after="0" w:line="240" w:lineRule="auto"/>
              <w:jc w:val="both"/>
              <w:rPr>
                <w:rFonts w:cs="Calibri"/>
                <w:b/>
                <w:bCs/>
                <w:color w:val="365F91"/>
                <w:sz w:val="22"/>
                <w:szCs w:val="22"/>
              </w:rPr>
            </w:pPr>
            <w:r w:rsidRPr="00060454">
              <w:rPr>
                <w:rFonts w:cs="Calibri"/>
                <w:b/>
                <w:bCs/>
                <w:color w:val="365F91"/>
                <w:sz w:val="22"/>
                <w:szCs w:val="22"/>
              </w:rPr>
              <w:t>Significance</w:t>
            </w:r>
          </w:p>
        </w:tc>
        <w:tc>
          <w:tcPr>
            <w:tcW w:w="1114" w:type="dxa"/>
            <w:tcBorders>
              <w:top w:val="single" w:sz="8" w:space="0" w:color="4F81BD"/>
              <w:left w:val="nil"/>
              <w:bottom w:val="single" w:sz="8" w:space="0" w:color="4F81BD"/>
              <w:right w:val="nil"/>
            </w:tcBorders>
          </w:tcPr>
          <w:p w:rsidR="00A95413" w:rsidRPr="00060454" w:rsidRDefault="00A95413" w:rsidP="004207B1">
            <w:pPr>
              <w:spacing w:before="0" w:after="0" w:line="240" w:lineRule="auto"/>
              <w:jc w:val="both"/>
              <w:rPr>
                <w:rFonts w:cs="Calibri"/>
                <w:b/>
                <w:bCs/>
                <w:color w:val="365F91"/>
                <w:sz w:val="22"/>
                <w:szCs w:val="22"/>
              </w:rPr>
            </w:pPr>
            <w:r w:rsidRPr="00060454">
              <w:rPr>
                <w:rFonts w:cs="Calibri"/>
                <w:b/>
                <w:bCs/>
                <w:color w:val="365F91"/>
                <w:sz w:val="22"/>
                <w:szCs w:val="22"/>
              </w:rPr>
              <w:t>Financial</w:t>
            </w:r>
          </w:p>
        </w:tc>
        <w:tc>
          <w:tcPr>
            <w:tcW w:w="1381" w:type="dxa"/>
            <w:tcBorders>
              <w:top w:val="single" w:sz="8" w:space="0" w:color="4F81BD"/>
              <w:left w:val="nil"/>
              <w:bottom w:val="single" w:sz="8" w:space="0" w:color="4F81BD"/>
              <w:right w:val="nil"/>
            </w:tcBorders>
          </w:tcPr>
          <w:p w:rsidR="00A95413" w:rsidRPr="00060454" w:rsidRDefault="00A95413" w:rsidP="004207B1">
            <w:pPr>
              <w:spacing w:before="0" w:after="0" w:line="240" w:lineRule="auto"/>
              <w:jc w:val="both"/>
              <w:rPr>
                <w:rFonts w:cs="Calibri"/>
                <w:b/>
                <w:bCs/>
                <w:color w:val="365F91"/>
                <w:sz w:val="22"/>
                <w:szCs w:val="22"/>
              </w:rPr>
            </w:pPr>
            <w:r w:rsidRPr="00060454">
              <w:rPr>
                <w:rFonts w:cs="Calibri"/>
                <w:b/>
                <w:bCs/>
                <w:color w:val="365F91"/>
                <w:sz w:val="22"/>
                <w:szCs w:val="22"/>
              </w:rPr>
              <w:t>Significance</w:t>
            </w:r>
          </w:p>
        </w:tc>
      </w:tr>
      <w:tr w:rsidR="00A95413" w:rsidRPr="00F63097" w:rsidTr="004207B1">
        <w:tc>
          <w:tcPr>
            <w:tcW w:w="1441" w:type="dxa"/>
            <w:tcBorders>
              <w:left w:val="nil"/>
              <w:right w:val="nil"/>
            </w:tcBorders>
            <w:shd w:val="clear" w:color="auto" w:fill="D3DFEE"/>
          </w:tcPr>
          <w:p w:rsidR="00A95413" w:rsidRPr="00060454" w:rsidRDefault="00A95413" w:rsidP="004207B1">
            <w:pPr>
              <w:spacing w:before="0" w:after="0" w:line="240" w:lineRule="auto"/>
              <w:jc w:val="both"/>
              <w:rPr>
                <w:rFonts w:cs="Calibri"/>
                <w:b/>
                <w:bCs/>
                <w:color w:val="365F91"/>
                <w:sz w:val="22"/>
                <w:szCs w:val="22"/>
              </w:rPr>
            </w:pPr>
            <w:r w:rsidRPr="00060454">
              <w:rPr>
                <w:rFonts w:cs="Calibri"/>
                <w:b/>
                <w:bCs/>
                <w:color w:val="365F91"/>
                <w:sz w:val="22"/>
                <w:szCs w:val="22"/>
              </w:rPr>
              <w:t>R-Square</w:t>
            </w:r>
          </w:p>
        </w:tc>
        <w:tc>
          <w:tcPr>
            <w:tcW w:w="1113"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14,6%</w:t>
            </w:r>
          </w:p>
        </w:tc>
        <w:tc>
          <w:tcPr>
            <w:tcW w:w="1381"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p>
        </w:tc>
        <w:tc>
          <w:tcPr>
            <w:tcW w:w="1555"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40,1%</w:t>
            </w:r>
          </w:p>
        </w:tc>
        <w:tc>
          <w:tcPr>
            <w:tcW w:w="1381"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p>
        </w:tc>
        <w:tc>
          <w:tcPr>
            <w:tcW w:w="1114"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21,7%</w:t>
            </w:r>
          </w:p>
        </w:tc>
        <w:tc>
          <w:tcPr>
            <w:tcW w:w="1381"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p>
        </w:tc>
      </w:tr>
      <w:tr w:rsidR="00A95413" w:rsidRPr="00F63097" w:rsidTr="004207B1">
        <w:tc>
          <w:tcPr>
            <w:tcW w:w="1441" w:type="dxa"/>
          </w:tcPr>
          <w:p w:rsidR="00A95413" w:rsidRPr="00060454" w:rsidRDefault="00A95413" w:rsidP="004207B1">
            <w:pPr>
              <w:spacing w:before="0" w:after="0" w:line="240" w:lineRule="auto"/>
              <w:jc w:val="both"/>
              <w:rPr>
                <w:rFonts w:cs="Calibri"/>
                <w:b/>
                <w:bCs/>
                <w:color w:val="365F91"/>
                <w:sz w:val="22"/>
                <w:szCs w:val="22"/>
              </w:rPr>
            </w:pPr>
            <w:r w:rsidRPr="00060454">
              <w:rPr>
                <w:rFonts w:cs="Calibri"/>
                <w:b/>
                <w:bCs/>
                <w:color w:val="365F91"/>
                <w:sz w:val="22"/>
                <w:szCs w:val="22"/>
              </w:rPr>
              <w:t>Sig. ANOVA</w:t>
            </w:r>
          </w:p>
        </w:tc>
        <w:tc>
          <w:tcPr>
            <w:tcW w:w="1113" w:type="dxa"/>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0.010</w:t>
            </w:r>
          </w:p>
        </w:tc>
        <w:tc>
          <w:tcPr>
            <w:tcW w:w="1381" w:type="dxa"/>
          </w:tcPr>
          <w:p w:rsidR="00A95413" w:rsidRPr="00060454" w:rsidRDefault="00A95413" w:rsidP="004207B1">
            <w:pPr>
              <w:spacing w:before="0" w:after="0" w:line="240" w:lineRule="auto"/>
              <w:jc w:val="both"/>
              <w:rPr>
                <w:rFonts w:cs="Calibri"/>
                <w:color w:val="365F91"/>
                <w:sz w:val="22"/>
                <w:szCs w:val="22"/>
              </w:rPr>
            </w:pPr>
          </w:p>
        </w:tc>
        <w:tc>
          <w:tcPr>
            <w:tcW w:w="1555" w:type="dxa"/>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0.000</w:t>
            </w:r>
          </w:p>
        </w:tc>
        <w:tc>
          <w:tcPr>
            <w:tcW w:w="1381" w:type="dxa"/>
          </w:tcPr>
          <w:p w:rsidR="00A95413" w:rsidRPr="00060454" w:rsidRDefault="00A95413" w:rsidP="004207B1">
            <w:pPr>
              <w:spacing w:before="0" w:after="0" w:line="240" w:lineRule="auto"/>
              <w:jc w:val="both"/>
              <w:rPr>
                <w:rFonts w:cs="Calibri"/>
                <w:color w:val="365F91"/>
                <w:sz w:val="22"/>
                <w:szCs w:val="22"/>
              </w:rPr>
            </w:pPr>
          </w:p>
        </w:tc>
        <w:tc>
          <w:tcPr>
            <w:tcW w:w="1114" w:type="dxa"/>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0.000</w:t>
            </w:r>
          </w:p>
        </w:tc>
        <w:tc>
          <w:tcPr>
            <w:tcW w:w="1381" w:type="dxa"/>
          </w:tcPr>
          <w:p w:rsidR="00A95413" w:rsidRPr="00060454" w:rsidRDefault="00A95413" w:rsidP="004207B1">
            <w:pPr>
              <w:spacing w:before="0" w:after="0" w:line="240" w:lineRule="auto"/>
              <w:jc w:val="both"/>
              <w:rPr>
                <w:rFonts w:cs="Calibri"/>
                <w:color w:val="365F91"/>
                <w:sz w:val="22"/>
                <w:szCs w:val="22"/>
              </w:rPr>
            </w:pPr>
          </w:p>
        </w:tc>
      </w:tr>
      <w:tr w:rsidR="00A95413" w:rsidRPr="00F63097" w:rsidTr="004207B1">
        <w:tc>
          <w:tcPr>
            <w:tcW w:w="1441" w:type="dxa"/>
            <w:tcBorders>
              <w:left w:val="nil"/>
              <w:right w:val="nil"/>
            </w:tcBorders>
            <w:shd w:val="clear" w:color="auto" w:fill="D3DFEE"/>
          </w:tcPr>
          <w:p w:rsidR="00A95413" w:rsidRPr="00060454" w:rsidRDefault="00A95413" w:rsidP="004207B1">
            <w:pPr>
              <w:spacing w:before="0" w:after="0" w:line="240" w:lineRule="auto"/>
              <w:jc w:val="both"/>
              <w:rPr>
                <w:rFonts w:cs="Calibri"/>
                <w:b/>
                <w:bCs/>
                <w:color w:val="365F91"/>
                <w:sz w:val="22"/>
                <w:szCs w:val="22"/>
                <w:u w:val="single"/>
              </w:rPr>
            </w:pPr>
            <w:r w:rsidRPr="00060454">
              <w:rPr>
                <w:rFonts w:cs="Calibri"/>
                <w:b/>
                <w:bCs/>
                <w:color w:val="365F91"/>
                <w:sz w:val="22"/>
                <w:szCs w:val="22"/>
                <w:u w:val="single"/>
              </w:rPr>
              <w:t>Coefficients:</w:t>
            </w:r>
          </w:p>
        </w:tc>
        <w:tc>
          <w:tcPr>
            <w:tcW w:w="1113"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p>
        </w:tc>
        <w:tc>
          <w:tcPr>
            <w:tcW w:w="1381"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p>
        </w:tc>
        <w:tc>
          <w:tcPr>
            <w:tcW w:w="1555"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p>
        </w:tc>
        <w:tc>
          <w:tcPr>
            <w:tcW w:w="1381"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p>
        </w:tc>
        <w:tc>
          <w:tcPr>
            <w:tcW w:w="1114"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p>
        </w:tc>
        <w:tc>
          <w:tcPr>
            <w:tcW w:w="1381"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p>
        </w:tc>
      </w:tr>
      <w:tr w:rsidR="00A95413" w:rsidRPr="00F63097" w:rsidTr="004207B1">
        <w:tc>
          <w:tcPr>
            <w:tcW w:w="1441" w:type="dxa"/>
          </w:tcPr>
          <w:p w:rsidR="00A95413" w:rsidRPr="00060454" w:rsidRDefault="00A95413" w:rsidP="004207B1">
            <w:pPr>
              <w:spacing w:before="0" w:after="0" w:line="240" w:lineRule="auto"/>
              <w:jc w:val="both"/>
              <w:rPr>
                <w:rFonts w:cs="Calibri"/>
                <w:b/>
                <w:bCs/>
                <w:color w:val="365F91"/>
                <w:sz w:val="22"/>
                <w:szCs w:val="22"/>
              </w:rPr>
            </w:pPr>
            <w:r w:rsidRPr="00060454">
              <w:rPr>
                <w:rFonts w:cs="Calibri"/>
                <w:b/>
                <w:bCs/>
                <w:color w:val="365F91"/>
                <w:sz w:val="22"/>
                <w:szCs w:val="22"/>
              </w:rPr>
              <w:t>Managerial</w:t>
            </w:r>
          </w:p>
        </w:tc>
        <w:tc>
          <w:tcPr>
            <w:tcW w:w="1113" w:type="dxa"/>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-.009</w:t>
            </w:r>
          </w:p>
        </w:tc>
        <w:tc>
          <w:tcPr>
            <w:tcW w:w="1381" w:type="dxa"/>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.414</w:t>
            </w:r>
          </w:p>
        </w:tc>
        <w:tc>
          <w:tcPr>
            <w:tcW w:w="1555" w:type="dxa"/>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0.023</w:t>
            </w:r>
          </w:p>
        </w:tc>
        <w:tc>
          <w:tcPr>
            <w:tcW w:w="1381" w:type="dxa"/>
          </w:tcPr>
          <w:p w:rsidR="00A95413" w:rsidRPr="00060454" w:rsidRDefault="00A95413" w:rsidP="004207B1">
            <w:pPr>
              <w:spacing w:before="0" w:after="0" w:line="240" w:lineRule="auto"/>
              <w:jc w:val="both"/>
              <w:rPr>
                <w:rFonts w:cs="Calibri"/>
                <w:b/>
                <w:color w:val="365F91"/>
                <w:sz w:val="22"/>
                <w:szCs w:val="22"/>
              </w:rPr>
            </w:pPr>
            <w:r w:rsidRPr="00060454">
              <w:rPr>
                <w:rFonts w:cs="Calibri"/>
                <w:b/>
                <w:color w:val="365F91"/>
                <w:sz w:val="22"/>
                <w:szCs w:val="22"/>
              </w:rPr>
              <w:t>.050</w:t>
            </w:r>
          </w:p>
        </w:tc>
        <w:tc>
          <w:tcPr>
            <w:tcW w:w="1114" w:type="dxa"/>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-.007</w:t>
            </w:r>
          </w:p>
        </w:tc>
        <w:tc>
          <w:tcPr>
            <w:tcW w:w="1381" w:type="dxa"/>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.453</w:t>
            </w:r>
          </w:p>
        </w:tc>
      </w:tr>
      <w:tr w:rsidR="00A95413" w:rsidRPr="00F63097" w:rsidTr="004207B1">
        <w:tc>
          <w:tcPr>
            <w:tcW w:w="1441" w:type="dxa"/>
            <w:tcBorders>
              <w:left w:val="nil"/>
              <w:right w:val="nil"/>
            </w:tcBorders>
            <w:shd w:val="clear" w:color="auto" w:fill="D3DFEE"/>
          </w:tcPr>
          <w:p w:rsidR="00A95413" w:rsidRPr="00060454" w:rsidRDefault="00A95413" w:rsidP="004207B1">
            <w:pPr>
              <w:spacing w:before="0" w:after="0" w:line="240" w:lineRule="auto"/>
              <w:jc w:val="both"/>
              <w:rPr>
                <w:rFonts w:cs="Calibri"/>
                <w:b/>
                <w:bCs/>
                <w:color w:val="365F91"/>
                <w:sz w:val="22"/>
                <w:szCs w:val="22"/>
              </w:rPr>
            </w:pPr>
            <w:r w:rsidRPr="00060454">
              <w:rPr>
                <w:rFonts w:cs="Calibri"/>
                <w:b/>
                <w:bCs/>
                <w:color w:val="365F91"/>
                <w:sz w:val="22"/>
                <w:szCs w:val="22"/>
              </w:rPr>
              <w:t>Blockholder</w:t>
            </w:r>
          </w:p>
        </w:tc>
        <w:tc>
          <w:tcPr>
            <w:tcW w:w="1113"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-.005</w:t>
            </w:r>
          </w:p>
        </w:tc>
        <w:tc>
          <w:tcPr>
            <w:tcW w:w="1381"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.640</w:t>
            </w:r>
          </w:p>
        </w:tc>
        <w:tc>
          <w:tcPr>
            <w:tcW w:w="1555"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-0.033</w:t>
            </w:r>
          </w:p>
        </w:tc>
        <w:tc>
          <w:tcPr>
            <w:tcW w:w="1381" w:type="dxa"/>
            <w:tcBorders>
              <w:left w:val="nil"/>
              <w:right w:val="nil"/>
            </w:tcBorders>
            <w:shd w:val="clear" w:color="auto" w:fill="D3DFEE"/>
          </w:tcPr>
          <w:p w:rsidR="00A95413" w:rsidRPr="00060454" w:rsidRDefault="00A95413" w:rsidP="004207B1">
            <w:pPr>
              <w:spacing w:before="0" w:after="0" w:line="240" w:lineRule="auto"/>
              <w:jc w:val="both"/>
              <w:rPr>
                <w:rFonts w:cs="Calibri"/>
                <w:b/>
                <w:color w:val="365F91"/>
                <w:sz w:val="22"/>
                <w:szCs w:val="22"/>
              </w:rPr>
            </w:pPr>
            <w:r w:rsidRPr="00060454">
              <w:rPr>
                <w:rFonts w:cs="Calibri"/>
                <w:b/>
                <w:color w:val="365F91"/>
                <w:sz w:val="22"/>
                <w:szCs w:val="22"/>
              </w:rPr>
              <w:t>.011</w:t>
            </w:r>
          </w:p>
        </w:tc>
        <w:tc>
          <w:tcPr>
            <w:tcW w:w="1114"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-.005</w:t>
            </w:r>
          </w:p>
        </w:tc>
        <w:tc>
          <w:tcPr>
            <w:tcW w:w="1381"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.629</w:t>
            </w:r>
          </w:p>
        </w:tc>
      </w:tr>
      <w:tr w:rsidR="00A95413" w:rsidRPr="00F63097" w:rsidTr="004207B1">
        <w:tc>
          <w:tcPr>
            <w:tcW w:w="1441" w:type="dxa"/>
          </w:tcPr>
          <w:p w:rsidR="00A95413" w:rsidRPr="00060454" w:rsidRDefault="00A95413" w:rsidP="004207B1">
            <w:pPr>
              <w:spacing w:before="0" w:after="0" w:line="240" w:lineRule="auto"/>
              <w:jc w:val="both"/>
              <w:rPr>
                <w:rFonts w:cs="Calibri"/>
                <w:b/>
                <w:bCs/>
                <w:color w:val="365F91"/>
                <w:sz w:val="22"/>
                <w:szCs w:val="22"/>
              </w:rPr>
            </w:pPr>
            <w:r>
              <w:rPr>
                <w:rFonts w:cs="Calibri"/>
                <w:b/>
                <w:bCs/>
                <w:color w:val="365F91"/>
                <w:sz w:val="22"/>
                <w:szCs w:val="22"/>
              </w:rPr>
              <w:t>Size</w:t>
            </w:r>
          </w:p>
        </w:tc>
        <w:tc>
          <w:tcPr>
            <w:tcW w:w="1113" w:type="dxa"/>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.460</w:t>
            </w:r>
          </w:p>
        </w:tc>
        <w:tc>
          <w:tcPr>
            <w:tcW w:w="1381" w:type="dxa"/>
          </w:tcPr>
          <w:p w:rsidR="00A95413" w:rsidRPr="00060454" w:rsidRDefault="00A95413" w:rsidP="004207B1">
            <w:pPr>
              <w:spacing w:before="0" w:after="0" w:line="240" w:lineRule="auto"/>
              <w:jc w:val="both"/>
              <w:rPr>
                <w:rFonts w:cs="Calibri"/>
                <w:b/>
                <w:color w:val="365F91"/>
                <w:sz w:val="22"/>
                <w:szCs w:val="22"/>
              </w:rPr>
            </w:pPr>
            <w:r w:rsidRPr="00060454">
              <w:rPr>
                <w:rFonts w:cs="Calibri"/>
                <w:b/>
                <w:color w:val="365F91"/>
                <w:sz w:val="22"/>
                <w:szCs w:val="22"/>
              </w:rPr>
              <w:t>.052</w:t>
            </w:r>
          </w:p>
        </w:tc>
        <w:tc>
          <w:tcPr>
            <w:tcW w:w="1555" w:type="dxa"/>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1.670</w:t>
            </w:r>
          </w:p>
        </w:tc>
        <w:tc>
          <w:tcPr>
            <w:tcW w:w="1381" w:type="dxa"/>
          </w:tcPr>
          <w:p w:rsidR="00A95413" w:rsidRPr="00060454" w:rsidRDefault="00A95413" w:rsidP="004207B1">
            <w:pPr>
              <w:spacing w:before="0" w:after="0" w:line="240" w:lineRule="auto"/>
              <w:jc w:val="both"/>
              <w:rPr>
                <w:rFonts w:cs="Calibri"/>
                <w:b/>
                <w:color w:val="365F91"/>
                <w:sz w:val="22"/>
                <w:szCs w:val="22"/>
              </w:rPr>
            </w:pPr>
            <w:r w:rsidRPr="00060454">
              <w:rPr>
                <w:rFonts w:cs="Calibri"/>
                <w:b/>
                <w:color w:val="365F91"/>
                <w:sz w:val="22"/>
                <w:szCs w:val="22"/>
              </w:rPr>
              <w:t>.000</w:t>
            </w:r>
          </w:p>
        </w:tc>
        <w:tc>
          <w:tcPr>
            <w:tcW w:w="1114" w:type="dxa"/>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.715</w:t>
            </w:r>
          </w:p>
        </w:tc>
        <w:tc>
          <w:tcPr>
            <w:tcW w:w="1381" w:type="dxa"/>
          </w:tcPr>
          <w:p w:rsidR="00A95413" w:rsidRPr="00060454" w:rsidRDefault="00A95413" w:rsidP="004207B1">
            <w:pPr>
              <w:spacing w:before="0" w:after="0" w:line="240" w:lineRule="auto"/>
              <w:jc w:val="both"/>
              <w:rPr>
                <w:rFonts w:cs="Calibri"/>
                <w:b/>
                <w:color w:val="365F91"/>
                <w:sz w:val="22"/>
                <w:szCs w:val="22"/>
              </w:rPr>
            </w:pPr>
            <w:r w:rsidRPr="00060454">
              <w:rPr>
                <w:rFonts w:cs="Calibri"/>
                <w:b/>
                <w:color w:val="365F91"/>
                <w:sz w:val="22"/>
                <w:szCs w:val="22"/>
              </w:rPr>
              <w:t>.000</w:t>
            </w:r>
          </w:p>
        </w:tc>
      </w:tr>
      <w:tr w:rsidR="00A95413" w:rsidRPr="00F63097" w:rsidTr="004207B1">
        <w:tc>
          <w:tcPr>
            <w:tcW w:w="1441" w:type="dxa"/>
            <w:tcBorders>
              <w:left w:val="nil"/>
              <w:right w:val="nil"/>
            </w:tcBorders>
            <w:shd w:val="clear" w:color="auto" w:fill="D3DFEE"/>
          </w:tcPr>
          <w:p w:rsidR="00A95413" w:rsidRPr="00060454" w:rsidRDefault="00A95413" w:rsidP="004207B1">
            <w:pPr>
              <w:spacing w:before="0" w:after="0" w:line="240" w:lineRule="auto"/>
              <w:jc w:val="both"/>
              <w:rPr>
                <w:rFonts w:cs="Calibri"/>
                <w:b/>
                <w:bCs/>
                <w:color w:val="365F91"/>
                <w:sz w:val="22"/>
                <w:szCs w:val="22"/>
              </w:rPr>
            </w:pPr>
            <w:r w:rsidRPr="00060454">
              <w:rPr>
                <w:rFonts w:cs="Calibri"/>
                <w:b/>
                <w:bCs/>
                <w:color w:val="365F91"/>
                <w:sz w:val="22"/>
                <w:szCs w:val="22"/>
              </w:rPr>
              <w:t>Leverage</w:t>
            </w:r>
          </w:p>
        </w:tc>
        <w:tc>
          <w:tcPr>
            <w:tcW w:w="1113"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.180</w:t>
            </w:r>
          </w:p>
        </w:tc>
        <w:tc>
          <w:tcPr>
            <w:tcW w:w="1381" w:type="dxa"/>
            <w:tcBorders>
              <w:left w:val="nil"/>
              <w:right w:val="nil"/>
            </w:tcBorders>
            <w:shd w:val="clear" w:color="auto" w:fill="D3DFEE"/>
          </w:tcPr>
          <w:p w:rsidR="00A95413" w:rsidRPr="00060454" w:rsidRDefault="00A95413" w:rsidP="004207B1">
            <w:pPr>
              <w:spacing w:before="0" w:after="0" w:line="240" w:lineRule="auto"/>
              <w:jc w:val="both"/>
              <w:rPr>
                <w:rFonts w:cs="Calibri"/>
                <w:b/>
                <w:color w:val="365F91"/>
                <w:sz w:val="22"/>
                <w:szCs w:val="22"/>
              </w:rPr>
            </w:pPr>
            <w:r w:rsidRPr="00060454">
              <w:rPr>
                <w:rFonts w:cs="Calibri"/>
                <w:b/>
                <w:color w:val="365F91"/>
                <w:sz w:val="22"/>
                <w:szCs w:val="22"/>
              </w:rPr>
              <w:t>.077</w:t>
            </w:r>
          </w:p>
        </w:tc>
        <w:tc>
          <w:tcPr>
            <w:tcW w:w="1555"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.126</w:t>
            </w:r>
          </w:p>
        </w:tc>
        <w:tc>
          <w:tcPr>
            <w:tcW w:w="1381"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.251</w:t>
            </w:r>
          </w:p>
        </w:tc>
        <w:tc>
          <w:tcPr>
            <w:tcW w:w="1114"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.061</w:t>
            </w:r>
          </w:p>
        </w:tc>
        <w:tc>
          <w:tcPr>
            <w:tcW w:w="1381" w:type="dxa"/>
            <w:tcBorders>
              <w:left w:val="nil"/>
              <w:right w:val="nil"/>
            </w:tcBorders>
            <w:shd w:val="clear" w:color="auto" w:fill="D3DFEE"/>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.469</w:t>
            </w:r>
          </w:p>
        </w:tc>
      </w:tr>
      <w:tr w:rsidR="00A95413" w:rsidRPr="00F63097" w:rsidTr="004207B1">
        <w:tc>
          <w:tcPr>
            <w:tcW w:w="1441" w:type="dxa"/>
            <w:tcBorders>
              <w:bottom w:val="single" w:sz="8" w:space="0" w:color="4F81BD"/>
            </w:tcBorders>
          </w:tcPr>
          <w:p w:rsidR="00A95413" w:rsidRPr="00060454" w:rsidRDefault="00A95413" w:rsidP="004207B1">
            <w:pPr>
              <w:spacing w:before="0" w:after="0" w:line="240" w:lineRule="auto"/>
              <w:jc w:val="both"/>
              <w:rPr>
                <w:rFonts w:cs="Calibri"/>
                <w:b/>
                <w:bCs/>
                <w:color w:val="365F91"/>
                <w:sz w:val="22"/>
                <w:szCs w:val="22"/>
              </w:rPr>
            </w:pPr>
            <w:r>
              <w:rPr>
                <w:rFonts w:cs="Calibri"/>
                <w:b/>
                <w:bCs/>
                <w:color w:val="365F91"/>
                <w:sz w:val="22"/>
                <w:szCs w:val="22"/>
              </w:rPr>
              <w:t>Profitability</w:t>
            </w:r>
          </w:p>
        </w:tc>
        <w:tc>
          <w:tcPr>
            <w:tcW w:w="1113" w:type="dxa"/>
            <w:tcBorders>
              <w:bottom w:val="single" w:sz="8" w:space="0" w:color="4F81BD"/>
            </w:tcBorders>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.055</w:t>
            </w:r>
          </w:p>
        </w:tc>
        <w:tc>
          <w:tcPr>
            <w:tcW w:w="1381" w:type="dxa"/>
            <w:tcBorders>
              <w:bottom w:val="single" w:sz="8" w:space="0" w:color="4F81BD"/>
            </w:tcBorders>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.161</w:t>
            </w:r>
          </w:p>
        </w:tc>
        <w:tc>
          <w:tcPr>
            <w:tcW w:w="1555" w:type="dxa"/>
            <w:tcBorders>
              <w:bottom w:val="single" w:sz="8" w:space="0" w:color="4F81BD"/>
            </w:tcBorders>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.041</w:t>
            </w:r>
          </w:p>
        </w:tc>
        <w:tc>
          <w:tcPr>
            <w:tcW w:w="1381" w:type="dxa"/>
            <w:tcBorders>
              <w:bottom w:val="single" w:sz="8" w:space="0" w:color="4F81BD"/>
            </w:tcBorders>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.331</w:t>
            </w:r>
          </w:p>
        </w:tc>
        <w:tc>
          <w:tcPr>
            <w:tcW w:w="1114" w:type="dxa"/>
            <w:tcBorders>
              <w:bottom w:val="single" w:sz="8" w:space="0" w:color="4F81BD"/>
            </w:tcBorders>
          </w:tcPr>
          <w:p w:rsidR="00A95413" w:rsidRPr="00060454" w:rsidRDefault="00A95413" w:rsidP="004207B1">
            <w:pPr>
              <w:spacing w:before="0" w:after="0" w:line="240" w:lineRule="auto"/>
              <w:jc w:val="both"/>
              <w:rPr>
                <w:rFonts w:cs="Calibri"/>
                <w:color w:val="365F91"/>
                <w:sz w:val="22"/>
                <w:szCs w:val="22"/>
              </w:rPr>
            </w:pPr>
            <w:r w:rsidRPr="00060454">
              <w:rPr>
                <w:rFonts w:cs="Calibri"/>
                <w:color w:val="365F91"/>
                <w:sz w:val="22"/>
                <w:szCs w:val="22"/>
              </w:rPr>
              <w:t>.057</w:t>
            </w:r>
          </w:p>
        </w:tc>
        <w:tc>
          <w:tcPr>
            <w:tcW w:w="1381" w:type="dxa"/>
            <w:tcBorders>
              <w:bottom w:val="single" w:sz="8" w:space="0" w:color="4F81BD"/>
            </w:tcBorders>
          </w:tcPr>
          <w:p w:rsidR="00A95413" w:rsidRPr="00060454" w:rsidRDefault="00A95413" w:rsidP="004207B1">
            <w:pPr>
              <w:spacing w:before="0" w:after="0" w:line="240" w:lineRule="auto"/>
              <w:jc w:val="both"/>
              <w:rPr>
                <w:rFonts w:cs="Calibri"/>
                <w:b/>
                <w:color w:val="365F91"/>
                <w:sz w:val="22"/>
                <w:szCs w:val="22"/>
              </w:rPr>
            </w:pPr>
            <w:r w:rsidRPr="00060454">
              <w:rPr>
                <w:rFonts w:cs="Calibri"/>
                <w:b/>
                <w:color w:val="365F91"/>
                <w:sz w:val="22"/>
                <w:szCs w:val="22"/>
              </w:rPr>
              <w:t>.084</w:t>
            </w:r>
          </w:p>
        </w:tc>
      </w:tr>
    </w:tbl>
    <w:p w:rsidR="00A95413" w:rsidRDefault="00A95413" w:rsidP="001D4BB3">
      <w:pPr>
        <w:jc w:val="both"/>
        <w:rPr>
          <w:rFonts w:cs="Calibri"/>
          <w:sz w:val="22"/>
          <w:szCs w:val="22"/>
        </w:rPr>
      </w:pPr>
      <w:r w:rsidRPr="00046999">
        <w:rPr>
          <w:rFonts w:cs="Calibri"/>
          <w:sz w:val="22"/>
          <w:szCs w:val="22"/>
        </w:rPr>
        <w:t>Strategic information has an R-square of 14,6%</w:t>
      </w:r>
      <w:r>
        <w:rPr>
          <w:rFonts w:cs="Calibri"/>
          <w:sz w:val="22"/>
          <w:szCs w:val="22"/>
        </w:rPr>
        <w:t xml:space="preserve"> (so again this p</w:t>
      </w:r>
      <w:r w:rsidRPr="00046999">
        <w:rPr>
          <w:rFonts w:cs="Calibri"/>
          <w:sz w:val="22"/>
          <w:szCs w:val="22"/>
        </w:rPr>
        <w:t xml:space="preserve">ercentage </w:t>
      </w:r>
      <w:r>
        <w:rPr>
          <w:rFonts w:cs="Calibri"/>
          <w:sz w:val="22"/>
          <w:szCs w:val="22"/>
        </w:rPr>
        <w:t>presents t</w:t>
      </w:r>
      <w:r w:rsidRPr="00046999">
        <w:rPr>
          <w:rFonts w:cs="Calibri"/>
          <w:sz w:val="22"/>
          <w:szCs w:val="22"/>
        </w:rPr>
        <w:t xml:space="preserve">he variation in the </w:t>
      </w:r>
      <w:r>
        <w:rPr>
          <w:rFonts w:cs="Calibri"/>
          <w:sz w:val="22"/>
          <w:szCs w:val="22"/>
        </w:rPr>
        <w:t>strategic information score</w:t>
      </w:r>
      <w:r w:rsidRPr="00046999">
        <w:rPr>
          <w:rFonts w:cs="Calibri"/>
          <w:sz w:val="22"/>
          <w:szCs w:val="22"/>
        </w:rPr>
        <w:t xml:space="preserve"> t</w:t>
      </w:r>
      <w:r w:rsidR="00D26902">
        <w:rPr>
          <w:rFonts w:cs="Calibri"/>
          <w:sz w:val="22"/>
          <w:szCs w:val="22"/>
        </w:rPr>
        <w:t>hat can be explained by managerial ownership, b</w:t>
      </w:r>
      <w:r>
        <w:rPr>
          <w:rFonts w:cs="Calibri"/>
          <w:sz w:val="22"/>
          <w:szCs w:val="22"/>
        </w:rPr>
        <w:t>lockholder ownership, size, leverage and profitability). In addition</w:t>
      </w:r>
      <w:r w:rsidRPr="00046999">
        <w:rPr>
          <w:rFonts w:cs="Calibri"/>
          <w:sz w:val="22"/>
          <w:szCs w:val="22"/>
        </w:rPr>
        <w:t xml:space="preserve">, the model </w:t>
      </w:r>
      <w:r>
        <w:rPr>
          <w:rFonts w:cs="Calibri"/>
          <w:sz w:val="22"/>
          <w:szCs w:val="22"/>
        </w:rPr>
        <w:t>is significant at 0.01</w:t>
      </w:r>
      <w:r w:rsidRPr="00046999">
        <w:rPr>
          <w:rFonts w:cs="Calibri"/>
          <w:sz w:val="22"/>
          <w:szCs w:val="22"/>
        </w:rPr>
        <w:t xml:space="preserve">. </w:t>
      </w:r>
      <w:r>
        <w:rPr>
          <w:rFonts w:cs="Calibri"/>
          <w:sz w:val="22"/>
          <w:szCs w:val="22"/>
        </w:rPr>
        <w:t>Size and l</w:t>
      </w:r>
      <w:r w:rsidRPr="00046999">
        <w:rPr>
          <w:rFonts w:cs="Calibri"/>
          <w:sz w:val="22"/>
          <w:szCs w:val="22"/>
        </w:rPr>
        <w:t xml:space="preserve">everage are significantly and positively associated with the provision of strategic information. Non-financial information has an R-square of 40,1% and the model is also significant at 0.000. Furthermore here the ownership variables are significantly associated to the disclosure of non-financial information. </w:t>
      </w:r>
      <w:r>
        <w:rPr>
          <w:rFonts w:cs="Calibri"/>
          <w:sz w:val="22"/>
          <w:szCs w:val="22"/>
        </w:rPr>
        <w:t>Size</w:t>
      </w:r>
      <w:r w:rsidRPr="00046999">
        <w:rPr>
          <w:rFonts w:cs="Calibri"/>
          <w:sz w:val="22"/>
          <w:szCs w:val="22"/>
        </w:rPr>
        <w:t xml:space="preserve"> is positively ass</w:t>
      </w:r>
      <w:r w:rsidR="004464A1">
        <w:rPr>
          <w:rFonts w:cs="Calibri"/>
          <w:sz w:val="22"/>
          <w:szCs w:val="22"/>
        </w:rPr>
        <w:t>ociated with a value of 0.000, m</w:t>
      </w:r>
      <w:r w:rsidRPr="00046999">
        <w:rPr>
          <w:rFonts w:cs="Calibri"/>
          <w:sz w:val="22"/>
          <w:szCs w:val="22"/>
        </w:rPr>
        <w:t xml:space="preserve">anagerial ownership is also positively associated with a </w:t>
      </w:r>
      <w:r>
        <w:rPr>
          <w:rFonts w:cs="Calibri"/>
          <w:sz w:val="22"/>
          <w:szCs w:val="22"/>
        </w:rPr>
        <w:t>significant level of 0.05</w:t>
      </w:r>
      <w:r w:rsidRPr="00046999">
        <w:rPr>
          <w:rFonts w:cs="Calibri"/>
          <w:sz w:val="22"/>
          <w:szCs w:val="22"/>
        </w:rPr>
        <w:t xml:space="preserve">. Blockholder ownership is negatively associated with the disclosure of non-financial information with significance </w:t>
      </w:r>
      <w:r>
        <w:rPr>
          <w:rFonts w:cs="Calibri"/>
          <w:sz w:val="22"/>
          <w:szCs w:val="22"/>
        </w:rPr>
        <w:t>level of 0.05</w:t>
      </w:r>
      <w:r w:rsidRPr="00046999">
        <w:rPr>
          <w:rFonts w:cs="Calibri"/>
          <w:sz w:val="22"/>
          <w:szCs w:val="22"/>
        </w:rPr>
        <w:t>. At last, financial information has a</w:t>
      </w:r>
      <w:r>
        <w:rPr>
          <w:rFonts w:cs="Calibri"/>
          <w:sz w:val="22"/>
          <w:szCs w:val="22"/>
        </w:rPr>
        <w:t>n</w:t>
      </w:r>
      <w:r w:rsidRPr="00046999">
        <w:rPr>
          <w:rFonts w:cs="Calibri"/>
          <w:sz w:val="22"/>
          <w:szCs w:val="22"/>
        </w:rPr>
        <w:t xml:space="preserve"> R-square of 21,7% and the model is significant at 0.000. Looking at the coefficients it can be observed that </w:t>
      </w:r>
      <w:r>
        <w:rPr>
          <w:rFonts w:cs="Calibri"/>
          <w:sz w:val="22"/>
          <w:szCs w:val="22"/>
        </w:rPr>
        <w:t>size</w:t>
      </w:r>
      <w:r w:rsidRPr="00046999">
        <w:rPr>
          <w:rFonts w:cs="Calibri"/>
          <w:sz w:val="22"/>
          <w:szCs w:val="22"/>
        </w:rPr>
        <w:t xml:space="preserve"> and </w:t>
      </w:r>
      <w:r>
        <w:rPr>
          <w:rFonts w:cs="Calibri"/>
          <w:sz w:val="22"/>
          <w:szCs w:val="22"/>
        </w:rPr>
        <w:t>profitability</w:t>
      </w:r>
      <w:r w:rsidRPr="00046999">
        <w:rPr>
          <w:rFonts w:cs="Calibri"/>
          <w:sz w:val="22"/>
          <w:szCs w:val="22"/>
        </w:rPr>
        <w:t xml:space="preserve"> are significantly positively related to the provision of financial information. </w:t>
      </w:r>
    </w:p>
    <w:p w:rsidR="00A95413" w:rsidRDefault="00A95413" w:rsidP="00BF5902">
      <w:pPr>
        <w:pStyle w:val="Kop2"/>
      </w:pPr>
      <w:bookmarkStart w:id="138" w:name="_Toc320365348"/>
      <w:r>
        <w:t>8.6 Cross Listed firms</w:t>
      </w:r>
      <w:bookmarkEnd w:id="138"/>
    </w:p>
    <w:p w:rsidR="002A1F59" w:rsidRPr="007E2783" w:rsidRDefault="00A95413" w:rsidP="00760688">
      <w:pPr>
        <w:jc w:val="both"/>
        <w:rPr>
          <w:sz w:val="22"/>
          <w:szCs w:val="22"/>
        </w:rPr>
      </w:pPr>
      <w:r w:rsidRPr="007E2783">
        <w:rPr>
          <w:sz w:val="22"/>
          <w:szCs w:val="22"/>
        </w:rPr>
        <w:t xml:space="preserve">It could be that the results are influenced because some firms could be listed in these countries but their primary listing could be somewhere else which could lead to other disclosure scores. </w:t>
      </w:r>
      <w:r>
        <w:rPr>
          <w:sz w:val="22"/>
          <w:szCs w:val="22"/>
        </w:rPr>
        <w:t xml:space="preserve"> Therefore, the regressions were also conducted whilst excluding these cross listed firms. Two firms from the sample selection were primary listed in another country: Hansen Transmission in London and James Hardie Industries in Sydney. In the regression these two were excluded. However, almost no significant results changed after controlling for cross listed firms. Only one of the control variables profitability is now significant at the 0.05 level instead of the 0.10 level.</w:t>
      </w:r>
    </w:p>
    <w:p w:rsidR="00A95413" w:rsidRDefault="00A95413" w:rsidP="00825E00">
      <w:pPr>
        <w:pStyle w:val="Kop2"/>
      </w:pPr>
      <w:bookmarkStart w:id="139" w:name="_Toc320365349"/>
      <w:r>
        <w:t>8.7 Conclusion</w:t>
      </w:r>
      <w:bookmarkEnd w:id="139"/>
    </w:p>
    <w:p w:rsidR="00A95413" w:rsidRDefault="00A95413" w:rsidP="001D4BB3">
      <w:pPr>
        <w:jc w:val="both"/>
        <w:rPr>
          <w:rFonts w:cs="Calibri"/>
          <w:sz w:val="22"/>
          <w:szCs w:val="22"/>
        </w:rPr>
      </w:pPr>
      <w:r>
        <w:rPr>
          <w:rFonts w:cs="Calibri"/>
          <w:sz w:val="22"/>
          <w:szCs w:val="22"/>
        </w:rPr>
        <w:t>To conclude, various interesting significant associations are observed in the results. Blockholder ownership is significantly and negatively associated with the extent of voluntary disclosures. Government ownership is significantly positively associated with the exten</w:t>
      </w:r>
      <w:r w:rsidR="00FB55EF">
        <w:rPr>
          <w:rFonts w:cs="Calibri"/>
          <w:sz w:val="22"/>
          <w:szCs w:val="22"/>
        </w:rPr>
        <w:t>t of voluntary disclosures and m</w:t>
      </w:r>
      <w:r>
        <w:rPr>
          <w:rFonts w:cs="Calibri"/>
          <w:sz w:val="22"/>
          <w:szCs w:val="22"/>
        </w:rPr>
        <w:t>anagerial ownership shows no significant association with voluntary disclosures. These observations are analyzed in the subsequent chapter.</w:t>
      </w:r>
    </w:p>
    <w:p w:rsidR="00B56A93" w:rsidRDefault="00B56A93" w:rsidP="001D4BB3">
      <w:pPr>
        <w:jc w:val="both"/>
        <w:rPr>
          <w:rFonts w:cs="Calibri"/>
          <w:sz w:val="22"/>
          <w:szCs w:val="22"/>
        </w:rPr>
      </w:pPr>
    </w:p>
    <w:p w:rsidR="00A95413" w:rsidRPr="00046999" w:rsidRDefault="00A95413" w:rsidP="001D4BB3">
      <w:pPr>
        <w:pStyle w:val="Kop1"/>
        <w:jc w:val="both"/>
        <w:rPr>
          <w:rFonts w:cs="Calibri"/>
          <w:color w:val="auto"/>
          <w:spacing w:val="0"/>
        </w:rPr>
      </w:pPr>
      <w:bookmarkStart w:id="140" w:name="_Toc320365350"/>
      <w:r w:rsidRPr="00046999">
        <w:rPr>
          <w:rFonts w:cs="Calibri"/>
        </w:rPr>
        <w:lastRenderedPageBreak/>
        <w:t>Chapter 9. Analysis</w:t>
      </w:r>
      <w:r w:rsidR="00F14391">
        <w:rPr>
          <w:rFonts w:cs="Calibri"/>
        </w:rPr>
        <w:t xml:space="preserve"> and</w:t>
      </w:r>
      <w:r w:rsidR="00235945">
        <w:rPr>
          <w:rFonts w:cs="Calibri"/>
        </w:rPr>
        <w:t xml:space="preserve"> discussion</w:t>
      </w:r>
      <w:bookmarkEnd w:id="140"/>
    </w:p>
    <w:p w:rsidR="00A95413" w:rsidRPr="00046999" w:rsidRDefault="00A95413" w:rsidP="001D4BB3">
      <w:pPr>
        <w:pStyle w:val="Kop2"/>
        <w:jc w:val="both"/>
        <w:rPr>
          <w:rFonts w:cs="Calibri"/>
        </w:rPr>
      </w:pPr>
      <w:bookmarkStart w:id="141" w:name="_Toc320365351"/>
      <w:r w:rsidRPr="00046999">
        <w:rPr>
          <w:rFonts w:cs="Calibri"/>
        </w:rPr>
        <w:t>9.1 Introduction</w:t>
      </w:r>
      <w:bookmarkEnd w:id="141"/>
    </w:p>
    <w:p w:rsidR="00A95413" w:rsidRPr="00046999" w:rsidRDefault="00A95413" w:rsidP="001D4BB3">
      <w:pPr>
        <w:jc w:val="both"/>
        <w:rPr>
          <w:rFonts w:cs="Calibri"/>
          <w:sz w:val="22"/>
          <w:szCs w:val="22"/>
        </w:rPr>
      </w:pPr>
      <w:r w:rsidRPr="00046999">
        <w:rPr>
          <w:rFonts w:cs="Calibri"/>
          <w:sz w:val="22"/>
          <w:szCs w:val="22"/>
        </w:rPr>
        <w:t xml:space="preserve">In this chapter the results are analyzed and compared to the expectations from prior research and the formulated hypotheses. </w:t>
      </w:r>
      <w:r w:rsidR="00696EA2">
        <w:rPr>
          <w:rFonts w:cs="Calibri"/>
          <w:sz w:val="22"/>
          <w:szCs w:val="22"/>
        </w:rPr>
        <w:t>Potential</w:t>
      </w:r>
      <w:r w:rsidR="00321F83">
        <w:rPr>
          <w:rFonts w:cs="Calibri"/>
          <w:sz w:val="22"/>
          <w:szCs w:val="22"/>
        </w:rPr>
        <w:t xml:space="preserve"> </w:t>
      </w:r>
      <w:r w:rsidR="004B1370">
        <w:rPr>
          <w:rFonts w:cs="Calibri"/>
          <w:sz w:val="22"/>
          <w:szCs w:val="22"/>
        </w:rPr>
        <w:t>interpretations</w:t>
      </w:r>
      <w:r w:rsidR="00321F83">
        <w:rPr>
          <w:rFonts w:cs="Calibri"/>
          <w:sz w:val="22"/>
          <w:szCs w:val="22"/>
        </w:rPr>
        <w:t xml:space="preserve"> </w:t>
      </w:r>
      <w:r w:rsidR="00AB4AFB">
        <w:rPr>
          <w:rFonts w:cs="Calibri"/>
          <w:sz w:val="22"/>
          <w:szCs w:val="22"/>
        </w:rPr>
        <w:t>of</w:t>
      </w:r>
      <w:r w:rsidR="00321F83">
        <w:rPr>
          <w:rFonts w:cs="Calibri"/>
          <w:sz w:val="22"/>
          <w:szCs w:val="22"/>
        </w:rPr>
        <w:t xml:space="preserve"> the obtained results</w:t>
      </w:r>
      <w:r w:rsidR="00696EA2">
        <w:rPr>
          <w:rFonts w:cs="Calibri"/>
          <w:sz w:val="22"/>
          <w:szCs w:val="22"/>
        </w:rPr>
        <w:t xml:space="preserve"> are</w:t>
      </w:r>
      <w:r w:rsidR="00321F83">
        <w:rPr>
          <w:rFonts w:cs="Calibri"/>
          <w:sz w:val="22"/>
          <w:szCs w:val="22"/>
        </w:rPr>
        <w:t xml:space="preserve"> </w:t>
      </w:r>
      <w:r w:rsidR="00696EA2">
        <w:rPr>
          <w:rFonts w:cs="Calibri"/>
          <w:sz w:val="22"/>
          <w:szCs w:val="22"/>
        </w:rPr>
        <w:t xml:space="preserve">also </w:t>
      </w:r>
      <w:r w:rsidR="00321F83">
        <w:rPr>
          <w:rFonts w:cs="Calibri"/>
          <w:sz w:val="22"/>
          <w:szCs w:val="22"/>
        </w:rPr>
        <w:t xml:space="preserve">discussed. </w:t>
      </w:r>
    </w:p>
    <w:p w:rsidR="00A95413" w:rsidRPr="00046999" w:rsidRDefault="00A95413" w:rsidP="001D4BB3">
      <w:pPr>
        <w:pStyle w:val="Kop2"/>
        <w:jc w:val="both"/>
        <w:rPr>
          <w:rFonts w:cs="Calibri"/>
          <w:lang w:eastAsia="nl-NL"/>
        </w:rPr>
      </w:pPr>
      <w:bookmarkStart w:id="142" w:name="_Toc320365352"/>
      <w:r w:rsidRPr="00046999">
        <w:rPr>
          <w:rFonts w:cs="Calibri"/>
          <w:lang w:eastAsia="nl-NL"/>
        </w:rPr>
        <w:t>9.2 Regression analysis</w:t>
      </w:r>
      <w:bookmarkEnd w:id="142"/>
    </w:p>
    <w:p w:rsidR="00A95413" w:rsidRPr="00046999" w:rsidRDefault="00A95413" w:rsidP="001D4BB3">
      <w:pPr>
        <w:jc w:val="both"/>
        <w:rPr>
          <w:rFonts w:cs="Calibri"/>
          <w:sz w:val="22"/>
          <w:szCs w:val="22"/>
          <w:lang w:eastAsia="nl-NL"/>
        </w:rPr>
      </w:pPr>
      <w:r w:rsidRPr="00046999">
        <w:rPr>
          <w:rFonts w:cs="Calibri"/>
          <w:sz w:val="22"/>
          <w:szCs w:val="22"/>
          <w:lang w:eastAsia="nl-NL"/>
        </w:rPr>
        <w:t>By examining the results from the multiple linear regressions and Pearson correlation table, fir</w:t>
      </w:r>
      <w:r w:rsidR="000A3447">
        <w:rPr>
          <w:rFonts w:cs="Calibri"/>
          <w:sz w:val="22"/>
          <w:szCs w:val="22"/>
          <w:lang w:eastAsia="nl-NL"/>
        </w:rPr>
        <w:t>st is noted that the variables blockholder ownership and m</w:t>
      </w:r>
      <w:r w:rsidRPr="00046999">
        <w:rPr>
          <w:rFonts w:cs="Calibri"/>
          <w:sz w:val="22"/>
          <w:szCs w:val="22"/>
          <w:lang w:eastAsia="nl-NL"/>
        </w:rPr>
        <w:t>anagerial ownership are significantly and positively associated</w:t>
      </w:r>
      <w:r w:rsidR="006D7B90">
        <w:rPr>
          <w:rFonts w:cs="Calibri"/>
          <w:sz w:val="22"/>
          <w:szCs w:val="22"/>
          <w:lang w:eastAsia="nl-NL"/>
        </w:rPr>
        <w:t xml:space="preserve">. There are various explanations for this </w:t>
      </w:r>
      <w:r w:rsidRPr="00046999">
        <w:rPr>
          <w:rFonts w:cs="Calibri"/>
          <w:sz w:val="22"/>
          <w:szCs w:val="22"/>
          <w:lang w:eastAsia="nl-NL"/>
        </w:rPr>
        <w:t>positive relation.</w:t>
      </w:r>
      <w:r>
        <w:rPr>
          <w:rFonts w:cs="Calibri"/>
          <w:sz w:val="22"/>
          <w:szCs w:val="22"/>
          <w:lang w:eastAsia="nl-NL"/>
        </w:rPr>
        <w:t xml:space="preserve"> It could be</w:t>
      </w:r>
      <w:r w:rsidRPr="00046999">
        <w:rPr>
          <w:rFonts w:cs="Calibri"/>
          <w:sz w:val="22"/>
          <w:szCs w:val="22"/>
          <w:lang w:eastAsia="nl-NL"/>
        </w:rPr>
        <w:t xml:space="preserve"> that managers are often also blockholders, so that when managerial ownership increases blockholder ownership increases as well. </w:t>
      </w:r>
      <w:r>
        <w:rPr>
          <w:rFonts w:cs="Calibri"/>
          <w:sz w:val="22"/>
          <w:szCs w:val="22"/>
          <w:lang w:eastAsia="nl-NL"/>
        </w:rPr>
        <w:t xml:space="preserve">In addition, it could be that the variable ‘size’ controls for this effect as blockholder ownership and managerial ownership are both significantly associated with size. When size increases, blockholder ownership and managerial ownership both decrease according to the correlations table (table 3). This could be as blockholder ownership decreases (as due an increase in size) managerial ownership also decreases. So it appears that blockholder and managerial ownership are associated but in fact they are both more associated with size than with each other. </w:t>
      </w:r>
    </w:p>
    <w:p w:rsidR="00A95413" w:rsidRPr="00046999" w:rsidRDefault="00A95413" w:rsidP="001D4BB3">
      <w:pPr>
        <w:jc w:val="both"/>
        <w:rPr>
          <w:rFonts w:cs="Calibri"/>
          <w:sz w:val="22"/>
          <w:szCs w:val="22"/>
          <w:lang w:eastAsia="nl-NL"/>
        </w:rPr>
      </w:pPr>
      <w:r w:rsidRPr="00046999">
        <w:rPr>
          <w:rFonts w:cs="Calibri"/>
          <w:sz w:val="22"/>
          <w:szCs w:val="22"/>
          <w:lang w:eastAsia="nl-NL"/>
        </w:rPr>
        <w:t xml:space="preserve">In the Pearson correlation table both </w:t>
      </w:r>
      <w:r w:rsidR="005D0ABE">
        <w:rPr>
          <w:rFonts w:cs="Calibri"/>
          <w:sz w:val="22"/>
          <w:szCs w:val="22"/>
          <w:lang w:eastAsia="nl-NL"/>
        </w:rPr>
        <w:t>blockholder and m</w:t>
      </w:r>
      <w:r w:rsidRPr="00046999">
        <w:rPr>
          <w:rFonts w:cs="Calibri"/>
          <w:sz w:val="22"/>
          <w:szCs w:val="22"/>
          <w:lang w:eastAsia="nl-NL"/>
        </w:rPr>
        <w:t>anagerial ownership are negatively associated with voluntary di</w:t>
      </w:r>
      <w:r w:rsidR="005D0ABE">
        <w:rPr>
          <w:rFonts w:cs="Calibri"/>
          <w:sz w:val="22"/>
          <w:szCs w:val="22"/>
          <w:lang w:eastAsia="nl-NL"/>
        </w:rPr>
        <w:t>sclosures and are significant; b</w:t>
      </w:r>
      <w:r w:rsidRPr="00046999">
        <w:rPr>
          <w:rFonts w:cs="Calibri"/>
          <w:sz w:val="22"/>
          <w:szCs w:val="22"/>
          <w:lang w:eastAsia="nl-NL"/>
        </w:rPr>
        <w:t>lock</w:t>
      </w:r>
      <w:r w:rsidR="005D0ABE">
        <w:rPr>
          <w:rFonts w:cs="Calibri"/>
          <w:sz w:val="22"/>
          <w:szCs w:val="22"/>
          <w:lang w:eastAsia="nl-NL"/>
        </w:rPr>
        <w:t>holder ownership at p&lt;0.01 and m</w:t>
      </w:r>
      <w:r w:rsidRPr="00046999">
        <w:rPr>
          <w:rFonts w:cs="Calibri"/>
          <w:sz w:val="22"/>
          <w:szCs w:val="22"/>
          <w:lang w:eastAsia="nl-NL"/>
        </w:rPr>
        <w:t>anagerial ownership at p&lt;0.05. This contrasts the results from the reg</w:t>
      </w:r>
      <w:r w:rsidR="005D0ABE">
        <w:rPr>
          <w:rFonts w:cs="Calibri"/>
          <w:sz w:val="22"/>
          <w:szCs w:val="22"/>
          <w:lang w:eastAsia="nl-NL"/>
        </w:rPr>
        <w:t>ression 1 which show that only b</w:t>
      </w:r>
      <w:r w:rsidRPr="00046999">
        <w:rPr>
          <w:rFonts w:cs="Calibri"/>
          <w:sz w:val="22"/>
          <w:szCs w:val="22"/>
          <w:lang w:eastAsia="nl-NL"/>
        </w:rPr>
        <w:t xml:space="preserve">lockholder ownership is negatively associated with voluntary disclosures and managerial ownership is slightly positively associated with voluntary disclosures. The results from the regression and Pearson correlation differ because at the Pearson correlation table no control or other variables are taken into account. Because of </w:t>
      </w:r>
      <w:r w:rsidR="00642320">
        <w:rPr>
          <w:rFonts w:cs="Calibri"/>
          <w:sz w:val="22"/>
          <w:szCs w:val="22"/>
          <w:lang w:eastAsia="nl-NL"/>
        </w:rPr>
        <w:t>the strong association between blockholder ownership and m</w:t>
      </w:r>
      <w:r w:rsidRPr="00046999">
        <w:rPr>
          <w:rFonts w:cs="Calibri"/>
          <w:sz w:val="22"/>
          <w:szCs w:val="22"/>
          <w:lang w:eastAsia="nl-NL"/>
        </w:rPr>
        <w:t>anagerial ownership the regression</w:t>
      </w:r>
      <w:r w:rsidR="002A1F59">
        <w:rPr>
          <w:rFonts w:cs="Calibri"/>
          <w:sz w:val="22"/>
          <w:szCs w:val="22"/>
          <w:lang w:eastAsia="nl-NL"/>
        </w:rPr>
        <w:t>s</w:t>
      </w:r>
      <w:r w:rsidRPr="00046999">
        <w:rPr>
          <w:rFonts w:cs="Calibri"/>
          <w:sz w:val="22"/>
          <w:szCs w:val="22"/>
          <w:lang w:eastAsia="nl-NL"/>
        </w:rPr>
        <w:t xml:space="preserve"> were also conducted separately in regression 2 and 3. </w:t>
      </w:r>
      <w:r>
        <w:rPr>
          <w:rFonts w:cs="Calibri"/>
          <w:sz w:val="22"/>
          <w:szCs w:val="22"/>
          <w:lang w:eastAsia="nl-NL"/>
        </w:rPr>
        <w:t>Hereafter the results from all three regressions are described per hypothesis.</w:t>
      </w:r>
    </w:p>
    <w:p w:rsidR="00377576" w:rsidRPr="00A47E9A" w:rsidRDefault="00A95413" w:rsidP="00A47E9A">
      <w:pPr>
        <w:spacing w:after="0"/>
        <w:ind w:left="700"/>
        <w:jc w:val="both"/>
        <w:rPr>
          <w:rStyle w:val="Nadruk"/>
          <w:rFonts w:cs="Calibri"/>
          <w:i/>
          <w:caps w:val="0"/>
          <w:color w:val="000000"/>
          <w:spacing w:val="0"/>
          <w:sz w:val="22"/>
          <w:szCs w:val="22"/>
          <w:lang w:eastAsia="nl-NL"/>
        </w:rPr>
      </w:pPr>
      <w:r w:rsidRPr="00046999">
        <w:rPr>
          <w:rFonts w:cs="Calibri"/>
          <w:i/>
          <w:color w:val="000000"/>
          <w:sz w:val="22"/>
          <w:szCs w:val="22"/>
          <w:lang w:eastAsia="nl-NL"/>
        </w:rPr>
        <w:t xml:space="preserve">H1: Managerial ownership is </w:t>
      </w:r>
      <w:r w:rsidR="00CF41EE">
        <w:rPr>
          <w:rFonts w:cs="Calibri"/>
          <w:i/>
          <w:color w:val="000000"/>
          <w:sz w:val="22"/>
          <w:szCs w:val="22"/>
          <w:lang w:eastAsia="nl-NL"/>
        </w:rPr>
        <w:t>positively</w:t>
      </w:r>
      <w:r w:rsidRPr="00046999">
        <w:rPr>
          <w:rFonts w:cs="Calibri"/>
          <w:i/>
          <w:color w:val="000000"/>
          <w:sz w:val="22"/>
          <w:szCs w:val="22"/>
          <w:lang w:eastAsia="nl-NL"/>
        </w:rPr>
        <w:t xml:space="preserve"> related to the extent of voluntary disclosures.</w:t>
      </w:r>
    </w:p>
    <w:p w:rsidR="00A95413" w:rsidRPr="000F079B" w:rsidRDefault="00A95413" w:rsidP="001D4BB3">
      <w:pPr>
        <w:spacing w:after="0"/>
        <w:jc w:val="both"/>
        <w:rPr>
          <w:rStyle w:val="Nadruk"/>
        </w:rPr>
      </w:pPr>
      <w:r w:rsidRPr="000F079B">
        <w:rPr>
          <w:rStyle w:val="Nadruk"/>
        </w:rPr>
        <w:t>Results</w:t>
      </w:r>
    </w:p>
    <w:p w:rsidR="00A95413" w:rsidRPr="00046999" w:rsidRDefault="00A95413" w:rsidP="001D4BB3">
      <w:pPr>
        <w:spacing w:after="0"/>
        <w:jc w:val="both"/>
        <w:rPr>
          <w:rFonts w:cs="Calibri"/>
          <w:color w:val="000000"/>
          <w:sz w:val="22"/>
          <w:szCs w:val="22"/>
          <w:lang w:eastAsia="nl-NL"/>
        </w:rPr>
      </w:pPr>
      <w:r w:rsidRPr="00046999">
        <w:rPr>
          <w:rFonts w:cs="Calibri"/>
          <w:color w:val="000000"/>
          <w:sz w:val="22"/>
          <w:szCs w:val="22"/>
          <w:lang w:eastAsia="nl-NL"/>
        </w:rPr>
        <w:t xml:space="preserve">This is the </w:t>
      </w:r>
      <w:r>
        <w:rPr>
          <w:rFonts w:cs="Calibri"/>
          <w:color w:val="000000"/>
          <w:sz w:val="22"/>
          <w:szCs w:val="22"/>
          <w:lang w:eastAsia="nl-NL"/>
        </w:rPr>
        <w:t xml:space="preserve">first </w:t>
      </w:r>
      <w:r w:rsidRPr="00046999">
        <w:rPr>
          <w:rFonts w:cs="Calibri"/>
          <w:color w:val="000000"/>
          <w:sz w:val="22"/>
          <w:szCs w:val="22"/>
          <w:lang w:eastAsia="nl-NL"/>
        </w:rPr>
        <w:t>association expected. As mention</w:t>
      </w:r>
      <w:r>
        <w:rPr>
          <w:rFonts w:cs="Calibri"/>
          <w:color w:val="000000"/>
          <w:sz w:val="22"/>
          <w:szCs w:val="22"/>
          <w:lang w:eastAsia="nl-NL"/>
        </w:rPr>
        <w:t>ed</w:t>
      </w:r>
      <w:r w:rsidRPr="00046999">
        <w:rPr>
          <w:rFonts w:cs="Calibri"/>
          <w:color w:val="000000"/>
          <w:sz w:val="22"/>
          <w:szCs w:val="22"/>
          <w:lang w:eastAsia="nl-NL"/>
        </w:rPr>
        <w:t xml:space="preserve"> above in the Pearson correla</w:t>
      </w:r>
      <w:r w:rsidR="00EF0FF0">
        <w:rPr>
          <w:rFonts w:cs="Calibri"/>
          <w:color w:val="000000"/>
          <w:sz w:val="22"/>
          <w:szCs w:val="22"/>
          <w:lang w:eastAsia="nl-NL"/>
        </w:rPr>
        <w:t>tion table it is observed that m</w:t>
      </w:r>
      <w:r w:rsidRPr="00046999">
        <w:rPr>
          <w:rFonts w:cs="Calibri"/>
          <w:color w:val="000000"/>
          <w:sz w:val="22"/>
          <w:szCs w:val="22"/>
          <w:lang w:eastAsia="nl-NL"/>
        </w:rPr>
        <w:t>anagerial ownership is negatively associated with Dscore and significant at the 0.05 level. However, when the regression analysis is executed it is noted that this association is eliminated due to the control variables. When the control variables are included (as in regression 3) the association is still negative but not significant anymore. Apparently, managerial ownership has no significant association with voluntary disclosures when the control variables are taken into</w:t>
      </w:r>
      <w:r w:rsidR="006A02FC">
        <w:rPr>
          <w:rFonts w:cs="Calibri"/>
          <w:color w:val="000000"/>
          <w:sz w:val="22"/>
          <w:szCs w:val="22"/>
          <w:lang w:eastAsia="nl-NL"/>
        </w:rPr>
        <w:t xml:space="preserve"> account. Furthermore, when b</w:t>
      </w:r>
      <w:r w:rsidRPr="00046999">
        <w:rPr>
          <w:rFonts w:cs="Calibri"/>
          <w:color w:val="000000"/>
          <w:sz w:val="22"/>
          <w:szCs w:val="22"/>
          <w:lang w:eastAsia="nl-NL"/>
        </w:rPr>
        <w:t>lockholder ownership enters the regression as well (regression 1) the association is still insignificant but now turns from negative to slightly positive (B=0.008).</w:t>
      </w:r>
      <w:r w:rsidR="00EF0FF0">
        <w:rPr>
          <w:rFonts w:cs="Calibri"/>
          <w:color w:val="000000"/>
          <w:sz w:val="22"/>
          <w:szCs w:val="22"/>
          <w:lang w:eastAsia="nl-NL"/>
        </w:rPr>
        <w:t xml:space="preserve"> Overall can be concluded that m</w:t>
      </w:r>
      <w:r w:rsidRPr="00046999">
        <w:rPr>
          <w:rFonts w:cs="Calibri"/>
          <w:color w:val="000000"/>
          <w:sz w:val="22"/>
          <w:szCs w:val="22"/>
          <w:lang w:eastAsia="nl-NL"/>
        </w:rPr>
        <w:t xml:space="preserve">anagerial ownership is not significantly related to the extent of voluntary disclosures and therefore, H1 is rejected. </w:t>
      </w:r>
    </w:p>
    <w:p w:rsidR="00A95413" w:rsidRPr="000F079B" w:rsidRDefault="00A95413" w:rsidP="001D4BB3">
      <w:pPr>
        <w:spacing w:after="0"/>
        <w:jc w:val="both"/>
        <w:rPr>
          <w:rStyle w:val="Nadruk"/>
        </w:rPr>
      </w:pPr>
      <w:r w:rsidRPr="000F079B">
        <w:rPr>
          <w:rStyle w:val="Nadruk"/>
        </w:rPr>
        <w:lastRenderedPageBreak/>
        <w:t>Prior research</w:t>
      </w:r>
    </w:p>
    <w:p w:rsidR="0095576A" w:rsidRDefault="00A95413" w:rsidP="001D4BB3">
      <w:pPr>
        <w:spacing w:after="0"/>
        <w:jc w:val="both"/>
        <w:rPr>
          <w:rFonts w:cs="Calibri"/>
          <w:color w:val="000000"/>
          <w:sz w:val="22"/>
          <w:szCs w:val="22"/>
          <w:lang w:eastAsia="nl-NL"/>
        </w:rPr>
      </w:pPr>
      <w:r w:rsidRPr="00046999">
        <w:rPr>
          <w:rFonts w:cs="Calibri"/>
          <w:color w:val="000000"/>
          <w:sz w:val="22"/>
          <w:szCs w:val="22"/>
          <w:lang w:eastAsia="nl-NL"/>
        </w:rPr>
        <w:t xml:space="preserve">Prior literature was inconclusive about this association. Eng and Mak (2003) found evidence for a significant negative association whereas Huafang and Jianguo (2007) and Zourarakis (2009) found </w:t>
      </w:r>
      <w:r w:rsidR="00F3411E">
        <w:rPr>
          <w:rFonts w:cs="Calibri"/>
          <w:color w:val="000000"/>
          <w:sz w:val="22"/>
          <w:szCs w:val="22"/>
          <w:lang w:eastAsia="nl-NL"/>
        </w:rPr>
        <w:t>no significant association. I</w:t>
      </w:r>
      <w:r w:rsidRPr="00046999">
        <w:rPr>
          <w:rFonts w:cs="Calibri"/>
          <w:color w:val="000000"/>
          <w:sz w:val="22"/>
          <w:szCs w:val="22"/>
          <w:lang w:eastAsia="nl-NL"/>
        </w:rPr>
        <w:t>n fact, the results are similar to the results from Huafang and Jianguo (2007) and Zourarakis (2009). Apparently</w:t>
      </w:r>
      <w:r w:rsidR="00B70F6B">
        <w:rPr>
          <w:rFonts w:cs="Calibri"/>
          <w:color w:val="000000"/>
          <w:sz w:val="22"/>
          <w:szCs w:val="22"/>
          <w:lang w:eastAsia="nl-NL"/>
        </w:rPr>
        <w:t>, evidence suggests that</w:t>
      </w:r>
      <w:r w:rsidRPr="00046999">
        <w:rPr>
          <w:rFonts w:cs="Calibri"/>
          <w:color w:val="000000"/>
          <w:sz w:val="22"/>
          <w:szCs w:val="22"/>
          <w:lang w:eastAsia="nl-NL"/>
        </w:rPr>
        <w:t xml:space="preserve"> the level of managerial ownership has no significant relation with the amount of voluntary disclosures. The reason why a </w:t>
      </w:r>
      <w:r w:rsidR="0095576A">
        <w:rPr>
          <w:rFonts w:cs="Calibri"/>
          <w:color w:val="000000"/>
          <w:sz w:val="22"/>
          <w:szCs w:val="22"/>
          <w:lang w:eastAsia="nl-NL"/>
        </w:rPr>
        <w:t>positive</w:t>
      </w:r>
      <w:r w:rsidRPr="00046999">
        <w:rPr>
          <w:rFonts w:cs="Calibri"/>
          <w:color w:val="000000"/>
          <w:sz w:val="22"/>
          <w:szCs w:val="22"/>
          <w:lang w:eastAsia="nl-NL"/>
        </w:rPr>
        <w:t xml:space="preserve"> relation was expected is: </w:t>
      </w:r>
      <w:r w:rsidR="009D54C5" w:rsidRPr="00046999">
        <w:rPr>
          <w:rFonts w:cs="Calibri"/>
          <w:sz w:val="22"/>
          <w:szCs w:val="22"/>
        </w:rPr>
        <w:t xml:space="preserve">To align </w:t>
      </w:r>
      <w:r w:rsidR="009D54C5">
        <w:rPr>
          <w:rFonts w:cs="Calibri"/>
          <w:sz w:val="22"/>
          <w:szCs w:val="22"/>
        </w:rPr>
        <w:t>the</w:t>
      </w:r>
      <w:r w:rsidR="009D54C5" w:rsidRPr="00046999">
        <w:rPr>
          <w:rFonts w:cs="Calibri"/>
          <w:sz w:val="22"/>
          <w:szCs w:val="22"/>
        </w:rPr>
        <w:t xml:space="preserve"> interests</w:t>
      </w:r>
      <w:r w:rsidR="009D54C5">
        <w:rPr>
          <w:rFonts w:cs="Calibri"/>
          <w:sz w:val="22"/>
          <w:szCs w:val="22"/>
        </w:rPr>
        <w:t xml:space="preserve"> between the owners and principals </w:t>
      </w:r>
      <w:r w:rsidR="009D54C5" w:rsidRPr="00046999">
        <w:rPr>
          <w:rFonts w:cs="Calibri"/>
          <w:sz w:val="22"/>
          <w:szCs w:val="22"/>
        </w:rPr>
        <w:t>a solution is to provide the managers partial ownership (shares). This way the ownership structure is more widely held and it is expected that as managers now have the same interests as the owners they will disclose more information.</w:t>
      </w:r>
    </w:p>
    <w:p w:rsidR="00A95413" w:rsidRPr="000F079B" w:rsidRDefault="00A95413" w:rsidP="001D4BB3">
      <w:pPr>
        <w:spacing w:after="0"/>
        <w:jc w:val="both"/>
        <w:rPr>
          <w:rStyle w:val="Nadruk"/>
        </w:rPr>
      </w:pPr>
      <w:r w:rsidRPr="000F079B">
        <w:rPr>
          <w:rStyle w:val="Nadruk"/>
        </w:rPr>
        <w:t>Interpretation</w:t>
      </w:r>
    </w:p>
    <w:p w:rsidR="00A85A8B" w:rsidRDefault="00A95413" w:rsidP="001D4BB3">
      <w:pPr>
        <w:spacing w:after="0"/>
        <w:jc w:val="both"/>
        <w:rPr>
          <w:rFonts w:cs="Calibri"/>
          <w:color w:val="000000"/>
          <w:sz w:val="22"/>
          <w:szCs w:val="22"/>
          <w:lang w:eastAsia="nl-NL"/>
        </w:rPr>
      </w:pPr>
      <w:r w:rsidRPr="00046999">
        <w:rPr>
          <w:rFonts w:cs="Calibri"/>
          <w:color w:val="000000"/>
          <w:sz w:val="22"/>
          <w:szCs w:val="22"/>
          <w:lang w:eastAsia="nl-NL"/>
        </w:rPr>
        <w:t xml:space="preserve">There are various </w:t>
      </w:r>
      <w:r w:rsidR="00F846ED">
        <w:rPr>
          <w:rFonts w:cs="Calibri"/>
          <w:color w:val="000000"/>
          <w:sz w:val="22"/>
          <w:szCs w:val="22"/>
          <w:lang w:eastAsia="nl-NL"/>
        </w:rPr>
        <w:t xml:space="preserve">explanations </w:t>
      </w:r>
      <w:r w:rsidRPr="00046999">
        <w:rPr>
          <w:rFonts w:cs="Calibri"/>
          <w:color w:val="000000"/>
          <w:sz w:val="22"/>
          <w:szCs w:val="22"/>
          <w:lang w:eastAsia="nl-NL"/>
        </w:rPr>
        <w:t xml:space="preserve">why there is no significant </w:t>
      </w:r>
      <w:r w:rsidR="004B2F54">
        <w:rPr>
          <w:rFonts w:cs="Calibri"/>
          <w:color w:val="000000"/>
          <w:sz w:val="22"/>
          <w:szCs w:val="22"/>
          <w:lang w:eastAsia="nl-NL"/>
        </w:rPr>
        <w:t>positive</w:t>
      </w:r>
      <w:r w:rsidR="004B2F54" w:rsidRPr="00046999">
        <w:rPr>
          <w:rFonts w:cs="Calibri"/>
          <w:color w:val="000000"/>
          <w:sz w:val="22"/>
          <w:szCs w:val="22"/>
          <w:lang w:eastAsia="nl-NL"/>
        </w:rPr>
        <w:t xml:space="preserve"> </w:t>
      </w:r>
      <w:r w:rsidRPr="00046999">
        <w:rPr>
          <w:rFonts w:cs="Calibri"/>
          <w:color w:val="000000"/>
          <w:sz w:val="22"/>
          <w:szCs w:val="22"/>
          <w:lang w:eastAsia="nl-NL"/>
        </w:rPr>
        <w:t>association between managerial ownership and voluntary disclosures.</w:t>
      </w:r>
      <w:r w:rsidR="004F5740">
        <w:rPr>
          <w:rFonts w:cs="Calibri"/>
          <w:color w:val="000000"/>
          <w:sz w:val="22"/>
          <w:szCs w:val="22"/>
          <w:lang w:eastAsia="nl-NL"/>
        </w:rPr>
        <w:t xml:space="preserve"> </w:t>
      </w:r>
      <w:r w:rsidR="009D17AB">
        <w:rPr>
          <w:rFonts w:cs="Calibri"/>
          <w:color w:val="000000"/>
          <w:sz w:val="22"/>
          <w:szCs w:val="22"/>
          <w:lang w:eastAsia="nl-NL"/>
        </w:rPr>
        <w:t>First, i</w:t>
      </w:r>
      <w:r w:rsidR="004F5740">
        <w:rPr>
          <w:rFonts w:cs="Calibri"/>
          <w:color w:val="000000"/>
          <w:sz w:val="22"/>
          <w:szCs w:val="22"/>
          <w:lang w:eastAsia="nl-NL"/>
        </w:rPr>
        <w:t>t could be that when the interests of the owners and managers are more alike this does n</w:t>
      </w:r>
      <w:r w:rsidR="00224CA3">
        <w:rPr>
          <w:rFonts w:cs="Calibri"/>
          <w:color w:val="000000"/>
          <w:sz w:val="22"/>
          <w:szCs w:val="22"/>
          <w:lang w:eastAsia="nl-NL"/>
        </w:rPr>
        <w:t>ot necessarily imply</w:t>
      </w:r>
      <w:r w:rsidR="004F5740">
        <w:rPr>
          <w:rFonts w:cs="Calibri"/>
          <w:color w:val="000000"/>
          <w:sz w:val="22"/>
          <w:szCs w:val="22"/>
          <w:lang w:eastAsia="nl-NL"/>
        </w:rPr>
        <w:t xml:space="preserve"> that more voluntary disclosures are actually beneficial for the firm</w:t>
      </w:r>
      <w:r w:rsidR="002D6C49">
        <w:rPr>
          <w:rFonts w:cs="Calibri"/>
          <w:color w:val="000000"/>
          <w:sz w:val="22"/>
          <w:szCs w:val="22"/>
          <w:lang w:eastAsia="nl-NL"/>
        </w:rPr>
        <w:t xml:space="preserve"> and hence are provided</w:t>
      </w:r>
      <w:r w:rsidR="004F5740">
        <w:rPr>
          <w:rFonts w:cs="Calibri"/>
          <w:color w:val="000000"/>
          <w:sz w:val="22"/>
          <w:szCs w:val="22"/>
          <w:lang w:eastAsia="nl-NL"/>
        </w:rPr>
        <w:t xml:space="preserve">. </w:t>
      </w:r>
      <w:r w:rsidR="00075F96">
        <w:rPr>
          <w:rFonts w:cs="Calibri"/>
          <w:color w:val="000000"/>
          <w:sz w:val="22"/>
          <w:szCs w:val="22"/>
          <w:lang w:eastAsia="nl-NL"/>
        </w:rPr>
        <w:t>O</w:t>
      </w:r>
      <w:r w:rsidR="001A6668">
        <w:rPr>
          <w:rFonts w:cs="Calibri"/>
          <w:color w:val="000000"/>
          <w:sz w:val="22"/>
          <w:szCs w:val="22"/>
          <w:lang w:eastAsia="nl-NL"/>
        </w:rPr>
        <w:t xml:space="preserve">n the contrary, </w:t>
      </w:r>
      <w:r w:rsidR="00075F96">
        <w:rPr>
          <w:rFonts w:cs="Calibri"/>
          <w:color w:val="000000"/>
          <w:sz w:val="22"/>
          <w:szCs w:val="22"/>
          <w:lang w:eastAsia="nl-NL"/>
        </w:rPr>
        <w:t xml:space="preserve">it </w:t>
      </w:r>
      <w:r w:rsidR="00224CA3">
        <w:rPr>
          <w:rFonts w:cs="Calibri"/>
          <w:color w:val="000000"/>
          <w:sz w:val="22"/>
          <w:szCs w:val="22"/>
          <w:lang w:eastAsia="nl-NL"/>
        </w:rPr>
        <w:t>could be</w:t>
      </w:r>
      <w:r w:rsidR="00075F96">
        <w:rPr>
          <w:rFonts w:cs="Calibri"/>
          <w:color w:val="000000"/>
          <w:sz w:val="22"/>
          <w:szCs w:val="22"/>
          <w:lang w:eastAsia="nl-NL"/>
        </w:rPr>
        <w:t xml:space="preserve"> in </w:t>
      </w:r>
      <w:r w:rsidR="00A8141F">
        <w:rPr>
          <w:rFonts w:cs="Calibri"/>
          <w:color w:val="000000"/>
          <w:sz w:val="22"/>
          <w:szCs w:val="22"/>
          <w:lang w:eastAsia="nl-NL"/>
        </w:rPr>
        <w:t xml:space="preserve">the </w:t>
      </w:r>
      <w:r w:rsidR="000C2C9D">
        <w:rPr>
          <w:rFonts w:cs="Calibri"/>
          <w:color w:val="000000"/>
          <w:sz w:val="22"/>
          <w:szCs w:val="22"/>
          <w:lang w:eastAsia="nl-NL"/>
        </w:rPr>
        <w:t>managers’</w:t>
      </w:r>
      <w:r w:rsidR="00075F96">
        <w:rPr>
          <w:rFonts w:cs="Calibri"/>
          <w:color w:val="000000"/>
          <w:sz w:val="22"/>
          <w:szCs w:val="22"/>
          <w:lang w:eastAsia="nl-NL"/>
        </w:rPr>
        <w:t xml:space="preserve"> self-interest to keep </w:t>
      </w:r>
      <w:r w:rsidR="00F64033">
        <w:rPr>
          <w:rFonts w:cs="Calibri"/>
          <w:color w:val="000000"/>
          <w:sz w:val="22"/>
          <w:szCs w:val="22"/>
          <w:lang w:eastAsia="nl-NL"/>
        </w:rPr>
        <w:t xml:space="preserve">the information disclosed limited </w:t>
      </w:r>
      <w:r w:rsidR="006E7008">
        <w:rPr>
          <w:rFonts w:cs="Calibri"/>
          <w:color w:val="000000"/>
          <w:sz w:val="22"/>
          <w:szCs w:val="22"/>
          <w:lang w:eastAsia="nl-NL"/>
        </w:rPr>
        <w:t xml:space="preserve">and as a result </w:t>
      </w:r>
      <w:r w:rsidR="00EC4397">
        <w:rPr>
          <w:rFonts w:cs="Calibri"/>
          <w:color w:val="000000"/>
          <w:sz w:val="22"/>
          <w:szCs w:val="22"/>
          <w:lang w:eastAsia="nl-NL"/>
        </w:rPr>
        <w:t>some information</w:t>
      </w:r>
      <w:r w:rsidR="00F64033">
        <w:rPr>
          <w:rFonts w:cs="Calibri"/>
          <w:color w:val="000000"/>
          <w:sz w:val="22"/>
          <w:szCs w:val="22"/>
          <w:lang w:eastAsia="nl-NL"/>
        </w:rPr>
        <w:t xml:space="preserve"> is only available to </w:t>
      </w:r>
      <w:r w:rsidR="00F9469B">
        <w:rPr>
          <w:rFonts w:cs="Calibri"/>
          <w:color w:val="000000"/>
          <w:sz w:val="22"/>
          <w:szCs w:val="22"/>
          <w:lang w:eastAsia="nl-NL"/>
        </w:rPr>
        <w:t xml:space="preserve">the </w:t>
      </w:r>
      <w:r w:rsidR="00A8141F">
        <w:rPr>
          <w:rFonts w:cs="Calibri"/>
          <w:color w:val="000000"/>
          <w:sz w:val="22"/>
          <w:szCs w:val="22"/>
          <w:lang w:eastAsia="nl-NL"/>
        </w:rPr>
        <w:t>him</w:t>
      </w:r>
      <w:r w:rsidR="00F64033">
        <w:rPr>
          <w:rFonts w:cs="Calibri"/>
          <w:color w:val="000000"/>
          <w:sz w:val="22"/>
          <w:szCs w:val="22"/>
          <w:lang w:eastAsia="nl-NL"/>
        </w:rPr>
        <w:t xml:space="preserve">. </w:t>
      </w:r>
      <w:r w:rsidR="00A85A8B">
        <w:rPr>
          <w:rFonts w:cs="Calibri"/>
          <w:color w:val="000000"/>
          <w:sz w:val="22"/>
          <w:szCs w:val="22"/>
          <w:lang w:eastAsia="nl-NL"/>
        </w:rPr>
        <w:t xml:space="preserve">Furthermore, it could be that managers do not necessarily always know which information provided could lead to benefits for the firm. </w:t>
      </w:r>
      <w:r w:rsidR="0059660B">
        <w:rPr>
          <w:rFonts w:cs="Calibri"/>
          <w:color w:val="000000"/>
          <w:sz w:val="22"/>
          <w:szCs w:val="22"/>
          <w:lang w:eastAsia="nl-NL"/>
        </w:rPr>
        <w:t>These are potential explanations of the insignificant association.</w:t>
      </w:r>
    </w:p>
    <w:p w:rsidR="006F2592" w:rsidRDefault="00075F96" w:rsidP="001D4BB3">
      <w:pPr>
        <w:spacing w:after="0"/>
        <w:jc w:val="both"/>
        <w:rPr>
          <w:rFonts w:cs="Calibri"/>
          <w:color w:val="000000"/>
          <w:sz w:val="22"/>
          <w:szCs w:val="22"/>
          <w:lang w:eastAsia="nl-NL"/>
        </w:rPr>
      </w:pPr>
      <w:r>
        <w:rPr>
          <w:rFonts w:cs="Calibri"/>
          <w:color w:val="000000"/>
          <w:sz w:val="22"/>
          <w:szCs w:val="22"/>
          <w:lang w:eastAsia="nl-NL"/>
        </w:rPr>
        <w:t>Overall</w:t>
      </w:r>
      <w:r w:rsidR="00D34C10">
        <w:rPr>
          <w:rFonts w:cs="Calibri"/>
          <w:color w:val="000000"/>
          <w:sz w:val="22"/>
          <w:szCs w:val="22"/>
          <w:lang w:eastAsia="nl-NL"/>
        </w:rPr>
        <w:t>, it is expected that managers will disclose more information if that is in their self-interest. It could be in their interest to increase disclosures if it reduces</w:t>
      </w:r>
      <w:r w:rsidR="00803CBE">
        <w:rPr>
          <w:rFonts w:cs="Calibri"/>
          <w:color w:val="000000"/>
          <w:sz w:val="22"/>
          <w:szCs w:val="22"/>
          <w:lang w:eastAsia="nl-NL"/>
        </w:rPr>
        <w:t xml:space="preserve"> for example</w:t>
      </w:r>
      <w:r w:rsidR="00D34C10">
        <w:rPr>
          <w:rFonts w:cs="Calibri"/>
          <w:color w:val="000000"/>
          <w:sz w:val="22"/>
          <w:szCs w:val="22"/>
          <w:lang w:eastAsia="nl-NL"/>
        </w:rPr>
        <w:t xml:space="preserve"> political or capital costs</w:t>
      </w:r>
      <w:r>
        <w:rPr>
          <w:rFonts w:cs="Calibri"/>
          <w:color w:val="000000"/>
          <w:sz w:val="22"/>
          <w:szCs w:val="22"/>
          <w:lang w:eastAsia="nl-NL"/>
        </w:rPr>
        <w:t xml:space="preserve"> for the firm</w:t>
      </w:r>
      <w:r w:rsidR="00D34C10">
        <w:rPr>
          <w:rFonts w:cs="Calibri"/>
          <w:color w:val="000000"/>
          <w:sz w:val="22"/>
          <w:szCs w:val="22"/>
          <w:lang w:eastAsia="nl-NL"/>
        </w:rPr>
        <w:t xml:space="preserve">. </w:t>
      </w:r>
      <w:r>
        <w:rPr>
          <w:rFonts w:cs="Calibri"/>
          <w:color w:val="000000"/>
          <w:sz w:val="22"/>
          <w:szCs w:val="22"/>
          <w:lang w:eastAsia="nl-NL"/>
        </w:rPr>
        <w:t xml:space="preserve">Lower cost for the firm could lead to </w:t>
      </w:r>
      <w:r w:rsidR="00803CBE">
        <w:rPr>
          <w:rFonts w:cs="Calibri"/>
          <w:color w:val="000000"/>
          <w:sz w:val="22"/>
          <w:szCs w:val="22"/>
          <w:lang w:eastAsia="nl-NL"/>
        </w:rPr>
        <w:t>higher</w:t>
      </w:r>
      <w:r>
        <w:rPr>
          <w:rFonts w:cs="Calibri"/>
          <w:color w:val="000000"/>
          <w:sz w:val="22"/>
          <w:szCs w:val="22"/>
          <w:lang w:eastAsia="nl-NL"/>
        </w:rPr>
        <w:t xml:space="preserve"> profit and subsequently higher bonuses and increased share prices. </w:t>
      </w:r>
      <w:r w:rsidR="00D116D7">
        <w:rPr>
          <w:rFonts w:cs="Calibri"/>
          <w:color w:val="000000"/>
          <w:sz w:val="22"/>
          <w:szCs w:val="22"/>
          <w:lang w:eastAsia="nl-NL"/>
        </w:rPr>
        <w:t>Th</w:t>
      </w:r>
      <w:r w:rsidR="009E122B">
        <w:rPr>
          <w:rFonts w:cs="Calibri"/>
          <w:color w:val="000000"/>
          <w:sz w:val="22"/>
          <w:szCs w:val="22"/>
          <w:lang w:eastAsia="nl-NL"/>
        </w:rPr>
        <w:t>e results show</w:t>
      </w:r>
      <w:r>
        <w:rPr>
          <w:rFonts w:cs="Calibri"/>
          <w:color w:val="000000"/>
          <w:sz w:val="22"/>
          <w:szCs w:val="22"/>
          <w:lang w:eastAsia="nl-NL"/>
        </w:rPr>
        <w:t>ed</w:t>
      </w:r>
      <w:r w:rsidR="009E122B">
        <w:rPr>
          <w:rFonts w:cs="Calibri"/>
          <w:color w:val="000000"/>
          <w:sz w:val="22"/>
          <w:szCs w:val="22"/>
          <w:lang w:eastAsia="nl-NL"/>
        </w:rPr>
        <w:t xml:space="preserve"> that </w:t>
      </w:r>
      <w:r w:rsidR="00995A1F">
        <w:rPr>
          <w:rFonts w:cs="Calibri"/>
          <w:color w:val="000000"/>
          <w:sz w:val="22"/>
          <w:szCs w:val="22"/>
          <w:lang w:eastAsia="nl-NL"/>
        </w:rPr>
        <w:t xml:space="preserve">while there is an overall insignificant association, </w:t>
      </w:r>
      <w:r w:rsidR="009E122B">
        <w:rPr>
          <w:rFonts w:cs="Calibri"/>
          <w:color w:val="000000"/>
          <w:sz w:val="22"/>
          <w:szCs w:val="22"/>
          <w:lang w:eastAsia="nl-NL"/>
        </w:rPr>
        <w:t xml:space="preserve">managerial </w:t>
      </w:r>
      <w:r w:rsidR="004F5740">
        <w:rPr>
          <w:rFonts w:cs="Calibri"/>
          <w:color w:val="000000"/>
          <w:sz w:val="22"/>
          <w:szCs w:val="22"/>
          <w:lang w:eastAsia="nl-NL"/>
        </w:rPr>
        <w:t>o</w:t>
      </w:r>
      <w:r w:rsidR="009E122B">
        <w:rPr>
          <w:rFonts w:cs="Calibri"/>
          <w:color w:val="000000"/>
          <w:sz w:val="22"/>
          <w:szCs w:val="22"/>
          <w:lang w:eastAsia="nl-NL"/>
        </w:rPr>
        <w:t xml:space="preserve">wnership is significantly positively associated with the disclosure of non-financial information. </w:t>
      </w:r>
      <w:r w:rsidR="00C46F44">
        <w:rPr>
          <w:rFonts w:cs="Calibri"/>
          <w:color w:val="000000"/>
          <w:sz w:val="22"/>
          <w:szCs w:val="22"/>
          <w:lang w:eastAsia="nl-NL"/>
        </w:rPr>
        <w:t>Therefore</w:t>
      </w:r>
      <w:r w:rsidR="006F2592">
        <w:rPr>
          <w:rFonts w:cs="Calibri"/>
          <w:color w:val="000000"/>
          <w:sz w:val="22"/>
          <w:szCs w:val="22"/>
          <w:lang w:eastAsia="nl-NL"/>
        </w:rPr>
        <w:t xml:space="preserve">, when managerial ownership increases it is likely that the voluntary disclosures on non-financial information increase. </w:t>
      </w:r>
      <w:r w:rsidR="00D34C10">
        <w:rPr>
          <w:rFonts w:cs="Calibri"/>
          <w:color w:val="000000"/>
          <w:sz w:val="22"/>
          <w:szCs w:val="22"/>
          <w:lang w:eastAsia="nl-NL"/>
        </w:rPr>
        <w:t xml:space="preserve">A logical explanation is that strategic and financial information is </w:t>
      </w:r>
      <w:r w:rsidR="00E543C9">
        <w:rPr>
          <w:rFonts w:cs="Calibri"/>
          <w:color w:val="000000"/>
          <w:sz w:val="22"/>
          <w:szCs w:val="22"/>
          <w:lang w:eastAsia="nl-NL"/>
        </w:rPr>
        <w:t xml:space="preserve">provided </w:t>
      </w:r>
      <w:r w:rsidR="00D34C10">
        <w:rPr>
          <w:rFonts w:cs="Calibri"/>
          <w:color w:val="000000"/>
          <w:sz w:val="22"/>
          <w:szCs w:val="22"/>
          <w:lang w:eastAsia="nl-NL"/>
        </w:rPr>
        <w:t xml:space="preserve">more often throughout the year </w:t>
      </w:r>
      <w:r w:rsidR="00973875">
        <w:rPr>
          <w:rFonts w:cs="Calibri"/>
          <w:color w:val="000000"/>
          <w:sz w:val="22"/>
          <w:szCs w:val="22"/>
          <w:lang w:eastAsia="nl-NL"/>
        </w:rPr>
        <w:t>compared with</w:t>
      </w:r>
      <w:r w:rsidR="00D34C10">
        <w:rPr>
          <w:rFonts w:cs="Calibri"/>
          <w:color w:val="000000"/>
          <w:sz w:val="22"/>
          <w:szCs w:val="22"/>
          <w:lang w:eastAsia="nl-NL"/>
        </w:rPr>
        <w:t xml:space="preserve"> non-financial information. Via for example, earnings announcements and quarterly reports. Non-financial information is however, disclosed less frequently, mainly in the annual report once a year. Therefore, it is likely that managerial ownership has more influence on the disclosure of non-financial information in the annual report than on strategic and financial information as this information is already disclosed </w:t>
      </w:r>
      <w:r w:rsidR="00177E64">
        <w:rPr>
          <w:rFonts w:cs="Calibri"/>
          <w:color w:val="000000"/>
          <w:sz w:val="22"/>
          <w:szCs w:val="22"/>
          <w:lang w:eastAsia="nl-NL"/>
        </w:rPr>
        <w:t xml:space="preserve">elsewhere. </w:t>
      </w:r>
    </w:p>
    <w:p w:rsidR="00A95413" w:rsidRDefault="00A95413" w:rsidP="001D4BB3">
      <w:pPr>
        <w:spacing w:after="0"/>
        <w:jc w:val="both"/>
        <w:rPr>
          <w:rFonts w:cs="Calibri"/>
          <w:color w:val="000000"/>
          <w:sz w:val="22"/>
          <w:szCs w:val="22"/>
          <w:lang w:eastAsia="nl-NL"/>
        </w:rPr>
      </w:pPr>
      <w:r w:rsidRPr="00046999">
        <w:rPr>
          <w:rFonts w:cs="Calibri"/>
          <w:color w:val="000000"/>
          <w:sz w:val="22"/>
          <w:szCs w:val="22"/>
          <w:lang w:eastAsia="nl-NL"/>
        </w:rPr>
        <w:t xml:space="preserve">In this study </w:t>
      </w:r>
      <w:r w:rsidR="007520B9">
        <w:rPr>
          <w:rFonts w:cs="Calibri"/>
          <w:color w:val="000000"/>
          <w:sz w:val="22"/>
          <w:szCs w:val="22"/>
          <w:lang w:eastAsia="nl-NL"/>
        </w:rPr>
        <w:t>it is expected that</w:t>
      </w:r>
      <w:r w:rsidRPr="00046999">
        <w:rPr>
          <w:rFonts w:cs="Calibri"/>
          <w:color w:val="000000"/>
          <w:sz w:val="22"/>
          <w:szCs w:val="22"/>
          <w:lang w:eastAsia="nl-NL"/>
        </w:rPr>
        <w:t xml:space="preserve"> </w:t>
      </w:r>
      <w:r w:rsidR="00463ADD">
        <w:rPr>
          <w:rFonts w:cs="Calibri"/>
          <w:color w:val="000000"/>
          <w:sz w:val="22"/>
          <w:szCs w:val="22"/>
          <w:lang w:eastAsia="nl-NL"/>
        </w:rPr>
        <w:t>additional voluntary disclosure will be provided if this is beneficial for the firm</w:t>
      </w:r>
      <w:r w:rsidR="00165B98">
        <w:rPr>
          <w:rFonts w:cs="Calibri"/>
          <w:color w:val="000000"/>
          <w:sz w:val="22"/>
          <w:szCs w:val="22"/>
          <w:lang w:eastAsia="nl-NL"/>
        </w:rPr>
        <w:t xml:space="preserve"> and hence for the managers</w:t>
      </w:r>
      <w:r w:rsidR="00463ADD">
        <w:rPr>
          <w:rFonts w:cs="Calibri"/>
          <w:color w:val="000000"/>
          <w:sz w:val="22"/>
          <w:szCs w:val="22"/>
          <w:lang w:eastAsia="nl-NL"/>
        </w:rPr>
        <w:t xml:space="preserve">. </w:t>
      </w:r>
      <w:r w:rsidR="00CC4F51">
        <w:rPr>
          <w:rFonts w:cs="Calibri"/>
          <w:sz w:val="22"/>
          <w:szCs w:val="22"/>
        </w:rPr>
        <w:t>The information disclosed also depends on whether the self-interest focus is short term of long term.</w:t>
      </w:r>
      <w:r w:rsidR="00F92D17">
        <w:rPr>
          <w:rFonts w:cs="Calibri"/>
          <w:sz w:val="22"/>
          <w:szCs w:val="22"/>
        </w:rPr>
        <w:t xml:space="preserve"> For example, a manager could withhold some information if it aims an increase in share prices in the short term while in the long run it would have been better to disclose the information.</w:t>
      </w:r>
      <w:r w:rsidR="0052503F">
        <w:rPr>
          <w:rFonts w:cs="Calibri"/>
          <w:sz w:val="22"/>
          <w:szCs w:val="22"/>
        </w:rPr>
        <w:t xml:space="preserve"> To conclude, i</w:t>
      </w:r>
      <w:r w:rsidR="00463ADD">
        <w:rPr>
          <w:rFonts w:cs="Calibri"/>
          <w:color w:val="000000"/>
          <w:sz w:val="22"/>
          <w:szCs w:val="22"/>
          <w:lang w:eastAsia="nl-NL"/>
        </w:rPr>
        <w:t>t is expected that important strategic and financial information is already disclosed throughout the year</w:t>
      </w:r>
      <w:r w:rsidR="009D55EE">
        <w:rPr>
          <w:rFonts w:cs="Calibri"/>
          <w:color w:val="000000"/>
          <w:sz w:val="22"/>
          <w:szCs w:val="22"/>
          <w:lang w:eastAsia="nl-NL"/>
        </w:rPr>
        <w:t xml:space="preserve"> in other reports/announcements</w:t>
      </w:r>
      <w:r w:rsidR="00463ADD">
        <w:rPr>
          <w:rFonts w:cs="Calibri"/>
          <w:color w:val="000000"/>
          <w:sz w:val="22"/>
          <w:szCs w:val="22"/>
          <w:lang w:eastAsia="nl-NL"/>
        </w:rPr>
        <w:t xml:space="preserve"> and that is why evidence shows an insignificant </w:t>
      </w:r>
      <w:r w:rsidR="009D55EE">
        <w:rPr>
          <w:rFonts w:cs="Calibri"/>
          <w:color w:val="000000"/>
          <w:sz w:val="22"/>
          <w:szCs w:val="22"/>
          <w:lang w:eastAsia="nl-NL"/>
        </w:rPr>
        <w:t xml:space="preserve">overall </w:t>
      </w:r>
      <w:r w:rsidR="00463ADD">
        <w:rPr>
          <w:rFonts w:cs="Calibri"/>
          <w:color w:val="000000"/>
          <w:sz w:val="22"/>
          <w:szCs w:val="22"/>
          <w:lang w:eastAsia="nl-NL"/>
        </w:rPr>
        <w:t xml:space="preserve">association. </w:t>
      </w:r>
    </w:p>
    <w:p w:rsidR="00243FD4" w:rsidRPr="00046999" w:rsidRDefault="00243FD4" w:rsidP="001D4BB3">
      <w:pPr>
        <w:spacing w:after="0"/>
        <w:jc w:val="both"/>
        <w:rPr>
          <w:rFonts w:cs="Calibri"/>
          <w:color w:val="000000"/>
          <w:sz w:val="22"/>
          <w:szCs w:val="22"/>
          <w:lang w:eastAsia="nl-NL"/>
        </w:rPr>
      </w:pPr>
    </w:p>
    <w:p w:rsidR="00A95413" w:rsidRPr="00046999" w:rsidRDefault="00A95413" w:rsidP="001D4BB3">
      <w:pPr>
        <w:spacing w:after="0"/>
        <w:ind w:left="700"/>
        <w:jc w:val="both"/>
        <w:rPr>
          <w:rFonts w:cs="Calibri"/>
          <w:i/>
          <w:sz w:val="22"/>
          <w:szCs w:val="22"/>
          <w:lang w:eastAsia="nl-NL"/>
        </w:rPr>
      </w:pPr>
      <w:r w:rsidRPr="00046999">
        <w:rPr>
          <w:rFonts w:cs="Calibri"/>
          <w:i/>
          <w:sz w:val="22"/>
          <w:szCs w:val="22"/>
          <w:lang w:eastAsia="nl-NL"/>
        </w:rPr>
        <w:lastRenderedPageBreak/>
        <w:t>H2: Blockholder ownership is negatively related to the extent of voluntary disclosures.</w:t>
      </w:r>
    </w:p>
    <w:p w:rsidR="00A95413" w:rsidRPr="000F079B" w:rsidRDefault="00A95413" w:rsidP="001D4BB3">
      <w:pPr>
        <w:jc w:val="both"/>
        <w:rPr>
          <w:rStyle w:val="Nadruk"/>
        </w:rPr>
      </w:pPr>
      <w:r w:rsidRPr="000F079B">
        <w:rPr>
          <w:rStyle w:val="Nadruk"/>
        </w:rPr>
        <w:t>Results</w:t>
      </w:r>
    </w:p>
    <w:p w:rsidR="00A95413" w:rsidRDefault="00A95413" w:rsidP="001D4BB3">
      <w:pPr>
        <w:jc w:val="both"/>
        <w:rPr>
          <w:rFonts w:cs="Calibri"/>
          <w:sz w:val="22"/>
          <w:szCs w:val="22"/>
          <w:lang w:eastAsia="nl-NL"/>
        </w:rPr>
      </w:pPr>
      <w:r w:rsidRPr="00046999">
        <w:rPr>
          <w:rFonts w:cs="Calibri"/>
          <w:sz w:val="22"/>
          <w:szCs w:val="22"/>
          <w:lang w:eastAsia="nl-NL"/>
        </w:rPr>
        <w:t>Blockholder ownership, as mentioned above, is negatively associated with voluntary disclosures in the Pearson correlation table at the significance level of 0.01. When the control variables are introduced in regress</w:t>
      </w:r>
      <w:r w:rsidR="006B7766">
        <w:rPr>
          <w:rFonts w:cs="Calibri"/>
          <w:sz w:val="22"/>
          <w:szCs w:val="22"/>
          <w:lang w:eastAsia="nl-NL"/>
        </w:rPr>
        <w:t>ion 2, the association between b</w:t>
      </w:r>
      <w:r w:rsidRPr="00046999">
        <w:rPr>
          <w:rFonts w:cs="Calibri"/>
          <w:sz w:val="22"/>
          <w:szCs w:val="22"/>
          <w:lang w:eastAsia="nl-NL"/>
        </w:rPr>
        <w:t>lockholder ownership and voluntary disclosures is still negatively associated and now at the significance level of 0.05. Apparently, the control variables slightly mitigate the effect of blockholder ownership on</w:t>
      </w:r>
      <w:r w:rsidR="003B7465">
        <w:rPr>
          <w:rFonts w:cs="Calibri"/>
          <w:sz w:val="22"/>
          <w:szCs w:val="22"/>
          <w:lang w:eastAsia="nl-NL"/>
        </w:rPr>
        <w:t xml:space="preserve"> voluntary disclosures. When m</w:t>
      </w:r>
      <w:r w:rsidRPr="00046999">
        <w:rPr>
          <w:rFonts w:cs="Calibri"/>
          <w:sz w:val="22"/>
          <w:szCs w:val="22"/>
          <w:lang w:eastAsia="nl-NL"/>
        </w:rPr>
        <w:t xml:space="preserve">anagerial ownership is included in regression 1, the association between blockholder ownership and voluntary disclosures is still negative but becomes less strong; </w:t>
      </w:r>
      <w:r>
        <w:rPr>
          <w:rFonts w:cs="Calibri"/>
          <w:sz w:val="22"/>
          <w:szCs w:val="22"/>
          <w:lang w:eastAsia="nl-NL"/>
        </w:rPr>
        <w:t xml:space="preserve">it is </w:t>
      </w:r>
      <w:r w:rsidRPr="00046999">
        <w:rPr>
          <w:rFonts w:cs="Calibri"/>
          <w:sz w:val="22"/>
          <w:szCs w:val="22"/>
          <w:lang w:eastAsia="nl-NL"/>
        </w:rPr>
        <w:t xml:space="preserve">now significant at 0.10. Overall, when the control variables and managerial ownership are included the association becomes less strong, nonetheless it remains significant. Therefore, H2 is accepted. </w:t>
      </w:r>
    </w:p>
    <w:p w:rsidR="00A95413" w:rsidRPr="000F079B" w:rsidRDefault="00A95413" w:rsidP="001D4BB3">
      <w:pPr>
        <w:jc w:val="both"/>
        <w:rPr>
          <w:rStyle w:val="Nadruk"/>
        </w:rPr>
      </w:pPr>
      <w:r w:rsidRPr="000F079B">
        <w:rPr>
          <w:rStyle w:val="Nadruk"/>
        </w:rPr>
        <w:t xml:space="preserve">Prior </w:t>
      </w:r>
      <w:r>
        <w:rPr>
          <w:rStyle w:val="Nadruk"/>
        </w:rPr>
        <w:t>Research</w:t>
      </w:r>
    </w:p>
    <w:p w:rsidR="00A95413" w:rsidRPr="00046999" w:rsidRDefault="00A95413" w:rsidP="001D4BB3">
      <w:pPr>
        <w:jc w:val="both"/>
        <w:rPr>
          <w:rFonts w:cs="Calibri"/>
          <w:sz w:val="22"/>
          <w:szCs w:val="22"/>
          <w:lang w:eastAsia="nl-NL"/>
        </w:rPr>
      </w:pPr>
      <w:r w:rsidRPr="00046999">
        <w:rPr>
          <w:rFonts w:cs="Calibri"/>
          <w:sz w:val="22"/>
          <w:szCs w:val="22"/>
          <w:lang w:eastAsia="nl-NL"/>
        </w:rPr>
        <w:t xml:space="preserve">Regarding prior literature on </w:t>
      </w:r>
      <w:r w:rsidR="007C2E5C">
        <w:rPr>
          <w:rFonts w:cs="Calibri"/>
          <w:sz w:val="22"/>
          <w:szCs w:val="22"/>
          <w:lang w:eastAsia="nl-NL"/>
        </w:rPr>
        <w:t>b</w:t>
      </w:r>
      <w:r w:rsidRPr="00046999">
        <w:rPr>
          <w:rFonts w:cs="Calibri"/>
          <w:sz w:val="22"/>
          <w:szCs w:val="22"/>
          <w:lang w:eastAsia="nl-NL"/>
        </w:rPr>
        <w:t>lockholder ownership the results obtained are similar to the results from Zourarakis (2009), who also found a negative association between blockholder ownership is disclosure scores. Eng and Mak (2003) also expected this relation but found no significant evidence for this. The results however contrast the evidence found by Huafang and Jianguo (2007), who found a significant positive association. The results from Huafang and Jianguo (2007) could differ as their study was conducted in China. The average disclosure score in their study is 23,43% whereas the average disclosure score in this study is 56,90%. So in general</w:t>
      </w:r>
      <w:r>
        <w:rPr>
          <w:rFonts w:cs="Calibri"/>
          <w:sz w:val="22"/>
          <w:szCs w:val="22"/>
          <w:lang w:eastAsia="nl-NL"/>
        </w:rPr>
        <w:t xml:space="preserve"> (even tough different disclosure score sheets are used) it appears that</w:t>
      </w:r>
      <w:r w:rsidRPr="00046999">
        <w:rPr>
          <w:rFonts w:cs="Calibri"/>
          <w:sz w:val="22"/>
          <w:szCs w:val="22"/>
          <w:lang w:eastAsia="nl-NL"/>
        </w:rPr>
        <w:t xml:space="preserve"> the disclosure environment in China is lower than in Europe. Furthermore it is noted that China has a week legal system (Huafang and Jianguo, 2007.) Therefore, a possible reason for the differences in results could be that shareholders are not very well protected in China compared to Europe</w:t>
      </w:r>
      <w:r>
        <w:rPr>
          <w:rFonts w:cs="Calibri"/>
          <w:sz w:val="22"/>
          <w:szCs w:val="22"/>
          <w:lang w:eastAsia="nl-NL"/>
        </w:rPr>
        <w:t xml:space="preserve"> (even though in shareholder protection in Europe is also not very high as described in paragraph 2.5)</w:t>
      </w:r>
      <w:r w:rsidRPr="00046999">
        <w:rPr>
          <w:rFonts w:cs="Calibri"/>
          <w:sz w:val="22"/>
          <w:szCs w:val="22"/>
          <w:lang w:eastAsia="nl-NL"/>
        </w:rPr>
        <w:t>. Therefore, blockholders in China can be more influential and powerful compared to small shareholders. So, when there are more blockholders in Chinese firms they can serve as monitoring agents and influence management. Hence managers will disclose more information when there is higher degree of blockholder ownership. Also as in general, Chinese firms disclose less information; blockholders can have relatively more influence on the provision of voluntary disclosures compared to Europe where on average firms already disclose a high degree of information.</w:t>
      </w:r>
    </w:p>
    <w:p w:rsidR="00A95413" w:rsidRDefault="00A95413" w:rsidP="001D4BB3">
      <w:pPr>
        <w:spacing w:after="0"/>
        <w:jc w:val="both"/>
        <w:rPr>
          <w:rFonts w:cs="Calibri"/>
          <w:sz w:val="22"/>
          <w:szCs w:val="22"/>
        </w:rPr>
      </w:pPr>
      <w:r w:rsidRPr="00046999">
        <w:rPr>
          <w:rFonts w:cs="Calibri"/>
          <w:sz w:val="22"/>
          <w:szCs w:val="22"/>
        </w:rPr>
        <w:t>Contrary to China were it is expected that higher blockholder ownership leads to increased monitoring, in Europe it is expected that higher blockholder ownership leads to decreased monitoring. In this study it is expected that the negative association between blockholder ownership and voluntary disclosures exists because; higher blockholder ownership means that the shares are controlled by a small group of people, hence ownership is concentrated. When ownership is very concentrated, less monitoring is required</w:t>
      </w:r>
      <w:r w:rsidR="00F823C0">
        <w:rPr>
          <w:rFonts w:cs="Calibri"/>
          <w:sz w:val="22"/>
          <w:szCs w:val="22"/>
        </w:rPr>
        <w:t xml:space="preserve"> and more insider communication takes place</w:t>
      </w:r>
      <w:r w:rsidRPr="00046999">
        <w:rPr>
          <w:rFonts w:cs="Calibri"/>
          <w:sz w:val="22"/>
          <w:szCs w:val="22"/>
        </w:rPr>
        <w:t xml:space="preserve">. Less monitoring </w:t>
      </w:r>
      <w:r w:rsidR="00F823C0">
        <w:rPr>
          <w:rFonts w:cs="Calibri"/>
          <w:sz w:val="22"/>
          <w:szCs w:val="22"/>
        </w:rPr>
        <w:t xml:space="preserve">and more insider communication </w:t>
      </w:r>
      <w:r w:rsidR="000C2C9D" w:rsidRPr="00046999">
        <w:rPr>
          <w:rFonts w:cs="Calibri"/>
          <w:sz w:val="22"/>
          <w:szCs w:val="22"/>
        </w:rPr>
        <w:t>lead</w:t>
      </w:r>
      <w:r w:rsidRPr="00046999">
        <w:rPr>
          <w:rFonts w:cs="Calibri"/>
          <w:sz w:val="22"/>
          <w:szCs w:val="22"/>
        </w:rPr>
        <w:t xml:space="preserve"> to less </w:t>
      </w:r>
      <w:r w:rsidR="00F823C0">
        <w:rPr>
          <w:rFonts w:cs="Calibri"/>
          <w:sz w:val="22"/>
          <w:szCs w:val="22"/>
        </w:rPr>
        <w:t xml:space="preserve">need for </w:t>
      </w:r>
      <w:r w:rsidRPr="00046999">
        <w:rPr>
          <w:rFonts w:cs="Calibri"/>
          <w:sz w:val="22"/>
          <w:szCs w:val="22"/>
        </w:rPr>
        <w:t>voluntary disclosures.</w:t>
      </w:r>
      <w:r w:rsidR="000D0E36">
        <w:rPr>
          <w:rFonts w:cs="Calibri"/>
          <w:sz w:val="22"/>
          <w:szCs w:val="22"/>
        </w:rPr>
        <w:t xml:space="preserve"> </w:t>
      </w:r>
    </w:p>
    <w:p w:rsidR="00243FD4" w:rsidRPr="00046999" w:rsidRDefault="00243FD4" w:rsidP="001D4BB3">
      <w:pPr>
        <w:spacing w:after="0"/>
        <w:jc w:val="both"/>
        <w:rPr>
          <w:rFonts w:cs="Calibri"/>
          <w:sz w:val="22"/>
          <w:szCs w:val="22"/>
          <w:lang w:eastAsia="nl-NL"/>
        </w:rPr>
      </w:pPr>
    </w:p>
    <w:p w:rsidR="001D2B40" w:rsidRPr="00243FD4" w:rsidRDefault="00A95413" w:rsidP="00243FD4">
      <w:pPr>
        <w:spacing w:after="0"/>
        <w:jc w:val="both"/>
        <w:rPr>
          <w:rStyle w:val="Nadruk"/>
          <w:rFonts w:cs="Calibri"/>
          <w:i/>
          <w:caps w:val="0"/>
          <w:color w:val="auto"/>
          <w:spacing w:val="0"/>
          <w:sz w:val="22"/>
          <w:szCs w:val="22"/>
          <w:lang w:eastAsia="nl-NL"/>
        </w:rPr>
      </w:pPr>
      <w:r w:rsidRPr="00046999">
        <w:rPr>
          <w:rFonts w:cs="Calibri"/>
          <w:sz w:val="22"/>
          <w:szCs w:val="22"/>
          <w:lang w:eastAsia="nl-NL"/>
        </w:rPr>
        <w:lastRenderedPageBreak/>
        <w:tab/>
      </w:r>
      <w:r w:rsidRPr="00046999">
        <w:rPr>
          <w:rFonts w:cs="Calibri"/>
          <w:i/>
          <w:sz w:val="22"/>
          <w:szCs w:val="22"/>
          <w:lang w:eastAsia="nl-NL"/>
        </w:rPr>
        <w:t>H3: Government ownership is positively related to the extent of voluntary disclosures.</w:t>
      </w:r>
    </w:p>
    <w:p w:rsidR="00A95413" w:rsidRPr="000F079B" w:rsidRDefault="00A95413" w:rsidP="001D4BB3">
      <w:pPr>
        <w:jc w:val="both"/>
        <w:rPr>
          <w:rStyle w:val="Nadruk"/>
        </w:rPr>
      </w:pPr>
      <w:r w:rsidRPr="000F079B">
        <w:rPr>
          <w:rStyle w:val="Nadruk"/>
        </w:rPr>
        <w:t>Results</w:t>
      </w:r>
    </w:p>
    <w:p w:rsidR="00A95413" w:rsidRPr="00046999" w:rsidRDefault="00A95413" w:rsidP="001D4BB3">
      <w:pPr>
        <w:jc w:val="both"/>
        <w:rPr>
          <w:rFonts w:cs="Calibri"/>
          <w:sz w:val="22"/>
          <w:szCs w:val="22"/>
        </w:rPr>
      </w:pPr>
      <w:r w:rsidRPr="00046999">
        <w:rPr>
          <w:rFonts w:cs="Calibri"/>
          <w:sz w:val="22"/>
          <w:szCs w:val="22"/>
        </w:rPr>
        <w:t xml:space="preserve">Lastly, the non-parametric test is analyzed; the association between government ownership and voluntary disclosures. </w:t>
      </w:r>
      <w:r w:rsidR="00E14763">
        <w:rPr>
          <w:rFonts w:cs="Calibri"/>
          <w:sz w:val="22"/>
          <w:szCs w:val="22"/>
        </w:rPr>
        <w:t>As mentioned before the Spearman</w:t>
      </w:r>
      <w:r w:rsidRPr="00046999">
        <w:rPr>
          <w:rFonts w:cs="Calibri"/>
          <w:sz w:val="22"/>
          <w:szCs w:val="22"/>
        </w:rPr>
        <w:t xml:space="preserve"> correlation test showed that there is a significant positive association between government ownership and voluntary disclosures. So a higher degree of government ownership is associated with a higher voluntary disclosure score. It could be that the control variables would have (slightly) eliminated this </w:t>
      </w:r>
      <w:r w:rsidR="00FE7156" w:rsidRPr="00046999">
        <w:rPr>
          <w:rFonts w:cs="Calibri"/>
          <w:sz w:val="22"/>
          <w:szCs w:val="22"/>
        </w:rPr>
        <w:t>association;</w:t>
      </w:r>
      <w:r w:rsidRPr="00046999">
        <w:rPr>
          <w:rFonts w:cs="Calibri"/>
          <w:sz w:val="22"/>
          <w:szCs w:val="22"/>
        </w:rPr>
        <w:t xml:space="preserve"> however, as government ownership is not normally distributed the results of the regression would not be reliable. Therefore, it is assumed th</w:t>
      </w:r>
      <w:r w:rsidR="00E14763">
        <w:rPr>
          <w:rFonts w:cs="Calibri"/>
          <w:sz w:val="22"/>
          <w:szCs w:val="22"/>
        </w:rPr>
        <w:t>at the results from the Spearman</w:t>
      </w:r>
      <w:r w:rsidRPr="00046999">
        <w:rPr>
          <w:rFonts w:cs="Calibri"/>
          <w:sz w:val="22"/>
          <w:szCs w:val="22"/>
        </w:rPr>
        <w:t xml:space="preserve"> correlation are </w:t>
      </w:r>
      <w:r w:rsidR="00423FB6">
        <w:rPr>
          <w:rFonts w:cs="Calibri"/>
          <w:sz w:val="22"/>
          <w:szCs w:val="22"/>
        </w:rPr>
        <w:t>useful</w:t>
      </w:r>
      <w:r w:rsidRPr="00046999">
        <w:rPr>
          <w:rFonts w:cs="Calibri"/>
          <w:sz w:val="22"/>
          <w:szCs w:val="22"/>
        </w:rPr>
        <w:t xml:space="preserve">. This positive association is in line with what was expected and hence, H3 can be accepted. </w:t>
      </w:r>
    </w:p>
    <w:p w:rsidR="00A95413" w:rsidRPr="000F079B" w:rsidRDefault="00A95413" w:rsidP="001D4BB3">
      <w:pPr>
        <w:jc w:val="both"/>
        <w:rPr>
          <w:rStyle w:val="Nadruk"/>
        </w:rPr>
      </w:pPr>
      <w:r w:rsidRPr="000F079B">
        <w:rPr>
          <w:rStyle w:val="Nadruk"/>
        </w:rPr>
        <w:t>Pri</w:t>
      </w:r>
      <w:r>
        <w:rPr>
          <w:rStyle w:val="Nadruk"/>
        </w:rPr>
        <w:t>o</w:t>
      </w:r>
      <w:r w:rsidRPr="000F079B">
        <w:rPr>
          <w:rStyle w:val="Nadruk"/>
        </w:rPr>
        <w:t xml:space="preserve">r </w:t>
      </w:r>
      <w:r>
        <w:rPr>
          <w:rStyle w:val="Nadruk"/>
        </w:rPr>
        <w:t>Research</w:t>
      </w:r>
    </w:p>
    <w:p w:rsidR="00A95413" w:rsidRDefault="00A95413" w:rsidP="001D4BB3">
      <w:pPr>
        <w:jc w:val="both"/>
        <w:rPr>
          <w:rFonts w:cs="Calibri"/>
          <w:sz w:val="22"/>
          <w:szCs w:val="22"/>
          <w:lang w:eastAsia="nl-NL"/>
        </w:rPr>
      </w:pPr>
      <w:r w:rsidRPr="00046999">
        <w:rPr>
          <w:rFonts w:cs="Calibri"/>
          <w:sz w:val="22"/>
          <w:szCs w:val="22"/>
        </w:rPr>
        <w:t>This result is similar to the study of Eng and Mak (2003) who found a positive association between</w:t>
      </w:r>
      <w:r w:rsidRPr="00046999">
        <w:rPr>
          <w:rFonts w:cs="Calibri"/>
          <w:sz w:val="22"/>
          <w:szCs w:val="22"/>
          <w:lang w:eastAsia="nl-NL"/>
        </w:rPr>
        <w:t xml:space="preserve"> government-linked companies (GLC’s) </w:t>
      </w:r>
      <w:r w:rsidR="0010127D">
        <w:rPr>
          <w:rFonts w:cs="Calibri"/>
          <w:sz w:val="22"/>
          <w:szCs w:val="22"/>
          <w:lang w:eastAsia="nl-NL"/>
        </w:rPr>
        <w:t>and voluntary disclosure score.</w:t>
      </w:r>
      <w:r w:rsidRPr="00046999">
        <w:rPr>
          <w:rFonts w:cs="Calibri"/>
          <w:sz w:val="22"/>
          <w:szCs w:val="22"/>
          <w:lang w:eastAsia="nl-NL"/>
        </w:rPr>
        <w:t xml:space="preserve"> Furthermore, the result is also similar to the expectations of Huafang and Jianguo (2007). However, they found no significant evidence that state ownership is positively related to the extent of voluntary disclosures. The expected reason of this positive association between government ownership and voluntary disclosures is that governments request more transparency from the firms they invest in and hence the demand for voluntary disclosures increases and subsequently the supply of voluntary disclosures also increases. </w:t>
      </w:r>
    </w:p>
    <w:p w:rsidR="00A95413" w:rsidRPr="00BD4A86" w:rsidRDefault="00A95413" w:rsidP="001D4BB3">
      <w:pPr>
        <w:jc w:val="both"/>
        <w:rPr>
          <w:rStyle w:val="Nadruk"/>
        </w:rPr>
      </w:pPr>
      <w:r w:rsidRPr="00BD4A86">
        <w:rPr>
          <w:rStyle w:val="Nadruk"/>
        </w:rPr>
        <w:t>Control variables</w:t>
      </w:r>
    </w:p>
    <w:p w:rsidR="006647CA" w:rsidRDefault="00A95413" w:rsidP="001D4BB3">
      <w:pPr>
        <w:jc w:val="both"/>
        <w:rPr>
          <w:rFonts w:cs="Calibri"/>
          <w:color w:val="000000"/>
          <w:sz w:val="22"/>
          <w:szCs w:val="22"/>
          <w:lang w:eastAsia="nl-NL"/>
        </w:rPr>
      </w:pPr>
      <w:r w:rsidRPr="00046999">
        <w:rPr>
          <w:rFonts w:cs="Calibri"/>
          <w:sz w:val="22"/>
          <w:szCs w:val="22"/>
          <w:lang w:eastAsia="nl-NL"/>
        </w:rPr>
        <w:t xml:space="preserve">The control variable </w:t>
      </w:r>
      <w:r>
        <w:rPr>
          <w:rFonts w:cs="Calibri"/>
          <w:sz w:val="22"/>
          <w:szCs w:val="22"/>
          <w:lang w:eastAsia="nl-NL"/>
        </w:rPr>
        <w:t>size</w:t>
      </w:r>
      <w:r w:rsidRPr="00046999">
        <w:rPr>
          <w:rFonts w:cs="Calibri"/>
          <w:sz w:val="22"/>
          <w:szCs w:val="22"/>
          <w:lang w:eastAsia="nl-NL"/>
        </w:rPr>
        <w:t xml:space="preserve"> is clearly associated with the extent of voluntary disclosures as the significance in all three </w:t>
      </w:r>
      <w:r w:rsidR="00AD6F87" w:rsidRPr="00046999">
        <w:rPr>
          <w:rFonts w:cs="Calibri"/>
          <w:sz w:val="22"/>
          <w:szCs w:val="22"/>
          <w:lang w:eastAsia="nl-NL"/>
        </w:rPr>
        <w:t>regressions</w:t>
      </w:r>
      <w:r w:rsidRPr="00046999">
        <w:rPr>
          <w:rFonts w:cs="Calibri"/>
          <w:sz w:val="22"/>
          <w:szCs w:val="22"/>
          <w:lang w:eastAsia="nl-NL"/>
        </w:rPr>
        <w:t xml:space="preserve"> is 0.000. This result is similar to prior studies who all found significant</w:t>
      </w:r>
      <w:r>
        <w:rPr>
          <w:rFonts w:cs="Calibri"/>
          <w:sz w:val="22"/>
          <w:szCs w:val="22"/>
          <w:lang w:eastAsia="nl-NL"/>
        </w:rPr>
        <w:t xml:space="preserve"> positive associations between s</w:t>
      </w:r>
      <w:r w:rsidRPr="00046999">
        <w:rPr>
          <w:rFonts w:cs="Calibri"/>
          <w:sz w:val="22"/>
          <w:szCs w:val="22"/>
          <w:lang w:eastAsia="nl-NL"/>
        </w:rPr>
        <w:t xml:space="preserve">ize and voluntary disclosures. </w:t>
      </w:r>
      <w:r w:rsidR="006A6A68" w:rsidRPr="00046999">
        <w:rPr>
          <w:rFonts w:cs="Calibri"/>
          <w:sz w:val="22"/>
          <w:szCs w:val="22"/>
          <w:lang w:eastAsia="nl-NL"/>
        </w:rPr>
        <w:t>A relatively simple explanation for this</w:t>
      </w:r>
      <w:r w:rsidR="006A6A68">
        <w:rPr>
          <w:rFonts w:cs="Calibri"/>
          <w:sz w:val="22"/>
          <w:szCs w:val="22"/>
          <w:lang w:eastAsia="nl-NL"/>
        </w:rPr>
        <w:t xml:space="preserve"> is that the larger the firm is</w:t>
      </w:r>
      <w:r w:rsidR="006A6A68" w:rsidRPr="00046999">
        <w:rPr>
          <w:rFonts w:cs="Calibri"/>
          <w:sz w:val="22"/>
          <w:szCs w:val="22"/>
          <w:lang w:eastAsia="nl-NL"/>
        </w:rPr>
        <w:t xml:space="preserve"> the more components are available to </w:t>
      </w:r>
      <w:r w:rsidR="006A6A68">
        <w:rPr>
          <w:rFonts w:cs="Calibri"/>
          <w:sz w:val="22"/>
          <w:szCs w:val="22"/>
          <w:lang w:eastAsia="nl-NL"/>
        </w:rPr>
        <w:t xml:space="preserve">disclose. </w:t>
      </w:r>
      <w:r>
        <w:rPr>
          <w:rFonts w:cs="Calibri"/>
          <w:sz w:val="22"/>
          <w:szCs w:val="22"/>
          <w:lang w:eastAsia="nl-NL"/>
        </w:rPr>
        <w:t xml:space="preserve">In addition, it was argued by </w:t>
      </w:r>
      <w:r w:rsidRPr="00046999">
        <w:rPr>
          <w:rFonts w:cs="Calibri"/>
          <w:sz w:val="22"/>
          <w:szCs w:val="22"/>
        </w:rPr>
        <w:t>Meek et al. (1995) that large firms usually disclose more information compared to smaller companies because large firms have more agency costs and a wider ownership distribution so they are triggere</w:t>
      </w:r>
      <w:r>
        <w:rPr>
          <w:rFonts w:cs="Calibri"/>
          <w:sz w:val="22"/>
          <w:szCs w:val="22"/>
        </w:rPr>
        <w:t>d to disclose more information.</w:t>
      </w:r>
      <w:r>
        <w:rPr>
          <w:rFonts w:cs="Calibri"/>
          <w:sz w:val="22"/>
          <w:szCs w:val="22"/>
          <w:lang w:eastAsia="nl-NL"/>
        </w:rPr>
        <w:t xml:space="preserve"> The control variable l</w:t>
      </w:r>
      <w:r w:rsidRPr="00046999">
        <w:rPr>
          <w:rFonts w:cs="Calibri"/>
          <w:sz w:val="22"/>
          <w:szCs w:val="22"/>
          <w:lang w:eastAsia="nl-NL"/>
        </w:rPr>
        <w:t xml:space="preserve">everage is positively but not significantly associated with the extent of voluntary disclosures. So the debt situation of the firm is not significantly associated with the extent of voluntary disclosures provided. At last, profitability is positively associated with the extent of voluntary disclosures at the 0.10 level. So when a firm is more profitable, it is more likely to disclose more information. The expected reason for this is related to the Political cost hypothesis; more profitable firms are under more political attention, so to decrease this attention and prevent potential investigations they increase voluntary disclosures. In addition, more profitable firms also might have more activities to disclose about or more money to spend time and effort in providing voluntary disclosures. </w:t>
      </w:r>
      <w:r>
        <w:rPr>
          <w:rFonts w:cs="Calibri"/>
          <w:sz w:val="22"/>
          <w:szCs w:val="22"/>
          <w:lang w:eastAsia="nl-NL"/>
        </w:rPr>
        <w:t xml:space="preserve">It is also noted by </w:t>
      </w:r>
      <w:r w:rsidRPr="00046999">
        <w:rPr>
          <w:rFonts w:cs="Calibri"/>
          <w:color w:val="000000"/>
          <w:sz w:val="22"/>
          <w:szCs w:val="22"/>
          <w:lang w:eastAsia="nl-NL"/>
        </w:rPr>
        <w:t>Meek et al. (1995) that more profitable companies will disclose more information because they want to differentiate themselves from compa</w:t>
      </w:r>
      <w:r>
        <w:rPr>
          <w:rFonts w:cs="Calibri"/>
          <w:color w:val="000000"/>
          <w:sz w:val="22"/>
          <w:szCs w:val="22"/>
          <w:lang w:eastAsia="nl-NL"/>
        </w:rPr>
        <w:t>nies which are less profitable.</w:t>
      </w:r>
      <w:r w:rsidRPr="00046999">
        <w:rPr>
          <w:rFonts w:cs="Calibri"/>
          <w:color w:val="000000"/>
          <w:sz w:val="22"/>
          <w:szCs w:val="22"/>
          <w:lang w:eastAsia="nl-NL"/>
        </w:rPr>
        <w:t xml:space="preserve"> </w:t>
      </w:r>
    </w:p>
    <w:p w:rsidR="00243FD4" w:rsidRDefault="00243FD4" w:rsidP="001D4BB3">
      <w:pPr>
        <w:jc w:val="both"/>
        <w:rPr>
          <w:rFonts w:cs="Calibri"/>
          <w:color w:val="000000"/>
          <w:sz w:val="22"/>
          <w:szCs w:val="22"/>
          <w:lang w:eastAsia="nl-NL"/>
        </w:rPr>
      </w:pPr>
    </w:p>
    <w:p w:rsidR="00243FD4" w:rsidRPr="006B0C6A" w:rsidRDefault="00243FD4" w:rsidP="001D4BB3">
      <w:pPr>
        <w:jc w:val="both"/>
        <w:rPr>
          <w:rFonts w:cs="Calibri"/>
          <w:color w:val="000000"/>
          <w:sz w:val="22"/>
          <w:szCs w:val="22"/>
          <w:lang w:eastAsia="nl-NL"/>
        </w:rPr>
      </w:pPr>
    </w:p>
    <w:p w:rsidR="00A95413" w:rsidRPr="00046999" w:rsidRDefault="00A95413" w:rsidP="001D4BB3">
      <w:pPr>
        <w:pStyle w:val="Kop2"/>
        <w:jc w:val="both"/>
        <w:rPr>
          <w:rFonts w:cs="Calibri"/>
          <w:lang w:eastAsia="nl-NL"/>
        </w:rPr>
      </w:pPr>
      <w:bookmarkStart w:id="143" w:name="_Toc320365353"/>
      <w:r w:rsidRPr="00046999">
        <w:rPr>
          <w:rFonts w:cs="Calibri"/>
          <w:lang w:eastAsia="nl-NL"/>
        </w:rPr>
        <w:lastRenderedPageBreak/>
        <w:t>9.3 Country analysis</w:t>
      </w:r>
      <w:bookmarkEnd w:id="143"/>
    </w:p>
    <w:p w:rsidR="00A95413" w:rsidRPr="00046999" w:rsidRDefault="00A95413" w:rsidP="001D4BB3">
      <w:pPr>
        <w:jc w:val="both"/>
        <w:rPr>
          <w:rFonts w:cs="Calibri"/>
          <w:sz w:val="22"/>
          <w:szCs w:val="22"/>
          <w:lang w:eastAsia="nl-NL"/>
        </w:rPr>
      </w:pPr>
      <w:r w:rsidRPr="00046999">
        <w:rPr>
          <w:rFonts w:cs="Calibri"/>
          <w:sz w:val="22"/>
          <w:szCs w:val="22"/>
          <w:lang w:eastAsia="nl-NL"/>
        </w:rPr>
        <w:t xml:space="preserve">Examining the results per country </w:t>
      </w:r>
      <w:r w:rsidR="00305C91">
        <w:rPr>
          <w:rFonts w:cs="Calibri"/>
          <w:sz w:val="22"/>
          <w:szCs w:val="22"/>
          <w:lang w:eastAsia="nl-NL"/>
        </w:rPr>
        <w:t xml:space="preserve">shows that </w:t>
      </w:r>
      <w:r w:rsidRPr="00046999">
        <w:rPr>
          <w:rFonts w:cs="Calibri"/>
          <w:sz w:val="22"/>
          <w:szCs w:val="22"/>
          <w:lang w:eastAsia="nl-NL"/>
        </w:rPr>
        <w:t xml:space="preserve">no significant results regarding the ownership variables are observed, it is expected that this is related to the small sample size. The total sample size is 100 but the sample size per country is only 20; if the sample size was larger significant results might have been obtained. However, it was interesting to see that the signs (positive/negative) of the associations with voluntary disclosures </w:t>
      </w:r>
      <w:r w:rsidR="001F39EB">
        <w:rPr>
          <w:rFonts w:cs="Calibri"/>
          <w:sz w:val="22"/>
          <w:szCs w:val="22"/>
          <w:lang w:eastAsia="nl-NL"/>
        </w:rPr>
        <w:t>differed per country. Overall, b</w:t>
      </w:r>
      <w:r w:rsidRPr="00046999">
        <w:rPr>
          <w:rFonts w:cs="Calibri"/>
          <w:sz w:val="22"/>
          <w:szCs w:val="22"/>
          <w:lang w:eastAsia="nl-NL"/>
        </w:rPr>
        <w:t>lockholder ownership is negatively associated with voluntary disclosures and now is examined if this negati</w:t>
      </w:r>
      <w:r>
        <w:rPr>
          <w:rFonts w:cs="Calibri"/>
          <w:sz w:val="22"/>
          <w:szCs w:val="22"/>
          <w:lang w:eastAsia="nl-NL"/>
        </w:rPr>
        <w:t>ve associated is present in all</w:t>
      </w:r>
      <w:r w:rsidRPr="00046999">
        <w:rPr>
          <w:rFonts w:cs="Calibri"/>
          <w:sz w:val="22"/>
          <w:szCs w:val="22"/>
          <w:lang w:eastAsia="nl-NL"/>
        </w:rPr>
        <w:t xml:space="preserve"> countries. Blockholder ownership was negatively associated with voluntary disclosures in Germany, Italy, Belgium and the Netherlands but positively associated in France. This could be related to whether a country allows for a one-tier, two-tier or both as board models. German firms are mandated to operate in the two-tier board model; by having a management board and a supervisory board (Hopt and Leyens, 2004). According to the French law, firms can choose between the one-tier and two-tier board model (Millet-Reyes and Zhao, 2010). Millet-Reyes and Zhao (2010) also argue that in France ‘</w:t>
      </w:r>
      <w:r w:rsidRPr="00046999">
        <w:rPr>
          <w:rFonts w:cs="Calibri"/>
          <w:i/>
          <w:sz w:val="22"/>
          <w:szCs w:val="22"/>
          <w:lang w:eastAsia="nl-NL"/>
        </w:rPr>
        <w:t>institutional blockholders play a positive role as monitors of one-tier structures</w:t>
      </w:r>
      <w:r w:rsidRPr="00046999">
        <w:rPr>
          <w:rFonts w:cs="Calibri"/>
          <w:sz w:val="22"/>
          <w:szCs w:val="22"/>
          <w:lang w:eastAsia="nl-NL"/>
        </w:rPr>
        <w:t>’. Italian and Belgian firms are also allowed to choose between the one-tier and two-tier board model and in the Netherlands the two-tier board model is in use similar to Germany (Krivogorsky, 2006). It is expected that the reason for the positive association in France is caused due to their b</w:t>
      </w:r>
      <w:r w:rsidR="005532ED">
        <w:rPr>
          <w:rFonts w:cs="Calibri"/>
          <w:sz w:val="22"/>
          <w:szCs w:val="22"/>
          <w:lang w:eastAsia="nl-NL"/>
        </w:rPr>
        <w:t>oard structure and the role of b</w:t>
      </w:r>
      <w:r w:rsidRPr="00046999">
        <w:rPr>
          <w:rFonts w:cs="Calibri"/>
          <w:sz w:val="22"/>
          <w:szCs w:val="22"/>
          <w:lang w:eastAsia="nl-NL"/>
        </w:rPr>
        <w:t xml:space="preserve">lockholders in France; </w:t>
      </w:r>
      <w:r w:rsidR="00D037BF">
        <w:rPr>
          <w:rFonts w:cs="Calibri"/>
          <w:sz w:val="22"/>
          <w:szCs w:val="22"/>
          <w:lang w:eastAsia="nl-NL"/>
        </w:rPr>
        <w:t>b</w:t>
      </w:r>
      <w:r w:rsidRPr="00046999">
        <w:rPr>
          <w:rFonts w:cs="Calibri"/>
          <w:sz w:val="22"/>
          <w:szCs w:val="22"/>
          <w:lang w:eastAsia="nl-NL"/>
        </w:rPr>
        <w:t>lockholders serve as monitors and as monitoring increases managers provide more voluntary disclosures to decrease monitoring costs. Here the same phenomenon as in China ap</w:t>
      </w:r>
      <w:r w:rsidR="00000A13">
        <w:rPr>
          <w:rFonts w:cs="Calibri"/>
          <w:sz w:val="22"/>
          <w:szCs w:val="22"/>
          <w:lang w:eastAsia="nl-NL"/>
        </w:rPr>
        <w:t>pears to occur, an increase in b</w:t>
      </w:r>
      <w:r w:rsidRPr="00046999">
        <w:rPr>
          <w:rFonts w:cs="Calibri"/>
          <w:sz w:val="22"/>
          <w:szCs w:val="22"/>
          <w:lang w:eastAsia="nl-NL"/>
        </w:rPr>
        <w:t xml:space="preserve">lockholder ownership leads to an increase in monitoring. However the association is not significant so no conclusions can be drawn from this expectation. </w:t>
      </w:r>
    </w:p>
    <w:p w:rsidR="00A95413" w:rsidRPr="00046999" w:rsidRDefault="00A95413" w:rsidP="001D4BB3">
      <w:pPr>
        <w:jc w:val="both"/>
        <w:rPr>
          <w:rFonts w:cs="Calibri"/>
          <w:sz w:val="22"/>
          <w:szCs w:val="22"/>
          <w:lang w:eastAsia="nl-NL"/>
        </w:rPr>
      </w:pPr>
      <w:r w:rsidRPr="00046999">
        <w:rPr>
          <w:rFonts w:cs="Calibri"/>
          <w:sz w:val="22"/>
          <w:szCs w:val="22"/>
          <w:lang w:eastAsia="nl-NL"/>
        </w:rPr>
        <w:t xml:space="preserve">The variable </w:t>
      </w:r>
      <w:r>
        <w:rPr>
          <w:rFonts w:cs="Calibri"/>
          <w:sz w:val="22"/>
          <w:szCs w:val="22"/>
          <w:lang w:eastAsia="nl-NL"/>
        </w:rPr>
        <w:t>size</w:t>
      </w:r>
      <w:r w:rsidRPr="00046999">
        <w:rPr>
          <w:rFonts w:cs="Calibri"/>
          <w:sz w:val="22"/>
          <w:szCs w:val="22"/>
          <w:lang w:eastAsia="nl-NL"/>
        </w:rPr>
        <w:t xml:space="preserve"> showed a significant positive relation with voluntary disclosures in Germany, France and the Netherlands.</w:t>
      </w:r>
      <w:r>
        <w:rPr>
          <w:rFonts w:cs="Calibri"/>
          <w:sz w:val="22"/>
          <w:szCs w:val="22"/>
          <w:lang w:eastAsia="nl-NL"/>
        </w:rPr>
        <w:t xml:space="preserve"> Furthermore, l</w:t>
      </w:r>
      <w:r w:rsidRPr="00046999">
        <w:rPr>
          <w:rFonts w:cs="Calibri"/>
          <w:sz w:val="22"/>
          <w:szCs w:val="22"/>
          <w:lang w:eastAsia="nl-NL"/>
        </w:rPr>
        <w:t xml:space="preserve">everage was also significantly positively associated in France. No other significant associations were observed in the country analysis. It was however, interesting to see that the disclosure scores differed per country and item, for example the voluntary disclosure items regarding the Board of Directors (BoD)/Supervisory Board. Information about their age and educational background was very common in the Netherlands were 19 out of 20 firms provided some additional information about the BoD, contrasting to Italy and Germany where only 3 out of the 20 firms provided some additional information about the BoD. Apparently, information about the BoD in The Netherlands is usually requested by the owners whereas this is not very common in Italy and Germany. Also in general the Dutch firms disclosed the most information with an average of 20.1 and Italian firms the least with an average score of 13.9. So it appears that owners from Dutch firms in general request (or management provides) more information than owners from Italian firms. </w:t>
      </w:r>
    </w:p>
    <w:p w:rsidR="001D2B40" w:rsidRPr="00046999" w:rsidRDefault="00A95413" w:rsidP="001D4BB3">
      <w:pPr>
        <w:jc w:val="both"/>
        <w:rPr>
          <w:rFonts w:cs="Calibri"/>
          <w:sz w:val="22"/>
          <w:szCs w:val="22"/>
        </w:rPr>
      </w:pPr>
      <w:r w:rsidRPr="00046999">
        <w:rPr>
          <w:rFonts w:cs="Calibri"/>
          <w:sz w:val="22"/>
          <w:szCs w:val="22"/>
          <w:lang w:eastAsia="nl-NL"/>
        </w:rPr>
        <w:t xml:space="preserve">When comparing the results obtained with the results from the EU study described in paragraph 2.4 it can be noted that there are some similarities. The EU study </w:t>
      </w:r>
      <w:r>
        <w:rPr>
          <w:rFonts w:cs="Calibri"/>
          <w:sz w:val="22"/>
          <w:szCs w:val="22"/>
          <w:lang w:eastAsia="nl-NL"/>
        </w:rPr>
        <w:t xml:space="preserve">(2009) </w:t>
      </w:r>
      <w:r w:rsidRPr="00046999">
        <w:rPr>
          <w:rFonts w:cs="Calibri"/>
          <w:sz w:val="22"/>
          <w:szCs w:val="22"/>
          <w:lang w:eastAsia="nl-NL"/>
        </w:rPr>
        <w:t xml:space="preserve">described that </w:t>
      </w:r>
      <w:r w:rsidRPr="00046999">
        <w:rPr>
          <w:rFonts w:cs="Calibri"/>
          <w:sz w:val="22"/>
          <w:szCs w:val="22"/>
        </w:rPr>
        <w:t xml:space="preserve">that in Italy and Germany ownership is usually concentrated. Subsequently, in France and The Netherlands there is a lower level of ownership concentration and Belgium lies in an intermediate position. The results from this study showed that the highest blockholder ownership was observed in Italy with 61,48% followed by Germany with 61,12%. Subsequently France with 54%, Belgium with 50,19% and the Netherlands </w:t>
      </w:r>
      <w:r w:rsidRPr="00046999">
        <w:rPr>
          <w:rFonts w:cs="Calibri"/>
          <w:sz w:val="22"/>
          <w:szCs w:val="22"/>
        </w:rPr>
        <w:lastRenderedPageBreak/>
        <w:t xml:space="preserve">with 43,81%. So here ownership in Italy and Germany is also found to be the most concentrated. Furthermore, the Netherlands and Belgium have lower ownership concentrations and France lies in an intermediate position. So except the ownership concentration in France and Belgium, the results are similar. </w:t>
      </w:r>
    </w:p>
    <w:p w:rsidR="00A95413" w:rsidRPr="00D27146" w:rsidRDefault="00A95413" w:rsidP="00D27146">
      <w:pPr>
        <w:pStyle w:val="Kop2"/>
        <w:jc w:val="both"/>
        <w:rPr>
          <w:rFonts w:cs="Calibri"/>
          <w:lang w:eastAsia="nl-NL"/>
        </w:rPr>
      </w:pPr>
      <w:bookmarkStart w:id="144" w:name="_Toc320365354"/>
      <w:r w:rsidRPr="00046999">
        <w:rPr>
          <w:rFonts w:cs="Calibri"/>
          <w:lang w:eastAsia="nl-NL"/>
        </w:rPr>
        <w:t>9.4 Information type analysis</w:t>
      </w:r>
      <w:bookmarkEnd w:id="144"/>
    </w:p>
    <w:p w:rsidR="00A95413" w:rsidRPr="00046999" w:rsidRDefault="00A95413" w:rsidP="001D4BB3">
      <w:pPr>
        <w:jc w:val="both"/>
        <w:rPr>
          <w:rFonts w:cs="Calibri"/>
          <w:sz w:val="22"/>
          <w:szCs w:val="22"/>
          <w:lang w:eastAsia="nl-NL"/>
        </w:rPr>
      </w:pPr>
      <w:r w:rsidRPr="00046999">
        <w:rPr>
          <w:rFonts w:cs="Calibri"/>
          <w:sz w:val="22"/>
          <w:szCs w:val="22"/>
          <w:lang w:eastAsia="nl-NL"/>
        </w:rPr>
        <w:t xml:space="preserve">The results on information type show some interesting findings. As mentioned in paragraph 8.5 in the disclosure score sheet three types of information were mentioned: strategic, financial and non-financial information. The average score per firm on strategic information was the highest with 6.71 followed by non-financial information 5.86 and financial information 4.50 (all scores out of 10). </w:t>
      </w:r>
    </w:p>
    <w:p w:rsidR="00A95413" w:rsidRDefault="00A95413" w:rsidP="001D4BB3">
      <w:pPr>
        <w:jc w:val="both"/>
        <w:rPr>
          <w:rFonts w:cs="Calibri"/>
          <w:sz w:val="22"/>
          <w:szCs w:val="22"/>
          <w:lang w:eastAsia="nl-NL"/>
        </w:rPr>
      </w:pPr>
      <w:r w:rsidRPr="00046999">
        <w:rPr>
          <w:rFonts w:cs="Calibri"/>
          <w:sz w:val="22"/>
          <w:szCs w:val="22"/>
          <w:lang w:eastAsia="nl-NL"/>
        </w:rPr>
        <w:t>The most interesting result from the regression</w:t>
      </w:r>
      <w:r w:rsidR="00371BC7">
        <w:rPr>
          <w:rFonts w:cs="Calibri"/>
          <w:sz w:val="22"/>
          <w:szCs w:val="22"/>
          <w:lang w:eastAsia="nl-NL"/>
        </w:rPr>
        <w:t>s per information type is that managerial and b</w:t>
      </w:r>
      <w:r w:rsidRPr="00046999">
        <w:rPr>
          <w:rFonts w:cs="Calibri"/>
          <w:sz w:val="22"/>
          <w:szCs w:val="22"/>
          <w:lang w:eastAsia="nl-NL"/>
        </w:rPr>
        <w:t>lockholder ownership are significantly associated to the disclosure of non-financial information at p&lt;0.05. Managerial ownershi</w:t>
      </w:r>
      <w:r w:rsidR="005A23F5">
        <w:rPr>
          <w:rFonts w:cs="Calibri"/>
          <w:sz w:val="22"/>
          <w:szCs w:val="22"/>
          <w:lang w:eastAsia="nl-NL"/>
        </w:rPr>
        <w:t>p is positively associated and b</w:t>
      </w:r>
      <w:r w:rsidRPr="00046999">
        <w:rPr>
          <w:rFonts w:cs="Calibri"/>
          <w:sz w:val="22"/>
          <w:szCs w:val="22"/>
          <w:lang w:eastAsia="nl-NL"/>
        </w:rPr>
        <w:t>lockholder ownership is negatively associated. The other information types (strategic and financial) had no significant associatio</w:t>
      </w:r>
      <w:r>
        <w:rPr>
          <w:rFonts w:cs="Calibri"/>
          <w:sz w:val="22"/>
          <w:szCs w:val="22"/>
          <w:lang w:eastAsia="nl-NL"/>
        </w:rPr>
        <w:t>n with the ownership variables.</w:t>
      </w:r>
      <w:r w:rsidRPr="00046999">
        <w:rPr>
          <w:rFonts w:cs="Calibri"/>
          <w:sz w:val="22"/>
          <w:szCs w:val="22"/>
          <w:lang w:eastAsia="nl-NL"/>
        </w:rPr>
        <w:t xml:space="preserve"> </w:t>
      </w:r>
      <w:r>
        <w:rPr>
          <w:rFonts w:cs="Calibri"/>
          <w:sz w:val="22"/>
          <w:szCs w:val="22"/>
          <w:lang w:eastAsia="nl-NL"/>
        </w:rPr>
        <w:t>A potential reason for th</w:t>
      </w:r>
      <w:r w:rsidR="005A23F5">
        <w:rPr>
          <w:rFonts w:cs="Calibri"/>
          <w:sz w:val="22"/>
          <w:szCs w:val="22"/>
          <w:lang w:eastAsia="nl-NL"/>
        </w:rPr>
        <w:t>e positive association between m</w:t>
      </w:r>
      <w:r>
        <w:rPr>
          <w:rFonts w:cs="Calibri"/>
          <w:sz w:val="22"/>
          <w:szCs w:val="22"/>
          <w:lang w:eastAsia="nl-NL"/>
        </w:rPr>
        <w:t xml:space="preserve">anagerial ownership and non-financial information is that managers are aware of the increasing importance of providing non-financial disclosures. In general, the public is increasingly focused on investing in or buying products from green, social and sustainable firms so information that the firm is engaged in these activities can be beneficial for the firm. However, when the manager does not have a direct interest in the firm, and is not immediately benefited by providing this information he will most likely not provide this information. Non-financial information is usually not most requested by the outside shareholders (owners) who care more about the strategic and financial information compared to non-financial information. Therefore, when the manager is directly involved in the firm by being a shareholder, he is more likely to provide non-financial information as this can benefit the firm directly (more consumers) and indirectly (easier to obtain new investors). </w:t>
      </w:r>
      <w:r w:rsidR="00146ED9">
        <w:rPr>
          <w:rFonts w:cs="Calibri"/>
          <w:sz w:val="22"/>
          <w:szCs w:val="22"/>
          <w:lang w:eastAsia="nl-NL"/>
        </w:rPr>
        <w:t>In addition, as mentioned before it is expected that that strategic and financial information are disclosed more frequently throughout the year in announcements and reports, non-financial information is usually disclosed less frequently and mainly in the annual report. Therefore, the association with non-financial information is much stronger than with strat</w:t>
      </w:r>
      <w:r w:rsidR="005B0B4B">
        <w:rPr>
          <w:rFonts w:cs="Calibri"/>
          <w:sz w:val="22"/>
          <w:szCs w:val="22"/>
          <w:lang w:eastAsia="nl-NL"/>
        </w:rPr>
        <w:t>egic and financial information.</w:t>
      </w:r>
      <w:r w:rsidR="004D6D82">
        <w:rPr>
          <w:rFonts w:cs="Calibri"/>
          <w:sz w:val="22"/>
          <w:szCs w:val="22"/>
          <w:lang w:eastAsia="nl-NL"/>
        </w:rPr>
        <w:t xml:space="preserve"> </w:t>
      </w:r>
    </w:p>
    <w:p w:rsidR="00A95413" w:rsidRDefault="00A95413" w:rsidP="001D4BB3">
      <w:pPr>
        <w:jc w:val="both"/>
        <w:rPr>
          <w:rFonts w:cs="Calibri"/>
          <w:sz w:val="22"/>
          <w:szCs w:val="22"/>
          <w:lang w:eastAsia="nl-NL"/>
        </w:rPr>
      </w:pPr>
      <w:r>
        <w:rPr>
          <w:rFonts w:cs="Calibri"/>
          <w:sz w:val="22"/>
          <w:szCs w:val="22"/>
          <w:lang w:eastAsia="nl-NL"/>
        </w:rPr>
        <w:t>The main reason for th</w:t>
      </w:r>
      <w:r w:rsidR="007C0091">
        <w:rPr>
          <w:rFonts w:cs="Calibri"/>
          <w:sz w:val="22"/>
          <w:szCs w:val="22"/>
          <w:lang w:eastAsia="nl-NL"/>
        </w:rPr>
        <w:t>e negative association between b</w:t>
      </w:r>
      <w:r>
        <w:rPr>
          <w:rFonts w:cs="Calibri"/>
          <w:sz w:val="22"/>
          <w:szCs w:val="22"/>
          <w:lang w:eastAsia="nl-NL"/>
        </w:rPr>
        <w:t>lockholder ownership and non-financial information is the same as stated before; more blockholders means less monitoring and less monitoring means less voluntary disclosures. In specific less non-financial information is disclosed because for most shareholders, strategic and financial information are the most important types of information. Therefore, the provision of non-financial information is easily reduced. In addition, b</w:t>
      </w:r>
      <w:r w:rsidRPr="00046999">
        <w:rPr>
          <w:rFonts w:cs="Calibri"/>
          <w:sz w:val="22"/>
          <w:szCs w:val="22"/>
          <w:lang w:eastAsia="nl-NL"/>
        </w:rPr>
        <w:t xml:space="preserve">lockholders are more interested in </w:t>
      </w:r>
      <w:r>
        <w:rPr>
          <w:rFonts w:cs="Calibri"/>
          <w:sz w:val="22"/>
          <w:szCs w:val="22"/>
          <w:lang w:eastAsia="nl-NL"/>
        </w:rPr>
        <w:t xml:space="preserve">information directly involving </w:t>
      </w:r>
      <w:r w:rsidRPr="00046999">
        <w:rPr>
          <w:rFonts w:cs="Calibri"/>
          <w:sz w:val="22"/>
          <w:szCs w:val="22"/>
          <w:lang w:eastAsia="nl-NL"/>
        </w:rPr>
        <w:t xml:space="preserve">their investments; they can sell their interest and leave </w:t>
      </w:r>
      <w:r>
        <w:rPr>
          <w:rFonts w:cs="Calibri"/>
          <w:sz w:val="22"/>
          <w:szCs w:val="22"/>
          <w:lang w:eastAsia="nl-NL"/>
        </w:rPr>
        <w:t xml:space="preserve">whenever they like, </w:t>
      </w:r>
      <w:r w:rsidRPr="00046999">
        <w:rPr>
          <w:rFonts w:cs="Calibri"/>
          <w:sz w:val="22"/>
          <w:szCs w:val="22"/>
          <w:lang w:eastAsia="nl-NL"/>
        </w:rPr>
        <w:t>whereas manager</w:t>
      </w:r>
      <w:r>
        <w:rPr>
          <w:rFonts w:cs="Calibri"/>
          <w:sz w:val="22"/>
          <w:szCs w:val="22"/>
          <w:lang w:eastAsia="nl-NL"/>
        </w:rPr>
        <w:t xml:space="preserve">ial owners </w:t>
      </w:r>
      <w:r w:rsidRPr="00046999">
        <w:rPr>
          <w:rFonts w:cs="Calibri"/>
          <w:sz w:val="22"/>
          <w:szCs w:val="22"/>
          <w:lang w:eastAsia="nl-NL"/>
        </w:rPr>
        <w:t>cannot just leave the firm</w:t>
      </w:r>
      <w:r>
        <w:rPr>
          <w:rFonts w:cs="Calibri"/>
          <w:sz w:val="22"/>
          <w:szCs w:val="22"/>
          <w:lang w:eastAsia="nl-NL"/>
        </w:rPr>
        <w:t xml:space="preserve"> as it is their job</w:t>
      </w:r>
      <w:r w:rsidRPr="00046999">
        <w:rPr>
          <w:rFonts w:cs="Calibri"/>
          <w:sz w:val="22"/>
          <w:szCs w:val="22"/>
          <w:lang w:eastAsia="nl-NL"/>
        </w:rPr>
        <w:t xml:space="preserve">. Therefore, </w:t>
      </w:r>
      <w:r>
        <w:rPr>
          <w:rFonts w:cs="Calibri"/>
          <w:sz w:val="22"/>
          <w:szCs w:val="22"/>
          <w:lang w:eastAsia="nl-NL"/>
        </w:rPr>
        <w:t>managerial owners</w:t>
      </w:r>
      <w:r w:rsidRPr="00046999">
        <w:rPr>
          <w:rFonts w:cs="Calibri"/>
          <w:sz w:val="22"/>
          <w:szCs w:val="22"/>
          <w:lang w:eastAsia="nl-NL"/>
        </w:rPr>
        <w:t xml:space="preserve"> might be more persistent in providing all information about the firm; so also the non-financial information. </w:t>
      </w:r>
    </w:p>
    <w:p w:rsidR="00A95413" w:rsidRPr="00046999" w:rsidRDefault="00A95413" w:rsidP="00172BA5">
      <w:pPr>
        <w:pStyle w:val="Kop2"/>
        <w:pBdr>
          <w:top w:val="single" w:sz="24" w:space="3" w:color="DBE5F1"/>
          <w:bottom w:val="single" w:sz="24" w:space="1" w:color="DBE5F1"/>
        </w:pBdr>
        <w:jc w:val="both"/>
        <w:rPr>
          <w:rFonts w:cs="Calibri"/>
          <w:lang w:eastAsia="nl-NL"/>
        </w:rPr>
      </w:pPr>
      <w:bookmarkStart w:id="145" w:name="_Toc320365355"/>
      <w:r w:rsidRPr="00046999">
        <w:rPr>
          <w:rFonts w:cs="Calibri"/>
          <w:lang w:eastAsia="nl-NL"/>
        </w:rPr>
        <w:lastRenderedPageBreak/>
        <w:t>9.5 Conclusion</w:t>
      </w:r>
      <w:bookmarkEnd w:id="145"/>
    </w:p>
    <w:p w:rsidR="00B723E7" w:rsidRDefault="00A95413" w:rsidP="001D4BB3">
      <w:pPr>
        <w:jc w:val="both"/>
        <w:rPr>
          <w:rFonts w:cs="Calibri"/>
          <w:sz w:val="22"/>
          <w:szCs w:val="22"/>
          <w:lang w:eastAsia="nl-NL"/>
        </w:rPr>
      </w:pPr>
      <w:r w:rsidRPr="00046999">
        <w:rPr>
          <w:rFonts w:cs="Calibri"/>
          <w:sz w:val="22"/>
          <w:szCs w:val="22"/>
          <w:lang w:eastAsia="nl-NL"/>
        </w:rPr>
        <w:t>To conclude, no</w:t>
      </w:r>
      <w:r w:rsidR="00693F02">
        <w:rPr>
          <w:rFonts w:cs="Calibri"/>
          <w:sz w:val="22"/>
          <w:szCs w:val="22"/>
          <w:lang w:eastAsia="nl-NL"/>
        </w:rPr>
        <w:t xml:space="preserve"> significant</w:t>
      </w:r>
      <w:r w:rsidRPr="00046999">
        <w:rPr>
          <w:rFonts w:cs="Calibri"/>
          <w:sz w:val="22"/>
          <w:szCs w:val="22"/>
          <w:lang w:eastAsia="nl-NL"/>
        </w:rPr>
        <w:t xml:space="preserve"> </w:t>
      </w:r>
      <w:r w:rsidR="005B0B4B">
        <w:rPr>
          <w:rFonts w:cs="Calibri"/>
          <w:sz w:val="22"/>
          <w:szCs w:val="22"/>
          <w:lang w:eastAsia="nl-NL"/>
        </w:rPr>
        <w:t xml:space="preserve">positive </w:t>
      </w:r>
      <w:r w:rsidRPr="00046999">
        <w:rPr>
          <w:rFonts w:cs="Calibri"/>
          <w:sz w:val="22"/>
          <w:szCs w:val="22"/>
          <w:lang w:eastAsia="nl-NL"/>
        </w:rPr>
        <w:t>association is found b</w:t>
      </w:r>
      <w:r w:rsidR="00101550">
        <w:rPr>
          <w:rFonts w:cs="Calibri"/>
          <w:sz w:val="22"/>
          <w:szCs w:val="22"/>
          <w:lang w:eastAsia="nl-NL"/>
        </w:rPr>
        <w:t>etween m</w:t>
      </w:r>
      <w:r w:rsidRPr="00046999">
        <w:rPr>
          <w:rFonts w:cs="Calibri"/>
          <w:sz w:val="22"/>
          <w:szCs w:val="22"/>
          <w:lang w:eastAsia="nl-NL"/>
        </w:rPr>
        <w:t>anagerial ownership and voluntary disclosures, hence H1 is rejected. A significant negativ</w:t>
      </w:r>
      <w:r w:rsidR="00101550">
        <w:rPr>
          <w:rFonts w:cs="Calibri"/>
          <w:sz w:val="22"/>
          <w:szCs w:val="22"/>
          <w:lang w:eastAsia="nl-NL"/>
        </w:rPr>
        <w:t>e association is found between b</w:t>
      </w:r>
      <w:r w:rsidRPr="00046999">
        <w:rPr>
          <w:rFonts w:cs="Calibri"/>
          <w:sz w:val="22"/>
          <w:szCs w:val="22"/>
          <w:lang w:eastAsia="nl-NL"/>
        </w:rPr>
        <w:t>lockholder ownership and voluntary disclosures, hence H2 is accepted. A significant positiv</w:t>
      </w:r>
      <w:r w:rsidR="00101550">
        <w:rPr>
          <w:rFonts w:cs="Calibri"/>
          <w:sz w:val="22"/>
          <w:szCs w:val="22"/>
          <w:lang w:eastAsia="nl-NL"/>
        </w:rPr>
        <w:t>e association is found between g</w:t>
      </w:r>
      <w:r w:rsidRPr="00046999">
        <w:rPr>
          <w:rFonts w:cs="Calibri"/>
          <w:sz w:val="22"/>
          <w:szCs w:val="22"/>
          <w:lang w:eastAsia="nl-NL"/>
        </w:rPr>
        <w:t xml:space="preserve">overnment ownership and voluntary disclosures, hence H3 is accepted. Furthermore </w:t>
      </w:r>
      <w:r>
        <w:rPr>
          <w:rFonts w:cs="Calibri"/>
          <w:sz w:val="22"/>
          <w:szCs w:val="22"/>
          <w:lang w:eastAsia="nl-NL"/>
        </w:rPr>
        <w:t>size</w:t>
      </w:r>
      <w:r w:rsidRPr="00046999">
        <w:rPr>
          <w:rFonts w:cs="Calibri"/>
          <w:sz w:val="22"/>
          <w:szCs w:val="22"/>
          <w:lang w:eastAsia="nl-NL"/>
        </w:rPr>
        <w:t xml:space="preserve"> is significantly positively associated with voluntary disclosures similar to many prior studies. Leverage is </w:t>
      </w:r>
      <w:r>
        <w:rPr>
          <w:rFonts w:cs="Calibri"/>
          <w:sz w:val="22"/>
          <w:szCs w:val="22"/>
          <w:lang w:eastAsia="nl-NL"/>
        </w:rPr>
        <w:t xml:space="preserve">positively but </w:t>
      </w:r>
      <w:r w:rsidRPr="00046999">
        <w:rPr>
          <w:rFonts w:cs="Calibri"/>
          <w:sz w:val="22"/>
          <w:szCs w:val="22"/>
          <w:lang w:eastAsia="nl-NL"/>
        </w:rPr>
        <w:t xml:space="preserve">not significantly associated with voluntary disclosures and </w:t>
      </w:r>
      <w:r>
        <w:rPr>
          <w:rFonts w:cs="Calibri"/>
          <w:sz w:val="22"/>
          <w:szCs w:val="22"/>
        </w:rPr>
        <w:t>profitability</w:t>
      </w:r>
      <w:r w:rsidRPr="00046999">
        <w:rPr>
          <w:rFonts w:cs="Calibri"/>
          <w:sz w:val="22"/>
          <w:szCs w:val="22"/>
        </w:rPr>
        <w:t xml:space="preserve"> </w:t>
      </w:r>
      <w:r w:rsidRPr="00046999">
        <w:rPr>
          <w:rFonts w:cs="Calibri"/>
          <w:sz w:val="22"/>
          <w:szCs w:val="22"/>
          <w:lang w:eastAsia="nl-NL"/>
        </w:rPr>
        <w:t>is positively and significantly associated with the amount of voluntary disclosures. No significant results</w:t>
      </w:r>
      <w:r>
        <w:rPr>
          <w:rFonts w:cs="Calibri"/>
          <w:sz w:val="22"/>
          <w:szCs w:val="22"/>
          <w:lang w:eastAsia="nl-NL"/>
        </w:rPr>
        <w:t xml:space="preserve"> are observed</w:t>
      </w:r>
      <w:r w:rsidRPr="00046999">
        <w:rPr>
          <w:rFonts w:cs="Calibri"/>
          <w:sz w:val="22"/>
          <w:szCs w:val="22"/>
          <w:lang w:eastAsia="nl-NL"/>
        </w:rPr>
        <w:t xml:space="preserve"> between the ownership variables</w:t>
      </w:r>
      <w:r>
        <w:rPr>
          <w:rFonts w:cs="Calibri"/>
          <w:sz w:val="22"/>
          <w:szCs w:val="22"/>
          <w:lang w:eastAsia="nl-NL"/>
        </w:rPr>
        <w:t xml:space="preserve"> and voluntary disclosures</w:t>
      </w:r>
      <w:r w:rsidRPr="00046999">
        <w:rPr>
          <w:rFonts w:cs="Calibri"/>
          <w:sz w:val="22"/>
          <w:szCs w:val="22"/>
          <w:lang w:eastAsia="nl-NL"/>
        </w:rPr>
        <w:t xml:space="preserve"> within countries, main reason for </w:t>
      </w:r>
      <w:r>
        <w:rPr>
          <w:rFonts w:cs="Calibri"/>
          <w:sz w:val="22"/>
          <w:szCs w:val="22"/>
          <w:lang w:eastAsia="nl-NL"/>
        </w:rPr>
        <w:t xml:space="preserve">this is expected to be </w:t>
      </w:r>
      <w:r w:rsidRPr="00046999">
        <w:rPr>
          <w:rFonts w:cs="Calibri"/>
          <w:sz w:val="22"/>
          <w:szCs w:val="22"/>
          <w:lang w:eastAsia="nl-NL"/>
        </w:rPr>
        <w:t xml:space="preserve">the small sample size. Finally, managerial ownership and blockholder ownership show in specific a significant association with the disclosure of non-financial information. </w:t>
      </w:r>
      <w:r>
        <w:rPr>
          <w:rFonts w:cs="Calibri"/>
          <w:sz w:val="22"/>
          <w:szCs w:val="22"/>
          <w:lang w:eastAsia="nl-NL"/>
        </w:rPr>
        <w:t>In the next chapter the conclusions regarding these findings are drawn.</w:t>
      </w:r>
    </w:p>
    <w:p w:rsidR="00360F28" w:rsidRPr="00046999" w:rsidRDefault="00B723E7" w:rsidP="00B723E7">
      <w:pPr>
        <w:spacing w:before="0" w:after="0" w:line="240" w:lineRule="auto"/>
        <w:rPr>
          <w:rFonts w:cs="Calibri"/>
          <w:sz w:val="22"/>
          <w:szCs w:val="22"/>
          <w:lang w:eastAsia="nl-NL"/>
        </w:rPr>
      </w:pPr>
      <w:r>
        <w:rPr>
          <w:rFonts w:cs="Calibri"/>
          <w:sz w:val="22"/>
          <w:szCs w:val="22"/>
          <w:lang w:eastAsia="nl-NL"/>
        </w:rPr>
        <w:br w:type="page"/>
      </w:r>
    </w:p>
    <w:p w:rsidR="00A95413" w:rsidRPr="00C331DE" w:rsidRDefault="00A95413" w:rsidP="003631FA">
      <w:pPr>
        <w:pStyle w:val="Kop1"/>
        <w:rPr>
          <w:lang w:eastAsia="nl-NL"/>
        </w:rPr>
      </w:pPr>
      <w:bookmarkStart w:id="146" w:name="_Toc320365356"/>
      <w:r w:rsidRPr="00C331DE">
        <w:rPr>
          <w:lang w:eastAsia="nl-NL"/>
        </w:rPr>
        <w:lastRenderedPageBreak/>
        <w:t xml:space="preserve">Chapter 10. </w:t>
      </w:r>
      <w:r w:rsidR="00A33DA5">
        <w:rPr>
          <w:lang w:eastAsia="nl-NL"/>
        </w:rPr>
        <w:t xml:space="preserve">Summary and </w:t>
      </w:r>
      <w:r w:rsidRPr="00C331DE">
        <w:rPr>
          <w:lang w:eastAsia="nl-NL"/>
        </w:rPr>
        <w:t>Conclusion</w:t>
      </w:r>
      <w:bookmarkEnd w:id="146"/>
      <w:r w:rsidRPr="00C331DE">
        <w:rPr>
          <w:lang w:eastAsia="nl-NL"/>
        </w:rPr>
        <w:t xml:space="preserve"> </w:t>
      </w:r>
    </w:p>
    <w:p w:rsidR="00A95413" w:rsidRDefault="00A95413" w:rsidP="00AD6816">
      <w:pPr>
        <w:pStyle w:val="Kop2"/>
        <w:rPr>
          <w:lang w:eastAsia="nl-NL"/>
        </w:rPr>
      </w:pPr>
      <w:bookmarkStart w:id="147" w:name="_Toc320365357"/>
      <w:r>
        <w:rPr>
          <w:lang w:eastAsia="nl-NL"/>
        </w:rPr>
        <w:t xml:space="preserve">10.1 </w:t>
      </w:r>
      <w:r w:rsidR="00A33DA5">
        <w:rPr>
          <w:lang w:eastAsia="nl-NL"/>
        </w:rPr>
        <w:t>Summary</w:t>
      </w:r>
      <w:bookmarkEnd w:id="147"/>
    </w:p>
    <w:p w:rsidR="00A95413" w:rsidRPr="00046999" w:rsidRDefault="00A95413" w:rsidP="001D4BB3">
      <w:pPr>
        <w:jc w:val="both"/>
        <w:rPr>
          <w:rFonts w:cs="Calibri"/>
          <w:sz w:val="22"/>
          <w:szCs w:val="22"/>
          <w:lang w:eastAsia="nl-NL"/>
        </w:rPr>
      </w:pPr>
      <w:r>
        <w:rPr>
          <w:rFonts w:cs="Calibri"/>
          <w:sz w:val="22"/>
          <w:szCs w:val="22"/>
          <w:lang w:eastAsia="nl-NL"/>
        </w:rPr>
        <w:t xml:space="preserve">As investors are more and more uncertain about which investments to make due to the financial crisis, information about the firm and its performance is of high importance. Mandatory disclosures established by standard setters help to provide reliable information for investors. Besides these mandatory disclosures, firms can voluntary disclose information as well, which has been the main topic of this thesis.  Multiple studies examined the motivations of firms to voluntary disclose information. As investors aim to obtain as much information possible to make well informed decisions, voluntary disclosures are an important focus of attention. In this study one of the motivations that could be related to voluntary disclosures is examined: ownership structure. This thesis aims to give more insight in the disclosure practices of the most influential European countries in 2010. The </w:t>
      </w:r>
      <w:r w:rsidRPr="00046999">
        <w:rPr>
          <w:rFonts w:cs="Calibri"/>
          <w:sz w:val="22"/>
          <w:szCs w:val="22"/>
          <w:lang w:eastAsia="nl-NL"/>
        </w:rPr>
        <w:t xml:space="preserve">research question of this study </w:t>
      </w:r>
      <w:r>
        <w:rPr>
          <w:rFonts w:cs="Calibri"/>
          <w:sz w:val="22"/>
          <w:szCs w:val="22"/>
          <w:lang w:eastAsia="nl-NL"/>
        </w:rPr>
        <w:t>is therefore</w:t>
      </w:r>
      <w:r w:rsidRPr="00046999">
        <w:rPr>
          <w:rFonts w:cs="Calibri"/>
          <w:sz w:val="22"/>
          <w:szCs w:val="22"/>
          <w:lang w:eastAsia="nl-NL"/>
        </w:rPr>
        <w:t>:</w:t>
      </w:r>
    </w:p>
    <w:p w:rsidR="00A95413" w:rsidRDefault="00A95413" w:rsidP="001D4BB3">
      <w:pPr>
        <w:jc w:val="both"/>
        <w:rPr>
          <w:rFonts w:cs="Calibri"/>
          <w:i/>
          <w:sz w:val="22"/>
          <w:szCs w:val="22"/>
        </w:rPr>
      </w:pPr>
      <w:r w:rsidRPr="00046999">
        <w:rPr>
          <w:rFonts w:cs="Calibri"/>
          <w:i/>
          <w:sz w:val="22"/>
          <w:szCs w:val="22"/>
        </w:rPr>
        <w:t>“What is the relation between ownership structure and the extent of voluntary disclosures provided by stock exchange listed firms in Europe in 2010?”</w:t>
      </w:r>
    </w:p>
    <w:p w:rsidR="00A95413" w:rsidRDefault="00A95413" w:rsidP="001D4BB3">
      <w:pPr>
        <w:jc w:val="both"/>
        <w:rPr>
          <w:rFonts w:cs="Calibri"/>
          <w:sz w:val="22"/>
          <w:szCs w:val="22"/>
        </w:rPr>
      </w:pPr>
      <w:r>
        <w:rPr>
          <w:rFonts w:cs="Calibri"/>
          <w:sz w:val="22"/>
          <w:szCs w:val="22"/>
          <w:lang w:eastAsia="nl-NL"/>
        </w:rPr>
        <w:t>Before the empirical research</w:t>
      </w:r>
      <w:r w:rsidR="0092093B">
        <w:rPr>
          <w:rFonts w:cs="Calibri"/>
          <w:sz w:val="22"/>
          <w:szCs w:val="22"/>
          <w:lang w:eastAsia="nl-NL"/>
        </w:rPr>
        <w:t>,</w:t>
      </w:r>
      <w:r>
        <w:rPr>
          <w:rFonts w:cs="Calibri"/>
          <w:sz w:val="22"/>
          <w:szCs w:val="22"/>
          <w:lang w:eastAsia="nl-NL"/>
        </w:rPr>
        <w:t xml:space="preserve"> important definitions and theories have been explained. In addition, a literature review of the association between ownership structure and voluntary disclosures is provided and discussed. The first element of the empirical research was to conduct the content analysis on 100 annual reports of the selected European firms. The voluntary disclosure score was measured by using a disclosure score sheet which contained three types of information: strategic, non-financial and financial information. The scores were allocated by means of a content analysis protocol and a set of defined key words. The results of the content analysis showed the extent of voluntary information European firms disclose. In general, the European firms obtained a disclosure score of 17,07 out of 30.  The disclosure score was the highest in The Netherlands (</w:t>
      </w:r>
      <w:r w:rsidRPr="00046999">
        <w:rPr>
          <w:rFonts w:cs="Calibri"/>
          <w:sz w:val="22"/>
          <w:szCs w:val="22"/>
        </w:rPr>
        <w:t xml:space="preserve">20,1). </w:t>
      </w:r>
      <w:r>
        <w:rPr>
          <w:rFonts w:cs="Calibri"/>
          <w:sz w:val="22"/>
          <w:szCs w:val="22"/>
        </w:rPr>
        <w:t xml:space="preserve">Followed by </w:t>
      </w:r>
      <w:r w:rsidRPr="00046999">
        <w:rPr>
          <w:rFonts w:cs="Calibri"/>
          <w:sz w:val="22"/>
          <w:szCs w:val="22"/>
        </w:rPr>
        <w:t>France (19,05)</w:t>
      </w:r>
      <w:r>
        <w:rPr>
          <w:rFonts w:cs="Calibri"/>
          <w:sz w:val="22"/>
          <w:szCs w:val="22"/>
        </w:rPr>
        <w:t>,</w:t>
      </w:r>
      <w:r w:rsidRPr="00046999">
        <w:rPr>
          <w:rFonts w:cs="Calibri"/>
          <w:sz w:val="22"/>
          <w:szCs w:val="22"/>
        </w:rPr>
        <w:t xml:space="preserve"> Germany (17,2)</w:t>
      </w:r>
      <w:r>
        <w:rPr>
          <w:rFonts w:cs="Calibri"/>
          <w:sz w:val="22"/>
          <w:szCs w:val="22"/>
        </w:rPr>
        <w:t>,</w:t>
      </w:r>
      <w:r w:rsidRPr="00046999">
        <w:rPr>
          <w:rFonts w:cs="Calibri"/>
          <w:sz w:val="22"/>
          <w:szCs w:val="22"/>
        </w:rPr>
        <w:t xml:space="preserve"> </w:t>
      </w:r>
      <w:r>
        <w:rPr>
          <w:rFonts w:cs="Calibri"/>
          <w:sz w:val="22"/>
          <w:szCs w:val="22"/>
        </w:rPr>
        <w:t xml:space="preserve">Belgium (15,1) and </w:t>
      </w:r>
      <w:r w:rsidRPr="00046999">
        <w:rPr>
          <w:rFonts w:cs="Calibri"/>
          <w:sz w:val="22"/>
          <w:szCs w:val="22"/>
        </w:rPr>
        <w:t xml:space="preserve">Italy </w:t>
      </w:r>
      <w:r>
        <w:rPr>
          <w:rFonts w:cs="Calibri"/>
          <w:sz w:val="22"/>
          <w:szCs w:val="22"/>
        </w:rPr>
        <w:t>(</w:t>
      </w:r>
      <w:r w:rsidRPr="00046999">
        <w:rPr>
          <w:rFonts w:cs="Calibri"/>
          <w:sz w:val="22"/>
          <w:szCs w:val="22"/>
        </w:rPr>
        <w:t>13,9</w:t>
      </w:r>
      <w:r>
        <w:rPr>
          <w:rFonts w:cs="Calibri"/>
          <w:sz w:val="22"/>
          <w:szCs w:val="22"/>
        </w:rPr>
        <w:t>)</w:t>
      </w:r>
      <w:r w:rsidRPr="00046999">
        <w:rPr>
          <w:rFonts w:cs="Calibri"/>
          <w:sz w:val="22"/>
          <w:szCs w:val="22"/>
        </w:rPr>
        <w:t>.</w:t>
      </w:r>
    </w:p>
    <w:p w:rsidR="00A95413" w:rsidRDefault="00A95413" w:rsidP="001D4BB3">
      <w:pPr>
        <w:jc w:val="both"/>
        <w:rPr>
          <w:rFonts w:cs="Calibri"/>
          <w:sz w:val="22"/>
          <w:szCs w:val="22"/>
          <w:lang w:eastAsia="nl-NL"/>
        </w:rPr>
      </w:pPr>
      <w:r>
        <w:rPr>
          <w:rFonts w:cs="Calibri"/>
          <w:sz w:val="22"/>
          <w:szCs w:val="22"/>
        </w:rPr>
        <w:t xml:space="preserve">The second part of the empirical analysis was to obtain the ownership data. </w:t>
      </w:r>
      <w:r>
        <w:rPr>
          <w:rFonts w:cs="Calibri"/>
          <w:sz w:val="22"/>
          <w:szCs w:val="22"/>
          <w:lang w:eastAsia="nl-NL"/>
        </w:rPr>
        <w:t>In order to examine ownership structure three variables are</w:t>
      </w:r>
      <w:r w:rsidR="00560D24">
        <w:rPr>
          <w:rFonts w:cs="Calibri"/>
          <w:sz w:val="22"/>
          <w:szCs w:val="22"/>
          <w:lang w:eastAsia="nl-NL"/>
        </w:rPr>
        <w:t xml:space="preserve"> used: managerial-, b</w:t>
      </w:r>
      <w:r w:rsidR="009C03A1">
        <w:rPr>
          <w:rFonts w:cs="Calibri"/>
          <w:sz w:val="22"/>
          <w:szCs w:val="22"/>
          <w:lang w:eastAsia="nl-NL"/>
        </w:rPr>
        <w:t>lockholder</w:t>
      </w:r>
      <w:r>
        <w:rPr>
          <w:rFonts w:cs="Calibri"/>
          <w:sz w:val="22"/>
          <w:szCs w:val="22"/>
          <w:lang w:eastAsia="nl-NL"/>
        </w:rPr>
        <w:t>-</w:t>
      </w:r>
      <w:r w:rsidR="009C03A1">
        <w:rPr>
          <w:rFonts w:cs="Calibri"/>
          <w:sz w:val="22"/>
          <w:szCs w:val="22"/>
          <w:lang w:eastAsia="nl-NL"/>
        </w:rPr>
        <w:t>,</w:t>
      </w:r>
      <w:r w:rsidR="00560D24">
        <w:rPr>
          <w:rFonts w:cs="Calibri"/>
          <w:sz w:val="22"/>
          <w:szCs w:val="22"/>
          <w:lang w:eastAsia="nl-NL"/>
        </w:rPr>
        <w:t xml:space="preserve"> and g</w:t>
      </w:r>
      <w:r>
        <w:rPr>
          <w:rFonts w:cs="Calibri"/>
          <w:sz w:val="22"/>
          <w:szCs w:val="22"/>
          <w:lang w:eastAsia="nl-NL"/>
        </w:rPr>
        <w:t xml:space="preserve">overnment ownership. Furthermore, the control variables used are size, leverage and profitability. This data was obtained via Thomson One Banker and Orbis. The </w:t>
      </w:r>
      <w:r w:rsidR="000454D6">
        <w:rPr>
          <w:rFonts w:cs="Calibri"/>
          <w:sz w:val="22"/>
          <w:szCs w:val="22"/>
          <w:lang w:eastAsia="nl-NL"/>
        </w:rPr>
        <w:t>results showed that on average managerial ownership is 43,85%, b</w:t>
      </w:r>
      <w:r>
        <w:rPr>
          <w:rFonts w:cs="Calibri"/>
          <w:sz w:val="22"/>
          <w:szCs w:val="22"/>
          <w:lang w:eastAsia="nl-NL"/>
        </w:rPr>
        <w:t>lock</w:t>
      </w:r>
      <w:r w:rsidR="000454D6">
        <w:rPr>
          <w:rFonts w:cs="Calibri"/>
          <w:sz w:val="22"/>
          <w:szCs w:val="22"/>
          <w:lang w:eastAsia="nl-NL"/>
        </w:rPr>
        <w:t>holder ownership is 42,12% and g</w:t>
      </w:r>
      <w:r>
        <w:rPr>
          <w:rFonts w:cs="Calibri"/>
          <w:sz w:val="22"/>
          <w:szCs w:val="22"/>
          <w:lang w:eastAsia="nl-NL"/>
        </w:rPr>
        <w:t>overnment ownership only 2,80%. In Italy and France the highest ownership concentration (blockholder ownership) was observed which is similar to the result from the study conducted by the EU(2009).</w:t>
      </w:r>
    </w:p>
    <w:p w:rsidR="0078471B" w:rsidRDefault="00A95413" w:rsidP="001D4BB3">
      <w:pPr>
        <w:jc w:val="both"/>
        <w:rPr>
          <w:rFonts w:cs="Calibri"/>
          <w:sz w:val="22"/>
          <w:szCs w:val="22"/>
        </w:rPr>
      </w:pPr>
      <w:r>
        <w:rPr>
          <w:rFonts w:cs="Calibri"/>
          <w:sz w:val="22"/>
          <w:szCs w:val="22"/>
        </w:rPr>
        <w:t>The last part of the empirical research is to test the relationships between the obtained voluntary disclosure scores and ownership data. The model employed for this is a linear multiple regression analysis. The results from the regression show t</w:t>
      </w:r>
      <w:r w:rsidR="00E54010">
        <w:rPr>
          <w:rFonts w:cs="Calibri"/>
          <w:sz w:val="22"/>
          <w:szCs w:val="22"/>
        </w:rPr>
        <w:t>hat the independent variables (managerial ownership, b</w:t>
      </w:r>
      <w:r>
        <w:rPr>
          <w:rFonts w:cs="Calibri"/>
          <w:sz w:val="22"/>
          <w:szCs w:val="22"/>
        </w:rPr>
        <w:t xml:space="preserve">lockholder ownership, size, leverage and profitability) explain 36,4% of the variance in the extent of voluntary disclosures. In addition, the overall model is significant with a score of 0.000. Blockholder ownership is negatively associated with the extent of voluntary disclosures as was expected. </w:t>
      </w:r>
      <w:r>
        <w:rPr>
          <w:rFonts w:cs="Calibri"/>
          <w:sz w:val="22"/>
          <w:szCs w:val="22"/>
        </w:rPr>
        <w:lastRenderedPageBreak/>
        <w:t>Further</w:t>
      </w:r>
      <w:r w:rsidR="00E54010">
        <w:rPr>
          <w:rFonts w:cs="Calibri"/>
          <w:sz w:val="22"/>
          <w:szCs w:val="22"/>
        </w:rPr>
        <w:t>more, g</w:t>
      </w:r>
      <w:r>
        <w:rPr>
          <w:rFonts w:cs="Calibri"/>
          <w:sz w:val="22"/>
          <w:szCs w:val="22"/>
        </w:rPr>
        <w:t xml:space="preserve">overnment ownership is positively associated with the extent of voluntary disclosures as was expected as well. Managerial ownership on the other hand, is not significantly associated with the extent of voluntary disclosures. </w:t>
      </w:r>
      <w:r w:rsidR="003C2EF5">
        <w:rPr>
          <w:rFonts w:cs="Calibri"/>
          <w:sz w:val="22"/>
          <w:szCs w:val="22"/>
        </w:rPr>
        <w:t>Originally, it was</w:t>
      </w:r>
      <w:r>
        <w:rPr>
          <w:rFonts w:cs="Calibri"/>
          <w:sz w:val="22"/>
          <w:szCs w:val="22"/>
        </w:rPr>
        <w:t xml:space="preserve"> expected </w:t>
      </w:r>
      <w:r w:rsidR="001974F7">
        <w:rPr>
          <w:rFonts w:cs="Calibri"/>
          <w:sz w:val="22"/>
          <w:szCs w:val="22"/>
        </w:rPr>
        <w:t xml:space="preserve">that an </w:t>
      </w:r>
      <w:r>
        <w:rPr>
          <w:rFonts w:cs="Calibri"/>
          <w:sz w:val="22"/>
          <w:szCs w:val="22"/>
        </w:rPr>
        <w:t xml:space="preserve">increase in managerial ownership </w:t>
      </w:r>
      <w:r w:rsidR="0078471B">
        <w:rPr>
          <w:rFonts w:cs="Calibri"/>
          <w:sz w:val="22"/>
          <w:szCs w:val="22"/>
        </w:rPr>
        <w:t>result</w:t>
      </w:r>
      <w:r w:rsidR="003C2EF5">
        <w:rPr>
          <w:rFonts w:cs="Calibri"/>
          <w:sz w:val="22"/>
          <w:szCs w:val="22"/>
        </w:rPr>
        <w:t>s</w:t>
      </w:r>
      <w:r w:rsidR="0078471B">
        <w:rPr>
          <w:rFonts w:cs="Calibri"/>
          <w:sz w:val="22"/>
          <w:szCs w:val="22"/>
        </w:rPr>
        <w:t xml:space="preserve"> in more similar interest</w:t>
      </w:r>
      <w:r w:rsidR="003C2EF5">
        <w:rPr>
          <w:rFonts w:cs="Calibri"/>
          <w:sz w:val="22"/>
          <w:szCs w:val="22"/>
        </w:rPr>
        <w:t>s</w:t>
      </w:r>
      <w:r w:rsidR="0078471B">
        <w:rPr>
          <w:rFonts w:cs="Calibri"/>
          <w:sz w:val="22"/>
          <w:szCs w:val="22"/>
        </w:rPr>
        <w:t xml:space="preserve"> between managers and owners and </w:t>
      </w:r>
      <w:r w:rsidR="003C2EF5">
        <w:rPr>
          <w:rFonts w:cs="Calibri"/>
          <w:sz w:val="22"/>
          <w:szCs w:val="22"/>
        </w:rPr>
        <w:t>hence there</w:t>
      </w:r>
      <w:r w:rsidR="0078471B">
        <w:rPr>
          <w:rFonts w:cs="Calibri"/>
          <w:sz w:val="22"/>
          <w:szCs w:val="22"/>
        </w:rPr>
        <w:t xml:space="preserve"> more voluntary disclosures. </w:t>
      </w:r>
      <w:r w:rsidR="00F35867">
        <w:rPr>
          <w:rFonts w:cs="Calibri"/>
          <w:sz w:val="22"/>
          <w:szCs w:val="22"/>
        </w:rPr>
        <w:t>T</w:t>
      </w:r>
      <w:r w:rsidR="001974F7">
        <w:rPr>
          <w:rFonts w:cs="Calibri"/>
          <w:sz w:val="22"/>
          <w:szCs w:val="22"/>
        </w:rPr>
        <w:t>his</w:t>
      </w:r>
      <w:r w:rsidR="0078471B">
        <w:rPr>
          <w:rFonts w:cs="Calibri"/>
          <w:sz w:val="22"/>
          <w:szCs w:val="22"/>
        </w:rPr>
        <w:t xml:space="preserve"> effect </w:t>
      </w:r>
      <w:r w:rsidR="00F35867">
        <w:rPr>
          <w:rFonts w:cs="Calibri"/>
          <w:sz w:val="22"/>
          <w:szCs w:val="22"/>
        </w:rPr>
        <w:t>was only observed for the disclosure of non-financial information. S</w:t>
      </w:r>
      <w:r w:rsidR="0078471B">
        <w:rPr>
          <w:rFonts w:cs="Calibri"/>
          <w:sz w:val="22"/>
          <w:szCs w:val="22"/>
        </w:rPr>
        <w:t xml:space="preserve">trategic and financial disclosures are likely to be provided more timely throughout the year in other reports or kept within the firm. </w:t>
      </w:r>
      <w:r w:rsidR="004D6D82">
        <w:rPr>
          <w:rFonts w:cs="Calibri"/>
          <w:sz w:val="22"/>
          <w:szCs w:val="22"/>
        </w:rPr>
        <w:t xml:space="preserve">This can explain the overall insignificant association. </w:t>
      </w:r>
    </w:p>
    <w:p w:rsidR="00A95413" w:rsidRDefault="00A95413" w:rsidP="001D4BB3">
      <w:pPr>
        <w:jc w:val="both"/>
        <w:rPr>
          <w:rFonts w:cs="Calibri"/>
          <w:sz w:val="22"/>
          <w:szCs w:val="22"/>
        </w:rPr>
      </w:pPr>
      <w:r>
        <w:rPr>
          <w:rFonts w:cs="Calibri"/>
          <w:sz w:val="22"/>
          <w:szCs w:val="22"/>
        </w:rPr>
        <w:t xml:space="preserve">The control variables size and profitability are significantly and positively associated with voluntary disclosures. Hence, larger and more profitable firms are likely to disclose more information. These findings are in line with prior studies and reasons are that when the firm is larger the firm simply has more elements to provide information about and usually has more owners who request information. In addition, more profitable firms are likely under more public attention, have the goal to differentiate </w:t>
      </w:r>
      <w:r w:rsidR="00BE6413">
        <w:rPr>
          <w:rFonts w:cs="Calibri"/>
          <w:sz w:val="22"/>
          <w:szCs w:val="22"/>
        </w:rPr>
        <w:t>themselves</w:t>
      </w:r>
      <w:r>
        <w:rPr>
          <w:rFonts w:cs="Calibri"/>
          <w:sz w:val="22"/>
          <w:szCs w:val="22"/>
        </w:rPr>
        <w:t xml:space="preserve">, and simply have more resources to create and present voluntary disclosures. The control variable leverage is not significantly associated with voluntary disclosures. In the examination of the results per country there are unfortunately no significant associations between the ownership variables and voluntary disclosures observed. The reason is probably that the sample size is too small for this; total sample size is 100 but sample size per country is only 20. As the association between size and voluntary disclosures is very strong some countries do show a significant association between size and voluntary disclosures; these are Germany, France and The Netherlands. </w:t>
      </w:r>
    </w:p>
    <w:p w:rsidR="00A95413" w:rsidRDefault="00A95413" w:rsidP="001D4BB3">
      <w:pPr>
        <w:jc w:val="both"/>
        <w:rPr>
          <w:rFonts w:cs="Calibri"/>
          <w:sz w:val="22"/>
          <w:szCs w:val="22"/>
        </w:rPr>
      </w:pPr>
      <w:r>
        <w:rPr>
          <w:rFonts w:cs="Calibri"/>
          <w:sz w:val="22"/>
          <w:szCs w:val="22"/>
        </w:rPr>
        <w:t xml:space="preserve">The results of the regression per information type show that managerial ownership is significantly positively associated with the provision of non-financial information. This is because </w:t>
      </w:r>
      <w:r>
        <w:rPr>
          <w:rFonts w:cs="Calibri"/>
          <w:sz w:val="22"/>
          <w:szCs w:val="22"/>
          <w:lang w:eastAsia="nl-NL"/>
        </w:rPr>
        <w:t xml:space="preserve">managers are aware of the increasing importance of providing non-financial disclosures and </w:t>
      </w:r>
      <w:r w:rsidR="009F145A">
        <w:rPr>
          <w:rFonts w:cs="Calibri"/>
          <w:sz w:val="22"/>
          <w:szCs w:val="22"/>
          <w:lang w:eastAsia="nl-NL"/>
        </w:rPr>
        <w:t xml:space="preserve">because strategic and financial information are likely to be provided outside the annual report. </w:t>
      </w:r>
      <w:r>
        <w:rPr>
          <w:rFonts w:cs="Calibri"/>
          <w:sz w:val="22"/>
          <w:szCs w:val="22"/>
        </w:rPr>
        <w:t>Continuously, blockholder ownership is significantly negatively associated with non-financial information. This is because an increase in blockholder ownership leads to a decrease in monitoring and subsequently in a decrease in voluntary disclosures. In specific, it leads to a decrease in the disclosure of non-financial information as this is less important for shareholder compared to strategic and financial disclosures.</w:t>
      </w:r>
    </w:p>
    <w:p w:rsidR="003374E7" w:rsidRDefault="00CF5E27" w:rsidP="00AA0467">
      <w:pPr>
        <w:jc w:val="both"/>
        <w:rPr>
          <w:rFonts w:cs="Calibri"/>
          <w:sz w:val="22"/>
          <w:szCs w:val="22"/>
        </w:rPr>
      </w:pPr>
      <w:r>
        <w:rPr>
          <w:rFonts w:cs="Calibri"/>
          <w:sz w:val="22"/>
          <w:szCs w:val="22"/>
        </w:rPr>
        <w:t>To conclude</w:t>
      </w:r>
      <w:r w:rsidR="0078097C">
        <w:rPr>
          <w:rFonts w:cs="Calibri"/>
          <w:sz w:val="22"/>
          <w:szCs w:val="22"/>
        </w:rPr>
        <w:t xml:space="preserve"> the research question: Yes, </w:t>
      </w:r>
      <w:r w:rsidR="00AF0ABD">
        <w:rPr>
          <w:rFonts w:cs="Calibri"/>
          <w:sz w:val="22"/>
          <w:szCs w:val="22"/>
        </w:rPr>
        <w:t xml:space="preserve">this study finds evidence for </w:t>
      </w:r>
      <w:r w:rsidR="00A95413">
        <w:rPr>
          <w:rFonts w:cs="Calibri"/>
          <w:sz w:val="22"/>
          <w:szCs w:val="22"/>
        </w:rPr>
        <w:t xml:space="preserve">a relation </w:t>
      </w:r>
      <w:r w:rsidR="00A95413" w:rsidRPr="00046999">
        <w:rPr>
          <w:rFonts w:cs="Calibri"/>
          <w:sz w:val="22"/>
          <w:szCs w:val="22"/>
        </w:rPr>
        <w:t>between ownership structure and voluntary disclosures</w:t>
      </w:r>
      <w:r w:rsidR="002028F0">
        <w:rPr>
          <w:rFonts w:cs="Calibri"/>
          <w:sz w:val="22"/>
          <w:szCs w:val="22"/>
        </w:rPr>
        <w:t>. H</w:t>
      </w:r>
      <w:r w:rsidR="00A95413">
        <w:rPr>
          <w:rFonts w:cs="Calibri"/>
          <w:sz w:val="22"/>
          <w:szCs w:val="22"/>
        </w:rPr>
        <w:t>owever, the significance depends per ownership variable and information type.</w:t>
      </w:r>
      <w:r w:rsidR="00A95413" w:rsidRPr="00046999">
        <w:rPr>
          <w:rFonts w:cs="Calibri"/>
          <w:sz w:val="22"/>
          <w:szCs w:val="22"/>
        </w:rPr>
        <w:t xml:space="preserve"> </w:t>
      </w:r>
      <w:r w:rsidR="000F475D">
        <w:rPr>
          <w:rFonts w:cs="Calibri"/>
          <w:sz w:val="22"/>
          <w:szCs w:val="22"/>
        </w:rPr>
        <w:t xml:space="preserve">The results of this study can be used as follows. </w:t>
      </w:r>
      <w:r w:rsidR="00A95413">
        <w:rPr>
          <w:rFonts w:cs="Calibri"/>
          <w:sz w:val="22"/>
          <w:szCs w:val="22"/>
        </w:rPr>
        <w:t>Investors aiming to obtain as much information as possible are best to invest in firms with high government ownership or firms with low blockholder ownership. In addition, if the investor is particularly interested in non-financial information, he can invest best in a firm where managerial ownership is high</w:t>
      </w:r>
      <w:r w:rsidR="00F9350A">
        <w:rPr>
          <w:rFonts w:cs="Calibri"/>
          <w:sz w:val="22"/>
          <w:szCs w:val="22"/>
        </w:rPr>
        <w:t xml:space="preserve"> and blockholder</w:t>
      </w:r>
      <w:r w:rsidR="00AF0404">
        <w:rPr>
          <w:rFonts w:cs="Calibri"/>
          <w:sz w:val="22"/>
          <w:szCs w:val="22"/>
        </w:rPr>
        <w:t xml:space="preserve"> ownership is low</w:t>
      </w:r>
      <w:r w:rsidR="00A95413">
        <w:rPr>
          <w:rFonts w:cs="Calibri"/>
          <w:sz w:val="22"/>
          <w:szCs w:val="22"/>
        </w:rPr>
        <w:t xml:space="preserve">. Finally, investors can best invest in large and profitable firms as it appears that they disclose more information. </w:t>
      </w:r>
      <w:r w:rsidR="00FD153A">
        <w:rPr>
          <w:rFonts w:cs="Calibri"/>
          <w:sz w:val="22"/>
          <w:szCs w:val="22"/>
        </w:rPr>
        <w:t xml:space="preserve">The results of this study </w:t>
      </w:r>
      <w:r w:rsidR="00B2551C">
        <w:rPr>
          <w:rFonts w:cs="Calibri"/>
          <w:sz w:val="22"/>
          <w:szCs w:val="22"/>
        </w:rPr>
        <w:t>contribute</w:t>
      </w:r>
      <w:r w:rsidR="00FD153A">
        <w:rPr>
          <w:rFonts w:cs="Calibri"/>
          <w:sz w:val="22"/>
          <w:szCs w:val="22"/>
        </w:rPr>
        <w:t xml:space="preserve"> </w:t>
      </w:r>
      <w:r w:rsidR="00B2551C">
        <w:rPr>
          <w:rFonts w:cs="Calibri"/>
          <w:sz w:val="22"/>
          <w:szCs w:val="22"/>
        </w:rPr>
        <w:t xml:space="preserve">to </w:t>
      </w:r>
      <w:r w:rsidR="00FD153A">
        <w:rPr>
          <w:rFonts w:cs="Calibri"/>
          <w:sz w:val="22"/>
          <w:szCs w:val="22"/>
        </w:rPr>
        <w:t xml:space="preserve">the scientific knowledge available on disclosure practices of European firms. </w:t>
      </w:r>
      <w:r w:rsidR="006F15A5">
        <w:rPr>
          <w:rFonts w:cs="Calibri"/>
          <w:sz w:val="22"/>
          <w:szCs w:val="22"/>
        </w:rPr>
        <w:t>The observations</w:t>
      </w:r>
      <w:r w:rsidR="00912FFB">
        <w:rPr>
          <w:rFonts w:cs="Calibri"/>
          <w:sz w:val="22"/>
          <w:szCs w:val="22"/>
        </w:rPr>
        <w:t xml:space="preserve"> contribute to the assumption that more dispersed ownership </w:t>
      </w:r>
      <w:r w:rsidR="007816B0">
        <w:rPr>
          <w:rFonts w:cs="Calibri"/>
          <w:sz w:val="22"/>
          <w:szCs w:val="22"/>
        </w:rPr>
        <w:t xml:space="preserve">(lower blockholder ownership) </w:t>
      </w:r>
      <w:r w:rsidR="00912FFB">
        <w:rPr>
          <w:rFonts w:cs="Calibri"/>
          <w:sz w:val="22"/>
          <w:szCs w:val="22"/>
        </w:rPr>
        <w:t xml:space="preserve">leads to more voluntary disclosures as stated by various researchers. </w:t>
      </w:r>
      <w:r w:rsidR="00511A0A">
        <w:rPr>
          <w:rFonts w:cs="Calibri"/>
          <w:sz w:val="22"/>
          <w:szCs w:val="22"/>
        </w:rPr>
        <w:t>This</w:t>
      </w:r>
      <w:r w:rsidR="00556D44">
        <w:rPr>
          <w:rFonts w:cs="Calibri"/>
          <w:sz w:val="22"/>
          <w:szCs w:val="22"/>
        </w:rPr>
        <w:t xml:space="preserve"> assumption holds for the European countries analyzed in this study</w:t>
      </w:r>
      <w:r w:rsidR="00697FEF">
        <w:rPr>
          <w:rFonts w:cs="Calibri"/>
          <w:sz w:val="22"/>
          <w:szCs w:val="22"/>
        </w:rPr>
        <w:t xml:space="preserve">, except </w:t>
      </w:r>
      <w:r w:rsidR="00FC41EA">
        <w:rPr>
          <w:rFonts w:cs="Calibri"/>
          <w:sz w:val="22"/>
          <w:szCs w:val="22"/>
        </w:rPr>
        <w:t xml:space="preserve">for </w:t>
      </w:r>
      <w:r w:rsidR="00697FEF">
        <w:rPr>
          <w:rFonts w:cs="Calibri"/>
          <w:sz w:val="22"/>
          <w:szCs w:val="22"/>
        </w:rPr>
        <w:t>France</w:t>
      </w:r>
      <w:r w:rsidR="00556D44">
        <w:rPr>
          <w:rFonts w:cs="Calibri"/>
          <w:sz w:val="22"/>
          <w:szCs w:val="22"/>
        </w:rPr>
        <w:t xml:space="preserve">. </w:t>
      </w:r>
      <w:r w:rsidR="007816B0">
        <w:rPr>
          <w:rFonts w:cs="Calibri"/>
          <w:sz w:val="22"/>
          <w:szCs w:val="22"/>
        </w:rPr>
        <w:t xml:space="preserve">Furthermore, </w:t>
      </w:r>
      <w:r w:rsidR="005377B2">
        <w:rPr>
          <w:rFonts w:cs="Calibri"/>
          <w:sz w:val="22"/>
          <w:szCs w:val="22"/>
        </w:rPr>
        <w:t xml:space="preserve">it is </w:t>
      </w:r>
      <w:r w:rsidR="001B132D">
        <w:rPr>
          <w:rFonts w:cs="Calibri"/>
          <w:sz w:val="22"/>
          <w:szCs w:val="22"/>
        </w:rPr>
        <w:t>noted that</w:t>
      </w:r>
      <w:r w:rsidR="005377B2">
        <w:rPr>
          <w:rFonts w:cs="Calibri"/>
          <w:sz w:val="22"/>
          <w:szCs w:val="22"/>
        </w:rPr>
        <w:t xml:space="preserve"> managerial ownership and non-financial information disclo</w:t>
      </w:r>
      <w:r w:rsidR="00511A0A">
        <w:rPr>
          <w:rFonts w:cs="Calibri"/>
          <w:sz w:val="22"/>
          <w:szCs w:val="22"/>
        </w:rPr>
        <w:t xml:space="preserve">sure are positively associated. </w:t>
      </w:r>
      <w:r w:rsidR="001B132D">
        <w:rPr>
          <w:rFonts w:cs="Calibri"/>
          <w:sz w:val="22"/>
          <w:szCs w:val="22"/>
        </w:rPr>
        <w:t xml:space="preserve">This contributes to the stock compensation incentive analyzed by Noe (1999) that </w:t>
      </w:r>
      <w:r w:rsidR="001B132D">
        <w:rPr>
          <w:rFonts w:cs="Calibri"/>
          <w:sz w:val="22"/>
          <w:szCs w:val="22"/>
        </w:rPr>
        <w:lastRenderedPageBreak/>
        <w:t xml:space="preserve">stock compensation could </w:t>
      </w:r>
      <w:r w:rsidR="00DF17E6">
        <w:rPr>
          <w:rFonts w:cs="Calibri"/>
          <w:sz w:val="22"/>
          <w:szCs w:val="22"/>
        </w:rPr>
        <w:t xml:space="preserve">lead to more </w:t>
      </w:r>
      <w:r w:rsidR="001B132D">
        <w:rPr>
          <w:rFonts w:cs="Calibri"/>
          <w:sz w:val="22"/>
          <w:szCs w:val="22"/>
        </w:rPr>
        <w:t>information disclosed in annual reports</w:t>
      </w:r>
      <w:r w:rsidR="00511A0A">
        <w:rPr>
          <w:rFonts w:cs="Calibri"/>
          <w:sz w:val="22"/>
          <w:szCs w:val="22"/>
        </w:rPr>
        <w:t>,</w:t>
      </w:r>
      <w:r w:rsidR="00511A0A" w:rsidRPr="00511A0A">
        <w:rPr>
          <w:rFonts w:cs="Calibri"/>
          <w:sz w:val="22"/>
          <w:szCs w:val="22"/>
        </w:rPr>
        <w:t xml:space="preserve"> </w:t>
      </w:r>
      <w:r w:rsidR="00511A0A">
        <w:rPr>
          <w:rFonts w:cs="Calibri"/>
          <w:sz w:val="22"/>
          <w:szCs w:val="22"/>
        </w:rPr>
        <w:t xml:space="preserve">in this study </w:t>
      </w:r>
      <w:r w:rsidR="00B53536">
        <w:rPr>
          <w:rFonts w:cs="Calibri"/>
          <w:sz w:val="22"/>
          <w:szCs w:val="22"/>
        </w:rPr>
        <w:t xml:space="preserve">evidence shows </w:t>
      </w:r>
      <w:r w:rsidR="00511A0A">
        <w:rPr>
          <w:rFonts w:cs="Calibri"/>
          <w:sz w:val="22"/>
          <w:szCs w:val="22"/>
        </w:rPr>
        <w:t>it leads to more non-financial disclosures</w:t>
      </w:r>
      <w:r w:rsidR="00A65AFE">
        <w:rPr>
          <w:rFonts w:cs="Calibri"/>
          <w:sz w:val="22"/>
          <w:szCs w:val="22"/>
        </w:rPr>
        <w:t xml:space="preserve"> in annual reports</w:t>
      </w:r>
      <w:r w:rsidR="001B132D">
        <w:rPr>
          <w:rFonts w:cs="Calibri"/>
          <w:sz w:val="22"/>
          <w:szCs w:val="22"/>
        </w:rPr>
        <w:t>.</w:t>
      </w:r>
    </w:p>
    <w:p w:rsidR="00A95413" w:rsidRDefault="00A95413" w:rsidP="00AD6816">
      <w:pPr>
        <w:pStyle w:val="Kop2"/>
      </w:pPr>
      <w:bookmarkStart w:id="148" w:name="_Toc320365358"/>
      <w:r>
        <w:t>10.2 Limitations</w:t>
      </w:r>
      <w:bookmarkEnd w:id="148"/>
      <w:r>
        <w:t xml:space="preserve"> </w:t>
      </w:r>
    </w:p>
    <w:p w:rsidR="00A95413" w:rsidRPr="00046999" w:rsidRDefault="00A95413" w:rsidP="00216EE9">
      <w:pPr>
        <w:jc w:val="both"/>
        <w:rPr>
          <w:rFonts w:cs="Calibri"/>
          <w:sz w:val="22"/>
          <w:szCs w:val="22"/>
        </w:rPr>
      </w:pPr>
      <w:r>
        <w:rPr>
          <w:rFonts w:cs="Calibri"/>
          <w:sz w:val="22"/>
          <w:szCs w:val="22"/>
        </w:rPr>
        <w:t>The most important limitation of this study is the subjectivity of the content analysis as explained in chapter five. However, various efforts were conducted to reduce this subjectivity as far as possible by creating a protocol and a defined set of key words. Furthermore, i</w:t>
      </w:r>
      <w:r w:rsidRPr="00046999">
        <w:rPr>
          <w:rFonts w:cs="Calibri"/>
          <w:sz w:val="22"/>
          <w:szCs w:val="22"/>
        </w:rPr>
        <w:t xml:space="preserve">n this study only </w:t>
      </w:r>
      <w:r>
        <w:rPr>
          <w:rFonts w:cs="Calibri"/>
          <w:sz w:val="22"/>
          <w:szCs w:val="22"/>
        </w:rPr>
        <w:t>the variables</w:t>
      </w:r>
      <w:r w:rsidRPr="00046999">
        <w:rPr>
          <w:rFonts w:cs="Calibri"/>
          <w:sz w:val="22"/>
          <w:szCs w:val="22"/>
        </w:rPr>
        <w:t xml:space="preserve"> managerial-, blockholder- and government ownership are used as determinants of ownershi</w:t>
      </w:r>
      <w:r>
        <w:rPr>
          <w:rFonts w:cs="Calibri"/>
          <w:sz w:val="22"/>
          <w:szCs w:val="22"/>
        </w:rPr>
        <w:t>p structure, there could be other ownership variables that are better related to the provision of voluntary disclosures</w:t>
      </w:r>
      <w:r w:rsidRPr="00046999">
        <w:rPr>
          <w:rFonts w:cs="Calibri"/>
          <w:sz w:val="22"/>
          <w:szCs w:val="22"/>
        </w:rPr>
        <w:t xml:space="preserve">. In addition, only the five most influential European countries are analyzed; the results are therefore only applicable to these countries. It could be that there exist differences in ownership structure and voluntary disclosures within industries, however for this study it is not feasible to also categorize for industry as due a sample size of 100 firms (due to time limitations of the content analysis). </w:t>
      </w:r>
      <w:r>
        <w:rPr>
          <w:rFonts w:cs="Calibri"/>
          <w:sz w:val="22"/>
          <w:szCs w:val="22"/>
        </w:rPr>
        <w:t xml:space="preserve"> </w:t>
      </w:r>
      <w:r w:rsidRPr="00046999">
        <w:rPr>
          <w:rFonts w:cs="Calibri"/>
          <w:sz w:val="22"/>
          <w:szCs w:val="22"/>
          <w:lang w:eastAsia="nl-NL"/>
        </w:rPr>
        <w:t xml:space="preserve">Furthermore the study from Zourarakis (2009) has not been </w:t>
      </w:r>
      <w:r>
        <w:rPr>
          <w:rFonts w:cs="Calibri"/>
          <w:sz w:val="22"/>
          <w:szCs w:val="22"/>
          <w:lang w:eastAsia="nl-NL"/>
        </w:rPr>
        <w:t xml:space="preserve">published therefore; </w:t>
      </w:r>
      <w:r w:rsidRPr="00046999">
        <w:rPr>
          <w:rFonts w:cs="Calibri"/>
          <w:sz w:val="22"/>
          <w:szCs w:val="22"/>
          <w:lang w:eastAsia="nl-NL"/>
        </w:rPr>
        <w:t xml:space="preserve">the results should be interpreted with caution. The information in the annual reports from 2010 could be influenced by the financial crisis. However, </w:t>
      </w:r>
      <w:r>
        <w:rPr>
          <w:rFonts w:cs="Calibri"/>
          <w:sz w:val="22"/>
          <w:szCs w:val="22"/>
          <w:lang w:eastAsia="nl-NL"/>
        </w:rPr>
        <w:t xml:space="preserve">in this study </w:t>
      </w:r>
      <w:r w:rsidRPr="00046999">
        <w:rPr>
          <w:rFonts w:cs="Calibri"/>
          <w:sz w:val="22"/>
          <w:szCs w:val="22"/>
          <w:lang w:eastAsia="nl-NL"/>
        </w:rPr>
        <w:t>a higher value is assigned to analyzing the most recent information versus information that is potentially influenced by the financial crisis. Furthermore</w:t>
      </w:r>
      <w:r>
        <w:rPr>
          <w:rFonts w:cs="Calibri"/>
          <w:sz w:val="22"/>
          <w:szCs w:val="22"/>
          <w:lang w:eastAsia="nl-NL"/>
        </w:rPr>
        <w:t>,</w:t>
      </w:r>
      <w:r w:rsidRPr="00046999">
        <w:rPr>
          <w:rFonts w:cs="Calibri"/>
          <w:sz w:val="22"/>
          <w:szCs w:val="22"/>
          <w:lang w:eastAsia="nl-NL"/>
        </w:rPr>
        <w:t xml:space="preserve"> </w:t>
      </w:r>
      <w:r>
        <w:rPr>
          <w:rFonts w:cs="Calibri"/>
          <w:sz w:val="22"/>
          <w:szCs w:val="22"/>
          <w:lang w:eastAsia="nl-NL"/>
        </w:rPr>
        <w:t>the results regarding the association with</w:t>
      </w:r>
      <w:r w:rsidR="00194223">
        <w:rPr>
          <w:rFonts w:cs="Calibri"/>
          <w:sz w:val="22"/>
          <w:szCs w:val="22"/>
          <w:lang w:eastAsia="nl-NL"/>
        </w:rPr>
        <w:t xml:space="preserve"> g</w:t>
      </w:r>
      <w:r>
        <w:rPr>
          <w:rFonts w:cs="Calibri"/>
          <w:sz w:val="22"/>
          <w:szCs w:val="22"/>
          <w:lang w:eastAsia="nl-NL"/>
        </w:rPr>
        <w:t>overnment ownership could</w:t>
      </w:r>
      <w:r w:rsidRPr="00216EE9">
        <w:rPr>
          <w:rFonts w:cs="Calibri"/>
          <w:sz w:val="22"/>
          <w:szCs w:val="22"/>
          <w:lang w:eastAsia="nl-NL"/>
        </w:rPr>
        <w:t xml:space="preserve"> </w:t>
      </w:r>
      <w:r>
        <w:rPr>
          <w:rFonts w:cs="Calibri"/>
          <w:sz w:val="22"/>
          <w:szCs w:val="22"/>
          <w:lang w:eastAsia="nl-NL"/>
        </w:rPr>
        <w:t xml:space="preserve">be influenced by the </w:t>
      </w:r>
      <w:r w:rsidR="00194223">
        <w:rPr>
          <w:rFonts w:cs="Calibri"/>
          <w:sz w:val="22"/>
          <w:szCs w:val="22"/>
          <w:lang w:eastAsia="nl-NL"/>
        </w:rPr>
        <w:t>control variables. However, as g</w:t>
      </w:r>
      <w:r>
        <w:rPr>
          <w:rFonts w:cs="Calibri"/>
          <w:sz w:val="22"/>
          <w:szCs w:val="22"/>
          <w:lang w:eastAsia="nl-NL"/>
        </w:rPr>
        <w:t xml:space="preserve">overnment ownership is not normally distributed, the results from the linear regression model would not be reliable. </w:t>
      </w:r>
      <w:r w:rsidR="00437F7C">
        <w:rPr>
          <w:rFonts w:cs="Calibri"/>
          <w:sz w:val="22"/>
          <w:szCs w:val="22"/>
          <w:lang w:eastAsia="nl-NL"/>
        </w:rPr>
        <w:t>Furthermore, excluding g</w:t>
      </w:r>
      <w:r w:rsidR="00376B89">
        <w:rPr>
          <w:rFonts w:cs="Calibri"/>
          <w:sz w:val="22"/>
          <w:szCs w:val="22"/>
          <w:lang w:eastAsia="nl-NL"/>
        </w:rPr>
        <w:t>overnment ownership from the regression could lead to omitted variable bias. However, the regression was also performed whilst inclu</w:t>
      </w:r>
      <w:r w:rsidR="00FC6948">
        <w:rPr>
          <w:rFonts w:cs="Calibri"/>
          <w:sz w:val="22"/>
          <w:szCs w:val="22"/>
          <w:lang w:eastAsia="nl-NL"/>
        </w:rPr>
        <w:t>ding g</w:t>
      </w:r>
      <w:r w:rsidR="00376B89">
        <w:rPr>
          <w:rFonts w:cs="Calibri"/>
          <w:sz w:val="22"/>
          <w:szCs w:val="22"/>
          <w:lang w:eastAsia="nl-NL"/>
        </w:rPr>
        <w:t xml:space="preserve">overnment ownership and the results showed almost no changes at all. </w:t>
      </w:r>
      <w:r w:rsidRPr="00046999">
        <w:rPr>
          <w:rFonts w:cs="Calibri"/>
          <w:sz w:val="22"/>
          <w:szCs w:val="22"/>
          <w:lang w:eastAsia="nl-NL"/>
        </w:rPr>
        <w:t>Although, being aware of the limitations</w:t>
      </w:r>
      <w:r>
        <w:rPr>
          <w:rFonts w:cs="Calibri"/>
          <w:sz w:val="22"/>
          <w:szCs w:val="22"/>
          <w:lang w:eastAsia="nl-NL"/>
        </w:rPr>
        <w:t>, the results showed multiple similarities with prior conducted studies, which suggests that the research in general is reliable and the results can be used to found proper conclusions.</w:t>
      </w:r>
    </w:p>
    <w:p w:rsidR="00A95413" w:rsidRPr="005254B8" w:rsidRDefault="00A95413" w:rsidP="005254B8">
      <w:pPr>
        <w:pStyle w:val="Kop2"/>
      </w:pPr>
      <w:bookmarkStart w:id="149" w:name="_Toc320365359"/>
      <w:r>
        <w:t xml:space="preserve">10.3 Recommendations for </w:t>
      </w:r>
      <w:r w:rsidR="0090672D">
        <w:t>future</w:t>
      </w:r>
      <w:r>
        <w:t xml:space="preserve"> research</w:t>
      </w:r>
      <w:bookmarkEnd w:id="149"/>
    </w:p>
    <w:p w:rsidR="00A95413" w:rsidRDefault="00A95413" w:rsidP="00E36848">
      <w:pPr>
        <w:jc w:val="both"/>
        <w:rPr>
          <w:rFonts w:cs="Calibri"/>
          <w:sz w:val="22"/>
          <w:szCs w:val="22"/>
          <w:lang w:eastAsia="nl-NL"/>
        </w:rPr>
      </w:pPr>
      <w:r w:rsidRPr="00046999">
        <w:rPr>
          <w:rFonts w:cs="Calibri"/>
          <w:sz w:val="22"/>
          <w:szCs w:val="22"/>
          <w:lang w:eastAsia="nl-NL"/>
        </w:rPr>
        <w:t>For future research it would be interesting to compare</w:t>
      </w:r>
      <w:r>
        <w:rPr>
          <w:rFonts w:cs="Calibri"/>
          <w:sz w:val="22"/>
          <w:szCs w:val="22"/>
          <w:lang w:eastAsia="nl-NL"/>
        </w:rPr>
        <w:t xml:space="preserve"> the</w:t>
      </w:r>
      <w:r w:rsidRPr="00046999">
        <w:rPr>
          <w:rFonts w:cs="Calibri"/>
          <w:sz w:val="22"/>
          <w:szCs w:val="22"/>
          <w:lang w:eastAsia="nl-NL"/>
        </w:rPr>
        <w:t xml:space="preserve"> results from </w:t>
      </w:r>
      <w:r>
        <w:rPr>
          <w:rFonts w:cs="Calibri"/>
          <w:sz w:val="22"/>
          <w:szCs w:val="22"/>
          <w:lang w:eastAsia="nl-NL"/>
        </w:rPr>
        <w:t>this study with results from</w:t>
      </w:r>
      <w:r w:rsidR="006B1186">
        <w:rPr>
          <w:rFonts w:cs="Calibri"/>
          <w:sz w:val="22"/>
          <w:szCs w:val="22"/>
          <w:lang w:eastAsia="nl-NL"/>
        </w:rPr>
        <w:t xml:space="preserve"> after the financial crisis</w:t>
      </w:r>
      <w:r w:rsidRPr="00046999">
        <w:rPr>
          <w:rFonts w:cs="Calibri"/>
          <w:sz w:val="22"/>
          <w:szCs w:val="22"/>
          <w:lang w:eastAsia="nl-NL"/>
        </w:rPr>
        <w:t>.</w:t>
      </w:r>
      <w:r>
        <w:rPr>
          <w:rFonts w:cs="Calibri"/>
          <w:sz w:val="22"/>
          <w:szCs w:val="22"/>
          <w:lang w:eastAsia="nl-NL"/>
        </w:rPr>
        <w:t xml:space="preserve"> It could be that due to the financial crisis firms now disclose more or less information. In addition, a larger sample size including countries from the entire European Union (not the most influential countries) could lead to more conclusive findings for the disclosure practices in Europe. </w:t>
      </w:r>
      <w:r w:rsidR="000F4FF3">
        <w:rPr>
          <w:rFonts w:cs="Calibri"/>
          <w:sz w:val="22"/>
          <w:szCs w:val="22"/>
          <w:lang w:eastAsia="nl-NL"/>
        </w:rPr>
        <w:t xml:space="preserve">It could also be interesting to look at other determinants of ownership structure or corporate governance such as the percentage of </w:t>
      </w:r>
      <w:r w:rsidR="00B8027B">
        <w:rPr>
          <w:rFonts w:cs="Calibri"/>
          <w:sz w:val="22"/>
          <w:szCs w:val="22"/>
          <w:lang w:eastAsia="nl-NL"/>
        </w:rPr>
        <w:t>foreign</w:t>
      </w:r>
      <w:r w:rsidR="000F4FF3">
        <w:rPr>
          <w:rFonts w:cs="Calibri"/>
          <w:sz w:val="22"/>
          <w:szCs w:val="22"/>
          <w:lang w:eastAsia="nl-NL"/>
        </w:rPr>
        <w:t xml:space="preserve"> ownership or </w:t>
      </w:r>
      <w:r w:rsidR="007C2F9C">
        <w:rPr>
          <w:rFonts w:cs="Calibri"/>
          <w:sz w:val="22"/>
          <w:szCs w:val="22"/>
          <w:lang w:eastAsia="nl-NL"/>
        </w:rPr>
        <w:t>presence</w:t>
      </w:r>
      <w:r w:rsidR="006B1186">
        <w:rPr>
          <w:rFonts w:cs="Calibri"/>
          <w:sz w:val="22"/>
          <w:szCs w:val="22"/>
          <w:lang w:eastAsia="nl-NL"/>
        </w:rPr>
        <w:t xml:space="preserve"> and activities</w:t>
      </w:r>
      <w:r w:rsidR="007C2F9C">
        <w:rPr>
          <w:rFonts w:cs="Calibri"/>
          <w:sz w:val="22"/>
          <w:szCs w:val="22"/>
          <w:lang w:eastAsia="nl-NL"/>
        </w:rPr>
        <w:t xml:space="preserve"> of </w:t>
      </w:r>
      <w:r w:rsidR="006B1186">
        <w:rPr>
          <w:rFonts w:cs="Calibri"/>
          <w:sz w:val="22"/>
          <w:szCs w:val="22"/>
          <w:lang w:eastAsia="nl-NL"/>
        </w:rPr>
        <w:t xml:space="preserve">the </w:t>
      </w:r>
      <w:r w:rsidR="000F4FF3">
        <w:rPr>
          <w:rFonts w:cs="Calibri"/>
          <w:sz w:val="22"/>
          <w:szCs w:val="22"/>
          <w:lang w:eastAsia="nl-NL"/>
        </w:rPr>
        <w:t xml:space="preserve">Board of Directors. </w:t>
      </w:r>
      <w:r>
        <w:rPr>
          <w:rFonts w:cs="Calibri"/>
          <w:sz w:val="22"/>
          <w:szCs w:val="22"/>
          <w:lang w:eastAsia="nl-NL"/>
        </w:rPr>
        <w:t>Another recommendation is to only use a non-financial information based disclosure score sheet such as the Dutch Transparency Benchmark and test this for the entire EU, as the results from this study show that the ownership variables blockholder ownership and managerial ownership are especially significantly associated with the disclosure of non-financial information.</w:t>
      </w:r>
      <w:r w:rsidR="007D20D8">
        <w:rPr>
          <w:rFonts w:cs="Calibri"/>
          <w:sz w:val="22"/>
          <w:szCs w:val="22"/>
          <w:lang w:eastAsia="nl-NL"/>
        </w:rPr>
        <w:t xml:space="preserve"> Furthermore, it would be interesting to, besides the annual reports, take into account other communications to stakeholders throughout the year; in earnings announcements, quarterly reports, press releases etc.</w:t>
      </w:r>
      <w:r w:rsidR="00A005DB">
        <w:rPr>
          <w:rFonts w:cs="Calibri"/>
          <w:sz w:val="22"/>
          <w:szCs w:val="22"/>
          <w:lang w:eastAsia="nl-NL"/>
        </w:rPr>
        <w:t xml:space="preserve"> In specific, by including these reports, the effect</w:t>
      </w:r>
      <w:r w:rsidR="003C483E">
        <w:rPr>
          <w:rFonts w:cs="Calibri"/>
          <w:sz w:val="22"/>
          <w:szCs w:val="22"/>
          <w:lang w:eastAsia="nl-NL"/>
        </w:rPr>
        <w:t xml:space="preserve"> of ownership structure</w:t>
      </w:r>
      <w:r w:rsidR="00A005DB">
        <w:rPr>
          <w:rFonts w:cs="Calibri"/>
          <w:sz w:val="22"/>
          <w:szCs w:val="22"/>
          <w:lang w:eastAsia="nl-NL"/>
        </w:rPr>
        <w:t xml:space="preserve"> on voluntary disclosures can be further examined.</w:t>
      </w:r>
      <w:r>
        <w:rPr>
          <w:rFonts w:cs="Calibri"/>
          <w:sz w:val="22"/>
          <w:szCs w:val="22"/>
          <w:lang w:eastAsia="nl-NL"/>
        </w:rPr>
        <w:br w:type="page"/>
      </w:r>
    </w:p>
    <w:p w:rsidR="00A95413" w:rsidRPr="00046999" w:rsidRDefault="00A95413" w:rsidP="001D4BB3">
      <w:pPr>
        <w:pStyle w:val="Kop1"/>
        <w:jc w:val="both"/>
        <w:rPr>
          <w:rFonts w:cs="Calibri"/>
        </w:rPr>
      </w:pPr>
      <w:bookmarkStart w:id="150" w:name="_Toc320365360"/>
      <w:r w:rsidRPr="00046999">
        <w:rPr>
          <w:rFonts w:cs="Calibri"/>
        </w:rPr>
        <w:lastRenderedPageBreak/>
        <w:t>Reference list</w:t>
      </w:r>
      <w:bookmarkEnd w:id="150"/>
    </w:p>
    <w:p w:rsidR="00A95413" w:rsidRPr="00046999" w:rsidRDefault="00A95413" w:rsidP="001D4BB3">
      <w:pPr>
        <w:pStyle w:val="Lijstalinea"/>
        <w:numPr>
          <w:ilvl w:val="0"/>
          <w:numId w:val="4"/>
        </w:numPr>
        <w:jc w:val="both"/>
        <w:rPr>
          <w:rFonts w:cs="Calibri"/>
          <w:color w:val="000000"/>
          <w:sz w:val="22"/>
          <w:szCs w:val="22"/>
          <w:lang w:eastAsia="nl-NL"/>
        </w:rPr>
      </w:pPr>
      <w:r w:rsidRPr="00046999">
        <w:rPr>
          <w:rFonts w:cs="Calibri"/>
          <w:color w:val="000000"/>
          <w:sz w:val="22"/>
          <w:szCs w:val="22"/>
          <w:lang w:eastAsia="nl-NL"/>
        </w:rPr>
        <w:t xml:space="preserve">Ajinkya, B., Gift, M., (1984). Corporate managers’ earnings forecasts and symmetrical adjustments of market expectations. </w:t>
      </w:r>
      <w:r w:rsidRPr="00046999">
        <w:rPr>
          <w:rFonts w:cs="Calibri"/>
          <w:i/>
          <w:iCs/>
          <w:color w:val="000000"/>
          <w:sz w:val="22"/>
          <w:szCs w:val="22"/>
          <w:lang w:eastAsia="nl-NL"/>
        </w:rPr>
        <w:t>Journal of Accounting Research</w:t>
      </w:r>
      <w:r w:rsidRPr="00046999">
        <w:rPr>
          <w:rFonts w:cs="Calibri"/>
          <w:color w:val="000000"/>
          <w:sz w:val="22"/>
          <w:szCs w:val="22"/>
          <w:lang w:eastAsia="nl-NL"/>
        </w:rPr>
        <w:t xml:space="preserve"> 22, 425–444.</w:t>
      </w:r>
    </w:p>
    <w:p w:rsidR="00A95413" w:rsidRPr="00046999" w:rsidRDefault="00A95413" w:rsidP="001D4BB3">
      <w:pPr>
        <w:pStyle w:val="Lijstalinea"/>
        <w:numPr>
          <w:ilvl w:val="0"/>
          <w:numId w:val="4"/>
        </w:numPr>
        <w:jc w:val="both"/>
        <w:rPr>
          <w:rFonts w:cs="Calibri"/>
          <w:b/>
          <w:color w:val="000000"/>
          <w:sz w:val="22"/>
          <w:szCs w:val="22"/>
          <w:lang w:eastAsia="nl-NL"/>
        </w:rPr>
      </w:pPr>
      <w:r w:rsidRPr="00046999">
        <w:rPr>
          <w:rFonts w:cs="Calibri"/>
          <w:color w:val="000000"/>
          <w:sz w:val="22"/>
          <w:szCs w:val="22"/>
          <w:lang w:eastAsia="nl-NL"/>
        </w:rPr>
        <w:t>Babbie, E. (2007). The Practice of Social Research, Wadsworth Cengage Learning, Wadsworth, pp.333-344</w:t>
      </w:r>
    </w:p>
    <w:p w:rsidR="00A95413" w:rsidRPr="00046999" w:rsidRDefault="00A95413" w:rsidP="001D4BB3">
      <w:pPr>
        <w:pStyle w:val="Lijstalinea"/>
        <w:numPr>
          <w:ilvl w:val="0"/>
          <w:numId w:val="4"/>
        </w:numPr>
        <w:jc w:val="both"/>
        <w:rPr>
          <w:rFonts w:cs="Calibri"/>
          <w:b/>
          <w:color w:val="000000"/>
          <w:sz w:val="22"/>
          <w:szCs w:val="22"/>
          <w:lang w:eastAsia="nl-NL"/>
        </w:rPr>
      </w:pPr>
      <w:r w:rsidRPr="00046999">
        <w:rPr>
          <w:rFonts w:cs="Calibri"/>
          <w:color w:val="000000"/>
          <w:sz w:val="22"/>
          <w:szCs w:val="22"/>
          <w:lang w:eastAsia="nl-NL"/>
        </w:rPr>
        <w:t xml:space="preserve">Ball, R., Kothari, S.P., Robin, A. (2000). The effect of international institutional factors on properties of accounting earnings.  </w:t>
      </w:r>
      <w:r w:rsidRPr="00046999">
        <w:rPr>
          <w:rFonts w:cs="Calibri"/>
          <w:i/>
          <w:iCs/>
          <w:sz w:val="22"/>
          <w:szCs w:val="22"/>
        </w:rPr>
        <w:t xml:space="preserve">Journal of Accounting and Economics </w:t>
      </w:r>
      <w:r w:rsidRPr="00046999">
        <w:rPr>
          <w:rFonts w:cs="Calibri"/>
          <w:sz w:val="22"/>
          <w:szCs w:val="22"/>
        </w:rPr>
        <w:t>29, 1–51.</w:t>
      </w:r>
    </w:p>
    <w:p w:rsidR="00A95413" w:rsidRPr="00046999" w:rsidRDefault="00A95413" w:rsidP="001D4BB3">
      <w:pPr>
        <w:pStyle w:val="Lijstalinea"/>
        <w:numPr>
          <w:ilvl w:val="0"/>
          <w:numId w:val="4"/>
        </w:numPr>
        <w:jc w:val="both"/>
        <w:rPr>
          <w:rFonts w:cs="Calibri"/>
          <w:color w:val="000000"/>
          <w:sz w:val="22"/>
          <w:szCs w:val="22"/>
          <w:lang w:eastAsia="nl-NL"/>
        </w:rPr>
      </w:pPr>
      <w:r w:rsidRPr="00046999">
        <w:rPr>
          <w:rFonts w:cs="Calibri"/>
          <w:color w:val="000000"/>
          <w:sz w:val="22"/>
          <w:szCs w:val="22"/>
          <w:lang w:eastAsia="nl-NL"/>
        </w:rPr>
        <w:t xml:space="preserve">Barako, D.G, Hancock P, and Izan H. Y, (2006), Factors Influencing Voluntary Corporate Disclosure by Kenyan Companies, </w:t>
      </w:r>
      <w:r w:rsidRPr="00046999">
        <w:rPr>
          <w:rFonts w:cs="Calibri"/>
          <w:i/>
          <w:iCs/>
          <w:color w:val="000000"/>
          <w:sz w:val="22"/>
          <w:szCs w:val="22"/>
          <w:lang w:eastAsia="nl-NL"/>
        </w:rPr>
        <w:t>Corporate Governance,</w:t>
      </w:r>
      <w:r w:rsidRPr="00046999">
        <w:rPr>
          <w:rFonts w:cs="Calibri"/>
          <w:color w:val="000000"/>
          <w:sz w:val="22"/>
          <w:szCs w:val="22"/>
          <w:lang w:eastAsia="nl-NL"/>
        </w:rPr>
        <w:t xml:space="preserve"> pp 107-125</w:t>
      </w:r>
    </w:p>
    <w:p w:rsidR="00A95413" w:rsidRPr="00046999" w:rsidRDefault="00A95413" w:rsidP="001D4BB3">
      <w:pPr>
        <w:pStyle w:val="Lijstalinea"/>
        <w:numPr>
          <w:ilvl w:val="0"/>
          <w:numId w:val="4"/>
        </w:numPr>
        <w:jc w:val="both"/>
        <w:rPr>
          <w:rFonts w:cs="Calibri"/>
          <w:color w:val="000000"/>
          <w:sz w:val="22"/>
          <w:szCs w:val="22"/>
          <w:lang w:eastAsia="nl-NL"/>
        </w:rPr>
      </w:pPr>
      <w:r w:rsidRPr="00046999">
        <w:rPr>
          <w:rFonts w:cs="Calibri"/>
          <w:color w:val="000000"/>
          <w:sz w:val="22"/>
          <w:szCs w:val="22"/>
          <w:lang w:eastAsia="nl-NL"/>
        </w:rPr>
        <w:t xml:space="preserve">Beattie, V., Brown, S., Ewers, D., John, B., Manson, S., Thomas, D., Turner, M. (1994). Extraordinary items and income smoothing: a positive accounting approach. </w:t>
      </w:r>
      <w:r w:rsidRPr="00046999">
        <w:rPr>
          <w:rFonts w:cs="Calibri"/>
          <w:i/>
          <w:color w:val="000000"/>
          <w:sz w:val="22"/>
          <w:szCs w:val="22"/>
          <w:lang w:eastAsia="nl-NL"/>
        </w:rPr>
        <w:t>Journal of Business Finance and Accounting</w:t>
      </w:r>
      <w:r w:rsidRPr="00046999">
        <w:rPr>
          <w:rFonts w:cs="Calibri"/>
          <w:color w:val="000000"/>
          <w:sz w:val="22"/>
          <w:szCs w:val="22"/>
          <w:lang w:eastAsia="nl-NL"/>
        </w:rPr>
        <w:t xml:space="preserve"> </w:t>
      </w:r>
      <w:r w:rsidRPr="00046999">
        <w:rPr>
          <w:rFonts w:cs="Calibri"/>
          <w:i/>
          <w:color w:val="000000"/>
          <w:sz w:val="22"/>
          <w:szCs w:val="22"/>
          <w:lang w:eastAsia="nl-NL"/>
        </w:rPr>
        <w:t>21(6),</w:t>
      </w:r>
      <w:r w:rsidRPr="00046999">
        <w:rPr>
          <w:rFonts w:cs="Calibri"/>
          <w:color w:val="000000"/>
          <w:sz w:val="22"/>
          <w:szCs w:val="22"/>
          <w:lang w:eastAsia="nl-NL"/>
        </w:rPr>
        <w:t>791-811</w:t>
      </w:r>
    </w:p>
    <w:p w:rsidR="00A95413" w:rsidRPr="00046999" w:rsidRDefault="00A95413" w:rsidP="001D4BB3">
      <w:pPr>
        <w:pStyle w:val="Lijstalinea"/>
        <w:numPr>
          <w:ilvl w:val="0"/>
          <w:numId w:val="4"/>
        </w:numPr>
        <w:jc w:val="both"/>
        <w:rPr>
          <w:rFonts w:cs="Calibri"/>
          <w:color w:val="000000"/>
          <w:sz w:val="22"/>
          <w:szCs w:val="22"/>
          <w:lang w:eastAsia="nl-NL"/>
        </w:rPr>
      </w:pPr>
      <w:r w:rsidRPr="00046999">
        <w:rPr>
          <w:rFonts w:cs="Calibri"/>
          <w:color w:val="000000"/>
          <w:sz w:val="22"/>
          <w:szCs w:val="22"/>
          <w:lang w:eastAsia="nl-NL"/>
        </w:rPr>
        <w:t xml:space="preserve">Beattie, V., McInness, B. and Fearnley, S. (2004). A methodology for analyzing and evaluating narratives in annual reports: A comprehensive descriptive profile and metrics for disclosure quality attributes. </w:t>
      </w:r>
      <w:r w:rsidRPr="00046999">
        <w:rPr>
          <w:rFonts w:cs="Calibri"/>
          <w:i/>
          <w:color w:val="000000"/>
          <w:sz w:val="22"/>
          <w:szCs w:val="22"/>
          <w:lang w:eastAsia="nl-NL"/>
        </w:rPr>
        <w:t>Accounting Forum 28</w:t>
      </w:r>
      <w:r w:rsidRPr="00046999">
        <w:rPr>
          <w:rFonts w:cs="Calibri"/>
          <w:color w:val="000000"/>
          <w:sz w:val="22"/>
          <w:szCs w:val="22"/>
          <w:lang w:eastAsia="nl-NL"/>
        </w:rPr>
        <w:t>, 205 - 236</w:t>
      </w:r>
    </w:p>
    <w:p w:rsidR="00A95413" w:rsidRPr="00046999" w:rsidRDefault="00A95413" w:rsidP="001D4BB3">
      <w:pPr>
        <w:pStyle w:val="Lijstalinea"/>
        <w:numPr>
          <w:ilvl w:val="0"/>
          <w:numId w:val="4"/>
        </w:numPr>
        <w:jc w:val="both"/>
        <w:rPr>
          <w:rFonts w:cs="Calibri"/>
          <w:color w:val="000000"/>
          <w:sz w:val="22"/>
          <w:szCs w:val="22"/>
          <w:lang w:eastAsia="nl-NL"/>
        </w:rPr>
      </w:pPr>
      <w:r w:rsidRPr="00046999">
        <w:rPr>
          <w:rFonts w:cs="Calibri"/>
          <w:color w:val="000000"/>
          <w:sz w:val="22"/>
          <w:szCs w:val="22"/>
          <w:lang w:eastAsia="nl-NL"/>
        </w:rPr>
        <w:t xml:space="preserve">Berghe, van den, L. (2002). </w:t>
      </w:r>
      <w:r w:rsidRPr="00046999">
        <w:rPr>
          <w:rFonts w:cs="Calibri"/>
          <w:i/>
          <w:color w:val="000000"/>
          <w:sz w:val="22"/>
          <w:szCs w:val="22"/>
          <w:lang w:eastAsia="nl-NL"/>
        </w:rPr>
        <w:t xml:space="preserve">Corporate governance in a globalizing world: Convergence or Divergence? A European perspective. </w:t>
      </w:r>
      <w:r w:rsidRPr="00046999">
        <w:rPr>
          <w:rFonts w:cs="Calibri"/>
          <w:color w:val="000000"/>
          <w:sz w:val="22"/>
          <w:szCs w:val="22"/>
          <w:lang w:eastAsia="nl-NL"/>
        </w:rPr>
        <w:t>Kluwer Academic Publishers</w:t>
      </w:r>
      <w:r w:rsidRPr="00046999">
        <w:rPr>
          <w:rFonts w:cs="Calibri"/>
          <w:i/>
          <w:color w:val="000000"/>
          <w:sz w:val="22"/>
          <w:szCs w:val="22"/>
          <w:lang w:eastAsia="nl-NL"/>
        </w:rPr>
        <w:t>.</w:t>
      </w:r>
    </w:p>
    <w:p w:rsidR="00A95413" w:rsidRPr="00046999" w:rsidRDefault="00A95413" w:rsidP="001D4BB3">
      <w:pPr>
        <w:pStyle w:val="Lijstalinea"/>
        <w:numPr>
          <w:ilvl w:val="0"/>
          <w:numId w:val="4"/>
        </w:numPr>
        <w:jc w:val="both"/>
        <w:rPr>
          <w:rFonts w:cs="Calibri"/>
          <w:sz w:val="22"/>
          <w:szCs w:val="22"/>
          <w:lang w:eastAsia="nl-NL"/>
        </w:rPr>
      </w:pPr>
      <w:r w:rsidRPr="00046999">
        <w:rPr>
          <w:rFonts w:cs="Calibri"/>
          <w:sz w:val="22"/>
          <w:szCs w:val="22"/>
        </w:rPr>
        <w:t>Blair, M.M. (2003), International Encyclopedia of the Social &amp; Behavioral Sciences. P 2797-2803</w:t>
      </w:r>
    </w:p>
    <w:p w:rsidR="00A95413" w:rsidRPr="00046999" w:rsidRDefault="00A95413" w:rsidP="001D4BB3">
      <w:pPr>
        <w:pStyle w:val="Lijstalinea"/>
        <w:numPr>
          <w:ilvl w:val="0"/>
          <w:numId w:val="4"/>
        </w:numPr>
        <w:jc w:val="both"/>
        <w:rPr>
          <w:rFonts w:cs="Calibri"/>
          <w:sz w:val="22"/>
          <w:szCs w:val="22"/>
          <w:lang w:eastAsia="nl-NL"/>
        </w:rPr>
      </w:pPr>
      <w:r w:rsidRPr="00046999">
        <w:rPr>
          <w:rFonts w:cs="Calibri"/>
          <w:sz w:val="22"/>
          <w:szCs w:val="22"/>
        </w:rPr>
        <w:t xml:space="preserve">Botosan, C.A. (1997), Disclosure level and the cost of equity capital. </w:t>
      </w:r>
      <w:r w:rsidRPr="00046999">
        <w:rPr>
          <w:rFonts w:cs="Calibri"/>
          <w:i/>
          <w:sz w:val="22"/>
          <w:szCs w:val="22"/>
        </w:rPr>
        <w:t>The Accounting Review 72</w:t>
      </w:r>
      <w:r w:rsidRPr="00046999">
        <w:rPr>
          <w:rFonts w:cs="Calibri"/>
          <w:sz w:val="22"/>
          <w:szCs w:val="22"/>
        </w:rPr>
        <w:t>, 323-349.</w:t>
      </w:r>
    </w:p>
    <w:p w:rsidR="00A95413" w:rsidRPr="00046999" w:rsidRDefault="00A95413" w:rsidP="001D4BB3">
      <w:pPr>
        <w:pStyle w:val="Lijstalinea"/>
        <w:numPr>
          <w:ilvl w:val="0"/>
          <w:numId w:val="4"/>
        </w:numPr>
        <w:jc w:val="both"/>
        <w:rPr>
          <w:rFonts w:cs="Calibri"/>
          <w:sz w:val="22"/>
          <w:szCs w:val="22"/>
          <w:lang w:eastAsia="nl-NL"/>
        </w:rPr>
      </w:pPr>
      <w:r w:rsidRPr="00046999">
        <w:rPr>
          <w:rFonts w:cs="Calibri"/>
          <w:color w:val="000000"/>
          <w:sz w:val="22"/>
          <w:szCs w:val="22"/>
          <w:lang w:eastAsia="nl-NL"/>
        </w:rPr>
        <w:t xml:space="preserve">Botosan, C.A. (2006), Disclosure and the cost of capital: what do we know? </w:t>
      </w:r>
      <w:r w:rsidRPr="00046999">
        <w:rPr>
          <w:rFonts w:cs="Calibri"/>
          <w:i/>
          <w:iCs/>
          <w:color w:val="000000"/>
          <w:sz w:val="22"/>
          <w:szCs w:val="22"/>
          <w:lang w:eastAsia="nl-NL"/>
        </w:rPr>
        <w:t xml:space="preserve">Accounting and Business Research, </w:t>
      </w:r>
      <w:r w:rsidRPr="00046999">
        <w:rPr>
          <w:rFonts w:cs="Calibri"/>
          <w:color w:val="000000"/>
          <w:sz w:val="22"/>
          <w:szCs w:val="22"/>
          <w:lang w:eastAsia="nl-NL"/>
        </w:rPr>
        <w:t>International Accounting Policy Forum, 31-40.</w:t>
      </w:r>
    </w:p>
    <w:p w:rsidR="00A95413" w:rsidRPr="00046999" w:rsidRDefault="00A95413" w:rsidP="001D4BB3">
      <w:pPr>
        <w:pStyle w:val="Lijstalinea"/>
        <w:numPr>
          <w:ilvl w:val="0"/>
          <w:numId w:val="4"/>
        </w:numPr>
        <w:autoSpaceDE w:val="0"/>
        <w:autoSpaceDN w:val="0"/>
        <w:adjustRightInd w:val="0"/>
        <w:spacing w:after="0"/>
        <w:jc w:val="both"/>
        <w:rPr>
          <w:rFonts w:cs="Calibri"/>
          <w:i/>
          <w:sz w:val="22"/>
          <w:szCs w:val="22"/>
        </w:rPr>
      </w:pPr>
      <w:r w:rsidRPr="00046999">
        <w:rPr>
          <w:rFonts w:cs="Calibri"/>
          <w:sz w:val="22"/>
          <w:szCs w:val="22"/>
        </w:rPr>
        <w:t xml:space="preserve">Chau, G.K., Gray, S.J., (2002). Ownership structure and corporate voluntary disclosure in Hong Kong and Singapore. </w:t>
      </w:r>
      <w:r w:rsidRPr="00046999">
        <w:rPr>
          <w:rFonts w:cs="Calibri"/>
          <w:i/>
          <w:sz w:val="22"/>
          <w:szCs w:val="22"/>
        </w:rPr>
        <w:t>The International Journal of Accounting 37</w:t>
      </w:r>
      <w:r w:rsidRPr="00046999">
        <w:rPr>
          <w:rFonts w:cs="Calibri"/>
          <w:sz w:val="22"/>
          <w:szCs w:val="22"/>
        </w:rPr>
        <w:t>, 247-265</w:t>
      </w:r>
    </w:p>
    <w:p w:rsidR="00A95413" w:rsidRPr="00046999" w:rsidRDefault="00375033" w:rsidP="001D4BB3">
      <w:pPr>
        <w:pStyle w:val="Lijstalinea"/>
        <w:numPr>
          <w:ilvl w:val="0"/>
          <w:numId w:val="4"/>
        </w:numPr>
        <w:tabs>
          <w:tab w:val="left" w:pos="360"/>
        </w:tabs>
        <w:jc w:val="both"/>
        <w:rPr>
          <w:rFonts w:cs="Calibri"/>
          <w:iCs/>
          <w:sz w:val="22"/>
          <w:szCs w:val="22"/>
        </w:rPr>
      </w:pPr>
      <w:r>
        <w:rPr>
          <w:rFonts w:cs="Calibri"/>
          <w:iCs/>
          <w:sz w:val="22"/>
          <w:szCs w:val="22"/>
        </w:rPr>
        <w:t>Deegan, C., Unerman, J. (2011</w:t>
      </w:r>
      <w:r w:rsidR="00A95413" w:rsidRPr="00046999">
        <w:rPr>
          <w:rFonts w:cs="Calibri"/>
          <w:iCs/>
          <w:sz w:val="22"/>
          <w:szCs w:val="22"/>
        </w:rPr>
        <w:t xml:space="preserve">). </w:t>
      </w:r>
      <w:r w:rsidR="00A95413" w:rsidRPr="00046999">
        <w:rPr>
          <w:rFonts w:cs="Calibri"/>
          <w:i/>
          <w:iCs/>
          <w:sz w:val="22"/>
          <w:szCs w:val="22"/>
        </w:rPr>
        <w:t>Financial Accounting Theory</w:t>
      </w:r>
      <w:r w:rsidR="00A95413" w:rsidRPr="00046999">
        <w:rPr>
          <w:rFonts w:cs="Calibri"/>
          <w:iCs/>
          <w:sz w:val="22"/>
          <w:szCs w:val="22"/>
        </w:rPr>
        <w:t xml:space="preserve">. </w:t>
      </w:r>
      <w:r w:rsidR="00AF1561">
        <w:rPr>
          <w:rFonts w:cs="Calibri"/>
          <w:iCs/>
          <w:sz w:val="22"/>
          <w:szCs w:val="22"/>
        </w:rPr>
        <w:t>Second European Edition.</w:t>
      </w:r>
      <w:r w:rsidR="005C507E">
        <w:rPr>
          <w:rFonts w:cs="Calibri"/>
          <w:iCs/>
          <w:sz w:val="22"/>
          <w:szCs w:val="22"/>
        </w:rPr>
        <w:t xml:space="preserve"> </w:t>
      </w:r>
      <w:r w:rsidR="00A95413" w:rsidRPr="00046999">
        <w:rPr>
          <w:rFonts w:cs="Calibri"/>
          <w:iCs/>
          <w:sz w:val="22"/>
          <w:szCs w:val="22"/>
        </w:rPr>
        <w:t>McGraw-Hill Education, New York.</w:t>
      </w:r>
      <w:r w:rsidR="00A95413" w:rsidRPr="00046999">
        <w:rPr>
          <w:rFonts w:cs="Calibri"/>
          <w:i/>
          <w:sz w:val="22"/>
          <w:szCs w:val="22"/>
        </w:rPr>
        <w:t xml:space="preserve"> </w:t>
      </w:r>
    </w:p>
    <w:p w:rsidR="00A95413" w:rsidRPr="00046999" w:rsidRDefault="00A95413" w:rsidP="00B94378">
      <w:pPr>
        <w:pStyle w:val="Lijstalinea"/>
        <w:numPr>
          <w:ilvl w:val="0"/>
          <w:numId w:val="4"/>
        </w:numPr>
        <w:tabs>
          <w:tab w:val="left" w:pos="360"/>
        </w:tabs>
        <w:rPr>
          <w:rFonts w:cs="Calibri"/>
          <w:iCs/>
          <w:sz w:val="22"/>
          <w:szCs w:val="22"/>
        </w:rPr>
      </w:pPr>
      <w:r w:rsidRPr="00046999">
        <w:rPr>
          <w:rFonts w:cs="Calibri"/>
          <w:iCs/>
          <w:sz w:val="22"/>
          <w:szCs w:val="22"/>
        </w:rPr>
        <w:t xml:space="preserve">Dutch Transparency Benchmark (2009). (retrieved from: </w:t>
      </w:r>
      <w:r w:rsidR="009D29DF">
        <w:rPr>
          <w:rFonts w:cs="Calibri"/>
          <w:iCs/>
          <w:sz w:val="22"/>
          <w:szCs w:val="22"/>
        </w:rPr>
        <w:t>www.rijksoverheid.nl)</w:t>
      </w:r>
    </w:p>
    <w:p w:rsidR="00A95413" w:rsidRPr="00046999" w:rsidRDefault="00A95413" w:rsidP="001D4BB3">
      <w:pPr>
        <w:pStyle w:val="Lijstalinea"/>
        <w:numPr>
          <w:ilvl w:val="0"/>
          <w:numId w:val="4"/>
        </w:numPr>
        <w:jc w:val="both"/>
        <w:rPr>
          <w:rFonts w:cs="Calibri"/>
          <w:color w:val="000000"/>
          <w:sz w:val="22"/>
          <w:szCs w:val="22"/>
          <w:lang w:eastAsia="nl-NL"/>
        </w:rPr>
      </w:pPr>
      <w:r w:rsidRPr="00046999">
        <w:rPr>
          <w:rFonts w:cs="Calibri"/>
          <w:color w:val="000000"/>
          <w:sz w:val="22"/>
          <w:szCs w:val="22"/>
          <w:lang w:val="nl-NL" w:eastAsia="nl-NL"/>
        </w:rPr>
        <w:t xml:space="preserve">Eng L.L., Mak Y.T. (2003). </w:t>
      </w:r>
      <w:r w:rsidRPr="00046999">
        <w:rPr>
          <w:rFonts w:cs="Calibri"/>
          <w:color w:val="000000"/>
          <w:sz w:val="22"/>
          <w:szCs w:val="22"/>
          <w:lang w:eastAsia="nl-NL"/>
        </w:rPr>
        <w:t>Corporate governance and voluntary disclosure.</w:t>
      </w:r>
      <w:r w:rsidRPr="00046999">
        <w:rPr>
          <w:rFonts w:cs="Calibri"/>
          <w:iCs/>
          <w:color w:val="000000"/>
          <w:sz w:val="22"/>
          <w:szCs w:val="22"/>
          <w:lang w:eastAsia="nl-NL"/>
        </w:rPr>
        <w:t xml:space="preserve"> </w:t>
      </w:r>
      <w:r w:rsidRPr="00046999">
        <w:rPr>
          <w:rFonts w:cs="Calibri"/>
          <w:i/>
          <w:iCs/>
          <w:color w:val="000000"/>
          <w:sz w:val="22"/>
          <w:szCs w:val="22"/>
          <w:lang w:eastAsia="nl-NL"/>
        </w:rPr>
        <w:t>Journal of Accounting and Public Policy</w:t>
      </w:r>
      <w:r w:rsidRPr="00046999">
        <w:rPr>
          <w:rFonts w:cs="Calibri"/>
          <w:iCs/>
          <w:color w:val="000000"/>
          <w:sz w:val="22"/>
          <w:szCs w:val="22"/>
          <w:lang w:eastAsia="nl-NL"/>
        </w:rPr>
        <w:t>,</w:t>
      </w:r>
      <w:r w:rsidRPr="00046999">
        <w:rPr>
          <w:rFonts w:cs="Calibri"/>
          <w:i/>
          <w:iCs/>
          <w:color w:val="000000"/>
          <w:sz w:val="22"/>
          <w:szCs w:val="22"/>
          <w:lang w:eastAsia="nl-NL"/>
        </w:rPr>
        <w:t xml:space="preserve"> </w:t>
      </w:r>
      <w:r w:rsidRPr="00046999">
        <w:rPr>
          <w:rFonts w:cs="Calibri"/>
          <w:color w:val="000000"/>
          <w:sz w:val="22"/>
          <w:szCs w:val="22"/>
          <w:lang w:eastAsia="nl-NL"/>
        </w:rPr>
        <w:t>325-345</w:t>
      </w:r>
    </w:p>
    <w:p w:rsidR="00A95413" w:rsidRPr="00046999" w:rsidRDefault="00A95413" w:rsidP="001D4BB3">
      <w:pPr>
        <w:pStyle w:val="Lijstalinea"/>
        <w:numPr>
          <w:ilvl w:val="0"/>
          <w:numId w:val="4"/>
        </w:numPr>
        <w:jc w:val="both"/>
        <w:rPr>
          <w:rFonts w:cs="Calibri"/>
          <w:color w:val="000000"/>
          <w:sz w:val="22"/>
          <w:szCs w:val="22"/>
          <w:lang w:eastAsia="nl-NL"/>
        </w:rPr>
      </w:pPr>
      <w:r w:rsidRPr="00046999">
        <w:rPr>
          <w:rFonts w:cs="Calibri"/>
          <w:sz w:val="22"/>
          <w:szCs w:val="22"/>
          <w:lang w:eastAsia="nl-NL"/>
        </w:rPr>
        <w:t xml:space="preserve">Enriques and Volpin (2007). Corporate governance reforms in Continental Europe. </w:t>
      </w:r>
      <w:r w:rsidRPr="00046999">
        <w:rPr>
          <w:rFonts w:cs="Calibri"/>
          <w:i/>
          <w:sz w:val="22"/>
          <w:szCs w:val="22"/>
          <w:lang w:eastAsia="nl-NL"/>
        </w:rPr>
        <w:t>Journal of Economic Perspectives, 21 (1)</w:t>
      </w:r>
      <w:r w:rsidRPr="00046999">
        <w:rPr>
          <w:rFonts w:cs="Calibri"/>
          <w:sz w:val="22"/>
          <w:szCs w:val="22"/>
          <w:lang w:eastAsia="nl-NL"/>
        </w:rPr>
        <w:t xml:space="preserve">, 117-140 </w:t>
      </w:r>
    </w:p>
    <w:p w:rsidR="00A95413" w:rsidRPr="00046999" w:rsidRDefault="00A95413" w:rsidP="001D4BB3">
      <w:pPr>
        <w:pStyle w:val="Lijstalinea"/>
        <w:numPr>
          <w:ilvl w:val="0"/>
          <w:numId w:val="4"/>
        </w:numPr>
        <w:jc w:val="both"/>
        <w:rPr>
          <w:rFonts w:cs="Calibri"/>
          <w:sz w:val="22"/>
          <w:szCs w:val="22"/>
        </w:rPr>
      </w:pPr>
      <w:r w:rsidRPr="00046999">
        <w:rPr>
          <w:rFonts w:cs="Calibri"/>
          <w:iCs/>
          <w:sz w:val="22"/>
          <w:szCs w:val="22"/>
        </w:rPr>
        <w:t xml:space="preserve">European Union, (2009), </w:t>
      </w:r>
      <w:r w:rsidRPr="00046999">
        <w:rPr>
          <w:rFonts w:cs="Calibri"/>
          <w:sz w:val="22"/>
          <w:szCs w:val="22"/>
        </w:rPr>
        <w:t>Study on monitoring and enforcement practices in corporate governance in member states.</w:t>
      </w:r>
    </w:p>
    <w:p w:rsidR="00A95413" w:rsidRPr="00046999" w:rsidRDefault="00A95413" w:rsidP="001D4BB3">
      <w:pPr>
        <w:pStyle w:val="Lijstalinea"/>
        <w:numPr>
          <w:ilvl w:val="0"/>
          <w:numId w:val="4"/>
        </w:numPr>
        <w:jc w:val="both"/>
        <w:rPr>
          <w:rFonts w:cs="Calibri"/>
          <w:sz w:val="22"/>
          <w:szCs w:val="22"/>
        </w:rPr>
      </w:pPr>
      <w:r w:rsidRPr="00046999">
        <w:rPr>
          <w:rFonts w:cs="Calibri"/>
          <w:sz w:val="22"/>
          <w:szCs w:val="22"/>
        </w:rPr>
        <w:t xml:space="preserve">Field, A. (2005). Discovering Statistics using SPSS. </w:t>
      </w:r>
    </w:p>
    <w:p w:rsidR="00A95413" w:rsidRPr="00046999" w:rsidRDefault="00A95413" w:rsidP="001D4BB3">
      <w:pPr>
        <w:pStyle w:val="Lijstalinea"/>
        <w:numPr>
          <w:ilvl w:val="0"/>
          <w:numId w:val="4"/>
        </w:numPr>
        <w:jc w:val="both"/>
        <w:rPr>
          <w:rFonts w:cs="Calibri"/>
          <w:sz w:val="22"/>
          <w:szCs w:val="22"/>
        </w:rPr>
      </w:pPr>
      <w:r w:rsidRPr="00046999">
        <w:rPr>
          <w:rFonts w:cs="Calibri"/>
          <w:sz w:val="22"/>
          <w:szCs w:val="22"/>
        </w:rPr>
        <w:t>Foster, G. (1986). Financial Statement Analysis. Englewood Cliffs, N.J.: Prentice-Hall</w:t>
      </w:r>
    </w:p>
    <w:p w:rsidR="00A95413" w:rsidRPr="00046999" w:rsidRDefault="00A95413" w:rsidP="001D4BB3">
      <w:pPr>
        <w:pStyle w:val="Lijstalinea"/>
        <w:numPr>
          <w:ilvl w:val="0"/>
          <w:numId w:val="4"/>
        </w:numPr>
        <w:jc w:val="both"/>
        <w:rPr>
          <w:rFonts w:cs="Calibri"/>
          <w:sz w:val="22"/>
          <w:szCs w:val="22"/>
        </w:rPr>
      </w:pPr>
      <w:r w:rsidRPr="00046999">
        <w:rPr>
          <w:rFonts w:cs="Calibri"/>
          <w:color w:val="000000"/>
          <w:sz w:val="22"/>
          <w:szCs w:val="22"/>
          <w:lang w:eastAsia="nl-NL"/>
        </w:rPr>
        <w:t xml:space="preserve">Frost, C.A., (1997). Disclosure policy choices of UK firms receiving modified audit reports. </w:t>
      </w:r>
      <w:r w:rsidRPr="00046999">
        <w:rPr>
          <w:rFonts w:cs="Calibri"/>
          <w:i/>
          <w:iCs/>
          <w:color w:val="000000"/>
          <w:sz w:val="22"/>
          <w:szCs w:val="22"/>
          <w:lang w:eastAsia="nl-NL"/>
        </w:rPr>
        <w:t>Journal of Accounting and Economics</w:t>
      </w:r>
      <w:r w:rsidRPr="00046999">
        <w:rPr>
          <w:rFonts w:cs="Calibri"/>
          <w:color w:val="000000"/>
          <w:sz w:val="22"/>
          <w:szCs w:val="22"/>
          <w:lang w:eastAsia="nl-NL"/>
        </w:rPr>
        <w:t xml:space="preserve"> 23, 163–188.</w:t>
      </w:r>
    </w:p>
    <w:p w:rsidR="00A95413" w:rsidRPr="00046999" w:rsidRDefault="00A95413" w:rsidP="001D4BB3">
      <w:pPr>
        <w:pStyle w:val="Lijstalinea"/>
        <w:numPr>
          <w:ilvl w:val="0"/>
          <w:numId w:val="4"/>
        </w:numPr>
        <w:jc w:val="both"/>
        <w:rPr>
          <w:rFonts w:cs="Calibri"/>
          <w:sz w:val="22"/>
          <w:szCs w:val="22"/>
        </w:rPr>
      </w:pPr>
      <w:r w:rsidRPr="00046999">
        <w:rPr>
          <w:rFonts w:cs="Calibri"/>
          <w:color w:val="000000"/>
          <w:sz w:val="22"/>
          <w:szCs w:val="22"/>
          <w:lang w:eastAsia="nl-NL"/>
        </w:rPr>
        <w:t xml:space="preserve">Healy, P.M., &amp; Palepu, K.G (2001). Information asymmetry, corporate disclosure, and the capital markets: A review of the empirical disclosure literature. </w:t>
      </w:r>
      <w:r w:rsidRPr="00046999">
        <w:rPr>
          <w:rFonts w:cs="Calibri"/>
          <w:i/>
          <w:iCs/>
          <w:color w:val="000000"/>
          <w:sz w:val="22"/>
          <w:szCs w:val="22"/>
          <w:lang w:eastAsia="nl-NL"/>
        </w:rPr>
        <w:t>Journal of Accounting and Economics, 31</w:t>
      </w:r>
      <w:r w:rsidRPr="00046999">
        <w:rPr>
          <w:rFonts w:cs="Calibri"/>
          <w:color w:val="000000"/>
          <w:sz w:val="22"/>
          <w:szCs w:val="22"/>
          <w:lang w:eastAsia="nl-NL"/>
        </w:rPr>
        <w:t>(1-3), 405-440.</w:t>
      </w:r>
    </w:p>
    <w:p w:rsidR="00A95413" w:rsidRPr="00046999" w:rsidRDefault="00A95413" w:rsidP="001D4BB3">
      <w:pPr>
        <w:pStyle w:val="Lijstalinea"/>
        <w:numPr>
          <w:ilvl w:val="0"/>
          <w:numId w:val="4"/>
        </w:numPr>
        <w:jc w:val="both"/>
        <w:rPr>
          <w:rFonts w:cs="Calibri"/>
          <w:sz w:val="22"/>
          <w:szCs w:val="22"/>
        </w:rPr>
      </w:pPr>
      <w:r w:rsidRPr="00046999">
        <w:rPr>
          <w:rFonts w:cs="Calibri"/>
          <w:color w:val="000000"/>
          <w:sz w:val="22"/>
          <w:szCs w:val="22"/>
          <w:lang w:eastAsia="nl-NL"/>
        </w:rPr>
        <w:lastRenderedPageBreak/>
        <w:t xml:space="preserve">Ho S.M, Wong, K.S, (2001) A study of the relationship between corporate governance structures and the extent of voluntary disclosure, </w:t>
      </w:r>
      <w:r w:rsidRPr="00046999">
        <w:rPr>
          <w:rFonts w:cs="Calibri"/>
          <w:i/>
          <w:iCs/>
          <w:color w:val="000000"/>
          <w:sz w:val="22"/>
          <w:szCs w:val="22"/>
          <w:lang w:eastAsia="nl-NL"/>
        </w:rPr>
        <w:t>Journal of International Accounting, Auditing &amp; Taxation</w:t>
      </w:r>
      <w:r w:rsidRPr="00046999">
        <w:rPr>
          <w:rFonts w:cs="Calibri"/>
          <w:color w:val="000000"/>
          <w:sz w:val="22"/>
          <w:szCs w:val="22"/>
          <w:lang w:eastAsia="nl-NL"/>
        </w:rPr>
        <w:t>, pp. 139–156</w:t>
      </w:r>
    </w:p>
    <w:p w:rsidR="00A95413" w:rsidRPr="00046999" w:rsidRDefault="00A95413" w:rsidP="001D4BB3">
      <w:pPr>
        <w:pStyle w:val="Lijstalinea"/>
        <w:numPr>
          <w:ilvl w:val="0"/>
          <w:numId w:val="4"/>
        </w:numPr>
        <w:jc w:val="both"/>
        <w:rPr>
          <w:rFonts w:cs="Calibri"/>
          <w:sz w:val="22"/>
          <w:szCs w:val="22"/>
        </w:rPr>
      </w:pPr>
      <w:r w:rsidRPr="00046999">
        <w:rPr>
          <w:rFonts w:cs="Calibri"/>
          <w:color w:val="000000"/>
          <w:sz w:val="22"/>
          <w:szCs w:val="22"/>
          <w:lang w:eastAsia="nl-NL"/>
        </w:rPr>
        <w:t>Hopt, K.J., Leyens, P.C. (2004</w:t>
      </w:r>
      <w:r w:rsidRPr="00046999">
        <w:rPr>
          <w:rFonts w:cs="Calibri"/>
          <w:sz w:val="22"/>
          <w:szCs w:val="22"/>
          <w:lang w:eastAsia="nl-NL"/>
        </w:rPr>
        <w:t>).</w:t>
      </w:r>
      <w:r w:rsidRPr="00046999">
        <w:rPr>
          <w:rFonts w:cs="Calibri"/>
          <w:sz w:val="22"/>
          <w:szCs w:val="22"/>
        </w:rPr>
        <w:t xml:space="preserve"> Board Models in Europe - Recent Developments of Internal Corporate Governance Structures in Germany, the United Kingdom, France, and Italy.</w:t>
      </w:r>
      <w:r w:rsidRPr="00046999">
        <w:rPr>
          <w:rFonts w:cs="Calibri"/>
          <w:color w:val="000000"/>
          <w:sz w:val="22"/>
          <w:szCs w:val="22"/>
          <w:lang w:eastAsia="nl-NL"/>
        </w:rPr>
        <w:t xml:space="preserve"> </w:t>
      </w:r>
      <w:r w:rsidRPr="00046999">
        <w:rPr>
          <w:rFonts w:cs="Calibri"/>
          <w:i/>
          <w:color w:val="000000"/>
          <w:sz w:val="22"/>
          <w:szCs w:val="22"/>
          <w:lang w:eastAsia="nl-NL"/>
        </w:rPr>
        <w:t>European Company and Financial Law Review ECFR (1), 135-168.</w:t>
      </w:r>
    </w:p>
    <w:p w:rsidR="00A95413" w:rsidRPr="00046999" w:rsidRDefault="00A95413" w:rsidP="001D4BB3">
      <w:pPr>
        <w:pStyle w:val="Lijstalinea"/>
        <w:numPr>
          <w:ilvl w:val="0"/>
          <w:numId w:val="4"/>
        </w:numPr>
        <w:autoSpaceDE w:val="0"/>
        <w:autoSpaceDN w:val="0"/>
        <w:adjustRightInd w:val="0"/>
        <w:spacing w:after="0"/>
        <w:jc w:val="both"/>
        <w:rPr>
          <w:rFonts w:cs="Calibri"/>
          <w:sz w:val="22"/>
          <w:szCs w:val="22"/>
        </w:rPr>
      </w:pPr>
      <w:r w:rsidRPr="00046999">
        <w:rPr>
          <w:rFonts w:cs="Calibri"/>
          <w:sz w:val="22"/>
          <w:szCs w:val="22"/>
        </w:rPr>
        <w:t>Huafang, X., Jianguo, Y. (2007) Ownership structure, board composition and corporate voluntary disclosure: Evidence from listed companies in China</w:t>
      </w:r>
      <w:r w:rsidRPr="00046999">
        <w:rPr>
          <w:rFonts w:cs="Calibri"/>
          <w:i/>
          <w:sz w:val="22"/>
          <w:szCs w:val="22"/>
        </w:rPr>
        <w:t>.</w:t>
      </w:r>
      <w:r w:rsidRPr="00046999">
        <w:rPr>
          <w:rFonts w:cs="Calibri"/>
          <w:sz w:val="22"/>
          <w:szCs w:val="22"/>
        </w:rPr>
        <w:t xml:space="preserve"> </w:t>
      </w:r>
      <w:r w:rsidRPr="00046999">
        <w:rPr>
          <w:rFonts w:cs="Calibri"/>
          <w:i/>
          <w:sz w:val="22"/>
          <w:szCs w:val="22"/>
        </w:rPr>
        <w:t>Managerial Auditing Journal 22(6),</w:t>
      </w:r>
      <w:r w:rsidRPr="00046999">
        <w:rPr>
          <w:rFonts w:cs="Calibri"/>
          <w:sz w:val="22"/>
          <w:szCs w:val="22"/>
        </w:rPr>
        <w:t xml:space="preserve"> 604-619</w:t>
      </w:r>
    </w:p>
    <w:p w:rsidR="00A95413" w:rsidRPr="00046999" w:rsidRDefault="00A95413" w:rsidP="001D4BB3">
      <w:pPr>
        <w:pStyle w:val="Lijstalinea"/>
        <w:numPr>
          <w:ilvl w:val="0"/>
          <w:numId w:val="4"/>
        </w:numPr>
        <w:autoSpaceDE w:val="0"/>
        <w:autoSpaceDN w:val="0"/>
        <w:adjustRightInd w:val="0"/>
        <w:spacing w:after="0"/>
        <w:jc w:val="both"/>
        <w:rPr>
          <w:rFonts w:cs="Calibri"/>
          <w:sz w:val="22"/>
          <w:szCs w:val="22"/>
        </w:rPr>
      </w:pPr>
      <w:r w:rsidRPr="00046999">
        <w:rPr>
          <w:rFonts w:cs="Calibri"/>
          <w:color w:val="000000"/>
          <w:sz w:val="22"/>
          <w:szCs w:val="22"/>
          <w:lang w:val="nl-NL" w:eastAsia="nl-NL"/>
        </w:rPr>
        <w:t xml:space="preserve">Jensen, M.C, Meckling, W.H, (1976). </w:t>
      </w:r>
      <w:r w:rsidRPr="00046999">
        <w:rPr>
          <w:rFonts w:cs="Calibri"/>
          <w:color w:val="000000"/>
          <w:sz w:val="22"/>
          <w:szCs w:val="22"/>
          <w:lang w:eastAsia="nl-NL"/>
        </w:rPr>
        <w:t xml:space="preserve">Theory of the firm: Managerial behavior, agency costs and ownership structure. </w:t>
      </w:r>
      <w:r w:rsidRPr="00046999">
        <w:rPr>
          <w:rFonts w:cs="Calibri"/>
          <w:i/>
          <w:iCs/>
          <w:color w:val="000000"/>
          <w:sz w:val="22"/>
          <w:szCs w:val="22"/>
          <w:lang w:eastAsia="nl-NL"/>
        </w:rPr>
        <w:t>Journal of Financial Economics 3</w:t>
      </w:r>
      <w:r w:rsidRPr="00046999">
        <w:rPr>
          <w:rFonts w:cs="Calibri"/>
          <w:color w:val="000000"/>
          <w:sz w:val="22"/>
          <w:szCs w:val="22"/>
          <w:lang w:eastAsia="nl-NL"/>
        </w:rPr>
        <w:t>, 305-360.</w:t>
      </w:r>
    </w:p>
    <w:p w:rsidR="00A95413" w:rsidRPr="00046999" w:rsidRDefault="00A95413" w:rsidP="001D4BB3">
      <w:pPr>
        <w:pStyle w:val="Lijstalinea"/>
        <w:numPr>
          <w:ilvl w:val="0"/>
          <w:numId w:val="4"/>
        </w:numPr>
        <w:autoSpaceDE w:val="0"/>
        <w:autoSpaceDN w:val="0"/>
        <w:adjustRightInd w:val="0"/>
        <w:spacing w:after="0"/>
        <w:jc w:val="both"/>
        <w:rPr>
          <w:rFonts w:cs="Calibri"/>
          <w:sz w:val="22"/>
          <w:szCs w:val="22"/>
        </w:rPr>
      </w:pPr>
      <w:r w:rsidRPr="00046999">
        <w:rPr>
          <w:rFonts w:cs="Calibri"/>
          <w:color w:val="000000"/>
          <w:sz w:val="22"/>
          <w:szCs w:val="22"/>
          <w:lang w:eastAsia="nl-NL"/>
        </w:rPr>
        <w:t>KPMG, 2010. Disclosure checklist International Financial Reporting Standards, June 2010.</w:t>
      </w:r>
    </w:p>
    <w:p w:rsidR="00A95413" w:rsidRPr="00046999" w:rsidRDefault="00A95413" w:rsidP="001D4BB3">
      <w:pPr>
        <w:pStyle w:val="Lijstalinea"/>
        <w:numPr>
          <w:ilvl w:val="0"/>
          <w:numId w:val="4"/>
        </w:numPr>
        <w:autoSpaceDE w:val="0"/>
        <w:autoSpaceDN w:val="0"/>
        <w:adjustRightInd w:val="0"/>
        <w:spacing w:after="0"/>
        <w:jc w:val="both"/>
        <w:rPr>
          <w:rFonts w:cs="Calibri"/>
          <w:sz w:val="22"/>
          <w:szCs w:val="22"/>
        </w:rPr>
      </w:pPr>
      <w:r w:rsidRPr="00046999">
        <w:rPr>
          <w:rFonts w:cs="Calibri"/>
          <w:sz w:val="22"/>
          <w:szCs w:val="22"/>
        </w:rPr>
        <w:t>Krippendorff, K. (2004). Content Analysis: an introduction to its methodology, Newbury Park, CA: Sage</w:t>
      </w:r>
    </w:p>
    <w:p w:rsidR="00A95413" w:rsidRDefault="00A95413" w:rsidP="001D4BB3">
      <w:pPr>
        <w:pStyle w:val="Lijstalinea"/>
        <w:numPr>
          <w:ilvl w:val="0"/>
          <w:numId w:val="4"/>
        </w:numPr>
        <w:autoSpaceDE w:val="0"/>
        <w:autoSpaceDN w:val="0"/>
        <w:adjustRightInd w:val="0"/>
        <w:spacing w:after="0"/>
        <w:jc w:val="both"/>
        <w:rPr>
          <w:rFonts w:cs="Calibri"/>
          <w:i/>
          <w:sz w:val="22"/>
          <w:szCs w:val="22"/>
        </w:rPr>
      </w:pPr>
      <w:r w:rsidRPr="00046999">
        <w:rPr>
          <w:rFonts w:cs="Calibri"/>
          <w:sz w:val="22"/>
          <w:szCs w:val="22"/>
        </w:rPr>
        <w:t xml:space="preserve">Krivogorsky, V. (2006). Ownership, board structure, and performance in continental Europe. </w:t>
      </w:r>
      <w:r w:rsidRPr="00046999">
        <w:rPr>
          <w:rFonts w:cs="Calibri"/>
          <w:i/>
          <w:sz w:val="22"/>
          <w:szCs w:val="22"/>
        </w:rPr>
        <w:t>The International Journal of Accounting 41 (2), 176-197.</w:t>
      </w:r>
    </w:p>
    <w:p w:rsidR="00A95413" w:rsidRPr="00F97DBE" w:rsidRDefault="00A95413" w:rsidP="00F97DBE">
      <w:pPr>
        <w:pStyle w:val="Lijstalinea"/>
        <w:numPr>
          <w:ilvl w:val="0"/>
          <w:numId w:val="4"/>
        </w:numPr>
        <w:autoSpaceDE w:val="0"/>
        <w:autoSpaceDN w:val="0"/>
        <w:adjustRightInd w:val="0"/>
        <w:spacing w:after="0"/>
        <w:jc w:val="both"/>
        <w:rPr>
          <w:rFonts w:cs="Calibri"/>
          <w:i/>
          <w:sz w:val="22"/>
          <w:szCs w:val="22"/>
        </w:rPr>
      </w:pPr>
      <w:r w:rsidRPr="00F97DBE">
        <w:rPr>
          <w:rFonts w:cs="Calibri"/>
          <w:sz w:val="22"/>
          <w:szCs w:val="22"/>
        </w:rPr>
        <w:t xml:space="preserve">La Porta, R. Lopez-de-Silanes, F., Shleifer, A. </w:t>
      </w:r>
      <w:r>
        <w:rPr>
          <w:rFonts w:cs="Calibri"/>
          <w:sz w:val="22"/>
          <w:szCs w:val="22"/>
        </w:rPr>
        <w:t>(</w:t>
      </w:r>
      <w:r w:rsidRPr="00F97DBE">
        <w:rPr>
          <w:rFonts w:cs="Calibri"/>
          <w:sz w:val="22"/>
          <w:szCs w:val="22"/>
        </w:rPr>
        <w:t>1999</w:t>
      </w:r>
      <w:r>
        <w:rPr>
          <w:rFonts w:cs="Calibri"/>
          <w:sz w:val="22"/>
          <w:szCs w:val="22"/>
        </w:rPr>
        <w:t>)</w:t>
      </w:r>
      <w:r w:rsidRPr="00F97DBE">
        <w:rPr>
          <w:rFonts w:cs="Calibri"/>
          <w:sz w:val="22"/>
          <w:szCs w:val="22"/>
        </w:rPr>
        <w:t>. Corporate ownership around the world.</w:t>
      </w:r>
      <w:r>
        <w:rPr>
          <w:rFonts w:cs="Calibri"/>
          <w:i/>
          <w:sz w:val="22"/>
          <w:szCs w:val="22"/>
        </w:rPr>
        <w:t xml:space="preserve"> Journal of Finance 54 (2), 471-517. </w:t>
      </w:r>
    </w:p>
    <w:p w:rsidR="00A95413" w:rsidRPr="00046999" w:rsidRDefault="00A95413" w:rsidP="001D4BB3">
      <w:pPr>
        <w:pStyle w:val="Lijstalinea"/>
        <w:numPr>
          <w:ilvl w:val="0"/>
          <w:numId w:val="4"/>
        </w:numPr>
        <w:autoSpaceDE w:val="0"/>
        <w:autoSpaceDN w:val="0"/>
        <w:adjustRightInd w:val="0"/>
        <w:spacing w:after="0"/>
        <w:jc w:val="both"/>
        <w:rPr>
          <w:rFonts w:cs="Calibri"/>
          <w:sz w:val="22"/>
          <w:szCs w:val="22"/>
        </w:rPr>
      </w:pPr>
      <w:r w:rsidRPr="00046999">
        <w:rPr>
          <w:rFonts w:cs="Calibri"/>
          <w:sz w:val="22"/>
          <w:szCs w:val="22"/>
        </w:rPr>
        <w:t>La Porta, R., Lopez-de-Silanes, F., Shleifer, A., Vishny, R.</w:t>
      </w:r>
      <w:r>
        <w:rPr>
          <w:rFonts w:cs="Calibri"/>
          <w:sz w:val="22"/>
          <w:szCs w:val="22"/>
        </w:rPr>
        <w:t xml:space="preserve"> (2000).</w:t>
      </w:r>
      <w:r w:rsidRPr="00046999">
        <w:rPr>
          <w:rFonts w:cs="Calibri"/>
          <w:sz w:val="22"/>
          <w:szCs w:val="22"/>
        </w:rPr>
        <w:t xml:space="preserve"> Investor protection and corporate governance. </w:t>
      </w:r>
      <w:r w:rsidRPr="00046999">
        <w:rPr>
          <w:rFonts w:cs="Calibri"/>
          <w:i/>
          <w:sz w:val="22"/>
          <w:szCs w:val="22"/>
        </w:rPr>
        <w:t>Journal of Financial Economics 58</w:t>
      </w:r>
      <w:r w:rsidRPr="00046999">
        <w:rPr>
          <w:rFonts w:cs="Calibri"/>
          <w:sz w:val="22"/>
          <w:szCs w:val="22"/>
        </w:rPr>
        <w:t>, 3-27.</w:t>
      </w:r>
    </w:p>
    <w:p w:rsidR="00A95413" w:rsidRPr="00046999" w:rsidRDefault="00A95413" w:rsidP="001D4BB3">
      <w:pPr>
        <w:pStyle w:val="Lijstalinea"/>
        <w:numPr>
          <w:ilvl w:val="0"/>
          <w:numId w:val="4"/>
        </w:numPr>
        <w:autoSpaceDE w:val="0"/>
        <w:autoSpaceDN w:val="0"/>
        <w:adjustRightInd w:val="0"/>
        <w:spacing w:after="0"/>
        <w:jc w:val="both"/>
        <w:rPr>
          <w:rFonts w:cs="Calibri"/>
          <w:sz w:val="22"/>
          <w:szCs w:val="22"/>
        </w:rPr>
      </w:pPr>
      <w:r w:rsidRPr="00046999">
        <w:rPr>
          <w:rFonts w:cs="Calibri"/>
          <w:sz w:val="22"/>
          <w:szCs w:val="22"/>
        </w:rPr>
        <w:t xml:space="preserve">Lang, M., and R. Lundhold. (1993). Cross-sectional determinants of analyst ratings of corporate disclosures. </w:t>
      </w:r>
      <w:r w:rsidRPr="00046999">
        <w:rPr>
          <w:rFonts w:cs="Calibri"/>
          <w:i/>
          <w:sz w:val="22"/>
          <w:szCs w:val="22"/>
        </w:rPr>
        <w:t>Journal of Accounting Research 31</w:t>
      </w:r>
      <w:r w:rsidRPr="00046999">
        <w:rPr>
          <w:rFonts w:cs="Calibri"/>
          <w:sz w:val="22"/>
          <w:szCs w:val="22"/>
        </w:rPr>
        <w:t>, 246-271.</w:t>
      </w:r>
    </w:p>
    <w:p w:rsidR="00A95413" w:rsidRPr="00046999" w:rsidRDefault="00A95413" w:rsidP="001D4BB3">
      <w:pPr>
        <w:pStyle w:val="Lijstalinea"/>
        <w:numPr>
          <w:ilvl w:val="0"/>
          <w:numId w:val="4"/>
        </w:numPr>
        <w:jc w:val="both"/>
        <w:rPr>
          <w:rFonts w:cs="Calibri"/>
          <w:color w:val="000000"/>
          <w:sz w:val="22"/>
          <w:szCs w:val="22"/>
          <w:lang w:eastAsia="nl-NL"/>
        </w:rPr>
      </w:pPr>
      <w:r w:rsidRPr="00046999">
        <w:rPr>
          <w:rFonts w:cs="Calibri"/>
          <w:color w:val="000000"/>
          <w:sz w:val="22"/>
          <w:szCs w:val="22"/>
          <w:lang w:eastAsia="nl-NL"/>
        </w:rPr>
        <w:t xml:space="preserve">McKinnon, J.L., and L. Dalimunthe. (1993). Voluntary disclosure of segment information by Australian diversified companies. </w:t>
      </w:r>
      <w:r w:rsidRPr="00046999">
        <w:rPr>
          <w:rFonts w:cs="Calibri"/>
          <w:i/>
          <w:iCs/>
          <w:color w:val="000000"/>
          <w:sz w:val="22"/>
          <w:szCs w:val="22"/>
          <w:lang w:eastAsia="nl-NL"/>
        </w:rPr>
        <w:t xml:space="preserve">Accounting and Finance </w:t>
      </w:r>
      <w:r w:rsidRPr="00046999">
        <w:rPr>
          <w:rFonts w:cs="Calibri"/>
          <w:i/>
          <w:color w:val="000000"/>
          <w:sz w:val="22"/>
          <w:szCs w:val="22"/>
          <w:lang w:eastAsia="nl-NL"/>
        </w:rPr>
        <w:t>33,</w:t>
      </w:r>
      <w:r w:rsidRPr="00046999">
        <w:rPr>
          <w:rFonts w:cs="Calibri"/>
          <w:color w:val="000000"/>
          <w:sz w:val="22"/>
          <w:szCs w:val="22"/>
          <w:lang w:eastAsia="nl-NL"/>
        </w:rPr>
        <w:t xml:space="preserve"> 33–50.</w:t>
      </w:r>
    </w:p>
    <w:p w:rsidR="00A95413" w:rsidRPr="00046999" w:rsidRDefault="00A95413" w:rsidP="001D4BB3">
      <w:pPr>
        <w:pStyle w:val="Lijstalinea"/>
        <w:numPr>
          <w:ilvl w:val="0"/>
          <w:numId w:val="4"/>
        </w:numPr>
        <w:jc w:val="both"/>
        <w:rPr>
          <w:rFonts w:cs="Calibri"/>
          <w:sz w:val="22"/>
          <w:szCs w:val="22"/>
        </w:rPr>
      </w:pPr>
      <w:r w:rsidRPr="00046999">
        <w:rPr>
          <w:rFonts w:cs="Calibri"/>
          <w:color w:val="000000"/>
          <w:sz w:val="22"/>
          <w:szCs w:val="22"/>
          <w:lang w:eastAsia="nl-NL"/>
        </w:rPr>
        <w:t>Meek, G.K., Roberts, C.B., Gray, S.J. (1995). Factors Influencing Voluntary Annual Report Disclosures by U.S., U.K. and Continental European Multinational Corporations</w:t>
      </w:r>
      <w:r w:rsidRPr="00046999">
        <w:rPr>
          <w:rFonts w:cs="Calibri"/>
          <w:i/>
          <w:iCs/>
          <w:color w:val="000000"/>
          <w:sz w:val="22"/>
          <w:szCs w:val="22"/>
          <w:lang w:eastAsia="nl-NL"/>
        </w:rPr>
        <w:t>. Journal of International Business Studies.</w:t>
      </w:r>
      <w:r w:rsidRPr="00046999">
        <w:rPr>
          <w:rFonts w:cs="Calibri"/>
          <w:color w:val="000000"/>
          <w:sz w:val="22"/>
          <w:szCs w:val="22"/>
          <w:lang w:eastAsia="nl-NL"/>
        </w:rPr>
        <w:t xml:space="preserve"> 26 (3) 555-572</w:t>
      </w:r>
    </w:p>
    <w:p w:rsidR="00A95413" w:rsidRPr="00046999" w:rsidRDefault="00A95413" w:rsidP="001D4BB3">
      <w:pPr>
        <w:pStyle w:val="Lijstalinea"/>
        <w:numPr>
          <w:ilvl w:val="0"/>
          <w:numId w:val="4"/>
        </w:numPr>
        <w:jc w:val="both"/>
        <w:rPr>
          <w:rFonts w:cs="Calibri"/>
          <w:sz w:val="22"/>
          <w:szCs w:val="22"/>
        </w:rPr>
      </w:pPr>
      <w:r w:rsidRPr="00046999">
        <w:rPr>
          <w:rFonts w:cs="Calibri"/>
          <w:color w:val="000000"/>
          <w:sz w:val="22"/>
          <w:szCs w:val="22"/>
          <w:lang w:eastAsia="nl-NL"/>
        </w:rPr>
        <w:t xml:space="preserve">Millet-Reyes, B., Zhao, R. (2010). A Comparison between one-tier and two-tier Board Structures in France. </w:t>
      </w:r>
      <w:r w:rsidRPr="00046999">
        <w:rPr>
          <w:rFonts w:cs="Calibri"/>
          <w:i/>
          <w:color w:val="000000"/>
          <w:sz w:val="22"/>
          <w:szCs w:val="22"/>
          <w:lang w:eastAsia="nl-NL"/>
        </w:rPr>
        <w:t>Journal of International Financial Management &amp; Accounting21(3), 279-310.</w:t>
      </w:r>
    </w:p>
    <w:p w:rsidR="00A95413" w:rsidRPr="00046999" w:rsidRDefault="008451BC" w:rsidP="001D4BB3">
      <w:pPr>
        <w:pStyle w:val="Lijstalinea"/>
        <w:numPr>
          <w:ilvl w:val="0"/>
          <w:numId w:val="4"/>
        </w:numPr>
        <w:jc w:val="both"/>
        <w:rPr>
          <w:rFonts w:cs="Calibri"/>
          <w:sz w:val="22"/>
          <w:szCs w:val="22"/>
        </w:rPr>
      </w:pPr>
      <w:r>
        <w:rPr>
          <w:rFonts w:cs="Calibri"/>
          <w:color w:val="000000"/>
          <w:sz w:val="22"/>
          <w:szCs w:val="22"/>
          <w:lang w:eastAsia="nl-NL"/>
        </w:rPr>
        <w:t>Moore, D., McCabe, G</w:t>
      </w:r>
      <w:r w:rsidR="00A95413" w:rsidRPr="00046999">
        <w:rPr>
          <w:rFonts w:cs="Calibri"/>
          <w:color w:val="000000"/>
          <w:sz w:val="22"/>
          <w:szCs w:val="22"/>
          <w:lang w:eastAsia="nl-NL"/>
        </w:rPr>
        <w:t>.</w:t>
      </w:r>
      <w:r>
        <w:rPr>
          <w:rFonts w:cs="Calibri"/>
          <w:color w:val="000000"/>
          <w:sz w:val="22"/>
          <w:szCs w:val="22"/>
          <w:lang w:eastAsia="nl-NL"/>
        </w:rPr>
        <w:t>, Duckworth, M.</w:t>
      </w:r>
      <w:r w:rsidR="004806D5">
        <w:rPr>
          <w:rFonts w:cs="Calibri"/>
          <w:color w:val="000000"/>
          <w:sz w:val="22"/>
          <w:szCs w:val="22"/>
          <w:lang w:eastAsia="nl-NL"/>
        </w:rPr>
        <w:t>,</w:t>
      </w:r>
      <w:r>
        <w:rPr>
          <w:rFonts w:cs="Calibri"/>
          <w:color w:val="000000"/>
          <w:sz w:val="22"/>
          <w:szCs w:val="22"/>
          <w:lang w:eastAsia="nl-NL"/>
        </w:rPr>
        <w:t xml:space="preserve"> Sclove, S. (2003). </w:t>
      </w:r>
      <w:r w:rsidRPr="004806D5">
        <w:rPr>
          <w:rFonts w:cs="Calibri"/>
          <w:i/>
          <w:color w:val="000000"/>
          <w:sz w:val="22"/>
          <w:szCs w:val="22"/>
          <w:lang w:eastAsia="nl-NL"/>
        </w:rPr>
        <w:t>The P</w:t>
      </w:r>
      <w:r w:rsidR="00A95413" w:rsidRPr="004806D5">
        <w:rPr>
          <w:rFonts w:cs="Calibri"/>
          <w:i/>
          <w:color w:val="000000"/>
          <w:sz w:val="22"/>
          <w:szCs w:val="22"/>
          <w:lang w:eastAsia="nl-NL"/>
        </w:rPr>
        <w:t>ractice of Business Statistics.</w:t>
      </w:r>
      <w:r w:rsidR="00A95413" w:rsidRPr="00046999">
        <w:rPr>
          <w:rFonts w:cs="Calibri"/>
          <w:color w:val="000000"/>
          <w:sz w:val="22"/>
          <w:szCs w:val="22"/>
          <w:lang w:eastAsia="nl-NL"/>
        </w:rPr>
        <w:t xml:space="preserve"> </w:t>
      </w:r>
      <w:r w:rsidR="00430194">
        <w:rPr>
          <w:rFonts w:cs="Calibri"/>
          <w:color w:val="000000"/>
          <w:sz w:val="22"/>
          <w:szCs w:val="22"/>
          <w:lang w:eastAsia="nl-NL"/>
        </w:rPr>
        <w:t xml:space="preserve">W.H. </w:t>
      </w:r>
      <w:r w:rsidR="004806D5">
        <w:rPr>
          <w:rFonts w:cs="Calibri"/>
          <w:color w:val="000000"/>
          <w:sz w:val="22"/>
          <w:szCs w:val="22"/>
          <w:lang w:eastAsia="nl-NL"/>
        </w:rPr>
        <w:t>Freeman and company</w:t>
      </w:r>
      <w:r w:rsidR="00430194">
        <w:rPr>
          <w:rFonts w:cs="Calibri"/>
          <w:color w:val="000000"/>
          <w:sz w:val="22"/>
          <w:szCs w:val="22"/>
          <w:lang w:eastAsia="nl-NL"/>
        </w:rPr>
        <w:t>, New York.</w:t>
      </w:r>
    </w:p>
    <w:p w:rsidR="00A95413" w:rsidRPr="00046999" w:rsidRDefault="00A95413" w:rsidP="001D4BB3">
      <w:pPr>
        <w:pStyle w:val="Lijstalinea"/>
        <w:numPr>
          <w:ilvl w:val="0"/>
          <w:numId w:val="4"/>
        </w:numPr>
        <w:jc w:val="both"/>
        <w:rPr>
          <w:rFonts w:cs="Calibri"/>
          <w:sz w:val="22"/>
          <w:szCs w:val="22"/>
        </w:rPr>
      </w:pPr>
      <w:r w:rsidRPr="00046999">
        <w:rPr>
          <w:rFonts w:cs="Calibri"/>
          <w:color w:val="000000"/>
          <w:sz w:val="22"/>
          <w:szCs w:val="22"/>
          <w:lang w:eastAsia="nl-NL"/>
        </w:rPr>
        <w:t xml:space="preserve">Noe, C., (1999). Voluntary disclosures and insider transactions. </w:t>
      </w:r>
      <w:r w:rsidRPr="00046999">
        <w:rPr>
          <w:rFonts w:cs="Calibri"/>
          <w:i/>
          <w:iCs/>
          <w:color w:val="000000"/>
          <w:sz w:val="22"/>
          <w:szCs w:val="22"/>
          <w:lang w:eastAsia="nl-NL"/>
        </w:rPr>
        <w:t>Journal of Accounting and Economics 27</w:t>
      </w:r>
      <w:r w:rsidRPr="00046999">
        <w:rPr>
          <w:rFonts w:cs="Calibri"/>
          <w:color w:val="000000"/>
          <w:sz w:val="22"/>
          <w:szCs w:val="22"/>
          <w:lang w:eastAsia="nl-NL"/>
        </w:rPr>
        <w:t>, 305–327.</w:t>
      </w:r>
    </w:p>
    <w:p w:rsidR="00A95413" w:rsidRPr="00046999" w:rsidRDefault="00A95413" w:rsidP="001D4BB3">
      <w:pPr>
        <w:pStyle w:val="Lijstalinea"/>
        <w:numPr>
          <w:ilvl w:val="0"/>
          <w:numId w:val="4"/>
        </w:numPr>
        <w:jc w:val="both"/>
        <w:rPr>
          <w:rFonts w:cs="Calibri"/>
          <w:sz w:val="22"/>
          <w:szCs w:val="22"/>
        </w:rPr>
      </w:pPr>
      <w:r w:rsidRPr="00046999">
        <w:rPr>
          <w:rFonts w:cs="Calibri"/>
          <w:sz w:val="22"/>
          <w:szCs w:val="22"/>
        </w:rPr>
        <w:t xml:space="preserve">Piotroski, J., (2000). Discretionary segment reporting decisions and the precision of investor beliefs. </w:t>
      </w:r>
      <w:r w:rsidRPr="00046999">
        <w:rPr>
          <w:rFonts w:cs="Calibri"/>
          <w:i/>
          <w:sz w:val="22"/>
          <w:szCs w:val="22"/>
        </w:rPr>
        <w:t>Working paper, University of Chicago</w:t>
      </w:r>
      <w:r w:rsidRPr="00046999">
        <w:rPr>
          <w:rFonts w:cs="Calibri"/>
          <w:sz w:val="22"/>
          <w:szCs w:val="22"/>
        </w:rPr>
        <w:t>.</w:t>
      </w:r>
    </w:p>
    <w:p w:rsidR="00A95413" w:rsidRPr="00046999" w:rsidRDefault="00A95413" w:rsidP="001D4BB3">
      <w:pPr>
        <w:pStyle w:val="Lijstalinea"/>
        <w:numPr>
          <w:ilvl w:val="0"/>
          <w:numId w:val="4"/>
        </w:numPr>
        <w:jc w:val="both"/>
        <w:rPr>
          <w:rFonts w:cs="Calibri"/>
          <w:sz w:val="22"/>
          <w:szCs w:val="22"/>
        </w:rPr>
      </w:pPr>
      <w:r w:rsidRPr="00046999">
        <w:rPr>
          <w:rFonts w:cs="Calibri"/>
          <w:color w:val="000000"/>
          <w:sz w:val="22"/>
          <w:szCs w:val="22"/>
          <w:lang w:eastAsia="nl-NL"/>
        </w:rPr>
        <w:t xml:space="preserve">Pownall, G., Waymire, G., (1989). Voluntary disclosure credibility and securities prices: evidence from management earnings forecasts. </w:t>
      </w:r>
      <w:r w:rsidRPr="00046999">
        <w:rPr>
          <w:rFonts w:cs="Calibri"/>
          <w:i/>
          <w:iCs/>
          <w:color w:val="000000"/>
          <w:sz w:val="22"/>
          <w:szCs w:val="22"/>
          <w:lang w:eastAsia="nl-NL"/>
        </w:rPr>
        <w:t>Journal of Accounting Research</w:t>
      </w:r>
      <w:r w:rsidRPr="00046999">
        <w:rPr>
          <w:rFonts w:cs="Calibri"/>
          <w:color w:val="000000"/>
          <w:sz w:val="22"/>
          <w:szCs w:val="22"/>
          <w:lang w:eastAsia="nl-NL"/>
        </w:rPr>
        <w:t xml:space="preserve"> 27, 227–246.</w:t>
      </w:r>
    </w:p>
    <w:p w:rsidR="00A95413" w:rsidRPr="00046999" w:rsidRDefault="00A95413" w:rsidP="001D4BB3">
      <w:pPr>
        <w:pStyle w:val="Lijstalinea"/>
        <w:numPr>
          <w:ilvl w:val="0"/>
          <w:numId w:val="4"/>
        </w:numPr>
        <w:jc w:val="both"/>
        <w:rPr>
          <w:rFonts w:cs="Calibri"/>
          <w:sz w:val="22"/>
          <w:szCs w:val="22"/>
        </w:rPr>
      </w:pPr>
      <w:r w:rsidRPr="00046999">
        <w:rPr>
          <w:rFonts w:cs="Calibri"/>
          <w:color w:val="000000"/>
          <w:sz w:val="22"/>
          <w:szCs w:val="22"/>
          <w:lang w:eastAsia="nl-NL"/>
        </w:rPr>
        <w:t xml:space="preserve">Trueman, B., (1986). Why do managers voluntarily release earnings forecasts? </w:t>
      </w:r>
      <w:r w:rsidRPr="00046999">
        <w:rPr>
          <w:rFonts w:cs="Calibri"/>
          <w:i/>
          <w:iCs/>
          <w:color w:val="000000"/>
          <w:sz w:val="22"/>
          <w:szCs w:val="22"/>
          <w:lang w:eastAsia="nl-NL"/>
        </w:rPr>
        <w:t>Journal of Accounting and Economics</w:t>
      </w:r>
      <w:r w:rsidRPr="00046999">
        <w:rPr>
          <w:rFonts w:cs="Calibri"/>
          <w:color w:val="000000"/>
          <w:sz w:val="22"/>
          <w:szCs w:val="22"/>
          <w:lang w:eastAsia="nl-NL"/>
        </w:rPr>
        <w:t xml:space="preserve"> 8, 53–72.</w:t>
      </w:r>
    </w:p>
    <w:p w:rsidR="00A95413" w:rsidRPr="00046999" w:rsidRDefault="00A95413" w:rsidP="001D4BB3">
      <w:pPr>
        <w:pStyle w:val="Lijstalinea"/>
        <w:numPr>
          <w:ilvl w:val="0"/>
          <w:numId w:val="4"/>
        </w:numPr>
        <w:jc w:val="both"/>
        <w:rPr>
          <w:rFonts w:cs="Calibri"/>
          <w:sz w:val="22"/>
          <w:szCs w:val="22"/>
        </w:rPr>
      </w:pPr>
      <w:r w:rsidRPr="00046999">
        <w:rPr>
          <w:rFonts w:cs="Calibri"/>
          <w:color w:val="000000"/>
          <w:sz w:val="22"/>
          <w:szCs w:val="22"/>
          <w:lang w:eastAsia="nl-NL"/>
        </w:rPr>
        <w:t xml:space="preserve">Wagenhofer A. (1990). Voluntary disclosure with a strategic opponent. </w:t>
      </w:r>
      <w:r w:rsidRPr="00046999">
        <w:rPr>
          <w:rFonts w:cs="Calibri"/>
          <w:i/>
          <w:iCs/>
          <w:color w:val="000000"/>
          <w:sz w:val="22"/>
          <w:szCs w:val="22"/>
          <w:lang w:eastAsia="nl-NL"/>
        </w:rPr>
        <w:t>Journal of Accounting &amp; Economics</w:t>
      </w:r>
      <w:r w:rsidRPr="00046999">
        <w:rPr>
          <w:rFonts w:cs="Calibri"/>
          <w:color w:val="000000"/>
          <w:sz w:val="22"/>
          <w:szCs w:val="22"/>
          <w:lang w:eastAsia="nl-NL"/>
        </w:rPr>
        <w:t xml:space="preserve"> 12, 341-363.</w:t>
      </w:r>
    </w:p>
    <w:p w:rsidR="00A95413" w:rsidRPr="00046999" w:rsidRDefault="00A95413" w:rsidP="001D4BB3">
      <w:pPr>
        <w:pStyle w:val="Lijstalinea"/>
        <w:numPr>
          <w:ilvl w:val="0"/>
          <w:numId w:val="4"/>
        </w:numPr>
        <w:jc w:val="both"/>
        <w:rPr>
          <w:rFonts w:cs="Calibri"/>
          <w:sz w:val="22"/>
          <w:szCs w:val="22"/>
        </w:rPr>
      </w:pPr>
      <w:r w:rsidRPr="00046999">
        <w:rPr>
          <w:rFonts w:cs="Calibri"/>
          <w:color w:val="000000"/>
          <w:sz w:val="22"/>
          <w:szCs w:val="22"/>
          <w:lang w:eastAsia="nl-NL"/>
        </w:rPr>
        <w:lastRenderedPageBreak/>
        <w:t xml:space="preserve">Warner, J., Watts, R., Wruck, K., (1988). Stock prices and top management changes. </w:t>
      </w:r>
      <w:r w:rsidRPr="00046999">
        <w:rPr>
          <w:rFonts w:cs="Calibri"/>
          <w:i/>
          <w:iCs/>
          <w:color w:val="000000"/>
          <w:sz w:val="22"/>
          <w:szCs w:val="22"/>
          <w:lang w:eastAsia="nl-NL"/>
        </w:rPr>
        <w:t>Journal of Financial Economics</w:t>
      </w:r>
      <w:r w:rsidRPr="00046999">
        <w:rPr>
          <w:rFonts w:cs="Calibri"/>
          <w:color w:val="000000"/>
          <w:sz w:val="22"/>
          <w:szCs w:val="22"/>
          <w:lang w:eastAsia="nl-NL"/>
        </w:rPr>
        <w:t xml:space="preserve"> 20, 461–493.</w:t>
      </w:r>
    </w:p>
    <w:p w:rsidR="00A95413" w:rsidRPr="00046999" w:rsidRDefault="00A95413" w:rsidP="001D4BB3">
      <w:pPr>
        <w:pStyle w:val="Lijstalinea"/>
        <w:numPr>
          <w:ilvl w:val="0"/>
          <w:numId w:val="4"/>
        </w:numPr>
        <w:jc w:val="both"/>
        <w:rPr>
          <w:rFonts w:cs="Calibri"/>
          <w:sz w:val="22"/>
          <w:szCs w:val="22"/>
        </w:rPr>
      </w:pPr>
      <w:r w:rsidRPr="00046999">
        <w:rPr>
          <w:rFonts w:cs="Calibri"/>
          <w:color w:val="000000"/>
          <w:sz w:val="22"/>
          <w:szCs w:val="22"/>
          <w:lang w:eastAsia="nl-NL"/>
        </w:rPr>
        <w:t xml:space="preserve">Watts, R.L., Zimmerman, J.L., (1978). Towards a positive theory of the determination of accounting standards. </w:t>
      </w:r>
      <w:r w:rsidRPr="00046999">
        <w:rPr>
          <w:rFonts w:cs="Calibri"/>
          <w:i/>
          <w:color w:val="000000"/>
          <w:sz w:val="22"/>
          <w:szCs w:val="22"/>
          <w:lang w:eastAsia="nl-NL"/>
        </w:rPr>
        <w:t>The Accounting Review 53(1),</w:t>
      </w:r>
      <w:r w:rsidRPr="00046999">
        <w:rPr>
          <w:rFonts w:cs="Calibri"/>
          <w:color w:val="000000"/>
          <w:sz w:val="22"/>
          <w:szCs w:val="22"/>
          <w:lang w:eastAsia="nl-NL"/>
        </w:rPr>
        <w:t xml:space="preserve"> 112-134.</w:t>
      </w:r>
    </w:p>
    <w:p w:rsidR="00A95413" w:rsidRPr="00046999" w:rsidRDefault="00A95413" w:rsidP="001D4BB3">
      <w:pPr>
        <w:pStyle w:val="Lijstalinea"/>
        <w:numPr>
          <w:ilvl w:val="0"/>
          <w:numId w:val="4"/>
        </w:numPr>
        <w:jc w:val="both"/>
        <w:rPr>
          <w:rFonts w:cs="Calibri"/>
          <w:sz w:val="22"/>
          <w:szCs w:val="22"/>
        </w:rPr>
      </w:pPr>
      <w:r w:rsidRPr="00046999">
        <w:rPr>
          <w:rFonts w:cs="Calibri"/>
          <w:bCs/>
          <w:sz w:val="22"/>
          <w:szCs w:val="22"/>
        </w:rPr>
        <w:t>Watts, R.L., Zimmerman, J.L., (1990).</w:t>
      </w:r>
      <w:r w:rsidRPr="00046999">
        <w:rPr>
          <w:rFonts w:cs="Calibri"/>
          <w:bCs/>
          <w:i/>
          <w:sz w:val="22"/>
          <w:szCs w:val="22"/>
        </w:rPr>
        <w:t xml:space="preserve"> </w:t>
      </w:r>
      <w:r w:rsidRPr="00046999">
        <w:rPr>
          <w:rFonts w:cs="Calibri"/>
          <w:bCs/>
          <w:sz w:val="22"/>
          <w:szCs w:val="22"/>
        </w:rPr>
        <w:t>Positive Accounting Theory: A Ten Year Perspective.</w:t>
      </w:r>
      <w:r w:rsidRPr="00046999">
        <w:rPr>
          <w:rFonts w:cs="Calibri"/>
          <w:bCs/>
          <w:i/>
          <w:sz w:val="22"/>
          <w:szCs w:val="22"/>
        </w:rPr>
        <w:t xml:space="preserve"> The Accounting Review, 65 (1)</w:t>
      </w:r>
      <w:r w:rsidRPr="00046999">
        <w:rPr>
          <w:rFonts w:cs="Calibri"/>
          <w:bCs/>
          <w:sz w:val="22"/>
          <w:szCs w:val="22"/>
        </w:rPr>
        <w:t>: 131-156.</w:t>
      </w:r>
    </w:p>
    <w:p w:rsidR="00A95413" w:rsidRPr="00046999" w:rsidRDefault="00A95413" w:rsidP="001D4BB3">
      <w:pPr>
        <w:pStyle w:val="Lijstalinea"/>
        <w:numPr>
          <w:ilvl w:val="0"/>
          <w:numId w:val="4"/>
        </w:numPr>
        <w:jc w:val="both"/>
        <w:rPr>
          <w:rFonts w:cs="Calibri"/>
          <w:sz w:val="22"/>
          <w:szCs w:val="22"/>
        </w:rPr>
      </w:pPr>
      <w:r w:rsidRPr="00046999">
        <w:rPr>
          <w:rFonts w:cs="Calibri"/>
          <w:color w:val="000000"/>
          <w:sz w:val="22"/>
          <w:szCs w:val="22"/>
          <w:lang w:eastAsia="nl-NL"/>
        </w:rPr>
        <w:t>Waymire, G., (1984). Additional evidence on the information content of management earnings forecasts</w:t>
      </w:r>
      <w:r w:rsidRPr="00046999">
        <w:rPr>
          <w:rFonts w:cs="Calibri"/>
          <w:i/>
          <w:iCs/>
          <w:color w:val="000000"/>
          <w:sz w:val="22"/>
          <w:szCs w:val="22"/>
          <w:lang w:eastAsia="nl-NL"/>
        </w:rPr>
        <w:t xml:space="preserve">. Journal of Accounting Research </w:t>
      </w:r>
      <w:r w:rsidRPr="00046999">
        <w:rPr>
          <w:rFonts w:cs="Calibri"/>
          <w:color w:val="000000"/>
          <w:sz w:val="22"/>
          <w:szCs w:val="22"/>
          <w:lang w:eastAsia="nl-NL"/>
        </w:rPr>
        <w:t>22, 703–719.</w:t>
      </w:r>
    </w:p>
    <w:p w:rsidR="00A95413" w:rsidRPr="00046999" w:rsidRDefault="00A95413" w:rsidP="001D4BB3">
      <w:pPr>
        <w:pStyle w:val="Lijstalinea"/>
        <w:numPr>
          <w:ilvl w:val="0"/>
          <w:numId w:val="4"/>
        </w:numPr>
        <w:jc w:val="both"/>
        <w:rPr>
          <w:rFonts w:cs="Calibri"/>
          <w:color w:val="000000"/>
          <w:sz w:val="22"/>
          <w:szCs w:val="22"/>
          <w:lang w:eastAsia="nl-NL"/>
        </w:rPr>
      </w:pPr>
      <w:r w:rsidRPr="00046999">
        <w:rPr>
          <w:rFonts w:cs="Calibri"/>
          <w:color w:val="000000"/>
          <w:sz w:val="22"/>
          <w:szCs w:val="22"/>
          <w:lang w:eastAsia="nl-NL"/>
        </w:rPr>
        <w:t xml:space="preserve">Zourarakis, N.S. (2009), Voluntary disclosure: Evidence from UK. </w:t>
      </w:r>
    </w:p>
    <w:p w:rsidR="00A95413" w:rsidRPr="00046999" w:rsidRDefault="00A95413" w:rsidP="001D4BB3">
      <w:pPr>
        <w:pStyle w:val="Lijstalinea"/>
        <w:jc w:val="both"/>
        <w:rPr>
          <w:rFonts w:cs="Calibri"/>
          <w:color w:val="000000"/>
          <w:sz w:val="22"/>
          <w:szCs w:val="22"/>
          <w:lang w:eastAsia="nl-NL"/>
        </w:rPr>
      </w:pPr>
      <w:r w:rsidRPr="00046999">
        <w:rPr>
          <w:rFonts w:cs="Calibri"/>
          <w:sz w:val="22"/>
          <w:szCs w:val="22"/>
          <w:lang w:eastAsia="nl-NL"/>
        </w:rPr>
        <w:t>Newspaper:</w:t>
      </w:r>
    </w:p>
    <w:p w:rsidR="00A95413" w:rsidRPr="00046999" w:rsidRDefault="00E0784B" w:rsidP="001D4BB3">
      <w:pPr>
        <w:pStyle w:val="Lijstalinea"/>
        <w:numPr>
          <w:ilvl w:val="0"/>
          <w:numId w:val="4"/>
        </w:numPr>
        <w:jc w:val="both"/>
        <w:rPr>
          <w:rFonts w:cs="Calibri"/>
          <w:sz w:val="22"/>
          <w:szCs w:val="22"/>
          <w:lang w:eastAsia="nl-NL"/>
        </w:rPr>
      </w:pPr>
      <w:hyperlink r:id="rId15" w:history="1">
        <w:r w:rsidR="00A95413" w:rsidRPr="00046999">
          <w:rPr>
            <w:rStyle w:val="Hyperlink"/>
            <w:rFonts w:cs="Calibri"/>
            <w:sz w:val="22"/>
            <w:szCs w:val="22"/>
            <w:lang w:eastAsia="nl-NL"/>
          </w:rPr>
          <w:t>http://www.efinancialnews.com/story/2010-12-15/walker-transparency-regulation-buyout</w:t>
        </w:r>
      </w:hyperlink>
    </w:p>
    <w:p w:rsidR="00A95413" w:rsidRPr="00046999" w:rsidRDefault="00A95413" w:rsidP="001D4BB3">
      <w:pPr>
        <w:jc w:val="both"/>
        <w:rPr>
          <w:rFonts w:cs="Calibri"/>
          <w:sz w:val="22"/>
          <w:szCs w:val="22"/>
        </w:rPr>
      </w:pPr>
      <w:r w:rsidRPr="00046999">
        <w:rPr>
          <w:rFonts w:cs="Calibri"/>
          <w:sz w:val="22"/>
          <w:szCs w:val="22"/>
        </w:rPr>
        <w:br w:type="page"/>
      </w:r>
    </w:p>
    <w:p w:rsidR="00A95413" w:rsidRPr="00046999" w:rsidRDefault="00A95413" w:rsidP="001D4BB3">
      <w:pPr>
        <w:pStyle w:val="Kop1"/>
        <w:jc w:val="both"/>
        <w:rPr>
          <w:rFonts w:cs="Calibri"/>
          <w:color w:val="000000"/>
          <w:lang w:eastAsia="nl-NL"/>
        </w:rPr>
      </w:pPr>
      <w:bookmarkStart w:id="151" w:name="_Toc320365361"/>
      <w:r w:rsidRPr="00046999">
        <w:rPr>
          <w:rFonts w:cs="Calibri"/>
        </w:rPr>
        <w:lastRenderedPageBreak/>
        <w:t>Appendix I: Dislosure score sheet</w:t>
      </w:r>
      <w:bookmarkEnd w:id="151"/>
    </w:p>
    <w:tbl>
      <w:tblPr>
        <w:tblW w:w="9540" w:type="dxa"/>
        <w:tblInd w:w="98" w:type="dxa"/>
        <w:tblLook w:val="00A0"/>
      </w:tblPr>
      <w:tblGrid>
        <w:gridCol w:w="7948"/>
        <w:gridCol w:w="1592"/>
      </w:tblGrid>
      <w:tr w:rsidR="00A95413" w:rsidRPr="00F63097" w:rsidTr="00F20D27">
        <w:trPr>
          <w:trHeight w:val="315"/>
        </w:trPr>
        <w:tc>
          <w:tcPr>
            <w:tcW w:w="7948" w:type="dxa"/>
            <w:tcBorders>
              <w:top w:val="single" w:sz="8" w:space="0" w:color="auto"/>
              <w:left w:val="single" w:sz="8" w:space="0" w:color="auto"/>
              <w:bottom w:val="single" w:sz="8" w:space="0" w:color="auto"/>
              <w:right w:val="single" w:sz="8" w:space="0" w:color="auto"/>
            </w:tcBorders>
            <w:noWrap/>
            <w:vAlign w:val="bottom"/>
          </w:tcPr>
          <w:p w:rsidR="00A95413" w:rsidRPr="00F63097" w:rsidRDefault="00A95413" w:rsidP="001D4BB3">
            <w:pPr>
              <w:spacing w:before="0" w:after="0"/>
              <w:jc w:val="both"/>
              <w:rPr>
                <w:rFonts w:cs="Calibri"/>
                <w:b/>
                <w:bCs/>
                <w:color w:val="243F60"/>
                <w:sz w:val="22"/>
                <w:szCs w:val="22"/>
              </w:rPr>
            </w:pPr>
            <w:r w:rsidRPr="00F63097">
              <w:rPr>
                <w:rFonts w:cs="Calibri"/>
                <w:b/>
                <w:bCs/>
                <w:color w:val="243F60"/>
                <w:sz w:val="22"/>
                <w:szCs w:val="22"/>
              </w:rPr>
              <w:t>Disclosure score sheet</w:t>
            </w:r>
          </w:p>
        </w:tc>
        <w:tc>
          <w:tcPr>
            <w:tcW w:w="1592" w:type="dxa"/>
            <w:tcBorders>
              <w:top w:val="single" w:sz="4" w:space="0" w:color="auto"/>
              <w:left w:val="nil"/>
              <w:bottom w:val="single" w:sz="4" w:space="0" w:color="auto"/>
              <w:right w:val="single" w:sz="4" w:space="0" w:color="auto"/>
            </w:tcBorders>
            <w:noWrap/>
            <w:vAlign w:val="bottom"/>
          </w:tcPr>
          <w:p w:rsidR="00A95413" w:rsidRPr="00F63097" w:rsidRDefault="00A95413" w:rsidP="001D4BB3">
            <w:pPr>
              <w:spacing w:before="0" w:after="0"/>
              <w:jc w:val="both"/>
              <w:rPr>
                <w:rFonts w:cs="Calibri"/>
                <w:b/>
                <w:bCs/>
                <w:color w:val="243F60"/>
                <w:sz w:val="22"/>
                <w:szCs w:val="22"/>
              </w:rPr>
            </w:pPr>
            <w:r w:rsidRPr="00F63097">
              <w:rPr>
                <w:rFonts w:cs="Calibri"/>
                <w:b/>
                <w:bCs/>
                <w:color w:val="243F60"/>
                <w:sz w:val="22"/>
                <w:szCs w:val="22"/>
              </w:rPr>
              <w:t>Score '0'or '1'</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b/>
                <w:bCs/>
                <w:color w:val="000000"/>
                <w:sz w:val="22"/>
                <w:szCs w:val="22"/>
              </w:rPr>
            </w:pPr>
            <w:r w:rsidRPr="00F63097">
              <w:rPr>
                <w:rFonts w:cs="Calibri"/>
                <w:b/>
                <w:bCs/>
                <w:color w:val="000000"/>
                <w:sz w:val="22"/>
                <w:szCs w:val="22"/>
              </w:rPr>
              <w:t>Voluntary disclosure items</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b/>
                <w:bCs/>
                <w:color w:val="000000"/>
                <w:sz w:val="22"/>
                <w:szCs w:val="22"/>
              </w:rPr>
            </w:pPr>
            <w:r w:rsidRPr="00F63097">
              <w:rPr>
                <w:rFonts w:cs="Calibri"/>
                <w:b/>
                <w:bCs/>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b/>
                <w:bCs/>
                <w:color w:val="000000"/>
                <w:sz w:val="22"/>
                <w:szCs w:val="22"/>
              </w:rPr>
            </w:pPr>
            <w:r w:rsidRPr="00F63097">
              <w:rPr>
                <w:rFonts w:cs="Calibri"/>
                <w:b/>
                <w:bCs/>
                <w:color w:val="000000"/>
                <w:sz w:val="22"/>
                <w:szCs w:val="22"/>
              </w:rPr>
              <w:t>Strategic information</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b/>
                <w:bCs/>
                <w:color w:val="000000"/>
                <w:sz w:val="22"/>
                <w:szCs w:val="22"/>
              </w:rPr>
            </w:pPr>
            <w:r w:rsidRPr="00F63097">
              <w:rPr>
                <w:rFonts w:cs="Calibri"/>
                <w:b/>
                <w:bCs/>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1.1 Brief history of the company</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1.2 Description of most important products/services</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1.3 Description of countries in which the firm operates</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1.4  Description of the industry/market in which the firm operates</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xml:space="preserve">1.5 General statement of corporate strategy </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1.6 Statement of goals and/or objectives</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shd w:val="clear" w:color="000000" w:fill="FFFFFF"/>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1.7 Description on R&amp;D projects</w:t>
            </w:r>
          </w:p>
        </w:tc>
        <w:tc>
          <w:tcPr>
            <w:tcW w:w="1592" w:type="dxa"/>
            <w:tcBorders>
              <w:top w:val="nil"/>
              <w:left w:val="single" w:sz="4" w:space="0" w:color="auto"/>
              <w:bottom w:val="single" w:sz="4" w:space="0" w:color="auto"/>
              <w:right w:val="single" w:sz="4" w:space="0" w:color="auto"/>
            </w:tcBorders>
            <w:shd w:val="clear" w:color="000000" w:fill="FFFFFF"/>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1.8 Market/competition analyses</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1.9 Future strategy and expected developments/activities</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xml:space="preserve">1.10 Internal guidelines for desirable behavior of employees </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b/>
                <w:bCs/>
                <w:color w:val="000000"/>
                <w:sz w:val="22"/>
                <w:szCs w:val="22"/>
              </w:rPr>
            </w:pPr>
            <w:r w:rsidRPr="00F63097">
              <w:rPr>
                <w:rFonts w:cs="Calibri"/>
                <w:b/>
                <w:bCs/>
                <w:color w:val="000000"/>
                <w:sz w:val="22"/>
                <w:szCs w:val="22"/>
              </w:rPr>
              <w:t>2. Non-financial information</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b/>
                <w:bCs/>
                <w:color w:val="000000"/>
                <w:sz w:val="22"/>
                <w:szCs w:val="22"/>
              </w:rPr>
            </w:pPr>
            <w:r w:rsidRPr="00F63097">
              <w:rPr>
                <w:rFonts w:cs="Calibri"/>
                <w:b/>
                <w:bCs/>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xml:space="preserve">2.1 Number of employees </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shd w:val="clear" w:color="000000" w:fill="FFFFFF"/>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2.2 Information on employee training</w:t>
            </w:r>
          </w:p>
        </w:tc>
        <w:tc>
          <w:tcPr>
            <w:tcW w:w="1592" w:type="dxa"/>
            <w:tcBorders>
              <w:top w:val="nil"/>
              <w:left w:val="single" w:sz="4" w:space="0" w:color="auto"/>
              <w:bottom w:val="single" w:sz="4" w:space="0" w:color="auto"/>
              <w:right w:val="single" w:sz="4" w:space="0" w:color="auto"/>
            </w:tcBorders>
            <w:shd w:val="clear" w:color="000000" w:fill="FFFFFF"/>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shd w:val="clear" w:color="000000" w:fill="FFFFFF"/>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2.3 Information on employee gender</w:t>
            </w:r>
          </w:p>
        </w:tc>
        <w:tc>
          <w:tcPr>
            <w:tcW w:w="1592" w:type="dxa"/>
            <w:tcBorders>
              <w:top w:val="nil"/>
              <w:left w:val="single" w:sz="4" w:space="0" w:color="auto"/>
              <w:bottom w:val="single" w:sz="4" w:space="0" w:color="auto"/>
              <w:right w:val="single" w:sz="4" w:space="0" w:color="auto"/>
            </w:tcBorders>
            <w:shd w:val="clear" w:color="000000" w:fill="FFFFFF"/>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2.4 Statement of the most important stakeholders/shareholders</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shd w:val="clear" w:color="000000" w:fill="FFFFFF"/>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2.5 Age of the members of the Board of Directors</w:t>
            </w:r>
          </w:p>
        </w:tc>
        <w:tc>
          <w:tcPr>
            <w:tcW w:w="1592" w:type="dxa"/>
            <w:tcBorders>
              <w:top w:val="nil"/>
              <w:left w:val="single" w:sz="4" w:space="0" w:color="auto"/>
              <w:bottom w:val="single" w:sz="4" w:space="0" w:color="auto"/>
              <w:right w:val="single" w:sz="4" w:space="0" w:color="auto"/>
            </w:tcBorders>
            <w:shd w:val="clear" w:color="000000" w:fill="FFFFFF"/>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shd w:val="clear" w:color="000000" w:fill="FFFFFF"/>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2.6 Information about the educational/work background of the Board of Directors</w:t>
            </w:r>
          </w:p>
        </w:tc>
        <w:tc>
          <w:tcPr>
            <w:tcW w:w="1592" w:type="dxa"/>
            <w:tcBorders>
              <w:top w:val="nil"/>
              <w:left w:val="single" w:sz="4" w:space="0" w:color="auto"/>
              <w:bottom w:val="single" w:sz="4" w:space="0" w:color="auto"/>
              <w:right w:val="single" w:sz="4" w:space="0" w:color="auto"/>
            </w:tcBorders>
            <w:shd w:val="clear" w:color="000000" w:fill="FFFFFF"/>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2.7 Environment policy/activities</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2.8 Goals/objectives regarding environment aspects of business</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2.9 Social policy/activities</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2.10 Goals and objectives related to social aspects of business</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b/>
                <w:bCs/>
                <w:color w:val="000000"/>
                <w:sz w:val="22"/>
                <w:szCs w:val="22"/>
              </w:rPr>
            </w:pPr>
            <w:r w:rsidRPr="00F63097">
              <w:rPr>
                <w:rFonts w:cs="Calibri"/>
                <w:b/>
                <w:bCs/>
                <w:color w:val="000000"/>
                <w:sz w:val="22"/>
                <w:szCs w:val="22"/>
              </w:rPr>
              <w:t>3. Financial information</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b/>
                <w:bCs/>
                <w:color w:val="000000"/>
                <w:sz w:val="22"/>
                <w:szCs w:val="22"/>
              </w:rPr>
            </w:pPr>
            <w:r w:rsidRPr="00F63097">
              <w:rPr>
                <w:rFonts w:cs="Calibri"/>
                <w:b/>
                <w:bCs/>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3.1 Historical figures for last five years or more</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shd w:val="clear" w:color="000000" w:fill="FFFFFF"/>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xml:space="preserve">3.2 Financial-economic policy </w:t>
            </w:r>
          </w:p>
        </w:tc>
        <w:tc>
          <w:tcPr>
            <w:tcW w:w="1592" w:type="dxa"/>
            <w:tcBorders>
              <w:top w:val="nil"/>
              <w:left w:val="single" w:sz="4" w:space="0" w:color="auto"/>
              <w:bottom w:val="single" w:sz="4" w:space="0" w:color="auto"/>
              <w:right w:val="single" w:sz="4" w:space="0" w:color="auto"/>
            </w:tcBorders>
            <w:shd w:val="clear" w:color="000000" w:fill="FFFFFF"/>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shd w:val="clear" w:color="000000" w:fill="FFFFFF"/>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3.3 Goals and objectives regarding financial aspects of business</w:t>
            </w:r>
          </w:p>
        </w:tc>
        <w:tc>
          <w:tcPr>
            <w:tcW w:w="1592" w:type="dxa"/>
            <w:tcBorders>
              <w:top w:val="nil"/>
              <w:left w:val="single" w:sz="4" w:space="0" w:color="auto"/>
              <w:bottom w:val="single" w:sz="4" w:space="0" w:color="auto"/>
              <w:right w:val="single" w:sz="4" w:space="0" w:color="auto"/>
            </w:tcBorders>
            <w:shd w:val="clear" w:color="000000" w:fill="FFFFFF"/>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shd w:val="clear" w:color="000000" w:fill="FFFFFF"/>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3.4 Explanation of the improvement/deterioration of the results compared to 2009</w:t>
            </w:r>
          </w:p>
        </w:tc>
        <w:tc>
          <w:tcPr>
            <w:tcW w:w="1592" w:type="dxa"/>
            <w:tcBorders>
              <w:top w:val="nil"/>
              <w:left w:val="single" w:sz="4" w:space="0" w:color="auto"/>
              <w:bottom w:val="single" w:sz="4" w:space="0" w:color="auto"/>
              <w:right w:val="single" w:sz="4" w:space="0" w:color="auto"/>
            </w:tcBorders>
            <w:shd w:val="clear" w:color="000000" w:fill="FFFFFF"/>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3.5 Results (sales or profit) specified per region or/products or/services</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3.6 Sales/earnings forecast</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3.7 Return on equity</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3.8 Return on assets</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3.9 Gearing ratio</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r w:rsidR="00A95413" w:rsidRPr="00F63097" w:rsidTr="00F20D27">
        <w:trPr>
          <w:trHeight w:val="315"/>
        </w:trPr>
        <w:tc>
          <w:tcPr>
            <w:tcW w:w="7948" w:type="dxa"/>
            <w:tcBorders>
              <w:top w:val="nil"/>
              <w:left w:val="single" w:sz="8" w:space="0" w:color="auto"/>
              <w:bottom w:val="single" w:sz="8" w:space="0" w:color="auto"/>
              <w:right w:val="nil"/>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3.10 Liquidity ratio</w:t>
            </w:r>
          </w:p>
        </w:tc>
        <w:tc>
          <w:tcPr>
            <w:tcW w:w="1592" w:type="dxa"/>
            <w:tcBorders>
              <w:top w:val="nil"/>
              <w:left w:val="single" w:sz="4" w:space="0" w:color="auto"/>
              <w:bottom w:val="single" w:sz="4" w:space="0" w:color="auto"/>
              <w:right w:val="single" w:sz="4" w:space="0" w:color="auto"/>
            </w:tcBorders>
            <w:noWrap/>
            <w:vAlign w:val="bottom"/>
          </w:tcPr>
          <w:p w:rsidR="00A95413" w:rsidRPr="00F63097" w:rsidRDefault="00A95413" w:rsidP="001D4BB3">
            <w:pPr>
              <w:spacing w:before="0" w:after="0"/>
              <w:jc w:val="both"/>
              <w:rPr>
                <w:rFonts w:cs="Calibri"/>
                <w:color w:val="000000"/>
                <w:sz w:val="22"/>
                <w:szCs w:val="22"/>
              </w:rPr>
            </w:pPr>
            <w:r w:rsidRPr="00F63097">
              <w:rPr>
                <w:rFonts w:cs="Calibri"/>
                <w:color w:val="000000"/>
                <w:sz w:val="22"/>
                <w:szCs w:val="22"/>
              </w:rPr>
              <w:t> </w:t>
            </w:r>
          </w:p>
        </w:tc>
      </w:tr>
    </w:tbl>
    <w:p w:rsidR="00A95413" w:rsidRPr="00046999" w:rsidRDefault="00A95413" w:rsidP="001D4BB3">
      <w:pPr>
        <w:pStyle w:val="Kop1"/>
        <w:jc w:val="both"/>
        <w:rPr>
          <w:rFonts w:cs="Calibri"/>
          <w:lang w:eastAsia="nl-NL"/>
        </w:rPr>
      </w:pPr>
      <w:bookmarkStart w:id="152" w:name="_Toc287267101"/>
      <w:bookmarkStart w:id="153" w:name="_Toc320365362"/>
      <w:r w:rsidRPr="00046999">
        <w:rPr>
          <w:rFonts w:cs="Calibri"/>
          <w:lang w:eastAsia="nl-NL"/>
        </w:rPr>
        <w:lastRenderedPageBreak/>
        <w:t xml:space="preserve">Appendix </w:t>
      </w:r>
      <w:bookmarkEnd w:id="152"/>
      <w:r w:rsidRPr="00046999">
        <w:rPr>
          <w:rFonts w:cs="Calibri"/>
          <w:lang w:eastAsia="nl-NL"/>
        </w:rPr>
        <w:t>II: Protocol</w:t>
      </w:r>
      <w:bookmarkEnd w:id="153"/>
    </w:p>
    <w:p w:rsidR="00A95413" w:rsidRPr="00046999" w:rsidRDefault="00A95413" w:rsidP="001D4BB3">
      <w:pPr>
        <w:jc w:val="both"/>
        <w:rPr>
          <w:rFonts w:cs="Calibri"/>
          <w:b/>
        </w:rPr>
      </w:pPr>
      <w:r w:rsidRPr="00046999">
        <w:rPr>
          <w:rFonts w:cs="Calibri"/>
          <w:b/>
        </w:rPr>
        <w:t>Keywords:</w:t>
      </w:r>
    </w:p>
    <w:p w:rsidR="00A95413" w:rsidRPr="00046999" w:rsidRDefault="00A95413" w:rsidP="001D4BB3">
      <w:pPr>
        <w:jc w:val="both"/>
        <w:rPr>
          <w:rFonts w:cs="Calibri"/>
          <w:b/>
        </w:rPr>
      </w:pPr>
      <w:r w:rsidRPr="00046999">
        <w:rPr>
          <w:rFonts w:cs="Calibri"/>
          <w:b/>
        </w:rPr>
        <w:t>Strategic Information</w:t>
      </w:r>
    </w:p>
    <w:p w:rsidR="00A95413" w:rsidRPr="00046999" w:rsidRDefault="00A95413" w:rsidP="001D4BB3">
      <w:pPr>
        <w:jc w:val="both"/>
        <w:rPr>
          <w:rFonts w:cs="Calibri"/>
        </w:rPr>
      </w:pPr>
      <w:r w:rsidRPr="00046999">
        <w:rPr>
          <w:rFonts w:cs="Calibri"/>
        </w:rPr>
        <w:t>1.1 History, founded, foundation, created, creation, background, originate, establish, general information.</w:t>
      </w:r>
    </w:p>
    <w:p w:rsidR="00A95413" w:rsidRPr="00046999" w:rsidRDefault="00A95413" w:rsidP="001D4BB3">
      <w:pPr>
        <w:jc w:val="both"/>
        <w:rPr>
          <w:rFonts w:cs="Calibri"/>
        </w:rPr>
      </w:pPr>
      <w:r w:rsidRPr="00046999">
        <w:rPr>
          <w:rFonts w:cs="Calibri"/>
        </w:rPr>
        <w:t>1.2 Product, service</w:t>
      </w:r>
    </w:p>
    <w:p w:rsidR="00A95413" w:rsidRPr="00046999" w:rsidRDefault="00A95413" w:rsidP="001D4BB3">
      <w:pPr>
        <w:jc w:val="both"/>
        <w:rPr>
          <w:rFonts w:cs="Calibri"/>
        </w:rPr>
      </w:pPr>
      <w:r w:rsidRPr="00046999">
        <w:rPr>
          <w:rFonts w:cs="Calibri"/>
        </w:rPr>
        <w:t>1.3 Country, countries, locate, location, foreign, abroad, international</w:t>
      </w:r>
    </w:p>
    <w:p w:rsidR="00A95413" w:rsidRPr="00046999" w:rsidRDefault="00A95413" w:rsidP="001D4BB3">
      <w:pPr>
        <w:jc w:val="both"/>
        <w:rPr>
          <w:rFonts w:cs="Calibri"/>
        </w:rPr>
      </w:pPr>
      <w:r w:rsidRPr="00046999">
        <w:rPr>
          <w:rFonts w:cs="Calibri"/>
        </w:rPr>
        <w:t>1.4 Industry, market, chain, sector</w:t>
      </w:r>
    </w:p>
    <w:p w:rsidR="00A95413" w:rsidRPr="00046999" w:rsidRDefault="00A95413" w:rsidP="001D4BB3">
      <w:pPr>
        <w:jc w:val="both"/>
        <w:rPr>
          <w:rFonts w:cs="Calibri"/>
        </w:rPr>
      </w:pPr>
      <w:r w:rsidRPr="00046999">
        <w:rPr>
          <w:rFonts w:cs="Calibri"/>
        </w:rPr>
        <w:t>1.5 Strategy, policy</w:t>
      </w:r>
    </w:p>
    <w:p w:rsidR="00A95413" w:rsidRPr="00046999" w:rsidRDefault="00A95413" w:rsidP="001D4BB3">
      <w:pPr>
        <w:jc w:val="both"/>
        <w:rPr>
          <w:rFonts w:cs="Calibri"/>
        </w:rPr>
      </w:pPr>
      <w:r w:rsidRPr="00046999">
        <w:rPr>
          <w:rFonts w:cs="Calibri"/>
        </w:rPr>
        <w:t>1.6 Goal, objective, target</w:t>
      </w:r>
    </w:p>
    <w:p w:rsidR="00A95413" w:rsidRPr="00046999" w:rsidRDefault="00A95413" w:rsidP="001D4BB3">
      <w:pPr>
        <w:jc w:val="both"/>
        <w:rPr>
          <w:rFonts w:cs="Calibri"/>
        </w:rPr>
      </w:pPr>
      <w:r w:rsidRPr="00046999">
        <w:rPr>
          <w:rFonts w:cs="Calibri"/>
        </w:rPr>
        <w:t>1.7 Research and development, research</w:t>
      </w:r>
    </w:p>
    <w:p w:rsidR="00A95413" w:rsidRPr="00046999" w:rsidRDefault="00A95413" w:rsidP="001D4BB3">
      <w:pPr>
        <w:jc w:val="both"/>
        <w:rPr>
          <w:rFonts w:cs="Calibri"/>
        </w:rPr>
      </w:pPr>
      <w:r w:rsidRPr="00046999">
        <w:rPr>
          <w:rFonts w:cs="Calibri"/>
        </w:rPr>
        <w:t>1.8 Market share, competition, competitor</w:t>
      </w:r>
    </w:p>
    <w:p w:rsidR="00A95413" w:rsidRPr="00046999" w:rsidRDefault="00A95413" w:rsidP="001D4BB3">
      <w:pPr>
        <w:jc w:val="both"/>
        <w:rPr>
          <w:rFonts w:cs="Calibri"/>
        </w:rPr>
      </w:pPr>
      <w:r w:rsidRPr="00046999">
        <w:rPr>
          <w:rFonts w:cs="Calibri"/>
        </w:rPr>
        <w:t xml:space="preserve">1.9 Future, outlook, 2011, strategy, expectation, prospects </w:t>
      </w:r>
    </w:p>
    <w:p w:rsidR="00A95413" w:rsidRPr="00046999" w:rsidRDefault="00A95413" w:rsidP="001D4BB3">
      <w:pPr>
        <w:jc w:val="both"/>
        <w:rPr>
          <w:rFonts w:cs="Calibri"/>
        </w:rPr>
      </w:pPr>
      <w:r w:rsidRPr="00046999">
        <w:rPr>
          <w:rFonts w:cs="Calibri"/>
        </w:rPr>
        <w:t>1.10 Ethics, code, guidelines, behavior, employees, core value, principles</w:t>
      </w:r>
    </w:p>
    <w:p w:rsidR="00A95413" w:rsidRPr="00046999" w:rsidRDefault="00A95413" w:rsidP="001D4BB3">
      <w:pPr>
        <w:jc w:val="both"/>
        <w:rPr>
          <w:rFonts w:cs="Calibri"/>
          <w:b/>
        </w:rPr>
      </w:pPr>
      <w:r w:rsidRPr="00046999">
        <w:rPr>
          <w:rFonts w:cs="Calibri"/>
          <w:b/>
        </w:rPr>
        <w:t>Non-financial information</w:t>
      </w:r>
    </w:p>
    <w:p w:rsidR="00A95413" w:rsidRPr="00046999" w:rsidRDefault="00A95413" w:rsidP="001D4BB3">
      <w:pPr>
        <w:jc w:val="both"/>
        <w:rPr>
          <w:rFonts w:cs="Calibri"/>
        </w:rPr>
      </w:pPr>
      <w:r w:rsidRPr="00046999">
        <w:rPr>
          <w:rFonts w:cs="Calibri"/>
        </w:rPr>
        <w:t>2.1 Employees, staff</w:t>
      </w:r>
    </w:p>
    <w:p w:rsidR="00A95413" w:rsidRPr="00046999" w:rsidRDefault="00A95413" w:rsidP="001D4BB3">
      <w:pPr>
        <w:jc w:val="both"/>
        <w:rPr>
          <w:rFonts w:cs="Calibri"/>
        </w:rPr>
      </w:pPr>
      <w:r w:rsidRPr="00046999">
        <w:rPr>
          <w:rFonts w:cs="Calibri"/>
        </w:rPr>
        <w:t>2.2 Training, education, learning</w:t>
      </w:r>
    </w:p>
    <w:p w:rsidR="00A95413" w:rsidRPr="00046999" w:rsidRDefault="00A95413" w:rsidP="001D4BB3">
      <w:pPr>
        <w:jc w:val="both"/>
        <w:rPr>
          <w:rFonts w:cs="Calibri"/>
        </w:rPr>
      </w:pPr>
      <w:r w:rsidRPr="00046999">
        <w:rPr>
          <w:rFonts w:cs="Calibri"/>
        </w:rPr>
        <w:t xml:space="preserve">2.3 Gender, female, women, </w:t>
      </w:r>
    </w:p>
    <w:p w:rsidR="00A95413" w:rsidRPr="00046999" w:rsidRDefault="00A95413" w:rsidP="001D4BB3">
      <w:pPr>
        <w:jc w:val="both"/>
        <w:rPr>
          <w:rFonts w:cs="Calibri"/>
        </w:rPr>
      </w:pPr>
      <w:r w:rsidRPr="00046999">
        <w:rPr>
          <w:rFonts w:cs="Calibri"/>
        </w:rPr>
        <w:t>2.4 Stakeholder, shareholder, ownership, structure</w:t>
      </w:r>
    </w:p>
    <w:p w:rsidR="00A95413" w:rsidRPr="00046999" w:rsidRDefault="00A95413" w:rsidP="001D4BB3">
      <w:pPr>
        <w:jc w:val="both"/>
        <w:rPr>
          <w:rFonts w:cs="Calibri"/>
        </w:rPr>
      </w:pPr>
      <w:r w:rsidRPr="00046999">
        <w:rPr>
          <w:rFonts w:cs="Calibri"/>
        </w:rPr>
        <w:t>2.5 Board of directors, supervisory board, board</w:t>
      </w:r>
    </w:p>
    <w:p w:rsidR="00A95413" w:rsidRPr="00046999" w:rsidRDefault="00A95413" w:rsidP="001D4BB3">
      <w:pPr>
        <w:jc w:val="both"/>
        <w:rPr>
          <w:rFonts w:cs="Calibri"/>
        </w:rPr>
      </w:pPr>
      <w:r w:rsidRPr="00046999">
        <w:rPr>
          <w:rFonts w:cs="Calibri"/>
        </w:rPr>
        <w:t>2.6 Board of directors, supervisory board, board</w:t>
      </w:r>
    </w:p>
    <w:p w:rsidR="00A95413" w:rsidRPr="00046999" w:rsidRDefault="00A95413" w:rsidP="001D4BB3">
      <w:pPr>
        <w:jc w:val="both"/>
        <w:rPr>
          <w:rFonts w:cs="Calibri"/>
        </w:rPr>
      </w:pPr>
      <w:r w:rsidRPr="00046999">
        <w:rPr>
          <w:rFonts w:cs="Calibri"/>
        </w:rPr>
        <w:t>2.7 Environment, emission, sustainable, responsible</w:t>
      </w:r>
    </w:p>
    <w:p w:rsidR="00A95413" w:rsidRPr="00046999" w:rsidRDefault="00A95413" w:rsidP="001D4BB3">
      <w:pPr>
        <w:jc w:val="both"/>
        <w:rPr>
          <w:rFonts w:cs="Calibri"/>
        </w:rPr>
      </w:pPr>
      <w:r w:rsidRPr="00046999">
        <w:rPr>
          <w:rFonts w:cs="Calibri"/>
        </w:rPr>
        <w:t>2.8 Goals, objectives, target</w:t>
      </w:r>
    </w:p>
    <w:p w:rsidR="00A95413" w:rsidRPr="00046999" w:rsidRDefault="00A95413" w:rsidP="001D4BB3">
      <w:pPr>
        <w:jc w:val="both"/>
        <w:rPr>
          <w:rFonts w:cs="Calibri"/>
        </w:rPr>
      </w:pPr>
      <w:r w:rsidRPr="00046999">
        <w:rPr>
          <w:rFonts w:cs="Calibri"/>
        </w:rPr>
        <w:t>2.9 Social, community, society, safety and health, diversity, human rights</w:t>
      </w:r>
    </w:p>
    <w:p w:rsidR="00A95413" w:rsidRPr="00046999" w:rsidRDefault="00A95413" w:rsidP="001D4BB3">
      <w:pPr>
        <w:jc w:val="both"/>
        <w:rPr>
          <w:rFonts w:cs="Calibri"/>
        </w:rPr>
      </w:pPr>
      <w:r w:rsidRPr="00046999">
        <w:rPr>
          <w:rFonts w:cs="Calibri"/>
        </w:rPr>
        <w:t>2.10 Goals, objectives, target</w:t>
      </w:r>
    </w:p>
    <w:p w:rsidR="00A95413" w:rsidRPr="00046999" w:rsidRDefault="00A95413" w:rsidP="001D4BB3">
      <w:pPr>
        <w:jc w:val="both"/>
        <w:rPr>
          <w:rFonts w:cs="Calibri"/>
          <w:b/>
        </w:rPr>
      </w:pPr>
      <w:r w:rsidRPr="00046999">
        <w:rPr>
          <w:rFonts w:cs="Calibri"/>
          <w:b/>
        </w:rPr>
        <w:t>Financial Information</w:t>
      </w:r>
    </w:p>
    <w:p w:rsidR="00A95413" w:rsidRPr="00046999" w:rsidRDefault="00A95413" w:rsidP="001D4BB3">
      <w:pPr>
        <w:jc w:val="both"/>
        <w:rPr>
          <w:rFonts w:cs="Calibri"/>
        </w:rPr>
      </w:pPr>
      <w:r w:rsidRPr="00046999">
        <w:rPr>
          <w:rFonts w:cs="Calibri"/>
        </w:rPr>
        <w:t>3.1 History, historical, 2006, overview, figures</w:t>
      </w:r>
    </w:p>
    <w:p w:rsidR="00A95413" w:rsidRPr="00046999" w:rsidRDefault="00A95413" w:rsidP="001D4BB3">
      <w:pPr>
        <w:jc w:val="both"/>
        <w:rPr>
          <w:rFonts w:cs="Calibri"/>
        </w:rPr>
      </w:pPr>
      <w:r w:rsidRPr="00046999">
        <w:rPr>
          <w:rFonts w:cs="Calibri"/>
        </w:rPr>
        <w:t xml:space="preserve">3.2 Financial, policy, strategy, </w:t>
      </w:r>
    </w:p>
    <w:p w:rsidR="00A95413" w:rsidRPr="00046999" w:rsidRDefault="00A95413" w:rsidP="001D4BB3">
      <w:pPr>
        <w:jc w:val="both"/>
        <w:rPr>
          <w:rFonts w:cs="Calibri"/>
        </w:rPr>
      </w:pPr>
      <w:r w:rsidRPr="00046999">
        <w:rPr>
          <w:rFonts w:cs="Calibri"/>
        </w:rPr>
        <w:lastRenderedPageBreak/>
        <w:t>3.3 Goals, objectives, target</w:t>
      </w:r>
    </w:p>
    <w:p w:rsidR="00A95413" w:rsidRPr="00046999" w:rsidRDefault="00A95413" w:rsidP="001D4BB3">
      <w:pPr>
        <w:jc w:val="both"/>
        <w:rPr>
          <w:rFonts w:cs="Calibri"/>
        </w:rPr>
      </w:pPr>
      <w:r w:rsidRPr="00046999">
        <w:rPr>
          <w:rFonts w:cs="Calibri"/>
        </w:rPr>
        <w:t>3.4 Improvements/deterioration, results, 2009, prior period, last year</w:t>
      </w:r>
    </w:p>
    <w:p w:rsidR="00A95413" w:rsidRPr="00046999" w:rsidRDefault="00A95413" w:rsidP="001D4BB3">
      <w:pPr>
        <w:jc w:val="both"/>
        <w:rPr>
          <w:rFonts w:cs="Calibri"/>
        </w:rPr>
      </w:pPr>
      <w:r w:rsidRPr="00046999">
        <w:rPr>
          <w:rFonts w:cs="Calibri"/>
        </w:rPr>
        <w:t xml:space="preserve">3.5 Results, region, breakdown, </w:t>
      </w:r>
    </w:p>
    <w:p w:rsidR="00A95413" w:rsidRPr="00046999" w:rsidRDefault="00A95413" w:rsidP="001D4BB3">
      <w:pPr>
        <w:jc w:val="both"/>
        <w:rPr>
          <w:rFonts w:cs="Calibri"/>
        </w:rPr>
      </w:pPr>
      <w:r w:rsidRPr="00046999">
        <w:rPr>
          <w:rFonts w:cs="Calibri"/>
        </w:rPr>
        <w:t>3.6 Forecast, outlook, 2011, sales, earnings, profit</w:t>
      </w:r>
    </w:p>
    <w:p w:rsidR="00A95413" w:rsidRPr="00046999" w:rsidRDefault="00A95413" w:rsidP="001D4BB3">
      <w:pPr>
        <w:jc w:val="both"/>
        <w:rPr>
          <w:rFonts w:cs="Calibri"/>
        </w:rPr>
      </w:pPr>
      <w:r w:rsidRPr="00046999">
        <w:rPr>
          <w:rFonts w:cs="Calibri"/>
        </w:rPr>
        <w:t>3.7 Return on equity</w:t>
      </w:r>
    </w:p>
    <w:p w:rsidR="00A95413" w:rsidRPr="00046999" w:rsidRDefault="00A95413" w:rsidP="001D4BB3">
      <w:pPr>
        <w:jc w:val="both"/>
        <w:rPr>
          <w:rFonts w:cs="Calibri"/>
        </w:rPr>
      </w:pPr>
      <w:r w:rsidRPr="00046999">
        <w:rPr>
          <w:rFonts w:cs="Calibri"/>
        </w:rPr>
        <w:t>3.8 Return on assets, ROA</w:t>
      </w:r>
    </w:p>
    <w:p w:rsidR="00A95413" w:rsidRPr="00046999" w:rsidRDefault="00A95413" w:rsidP="001D4BB3">
      <w:pPr>
        <w:jc w:val="both"/>
        <w:rPr>
          <w:rFonts w:cs="Calibri"/>
        </w:rPr>
      </w:pPr>
      <w:r w:rsidRPr="00046999">
        <w:rPr>
          <w:rFonts w:cs="Calibri"/>
        </w:rPr>
        <w:t>3.9 Gearing, gearing ratio, debt ratio, equity ratio, debt to equity, interest coverage, times interest earned</w:t>
      </w:r>
    </w:p>
    <w:p w:rsidR="00A95413" w:rsidRPr="00046999" w:rsidRDefault="00A95413" w:rsidP="001D4BB3">
      <w:pPr>
        <w:jc w:val="both"/>
        <w:rPr>
          <w:rFonts w:cs="Calibri"/>
        </w:rPr>
      </w:pPr>
      <w:r w:rsidRPr="00046999">
        <w:rPr>
          <w:rFonts w:cs="Calibri"/>
        </w:rPr>
        <w:t>3.10 Liquidity, liquidity ratio, current ratio, quick ratio, cash ratio</w:t>
      </w:r>
    </w:p>
    <w:p w:rsidR="00A95413" w:rsidRPr="00046999" w:rsidRDefault="00A95413" w:rsidP="001D4BB3">
      <w:pPr>
        <w:jc w:val="both"/>
        <w:rPr>
          <w:rFonts w:cs="Calibri"/>
          <w:b/>
        </w:rPr>
      </w:pPr>
    </w:p>
    <w:p w:rsidR="00A95413" w:rsidRPr="00046999" w:rsidRDefault="00A95413" w:rsidP="001D4BB3">
      <w:pPr>
        <w:jc w:val="both"/>
        <w:rPr>
          <w:rFonts w:cs="Calibri"/>
          <w:b/>
        </w:rPr>
      </w:pPr>
      <w:r w:rsidRPr="00046999">
        <w:rPr>
          <w:rFonts w:cs="Calibri"/>
          <w:b/>
        </w:rPr>
        <w:t>Content Analysis Protocol:</w:t>
      </w:r>
    </w:p>
    <w:p w:rsidR="00A95413" w:rsidRPr="00046999" w:rsidRDefault="00A95413" w:rsidP="001D4BB3">
      <w:pPr>
        <w:jc w:val="both"/>
        <w:rPr>
          <w:rFonts w:cs="Calibri"/>
          <w:b/>
          <w:u w:val="single"/>
        </w:rPr>
      </w:pPr>
      <w:r w:rsidRPr="00046999">
        <w:rPr>
          <w:rFonts w:cs="Calibri"/>
          <w:b/>
          <w:u w:val="single"/>
        </w:rPr>
        <w:t>Strategic Information</w:t>
      </w:r>
    </w:p>
    <w:p w:rsidR="00A95413" w:rsidRPr="00046999" w:rsidRDefault="00A95413" w:rsidP="001D4BB3">
      <w:pPr>
        <w:pStyle w:val="Lijstalinea"/>
        <w:numPr>
          <w:ilvl w:val="1"/>
          <w:numId w:val="7"/>
        </w:numPr>
        <w:jc w:val="both"/>
        <w:rPr>
          <w:rFonts w:cs="Calibri"/>
          <w:color w:val="000000"/>
          <w:u w:val="single"/>
        </w:rPr>
      </w:pPr>
      <w:r w:rsidRPr="00046999">
        <w:rPr>
          <w:rFonts w:cs="Calibri"/>
          <w:color w:val="000000"/>
          <w:u w:val="single"/>
        </w:rPr>
        <w:t xml:space="preserve">Brief history of the company. </w:t>
      </w:r>
    </w:p>
    <w:p w:rsidR="00A95413" w:rsidRPr="00046999" w:rsidRDefault="00A95413" w:rsidP="001D4BB3">
      <w:pPr>
        <w:jc w:val="both"/>
        <w:rPr>
          <w:rFonts w:cs="Calibri"/>
        </w:rPr>
      </w:pPr>
      <w:r w:rsidRPr="00046999">
        <w:rPr>
          <w:rFonts w:cs="Calibri"/>
        </w:rPr>
        <w:t>A brief history of the company is provided. This should at least include information about when the company was founded.</w:t>
      </w:r>
    </w:p>
    <w:p w:rsidR="00A95413" w:rsidRPr="00046999" w:rsidRDefault="00A95413" w:rsidP="001D4BB3">
      <w:pPr>
        <w:jc w:val="both"/>
        <w:rPr>
          <w:rFonts w:cs="Calibri"/>
        </w:rPr>
      </w:pPr>
      <w:r w:rsidRPr="00046999">
        <w:rPr>
          <w:rFonts w:cs="Calibri"/>
        </w:rPr>
        <w:t>0 = no brief history of the company is provided</w:t>
      </w:r>
    </w:p>
    <w:p w:rsidR="00A95413" w:rsidRPr="00046999" w:rsidRDefault="00A95413" w:rsidP="001D4BB3">
      <w:pPr>
        <w:jc w:val="both"/>
        <w:rPr>
          <w:rFonts w:cs="Calibri"/>
        </w:rPr>
      </w:pPr>
      <w:r w:rsidRPr="00046999">
        <w:rPr>
          <w:rFonts w:cs="Calibri"/>
        </w:rPr>
        <w:t>1 = a brief history of the company is provided</w:t>
      </w:r>
    </w:p>
    <w:p w:rsidR="00A95413" w:rsidRPr="00046999" w:rsidRDefault="00A95413" w:rsidP="001D4BB3">
      <w:pPr>
        <w:jc w:val="both"/>
        <w:rPr>
          <w:rFonts w:cs="Calibri"/>
        </w:rPr>
      </w:pPr>
      <w:r w:rsidRPr="00046999">
        <w:rPr>
          <w:rFonts w:cs="Calibri"/>
        </w:rPr>
        <w:t>Why: item present in study of Meek et al. (1995), Chau and Gray (2002) and Eng and Mak (2003)</w:t>
      </w:r>
    </w:p>
    <w:p w:rsidR="00A95413" w:rsidRPr="00046999" w:rsidRDefault="00A95413" w:rsidP="001D4BB3">
      <w:pPr>
        <w:jc w:val="both"/>
        <w:rPr>
          <w:rFonts w:cs="Calibri"/>
          <w:color w:val="000000"/>
        </w:rPr>
      </w:pPr>
      <w:r w:rsidRPr="00046999">
        <w:rPr>
          <w:rFonts w:cs="Calibri"/>
        </w:rPr>
        <w:t xml:space="preserve">1.2  </w:t>
      </w:r>
      <w:r w:rsidRPr="00046999">
        <w:rPr>
          <w:rFonts w:cs="Calibri"/>
          <w:color w:val="000000"/>
          <w:u w:val="single"/>
        </w:rPr>
        <w:t>Description of most important products/services.</w:t>
      </w:r>
    </w:p>
    <w:p w:rsidR="00A95413" w:rsidRPr="00046999" w:rsidRDefault="00A95413" w:rsidP="001D4BB3">
      <w:pPr>
        <w:jc w:val="both"/>
        <w:rPr>
          <w:rFonts w:cs="Calibri"/>
        </w:rPr>
      </w:pPr>
      <w:r w:rsidRPr="00046999">
        <w:rPr>
          <w:rFonts w:cs="Calibri"/>
        </w:rPr>
        <w:t xml:space="preserve">The most important products and/or services are described. </w:t>
      </w:r>
    </w:p>
    <w:p w:rsidR="00A95413" w:rsidRPr="00046999" w:rsidRDefault="00A95413" w:rsidP="001D4BB3">
      <w:pPr>
        <w:jc w:val="both"/>
        <w:rPr>
          <w:rFonts w:cs="Calibri"/>
        </w:rPr>
      </w:pPr>
      <w:r w:rsidRPr="00046999">
        <w:rPr>
          <w:rFonts w:cs="Calibri"/>
        </w:rPr>
        <w:t xml:space="preserve">0 = no description </w:t>
      </w:r>
    </w:p>
    <w:p w:rsidR="00A95413" w:rsidRPr="00046999" w:rsidRDefault="00A95413" w:rsidP="001D4BB3">
      <w:pPr>
        <w:jc w:val="both"/>
        <w:rPr>
          <w:rFonts w:cs="Calibri"/>
        </w:rPr>
      </w:pPr>
      <w:r w:rsidRPr="00046999">
        <w:rPr>
          <w:rFonts w:cs="Calibri"/>
        </w:rPr>
        <w:t xml:space="preserve">1 = description of the main products and/or services the firm delivers. </w:t>
      </w:r>
    </w:p>
    <w:p w:rsidR="00A95413" w:rsidRPr="00046999" w:rsidRDefault="00A95413" w:rsidP="001D4BB3">
      <w:pPr>
        <w:jc w:val="both"/>
        <w:rPr>
          <w:rFonts w:cs="Calibri"/>
        </w:rPr>
      </w:pPr>
      <w:r w:rsidRPr="00046999">
        <w:rPr>
          <w:rFonts w:cs="Calibri"/>
        </w:rPr>
        <w:t>Why: item present in transparency benchmark (2009), Botosan (1997) and Eng and Mak (2003)</w:t>
      </w:r>
    </w:p>
    <w:p w:rsidR="00A95413" w:rsidRPr="00046999" w:rsidRDefault="00A95413" w:rsidP="001D4BB3">
      <w:pPr>
        <w:pStyle w:val="Lijstalinea"/>
        <w:numPr>
          <w:ilvl w:val="1"/>
          <w:numId w:val="8"/>
        </w:numPr>
        <w:jc w:val="both"/>
        <w:rPr>
          <w:rFonts w:cs="Calibri"/>
          <w:color w:val="000000"/>
          <w:u w:val="single"/>
        </w:rPr>
      </w:pPr>
      <w:r w:rsidRPr="00046999">
        <w:rPr>
          <w:rFonts w:cs="Calibri"/>
          <w:color w:val="000000"/>
          <w:u w:val="single"/>
        </w:rPr>
        <w:t>Description of countries in which the firm operates.</w:t>
      </w:r>
    </w:p>
    <w:p w:rsidR="00A95413" w:rsidRPr="00046999" w:rsidRDefault="00A95413" w:rsidP="001D4BB3">
      <w:pPr>
        <w:jc w:val="both"/>
        <w:rPr>
          <w:rFonts w:cs="Calibri"/>
        </w:rPr>
      </w:pPr>
      <w:r w:rsidRPr="00046999">
        <w:rPr>
          <w:rFonts w:cs="Calibri"/>
        </w:rPr>
        <w:t>The countries wherein the firm operates are stated.</w:t>
      </w:r>
    </w:p>
    <w:p w:rsidR="00A95413" w:rsidRPr="00046999" w:rsidRDefault="00A95413" w:rsidP="001D4BB3">
      <w:pPr>
        <w:jc w:val="both"/>
        <w:rPr>
          <w:rFonts w:cs="Calibri"/>
        </w:rPr>
      </w:pPr>
      <w:r w:rsidRPr="00046999">
        <w:rPr>
          <w:rFonts w:cs="Calibri"/>
        </w:rPr>
        <w:t>0= no description</w:t>
      </w:r>
    </w:p>
    <w:p w:rsidR="00A95413" w:rsidRPr="00046999" w:rsidRDefault="00A95413" w:rsidP="001D4BB3">
      <w:pPr>
        <w:jc w:val="both"/>
        <w:rPr>
          <w:rFonts w:cs="Calibri"/>
        </w:rPr>
      </w:pPr>
      <w:r w:rsidRPr="00046999">
        <w:rPr>
          <w:rFonts w:cs="Calibri"/>
        </w:rPr>
        <w:t>1= A description of the location of operations abroad is included or it is clear that the firm does not engage in activities abroad. In the case of foreign activities an overview of establishments abroad is provided (at least per country).</w:t>
      </w:r>
    </w:p>
    <w:p w:rsidR="00A95413" w:rsidRPr="00046999" w:rsidRDefault="00A95413" w:rsidP="001D4BB3">
      <w:pPr>
        <w:jc w:val="both"/>
        <w:rPr>
          <w:rFonts w:cs="Calibri"/>
        </w:rPr>
      </w:pPr>
      <w:r w:rsidRPr="00046999">
        <w:rPr>
          <w:rFonts w:cs="Calibri"/>
        </w:rPr>
        <w:lastRenderedPageBreak/>
        <w:t>Why: item present in transparency benchmark (2009)</w:t>
      </w:r>
    </w:p>
    <w:p w:rsidR="00A95413" w:rsidRPr="00046999" w:rsidRDefault="00A95413" w:rsidP="001D4BB3">
      <w:pPr>
        <w:pStyle w:val="Lijstalinea"/>
        <w:numPr>
          <w:ilvl w:val="1"/>
          <w:numId w:val="8"/>
        </w:numPr>
        <w:jc w:val="both"/>
        <w:rPr>
          <w:rFonts w:cs="Calibri"/>
          <w:color w:val="000000"/>
        </w:rPr>
      </w:pPr>
      <w:r w:rsidRPr="00046999">
        <w:rPr>
          <w:rFonts w:cs="Calibri"/>
          <w:color w:val="000000"/>
          <w:u w:val="single"/>
        </w:rPr>
        <w:t>Description of the industry/market in which the firm operates.</w:t>
      </w:r>
    </w:p>
    <w:p w:rsidR="00A95413" w:rsidRPr="00046999" w:rsidRDefault="00A95413" w:rsidP="001D4BB3">
      <w:pPr>
        <w:jc w:val="both"/>
        <w:rPr>
          <w:rFonts w:cs="Calibri"/>
        </w:rPr>
      </w:pPr>
      <w:r w:rsidRPr="00046999">
        <w:rPr>
          <w:rFonts w:cs="Calibri"/>
          <w:color w:val="000000"/>
        </w:rPr>
        <w:t xml:space="preserve">The main industries/markets </w:t>
      </w:r>
      <w:r w:rsidRPr="00046999">
        <w:rPr>
          <w:rFonts w:cs="Calibri"/>
        </w:rPr>
        <w:t>in which the firm operates are described (not just a statement of e.g. we operate in the energy market, but also some information about the energy market itself).</w:t>
      </w:r>
    </w:p>
    <w:p w:rsidR="00A95413" w:rsidRPr="00046999" w:rsidRDefault="00A95413" w:rsidP="001D4BB3">
      <w:pPr>
        <w:jc w:val="both"/>
        <w:rPr>
          <w:rFonts w:cs="Calibri"/>
        </w:rPr>
      </w:pPr>
      <w:r w:rsidRPr="00046999">
        <w:rPr>
          <w:rFonts w:cs="Calibri"/>
        </w:rPr>
        <w:t>0= no description</w:t>
      </w:r>
    </w:p>
    <w:p w:rsidR="00A95413" w:rsidRPr="00046999" w:rsidRDefault="00A95413" w:rsidP="001D4BB3">
      <w:pPr>
        <w:jc w:val="both"/>
        <w:rPr>
          <w:rFonts w:cs="Calibri"/>
        </w:rPr>
      </w:pPr>
      <w:r w:rsidRPr="00046999">
        <w:rPr>
          <w:rFonts w:cs="Calibri"/>
        </w:rPr>
        <w:t xml:space="preserve">1= the </w:t>
      </w:r>
      <w:r w:rsidRPr="00046999">
        <w:rPr>
          <w:rFonts w:cs="Calibri"/>
          <w:color w:val="000000"/>
        </w:rPr>
        <w:t xml:space="preserve">main industries/markets </w:t>
      </w:r>
      <w:r w:rsidRPr="00046999">
        <w:rPr>
          <w:rFonts w:cs="Calibri"/>
        </w:rPr>
        <w:t>in which the firm operates are described.</w:t>
      </w:r>
    </w:p>
    <w:p w:rsidR="00A95413" w:rsidRPr="00046999" w:rsidRDefault="00A95413" w:rsidP="001D4BB3">
      <w:pPr>
        <w:jc w:val="both"/>
        <w:rPr>
          <w:rFonts w:cs="Calibri"/>
        </w:rPr>
      </w:pPr>
      <w:r w:rsidRPr="00046999">
        <w:rPr>
          <w:rFonts w:cs="Calibri"/>
        </w:rPr>
        <w:t>Why: item present in Botosan (1997) and Eng and Mak (2003)</w:t>
      </w:r>
    </w:p>
    <w:p w:rsidR="00A95413" w:rsidRPr="00046999" w:rsidRDefault="00A95413" w:rsidP="001D4BB3">
      <w:pPr>
        <w:pStyle w:val="Lijstalinea"/>
        <w:numPr>
          <w:ilvl w:val="1"/>
          <w:numId w:val="8"/>
        </w:numPr>
        <w:jc w:val="both"/>
        <w:rPr>
          <w:rFonts w:cs="Calibri"/>
          <w:color w:val="000000"/>
          <w:u w:val="single"/>
        </w:rPr>
      </w:pPr>
      <w:r w:rsidRPr="00046999">
        <w:rPr>
          <w:rFonts w:cs="Calibri"/>
          <w:color w:val="000000"/>
          <w:u w:val="single"/>
        </w:rPr>
        <w:t>General statement of corporate strategy.</w:t>
      </w:r>
    </w:p>
    <w:p w:rsidR="00A95413" w:rsidRPr="00046999" w:rsidRDefault="00A95413" w:rsidP="001D4BB3">
      <w:pPr>
        <w:jc w:val="both"/>
        <w:rPr>
          <w:rFonts w:cs="Calibri"/>
        </w:rPr>
      </w:pPr>
      <w:r w:rsidRPr="00046999">
        <w:rPr>
          <w:rFonts w:cs="Calibri"/>
        </w:rPr>
        <w:t>A (general) statement of the firms’ strategy is provided.</w:t>
      </w:r>
    </w:p>
    <w:p w:rsidR="00A95413" w:rsidRPr="00046999" w:rsidRDefault="00A95413" w:rsidP="001D4BB3">
      <w:pPr>
        <w:jc w:val="both"/>
        <w:rPr>
          <w:rFonts w:cs="Calibri"/>
        </w:rPr>
      </w:pPr>
      <w:r w:rsidRPr="00046999">
        <w:rPr>
          <w:rFonts w:cs="Calibri"/>
        </w:rPr>
        <w:t>0 = no statement</w:t>
      </w:r>
    </w:p>
    <w:p w:rsidR="00A95413" w:rsidRPr="00046999" w:rsidRDefault="00A95413" w:rsidP="001D4BB3">
      <w:pPr>
        <w:jc w:val="both"/>
        <w:rPr>
          <w:rFonts w:cs="Calibri"/>
        </w:rPr>
      </w:pPr>
      <w:r w:rsidRPr="00046999">
        <w:rPr>
          <w:rFonts w:cs="Calibri"/>
        </w:rPr>
        <w:t>1= a (general) statement of the firms’ strategy is provided.</w:t>
      </w:r>
    </w:p>
    <w:p w:rsidR="00A95413" w:rsidRPr="00046999" w:rsidRDefault="00A95413" w:rsidP="001D4BB3">
      <w:pPr>
        <w:jc w:val="both"/>
        <w:rPr>
          <w:rFonts w:cs="Calibri"/>
        </w:rPr>
      </w:pPr>
      <w:r w:rsidRPr="00046999">
        <w:rPr>
          <w:rFonts w:cs="Calibri"/>
        </w:rPr>
        <w:t>Why: item partial in transparency benchmark 2009, Chau and Gray (2002), Eng and Mak (2003), Huafang and Jianguo (2007), Meek et al. (1995)</w:t>
      </w:r>
    </w:p>
    <w:p w:rsidR="00A95413" w:rsidRPr="00046999" w:rsidRDefault="00A95413" w:rsidP="001D4BB3">
      <w:pPr>
        <w:jc w:val="both"/>
        <w:rPr>
          <w:rFonts w:cs="Calibri"/>
          <w:color w:val="000000"/>
          <w:u w:val="single"/>
        </w:rPr>
      </w:pPr>
      <w:r w:rsidRPr="00046999">
        <w:rPr>
          <w:rFonts w:cs="Calibri"/>
          <w:color w:val="000000"/>
        </w:rPr>
        <w:t xml:space="preserve">1.6  </w:t>
      </w:r>
      <w:r w:rsidRPr="00046999">
        <w:rPr>
          <w:rFonts w:cs="Calibri"/>
          <w:color w:val="000000"/>
          <w:u w:val="single"/>
        </w:rPr>
        <w:t>Statement of goals and/or objectives.</w:t>
      </w:r>
    </w:p>
    <w:p w:rsidR="00A95413" w:rsidRPr="00046999" w:rsidRDefault="00A95413" w:rsidP="001D4BB3">
      <w:pPr>
        <w:jc w:val="both"/>
        <w:rPr>
          <w:rFonts w:cs="Calibri"/>
          <w:color w:val="000000"/>
        </w:rPr>
      </w:pPr>
      <w:r w:rsidRPr="00046999">
        <w:rPr>
          <w:rFonts w:cs="Calibri"/>
          <w:color w:val="000000"/>
        </w:rPr>
        <w:t>A statement of the firms goals and or objectives is provided.</w:t>
      </w:r>
    </w:p>
    <w:p w:rsidR="00A95413" w:rsidRPr="00046999" w:rsidRDefault="00A95413" w:rsidP="001D4BB3">
      <w:pPr>
        <w:jc w:val="both"/>
        <w:rPr>
          <w:rFonts w:cs="Calibri"/>
          <w:color w:val="000000"/>
        </w:rPr>
      </w:pPr>
      <w:r w:rsidRPr="00046999">
        <w:rPr>
          <w:rFonts w:cs="Calibri"/>
          <w:color w:val="000000"/>
        </w:rPr>
        <w:t>0 = no statement</w:t>
      </w:r>
    </w:p>
    <w:p w:rsidR="00A95413" w:rsidRPr="00046999" w:rsidRDefault="00A95413" w:rsidP="001D4BB3">
      <w:pPr>
        <w:jc w:val="both"/>
        <w:rPr>
          <w:rFonts w:cs="Calibri"/>
          <w:color w:val="000000"/>
        </w:rPr>
      </w:pPr>
      <w:r w:rsidRPr="00046999">
        <w:rPr>
          <w:rFonts w:cs="Calibri"/>
          <w:color w:val="000000"/>
        </w:rPr>
        <w:t>1 = a statement of the firms goals and or objectives is provided.</w:t>
      </w:r>
    </w:p>
    <w:p w:rsidR="00A95413" w:rsidRPr="00046999" w:rsidRDefault="00A95413" w:rsidP="001D4BB3">
      <w:pPr>
        <w:jc w:val="both"/>
        <w:rPr>
          <w:rFonts w:cs="Calibri"/>
          <w:color w:val="000000"/>
        </w:rPr>
      </w:pPr>
      <w:r w:rsidRPr="00046999">
        <w:rPr>
          <w:rFonts w:cs="Calibri"/>
          <w:color w:val="000000"/>
        </w:rPr>
        <w:t xml:space="preserve">Why: item in Huafang and Jianguo (2007), Botosan (1997), </w:t>
      </w:r>
      <w:r w:rsidRPr="00046999">
        <w:rPr>
          <w:rFonts w:cs="Calibri"/>
        </w:rPr>
        <w:t>Chau and Gray (2002)</w:t>
      </w:r>
      <w:r w:rsidRPr="00046999">
        <w:rPr>
          <w:rFonts w:cs="Calibri"/>
          <w:color w:val="000000"/>
        </w:rPr>
        <w:t xml:space="preserve"> and </w:t>
      </w:r>
      <w:r w:rsidRPr="00046999">
        <w:rPr>
          <w:rFonts w:cs="Calibri"/>
        </w:rPr>
        <w:t>Meek et al. (1995)</w:t>
      </w:r>
    </w:p>
    <w:p w:rsidR="00A95413" w:rsidRPr="00046999" w:rsidRDefault="00A95413" w:rsidP="001D4BB3">
      <w:pPr>
        <w:pStyle w:val="Lijstalinea"/>
        <w:numPr>
          <w:ilvl w:val="1"/>
          <w:numId w:val="9"/>
        </w:numPr>
        <w:jc w:val="both"/>
        <w:rPr>
          <w:rFonts w:cs="Calibri"/>
          <w:color w:val="000000"/>
          <w:u w:val="single"/>
        </w:rPr>
      </w:pPr>
      <w:r w:rsidRPr="00046999">
        <w:rPr>
          <w:rFonts w:cs="Calibri"/>
          <w:color w:val="000000"/>
          <w:u w:val="single"/>
        </w:rPr>
        <w:t>Description on Research &amp; Development projects</w:t>
      </w:r>
    </w:p>
    <w:p w:rsidR="00A95413" w:rsidRPr="00046999" w:rsidRDefault="00A95413" w:rsidP="001D4BB3">
      <w:pPr>
        <w:jc w:val="both"/>
        <w:rPr>
          <w:rFonts w:cs="Calibri"/>
        </w:rPr>
      </w:pPr>
      <w:r w:rsidRPr="00046999">
        <w:rPr>
          <w:rFonts w:cs="Calibri"/>
        </w:rPr>
        <w:t>0 = no description</w:t>
      </w:r>
    </w:p>
    <w:p w:rsidR="00A95413" w:rsidRPr="00046999" w:rsidRDefault="00A95413" w:rsidP="001D4BB3">
      <w:pPr>
        <w:jc w:val="both"/>
        <w:rPr>
          <w:rFonts w:cs="Calibri"/>
        </w:rPr>
      </w:pPr>
      <w:r w:rsidRPr="00046999">
        <w:rPr>
          <w:rFonts w:cs="Calibri"/>
        </w:rPr>
        <w:t>1 = description on R&amp;D projects; not the amount spend on R&amp;D but the (type of) projects the company engaged in.</w:t>
      </w:r>
    </w:p>
    <w:p w:rsidR="00A95413" w:rsidRPr="00046999" w:rsidRDefault="00A95413" w:rsidP="001D4BB3">
      <w:pPr>
        <w:jc w:val="both"/>
        <w:rPr>
          <w:rFonts w:cs="Calibri"/>
        </w:rPr>
      </w:pPr>
      <w:r w:rsidRPr="00046999">
        <w:rPr>
          <w:rFonts w:cs="Calibri"/>
        </w:rPr>
        <w:t xml:space="preserve">Why: item in  Meek et al. (1995), Chau and Gray (2002) </w:t>
      </w:r>
    </w:p>
    <w:p w:rsidR="00A95413" w:rsidRPr="00046999" w:rsidRDefault="00A95413" w:rsidP="001D4BB3">
      <w:pPr>
        <w:pStyle w:val="Lijstalinea"/>
        <w:numPr>
          <w:ilvl w:val="1"/>
          <w:numId w:val="9"/>
        </w:numPr>
        <w:jc w:val="both"/>
        <w:rPr>
          <w:rFonts w:cs="Calibri"/>
          <w:color w:val="000000"/>
          <w:u w:val="single"/>
        </w:rPr>
      </w:pPr>
      <w:r w:rsidRPr="00046999">
        <w:rPr>
          <w:rFonts w:cs="Calibri"/>
          <w:color w:val="000000"/>
          <w:u w:val="single"/>
        </w:rPr>
        <w:t>Market/competition analyses.</w:t>
      </w:r>
    </w:p>
    <w:p w:rsidR="00A95413" w:rsidRPr="00046999" w:rsidRDefault="00A95413" w:rsidP="001D4BB3">
      <w:pPr>
        <w:jc w:val="both"/>
        <w:rPr>
          <w:rFonts w:cs="Calibri"/>
        </w:rPr>
      </w:pPr>
      <w:r w:rsidRPr="00046999">
        <w:rPr>
          <w:rFonts w:cs="Calibri"/>
        </w:rPr>
        <w:t xml:space="preserve">An analysis is made of the competitive environment and the current market share of the firm is provided. </w:t>
      </w:r>
    </w:p>
    <w:p w:rsidR="00A95413" w:rsidRPr="00046999" w:rsidRDefault="00A95413" w:rsidP="001D4BB3">
      <w:pPr>
        <w:jc w:val="both"/>
        <w:rPr>
          <w:rFonts w:cs="Calibri"/>
        </w:rPr>
      </w:pPr>
      <w:r w:rsidRPr="00046999">
        <w:rPr>
          <w:rFonts w:cs="Calibri"/>
        </w:rPr>
        <w:t>0 = no analysis</w:t>
      </w:r>
    </w:p>
    <w:p w:rsidR="00A95413" w:rsidRPr="00046999" w:rsidRDefault="00A95413" w:rsidP="001D4BB3">
      <w:pPr>
        <w:jc w:val="both"/>
        <w:rPr>
          <w:rFonts w:cs="Calibri"/>
        </w:rPr>
      </w:pPr>
      <w:r w:rsidRPr="00046999">
        <w:rPr>
          <w:rFonts w:cs="Calibri"/>
        </w:rPr>
        <w:t>1 = an analysis of the competitive environment is included, should include either information on the firm’s market share or their main competitor(s).</w:t>
      </w:r>
    </w:p>
    <w:p w:rsidR="00A95413" w:rsidRPr="00046999" w:rsidRDefault="00A95413" w:rsidP="001D4BB3">
      <w:pPr>
        <w:jc w:val="both"/>
        <w:rPr>
          <w:rFonts w:cs="Calibri"/>
        </w:rPr>
      </w:pPr>
      <w:r w:rsidRPr="00046999">
        <w:rPr>
          <w:rFonts w:cs="Calibri"/>
        </w:rPr>
        <w:t>Why: item in Huafang and Jiaguo (2007), Botosan (1997), Meek et al. (1995), Chau and Gray (2002) and Eng and Mak (2003).</w:t>
      </w:r>
    </w:p>
    <w:p w:rsidR="00A95413" w:rsidRPr="00046999" w:rsidRDefault="00A95413" w:rsidP="001D4BB3">
      <w:pPr>
        <w:pStyle w:val="Lijstalinea"/>
        <w:numPr>
          <w:ilvl w:val="1"/>
          <w:numId w:val="9"/>
        </w:numPr>
        <w:jc w:val="both"/>
        <w:rPr>
          <w:rFonts w:cs="Calibri"/>
          <w:color w:val="000000"/>
          <w:u w:val="single"/>
        </w:rPr>
      </w:pPr>
      <w:r w:rsidRPr="00046999">
        <w:rPr>
          <w:rFonts w:cs="Calibri"/>
          <w:color w:val="000000"/>
          <w:u w:val="single"/>
        </w:rPr>
        <w:lastRenderedPageBreak/>
        <w:t>Future strategy and expected developments/activities.</w:t>
      </w:r>
    </w:p>
    <w:p w:rsidR="00A95413" w:rsidRPr="00046999" w:rsidRDefault="00A95413" w:rsidP="001D4BB3">
      <w:pPr>
        <w:jc w:val="both"/>
        <w:rPr>
          <w:rFonts w:cs="Calibri"/>
        </w:rPr>
      </w:pPr>
      <w:r w:rsidRPr="00046999">
        <w:rPr>
          <w:rFonts w:cs="Calibri"/>
        </w:rPr>
        <w:t xml:space="preserve">Information concerning the strategy in the future or future developments and activities of the firm is provided. </w:t>
      </w:r>
    </w:p>
    <w:p w:rsidR="00A95413" w:rsidRPr="00046999" w:rsidRDefault="00A95413" w:rsidP="001D4BB3">
      <w:pPr>
        <w:jc w:val="both"/>
        <w:rPr>
          <w:rFonts w:cs="Calibri"/>
        </w:rPr>
      </w:pPr>
      <w:r w:rsidRPr="00046999">
        <w:rPr>
          <w:rFonts w:cs="Calibri"/>
        </w:rPr>
        <w:t>0 = no information is provided</w:t>
      </w:r>
    </w:p>
    <w:p w:rsidR="00A95413" w:rsidRPr="00046999" w:rsidRDefault="00A95413" w:rsidP="001D4BB3">
      <w:pPr>
        <w:jc w:val="both"/>
        <w:rPr>
          <w:rFonts w:cs="Calibri"/>
        </w:rPr>
      </w:pPr>
      <w:r w:rsidRPr="00046999">
        <w:rPr>
          <w:rFonts w:cs="Calibri"/>
        </w:rPr>
        <w:t xml:space="preserve">1 = Information concerning future strategy or future expectations about development and activities is shown. </w:t>
      </w:r>
    </w:p>
    <w:p w:rsidR="00A95413" w:rsidRPr="00046999" w:rsidRDefault="00A95413" w:rsidP="001D4BB3">
      <w:pPr>
        <w:jc w:val="both"/>
        <w:rPr>
          <w:rFonts w:cs="Calibri"/>
        </w:rPr>
      </w:pPr>
      <w:r w:rsidRPr="00046999">
        <w:rPr>
          <w:rFonts w:cs="Calibri"/>
        </w:rPr>
        <w:t>Why: item partial in Transparency benchmark (2009) and in Eng and Mak (2003)</w:t>
      </w:r>
    </w:p>
    <w:p w:rsidR="00A95413" w:rsidRPr="00046999" w:rsidRDefault="00A95413" w:rsidP="001D4BB3">
      <w:pPr>
        <w:jc w:val="both"/>
        <w:rPr>
          <w:rFonts w:cs="Calibri"/>
          <w:color w:val="000000"/>
          <w:u w:val="single"/>
        </w:rPr>
      </w:pPr>
      <w:r w:rsidRPr="00046999">
        <w:rPr>
          <w:rFonts w:cs="Calibri"/>
          <w:color w:val="000000"/>
          <w:u w:val="single"/>
        </w:rPr>
        <w:t>1.10 Internal guidelines for desirable behavior of employees (core values, codes of ethics, company culture).</w:t>
      </w:r>
    </w:p>
    <w:p w:rsidR="00A95413" w:rsidRPr="00046999" w:rsidRDefault="00A95413" w:rsidP="001D4BB3">
      <w:pPr>
        <w:jc w:val="both"/>
        <w:rPr>
          <w:rFonts w:cs="Calibri"/>
        </w:rPr>
      </w:pPr>
      <w:r w:rsidRPr="00046999">
        <w:rPr>
          <w:rFonts w:cs="Calibri"/>
        </w:rPr>
        <w:t>Information is provided regarding firm guidelines for desirable behavior of employees such as core values, codes of conduct and more.</w:t>
      </w:r>
    </w:p>
    <w:p w:rsidR="00A95413" w:rsidRPr="00046999" w:rsidRDefault="00A95413" w:rsidP="001D4BB3">
      <w:pPr>
        <w:jc w:val="both"/>
        <w:rPr>
          <w:rFonts w:cs="Calibri"/>
        </w:rPr>
      </w:pPr>
      <w:r w:rsidRPr="00046999">
        <w:rPr>
          <w:rFonts w:cs="Calibri"/>
        </w:rPr>
        <w:t>0 = no information</w:t>
      </w:r>
    </w:p>
    <w:p w:rsidR="00A95413" w:rsidRPr="00046999" w:rsidRDefault="00A95413" w:rsidP="001D4BB3">
      <w:pPr>
        <w:jc w:val="both"/>
        <w:rPr>
          <w:rFonts w:cs="Calibri"/>
        </w:rPr>
      </w:pPr>
      <w:r w:rsidRPr="00046999">
        <w:rPr>
          <w:rFonts w:cs="Calibri"/>
        </w:rPr>
        <w:t>1 = information is provided regarding firm guidelines for desirable behavior of employees such as core values, codes of ethics, company principles and more).</w:t>
      </w:r>
    </w:p>
    <w:p w:rsidR="00A95413" w:rsidRPr="00046999" w:rsidRDefault="00A95413" w:rsidP="001D4BB3">
      <w:pPr>
        <w:jc w:val="both"/>
        <w:rPr>
          <w:rFonts w:cs="Calibri"/>
        </w:rPr>
      </w:pPr>
      <w:r w:rsidRPr="00046999">
        <w:rPr>
          <w:rFonts w:cs="Calibri"/>
        </w:rPr>
        <w:t>Why: in transparency benchmark 2009</w:t>
      </w:r>
    </w:p>
    <w:p w:rsidR="00A95413" w:rsidRPr="00046999" w:rsidRDefault="00A95413" w:rsidP="001D4BB3">
      <w:pPr>
        <w:jc w:val="both"/>
        <w:rPr>
          <w:rFonts w:cs="Calibri"/>
          <w:b/>
          <w:color w:val="000000"/>
          <w:u w:val="single"/>
        </w:rPr>
      </w:pPr>
      <w:r w:rsidRPr="00046999">
        <w:rPr>
          <w:rFonts w:cs="Calibri"/>
          <w:b/>
          <w:u w:val="single"/>
        </w:rPr>
        <w:t xml:space="preserve">Non-Financial information </w:t>
      </w:r>
    </w:p>
    <w:p w:rsidR="00A95413" w:rsidRPr="00046999" w:rsidRDefault="00A95413" w:rsidP="001D4BB3">
      <w:pPr>
        <w:jc w:val="both"/>
        <w:rPr>
          <w:rFonts w:cs="Calibri"/>
          <w:color w:val="000000"/>
          <w:u w:val="single"/>
        </w:rPr>
      </w:pPr>
      <w:r w:rsidRPr="00046999">
        <w:rPr>
          <w:rFonts w:cs="Calibri"/>
          <w:color w:val="000000"/>
          <w:u w:val="single"/>
        </w:rPr>
        <w:t>2.1 Number of employees.</w:t>
      </w:r>
    </w:p>
    <w:p w:rsidR="00A95413" w:rsidRPr="00046999" w:rsidRDefault="00A95413" w:rsidP="001D4BB3">
      <w:pPr>
        <w:jc w:val="both"/>
        <w:rPr>
          <w:rFonts w:cs="Calibri"/>
        </w:rPr>
      </w:pPr>
      <w:r w:rsidRPr="00046999">
        <w:rPr>
          <w:rFonts w:cs="Calibri"/>
        </w:rPr>
        <w:t>The number of employees is stated.</w:t>
      </w:r>
    </w:p>
    <w:p w:rsidR="00A95413" w:rsidRPr="00046999" w:rsidRDefault="00A95413" w:rsidP="001D4BB3">
      <w:pPr>
        <w:jc w:val="both"/>
        <w:rPr>
          <w:rFonts w:cs="Calibri"/>
        </w:rPr>
      </w:pPr>
      <w:r w:rsidRPr="00046999">
        <w:rPr>
          <w:rFonts w:cs="Calibri"/>
        </w:rPr>
        <w:t>0 = not stated</w:t>
      </w:r>
    </w:p>
    <w:p w:rsidR="00A95413" w:rsidRPr="00046999" w:rsidRDefault="00A95413" w:rsidP="001D4BB3">
      <w:pPr>
        <w:jc w:val="both"/>
        <w:rPr>
          <w:rFonts w:cs="Calibri"/>
        </w:rPr>
      </w:pPr>
      <w:r w:rsidRPr="00046999">
        <w:rPr>
          <w:rFonts w:cs="Calibri"/>
        </w:rPr>
        <w:t>1 = the number of employees is stated.</w:t>
      </w:r>
    </w:p>
    <w:p w:rsidR="00A95413" w:rsidRPr="00046999" w:rsidRDefault="00A95413" w:rsidP="001D4BB3">
      <w:pPr>
        <w:jc w:val="both"/>
        <w:rPr>
          <w:rFonts w:cs="Calibri"/>
        </w:rPr>
      </w:pPr>
      <w:r w:rsidRPr="00046999">
        <w:rPr>
          <w:rFonts w:cs="Calibri"/>
        </w:rPr>
        <w:t>Why: item partial in transparency benchmark 2009, Meek et al. (1995), Botosan (1997), Chau and Gray (2002) and Eng and Mak (2003)</w:t>
      </w:r>
    </w:p>
    <w:p w:rsidR="00A95413" w:rsidRPr="00046999" w:rsidRDefault="00A95413" w:rsidP="001D4BB3">
      <w:pPr>
        <w:jc w:val="both"/>
        <w:rPr>
          <w:rFonts w:cs="Calibri"/>
          <w:color w:val="000000"/>
          <w:u w:val="single"/>
        </w:rPr>
      </w:pPr>
      <w:r w:rsidRPr="00046999">
        <w:rPr>
          <w:rFonts w:cs="Calibri"/>
          <w:color w:val="000000"/>
          <w:u w:val="single"/>
        </w:rPr>
        <w:t>2.2 Information on employee training.</w:t>
      </w:r>
    </w:p>
    <w:p w:rsidR="00A95413" w:rsidRPr="00046999" w:rsidRDefault="00A95413" w:rsidP="001D4BB3">
      <w:pPr>
        <w:jc w:val="both"/>
        <w:rPr>
          <w:rFonts w:cs="Calibri"/>
        </w:rPr>
      </w:pPr>
      <w:r w:rsidRPr="00046999">
        <w:rPr>
          <w:rFonts w:cs="Calibri"/>
        </w:rPr>
        <w:t xml:space="preserve">Information regarding engagement in employee training and education is provided (not just money spend but also the aim of providing training or hours employees engaged in training during the year). </w:t>
      </w:r>
    </w:p>
    <w:p w:rsidR="00A95413" w:rsidRPr="00046999" w:rsidRDefault="00A95413" w:rsidP="001D4BB3">
      <w:pPr>
        <w:jc w:val="both"/>
        <w:rPr>
          <w:rFonts w:cs="Calibri"/>
        </w:rPr>
      </w:pPr>
      <w:r w:rsidRPr="00046999">
        <w:rPr>
          <w:rFonts w:cs="Calibri"/>
        </w:rPr>
        <w:t>0= no information</w:t>
      </w:r>
    </w:p>
    <w:p w:rsidR="00A95413" w:rsidRPr="00046999" w:rsidRDefault="00A95413" w:rsidP="001D4BB3">
      <w:pPr>
        <w:jc w:val="both"/>
        <w:rPr>
          <w:rFonts w:cs="Calibri"/>
        </w:rPr>
      </w:pPr>
      <w:r w:rsidRPr="00046999">
        <w:rPr>
          <w:rFonts w:cs="Calibri"/>
        </w:rPr>
        <w:t>1= information concerning employee training/education is included.</w:t>
      </w:r>
    </w:p>
    <w:p w:rsidR="00A95413" w:rsidRPr="00046999" w:rsidRDefault="00A95413" w:rsidP="001D4BB3">
      <w:pPr>
        <w:jc w:val="both"/>
        <w:rPr>
          <w:rFonts w:cs="Calibri"/>
        </w:rPr>
      </w:pPr>
      <w:r w:rsidRPr="00046999">
        <w:rPr>
          <w:rFonts w:cs="Calibri"/>
        </w:rPr>
        <w:t>Why: item in Meek et al. (1995), Chau and Grey (2002), Huafang and Jianguo (2007)</w:t>
      </w:r>
    </w:p>
    <w:p w:rsidR="00A95413" w:rsidRPr="00046999" w:rsidRDefault="00A95413" w:rsidP="001D4BB3">
      <w:pPr>
        <w:jc w:val="both"/>
        <w:rPr>
          <w:rFonts w:cs="Calibri"/>
          <w:color w:val="000000"/>
          <w:u w:val="single"/>
        </w:rPr>
      </w:pPr>
      <w:r w:rsidRPr="00046999">
        <w:rPr>
          <w:rFonts w:cs="Calibri"/>
          <w:color w:val="000000"/>
          <w:u w:val="single"/>
        </w:rPr>
        <w:t>2.3 Information on employee gender.</w:t>
      </w:r>
    </w:p>
    <w:p w:rsidR="00A95413" w:rsidRPr="00046999" w:rsidRDefault="00A95413" w:rsidP="001D4BB3">
      <w:pPr>
        <w:jc w:val="both"/>
        <w:rPr>
          <w:rFonts w:cs="Calibri"/>
        </w:rPr>
      </w:pPr>
      <w:r w:rsidRPr="00046999">
        <w:rPr>
          <w:rFonts w:cs="Calibri"/>
        </w:rPr>
        <w:t>0 = no information</w:t>
      </w:r>
    </w:p>
    <w:p w:rsidR="00A95413" w:rsidRPr="00046999" w:rsidRDefault="00A95413" w:rsidP="001D4BB3">
      <w:pPr>
        <w:jc w:val="both"/>
        <w:rPr>
          <w:rFonts w:cs="Calibri"/>
        </w:rPr>
      </w:pPr>
      <w:r w:rsidRPr="00046999">
        <w:rPr>
          <w:rFonts w:cs="Calibri"/>
        </w:rPr>
        <w:t xml:space="preserve">1 = Information is provided about the gender of the employees </w:t>
      </w:r>
      <w:r w:rsidRPr="00046999">
        <w:rPr>
          <w:rFonts w:cs="Calibri"/>
          <w:color w:val="000000"/>
        </w:rPr>
        <w:t>(usually percentage of females)</w:t>
      </w:r>
      <w:r w:rsidRPr="00046999">
        <w:rPr>
          <w:rFonts w:cs="Calibri"/>
        </w:rPr>
        <w:t xml:space="preserve">. </w:t>
      </w:r>
    </w:p>
    <w:p w:rsidR="00A95413" w:rsidRPr="00046999" w:rsidRDefault="00A95413" w:rsidP="001D4BB3">
      <w:pPr>
        <w:jc w:val="both"/>
        <w:rPr>
          <w:rFonts w:cs="Calibri"/>
        </w:rPr>
      </w:pPr>
      <w:r w:rsidRPr="00046999">
        <w:rPr>
          <w:rFonts w:cs="Calibri"/>
        </w:rPr>
        <w:t>Why: item in Meek et al. (1995), Chau and Grey (2002)</w:t>
      </w:r>
    </w:p>
    <w:p w:rsidR="00A95413" w:rsidRPr="00046999" w:rsidRDefault="00A95413" w:rsidP="001D4BB3">
      <w:pPr>
        <w:jc w:val="both"/>
        <w:rPr>
          <w:rFonts w:cs="Calibri"/>
          <w:color w:val="000000"/>
          <w:u w:val="single"/>
        </w:rPr>
      </w:pPr>
      <w:r w:rsidRPr="00046999">
        <w:rPr>
          <w:rFonts w:cs="Calibri"/>
          <w:color w:val="000000"/>
          <w:u w:val="single"/>
        </w:rPr>
        <w:lastRenderedPageBreak/>
        <w:t>2.4 Statement of the most important stakeholders/shareholders.</w:t>
      </w:r>
    </w:p>
    <w:p w:rsidR="00A95413" w:rsidRPr="00046999" w:rsidRDefault="00A95413" w:rsidP="001D4BB3">
      <w:pPr>
        <w:jc w:val="both"/>
        <w:rPr>
          <w:rFonts w:cs="Calibri"/>
        </w:rPr>
      </w:pPr>
      <w:r w:rsidRPr="00046999">
        <w:rPr>
          <w:rFonts w:cs="Calibri"/>
        </w:rPr>
        <w:t>The most important stakeholders/shareholders are stated.</w:t>
      </w:r>
    </w:p>
    <w:p w:rsidR="00A95413" w:rsidRPr="00046999" w:rsidRDefault="00A95413" w:rsidP="001D4BB3">
      <w:pPr>
        <w:jc w:val="both"/>
        <w:rPr>
          <w:rFonts w:cs="Calibri"/>
        </w:rPr>
      </w:pPr>
      <w:r w:rsidRPr="00046999">
        <w:rPr>
          <w:rFonts w:cs="Calibri"/>
        </w:rPr>
        <w:t>0= no explanation</w:t>
      </w:r>
    </w:p>
    <w:p w:rsidR="00A95413" w:rsidRPr="00046999" w:rsidRDefault="00A95413" w:rsidP="001D4BB3">
      <w:pPr>
        <w:jc w:val="both"/>
        <w:rPr>
          <w:rFonts w:cs="Calibri"/>
        </w:rPr>
      </w:pPr>
      <w:r w:rsidRPr="00046999">
        <w:rPr>
          <w:rFonts w:cs="Calibri"/>
        </w:rPr>
        <w:t>1= The most important stakeholders/shareholders are stated.</w:t>
      </w:r>
    </w:p>
    <w:p w:rsidR="00A95413" w:rsidRPr="00046999" w:rsidRDefault="00A95413" w:rsidP="001D4BB3">
      <w:pPr>
        <w:jc w:val="both"/>
        <w:rPr>
          <w:rFonts w:cs="Calibri"/>
        </w:rPr>
      </w:pPr>
      <w:r w:rsidRPr="00046999">
        <w:rPr>
          <w:rFonts w:cs="Calibri"/>
        </w:rPr>
        <w:t>Why: in transparency benchmark 2009, partial in Huafang and Jianguo (2007).</w:t>
      </w:r>
    </w:p>
    <w:p w:rsidR="00A95413" w:rsidRPr="00046999" w:rsidRDefault="00A95413" w:rsidP="001D4BB3">
      <w:pPr>
        <w:jc w:val="both"/>
        <w:rPr>
          <w:rFonts w:cs="Calibri"/>
          <w:color w:val="000000"/>
          <w:u w:val="single"/>
        </w:rPr>
      </w:pPr>
      <w:r w:rsidRPr="00046999">
        <w:rPr>
          <w:rFonts w:cs="Calibri"/>
          <w:color w:val="000000"/>
          <w:u w:val="single"/>
        </w:rPr>
        <w:t>2.5 Age of the members of the Board of Directors</w:t>
      </w:r>
    </w:p>
    <w:p w:rsidR="00A95413" w:rsidRPr="00046999" w:rsidRDefault="00A95413" w:rsidP="001D4BB3">
      <w:pPr>
        <w:jc w:val="both"/>
        <w:rPr>
          <w:rFonts w:cs="Calibri"/>
        </w:rPr>
      </w:pPr>
      <w:r w:rsidRPr="00046999">
        <w:rPr>
          <w:rFonts w:cs="Calibri"/>
        </w:rPr>
        <w:t>The age of the members of the Board of Directors or Supervisory Board is provided.</w:t>
      </w:r>
    </w:p>
    <w:p w:rsidR="00A95413" w:rsidRPr="00046999" w:rsidRDefault="00A95413" w:rsidP="001D4BB3">
      <w:pPr>
        <w:jc w:val="both"/>
        <w:rPr>
          <w:rFonts w:cs="Calibri"/>
        </w:rPr>
      </w:pPr>
      <w:r w:rsidRPr="00046999">
        <w:rPr>
          <w:rFonts w:cs="Calibri"/>
        </w:rPr>
        <w:t>0 = no information</w:t>
      </w:r>
    </w:p>
    <w:p w:rsidR="00A95413" w:rsidRPr="00046999" w:rsidRDefault="00A95413" w:rsidP="001D4BB3">
      <w:pPr>
        <w:jc w:val="both"/>
        <w:rPr>
          <w:rFonts w:cs="Calibri"/>
        </w:rPr>
      </w:pPr>
      <w:r w:rsidRPr="00046999">
        <w:rPr>
          <w:rFonts w:cs="Calibri"/>
        </w:rPr>
        <w:t>1 = The age of the members of the Board of Directors or Supervisory board is provided.</w:t>
      </w:r>
    </w:p>
    <w:p w:rsidR="00A95413" w:rsidRPr="00046999" w:rsidRDefault="00A95413" w:rsidP="001D4BB3">
      <w:pPr>
        <w:jc w:val="both"/>
        <w:rPr>
          <w:rFonts w:cs="Calibri"/>
        </w:rPr>
      </w:pPr>
      <w:r w:rsidRPr="00046999">
        <w:rPr>
          <w:rFonts w:cs="Calibri"/>
        </w:rPr>
        <w:t>Why: Meek et al. (1995), Chau and Grey (2002)</w:t>
      </w:r>
    </w:p>
    <w:p w:rsidR="00A95413" w:rsidRPr="00046999" w:rsidRDefault="00A95413" w:rsidP="001D4BB3">
      <w:pPr>
        <w:jc w:val="both"/>
        <w:rPr>
          <w:rFonts w:cs="Calibri"/>
          <w:color w:val="000000"/>
          <w:u w:val="single"/>
        </w:rPr>
      </w:pPr>
      <w:r w:rsidRPr="00046999">
        <w:rPr>
          <w:rFonts w:cs="Calibri"/>
          <w:color w:val="000000"/>
          <w:u w:val="single"/>
        </w:rPr>
        <w:t>2.6 Information about the educational/work background of the Board of Directors</w:t>
      </w:r>
    </w:p>
    <w:p w:rsidR="00A95413" w:rsidRPr="00046999" w:rsidRDefault="00A95413" w:rsidP="001D4BB3">
      <w:pPr>
        <w:jc w:val="both"/>
        <w:rPr>
          <w:rFonts w:cs="Calibri"/>
        </w:rPr>
      </w:pPr>
      <w:r w:rsidRPr="00046999">
        <w:rPr>
          <w:rFonts w:cs="Calibri"/>
        </w:rPr>
        <w:t>0 = no information</w:t>
      </w:r>
    </w:p>
    <w:p w:rsidR="00A95413" w:rsidRPr="00046999" w:rsidRDefault="00A95413" w:rsidP="001D4BB3">
      <w:pPr>
        <w:jc w:val="both"/>
        <w:rPr>
          <w:rFonts w:cs="Calibri"/>
        </w:rPr>
      </w:pPr>
      <w:r w:rsidRPr="00046999">
        <w:rPr>
          <w:rFonts w:cs="Calibri"/>
        </w:rPr>
        <w:t xml:space="preserve">1 = information concerning the educational/work background of the Board of Directors or Supervisory Board is provided. </w:t>
      </w:r>
    </w:p>
    <w:p w:rsidR="00A95413" w:rsidRPr="00046999" w:rsidRDefault="00A95413" w:rsidP="001D4BB3">
      <w:pPr>
        <w:jc w:val="both"/>
        <w:rPr>
          <w:rFonts w:cs="Calibri"/>
        </w:rPr>
      </w:pPr>
      <w:r w:rsidRPr="00046999">
        <w:rPr>
          <w:rFonts w:cs="Calibri"/>
        </w:rPr>
        <w:t>Why: item in transparency benchmark 2009, Meek et al. (1995), Chau and Grey (2002)</w:t>
      </w:r>
    </w:p>
    <w:p w:rsidR="00A95413" w:rsidRPr="00046999" w:rsidRDefault="00A95413" w:rsidP="001D4BB3">
      <w:pPr>
        <w:jc w:val="both"/>
        <w:rPr>
          <w:rFonts w:cs="Calibri"/>
          <w:color w:val="000000"/>
          <w:u w:val="single"/>
        </w:rPr>
      </w:pPr>
      <w:r w:rsidRPr="00046999">
        <w:rPr>
          <w:rFonts w:cs="Calibri"/>
          <w:color w:val="000000"/>
          <w:u w:val="single"/>
        </w:rPr>
        <w:t>2.7  Environment policy (regarding environment protection and sustainability).</w:t>
      </w:r>
    </w:p>
    <w:p w:rsidR="00A95413" w:rsidRPr="00046999" w:rsidRDefault="00A95413" w:rsidP="001D4BB3">
      <w:pPr>
        <w:jc w:val="both"/>
        <w:rPr>
          <w:rFonts w:cs="Calibri"/>
        </w:rPr>
      </w:pPr>
      <w:r w:rsidRPr="00046999">
        <w:rPr>
          <w:rFonts w:cs="Calibri"/>
        </w:rPr>
        <w:t>Information is provided concerning the environmental policy of the firm.</w:t>
      </w:r>
    </w:p>
    <w:p w:rsidR="00A95413" w:rsidRPr="00046999" w:rsidRDefault="00A95413" w:rsidP="001D4BB3">
      <w:pPr>
        <w:jc w:val="both"/>
        <w:rPr>
          <w:rFonts w:cs="Calibri"/>
        </w:rPr>
      </w:pPr>
      <w:r w:rsidRPr="00046999">
        <w:rPr>
          <w:rFonts w:cs="Calibri"/>
        </w:rPr>
        <w:t>0= no information</w:t>
      </w:r>
    </w:p>
    <w:p w:rsidR="00A95413" w:rsidRPr="00046999" w:rsidRDefault="00A95413" w:rsidP="001D4BB3">
      <w:pPr>
        <w:jc w:val="both"/>
        <w:rPr>
          <w:rFonts w:cs="Calibri"/>
        </w:rPr>
      </w:pPr>
      <w:r w:rsidRPr="00046999">
        <w:rPr>
          <w:rFonts w:cs="Calibri"/>
        </w:rPr>
        <w:t xml:space="preserve">1= information concerning the environmental policy of the firm is provided. The items amongst others can concern environment protection and sustainability. </w:t>
      </w:r>
    </w:p>
    <w:p w:rsidR="00A95413" w:rsidRPr="00046999" w:rsidRDefault="00A95413" w:rsidP="001D4BB3">
      <w:pPr>
        <w:jc w:val="both"/>
        <w:rPr>
          <w:rFonts w:cs="Calibri"/>
        </w:rPr>
      </w:pPr>
      <w:r w:rsidRPr="00046999">
        <w:rPr>
          <w:rFonts w:cs="Calibri"/>
        </w:rPr>
        <w:t>Why: in transparency benchmark 2009, Meek et al. (1995), Chau and Gray (2002)  and Huafang and Jianguo (2007)</w:t>
      </w:r>
    </w:p>
    <w:p w:rsidR="00A95413" w:rsidRPr="00046999" w:rsidRDefault="00A95413" w:rsidP="001D4BB3">
      <w:pPr>
        <w:jc w:val="both"/>
        <w:rPr>
          <w:rFonts w:cs="Calibri"/>
          <w:color w:val="000000"/>
          <w:u w:val="single"/>
        </w:rPr>
      </w:pPr>
      <w:r w:rsidRPr="00046999">
        <w:rPr>
          <w:rFonts w:cs="Calibri"/>
          <w:color w:val="000000"/>
          <w:u w:val="single"/>
        </w:rPr>
        <w:t>2.8 Goals/objectives regarding environment aspects of business.</w:t>
      </w:r>
    </w:p>
    <w:p w:rsidR="00A95413" w:rsidRPr="00046999" w:rsidRDefault="00A95413" w:rsidP="001D4BB3">
      <w:pPr>
        <w:jc w:val="both"/>
        <w:rPr>
          <w:rFonts w:cs="Calibri"/>
        </w:rPr>
      </w:pPr>
      <w:r w:rsidRPr="00046999">
        <w:rPr>
          <w:rFonts w:cs="Calibri"/>
        </w:rPr>
        <w:t>Information is provided about the goals of the environment policy</w:t>
      </w:r>
    </w:p>
    <w:p w:rsidR="00A95413" w:rsidRPr="00046999" w:rsidRDefault="00A95413" w:rsidP="001D4BB3">
      <w:pPr>
        <w:jc w:val="both"/>
        <w:rPr>
          <w:rFonts w:cs="Calibri"/>
        </w:rPr>
      </w:pPr>
      <w:r w:rsidRPr="00046999">
        <w:rPr>
          <w:rFonts w:cs="Calibri"/>
        </w:rPr>
        <w:t>0= no information</w:t>
      </w:r>
    </w:p>
    <w:p w:rsidR="00A95413" w:rsidRPr="00046999" w:rsidRDefault="00A95413" w:rsidP="001D4BB3">
      <w:pPr>
        <w:jc w:val="both"/>
        <w:rPr>
          <w:rFonts w:cs="Calibri"/>
        </w:rPr>
      </w:pPr>
      <w:r w:rsidRPr="00046999">
        <w:rPr>
          <w:rFonts w:cs="Calibri"/>
        </w:rPr>
        <w:t>1= Information is provided about one or more of the goals, objectives or targets of the environmental policy.</w:t>
      </w:r>
    </w:p>
    <w:p w:rsidR="00A95413" w:rsidRPr="00046999" w:rsidRDefault="00A95413" w:rsidP="001D4BB3">
      <w:pPr>
        <w:jc w:val="both"/>
        <w:rPr>
          <w:rFonts w:cs="Calibri"/>
        </w:rPr>
      </w:pPr>
      <w:r w:rsidRPr="00046999">
        <w:rPr>
          <w:rFonts w:cs="Calibri"/>
        </w:rPr>
        <w:t>Why: in transparency benchmark 2009</w:t>
      </w:r>
    </w:p>
    <w:p w:rsidR="00A95413" w:rsidRPr="00046999" w:rsidRDefault="00A95413" w:rsidP="001D4BB3">
      <w:pPr>
        <w:jc w:val="both"/>
        <w:rPr>
          <w:rFonts w:cs="Calibri"/>
          <w:color w:val="000000"/>
          <w:u w:val="single"/>
        </w:rPr>
      </w:pPr>
      <w:r w:rsidRPr="00046999">
        <w:rPr>
          <w:rFonts w:cs="Calibri"/>
          <w:color w:val="000000"/>
          <w:u w:val="single"/>
        </w:rPr>
        <w:t>2.9 Social policy (related to social aspects of business).</w:t>
      </w:r>
    </w:p>
    <w:p w:rsidR="00A95413" w:rsidRPr="00046999" w:rsidRDefault="00A95413" w:rsidP="001D4BB3">
      <w:pPr>
        <w:jc w:val="both"/>
        <w:rPr>
          <w:rFonts w:cs="Calibri"/>
        </w:rPr>
      </w:pPr>
      <w:r w:rsidRPr="00046999">
        <w:rPr>
          <w:rFonts w:cs="Calibri"/>
        </w:rPr>
        <w:t xml:space="preserve">Information is provided concerning the social policy of the firm. </w:t>
      </w:r>
    </w:p>
    <w:p w:rsidR="00A95413" w:rsidRPr="00046999" w:rsidRDefault="00A95413" w:rsidP="001D4BB3">
      <w:pPr>
        <w:jc w:val="both"/>
        <w:rPr>
          <w:rFonts w:cs="Calibri"/>
        </w:rPr>
      </w:pPr>
      <w:r w:rsidRPr="00046999">
        <w:rPr>
          <w:rFonts w:cs="Calibri"/>
        </w:rPr>
        <w:lastRenderedPageBreak/>
        <w:t>0= no information</w:t>
      </w:r>
    </w:p>
    <w:p w:rsidR="00A95413" w:rsidRPr="00046999" w:rsidRDefault="00A95413" w:rsidP="001D4BB3">
      <w:pPr>
        <w:jc w:val="both"/>
        <w:rPr>
          <w:rFonts w:cs="Calibri"/>
        </w:rPr>
      </w:pPr>
      <w:r w:rsidRPr="00046999">
        <w:rPr>
          <w:rFonts w:cs="Calibri"/>
        </w:rPr>
        <w:t>1= information concerning the social policy of the firm is provided. (e.g. community involvement, safety and health, diversity, human rights)</w:t>
      </w:r>
    </w:p>
    <w:p w:rsidR="00A95413" w:rsidRPr="00046999" w:rsidRDefault="00A95413" w:rsidP="001D4BB3">
      <w:pPr>
        <w:jc w:val="both"/>
        <w:rPr>
          <w:rFonts w:cs="Calibri"/>
        </w:rPr>
      </w:pPr>
      <w:r w:rsidRPr="00046999">
        <w:rPr>
          <w:rFonts w:cs="Calibri"/>
        </w:rPr>
        <w:t>Why: in transparency benchmark 2009, Huafang and Jianguo (2007)</w:t>
      </w:r>
    </w:p>
    <w:p w:rsidR="00A95413" w:rsidRPr="00046999" w:rsidRDefault="00A95413" w:rsidP="001D4BB3">
      <w:pPr>
        <w:jc w:val="both"/>
        <w:rPr>
          <w:rFonts w:cs="Calibri"/>
          <w:color w:val="000000"/>
          <w:u w:val="single"/>
        </w:rPr>
      </w:pPr>
      <w:r w:rsidRPr="00046999">
        <w:rPr>
          <w:rFonts w:cs="Calibri"/>
          <w:color w:val="000000"/>
          <w:u w:val="single"/>
        </w:rPr>
        <w:t>2.10 Goals and objectives related to social aspects of business.</w:t>
      </w:r>
    </w:p>
    <w:p w:rsidR="00A95413" w:rsidRPr="00046999" w:rsidRDefault="00A95413" w:rsidP="001D4BB3">
      <w:pPr>
        <w:jc w:val="both"/>
        <w:rPr>
          <w:rFonts w:cs="Calibri"/>
        </w:rPr>
      </w:pPr>
      <w:r w:rsidRPr="00046999">
        <w:rPr>
          <w:rFonts w:cs="Calibri"/>
        </w:rPr>
        <w:t>Information is provided about the goals of the social policy</w:t>
      </w:r>
    </w:p>
    <w:p w:rsidR="00A95413" w:rsidRPr="00046999" w:rsidRDefault="00A95413" w:rsidP="001D4BB3">
      <w:pPr>
        <w:jc w:val="both"/>
        <w:rPr>
          <w:rFonts w:cs="Calibri"/>
        </w:rPr>
      </w:pPr>
      <w:r w:rsidRPr="00046999">
        <w:rPr>
          <w:rFonts w:cs="Calibri"/>
        </w:rPr>
        <w:t>0= no information</w:t>
      </w:r>
    </w:p>
    <w:p w:rsidR="00A95413" w:rsidRPr="00046999" w:rsidRDefault="00A95413" w:rsidP="001D4BB3">
      <w:pPr>
        <w:jc w:val="both"/>
        <w:rPr>
          <w:rFonts w:cs="Calibri"/>
        </w:rPr>
      </w:pPr>
      <w:r w:rsidRPr="00046999">
        <w:rPr>
          <w:rFonts w:cs="Calibri"/>
        </w:rPr>
        <w:t>1= Information is provided about one or more of the goals, objectives or targets of the social policy.</w:t>
      </w:r>
    </w:p>
    <w:p w:rsidR="00A95413" w:rsidRPr="00046999" w:rsidRDefault="00A95413" w:rsidP="001D4BB3">
      <w:pPr>
        <w:jc w:val="both"/>
        <w:rPr>
          <w:rFonts w:cs="Calibri"/>
        </w:rPr>
      </w:pPr>
      <w:r w:rsidRPr="00046999">
        <w:rPr>
          <w:rFonts w:cs="Calibri"/>
        </w:rPr>
        <w:t>Why: in transparency benchmark 2009, Meek et al. (1995) and Chau and Gray (2002).</w:t>
      </w:r>
    </w:p>
    <w:p w:rsidR="00A95413" w:rsidRPr="00046999" w:rsidRDefault="00A95413" w:rsidP="001D4BB3">
      <w:pPr>
        <w:jc w:val="both"/>
        <w:rPr>
          <w:rFonts w:cs="Calibri"/>
          <w:b/>
          <w:color w:val="000000"/>
          <w:u w:val="single"/>
        </w:rPr>
      </w:pPr>
      <w:r w:rsidRPr="00046999">
        <w:rPr>
          <w:rFonts w:cs="Calibri"/>
          <w:b/>
          <w:color w:val="000000"/>
          <w:u w:val="single"/>
        </w:rPr>
        <w:t>Financial Information</w:t>
      </w:r>
    </w:p>
    <w:p w:rsidR="00A95413" w:rsidRPr="00046999" w:rsidRDefault="00A95413" w:rsidP="001D4BB3">
      <w:pPr>
        <w:jc w:val="both"/>
        <w:rPr>
          <w:rFonts w:cs="Calibri"/>
          <w:color w:val="000000"/>
          <w:u w:val="single"/>
        </w:rPr>
      </w:pPr>
      <w:r w:rsidRPr="00046999">
        <w:rPr>
          <w:rFonts w:cs="Calibri"/>
          <w:color w:val="000000"/>
          <w:u w:val="single"/>
        </w:rPr>
        <w:t>3.1 Historical figures for last five years or more.</w:t>
      </w:r>
    </w:p>
    <w:p w:rsidR="00A95413" w:rsidRPr="00046999" w:rsidRDefault="00A95413" w:rsidP="001D4BB3">
      <w:pPr>
        <w:jc w:val="both"/>
        <w:rPr>
          <w:rFonts w:cs="Calibri"/>
        </w:rPr>
      </w:pPr>
      <w:r w:rsidRPr="00046999">
        <w:rPr>
          <w:rFonts w:cs="Calibri"/>
        </w:rPr>
        <w:t>An overview of the historical financial figures for the last five years or more is included.</w:t>
      </w:r>
    </w:p>
    <w:p w:rsidR="00A95413" w:rsidRPr="00046999" w:rsidRDefault="00A95413" w:rsidP="001D4BB3">
      <w:pPr>
        <w:jc w:val="both"/>
        <w:rPr>
          <w:rFonts w:cs="Calibri"/>
        </w:rPr>
      </w:pPr>
      <w:r w:rsidRPr="00046999">
        <w:rPr>
          <w:rFonts w:cs="Calibri"/>
        </w:rPr>
        <w:t>0 = no overview</w:t>
      </w:r>
    </w:p>
    <w:p w:rsidR="00A95413" w:rsidRPr="00046999" w:rsidRDefault="00A95413" w:rsidP="001D4BB3">
      <w:pPr>
        <w:jc w:val="both"/>
        <w:rPr>
          <w:rFonts w:cs="Calibri"/>
        </w:rPr>
      </w:pPr>
      <w:r w:rsidRPr="00046999">
        <w:rPr>
          <w:rFonts w:cs="Calibri"/>
        </w:rPr>
        <w:t>1= an overview of the historical figures for five years or more is shown. (e.g. Not just a five year overview of profit but a schematic overview of the five year results regarding sales, cost of sales, profit etc.)</w:t>
      </w:r>
    </w:p>
    <w:p w:rsidR="00A95413" w:rsidRPr="00046999" w:rsidRDefault="00A95413" w:rsidP="001D4BB3">
      <w:pPr>
        <w:jc w:val="both"/>
        <w:rPr>
          <w:rFonts w:cs="Calibri"/>
        </w:rPr>
      </w:pPr>
      <w:r w:rsidRPr="00046999">
        <w:rPr>
          <w:rFonts w:cs="Calibri"/>
        </w:rPr>
        <w:t>Why: item in Eng and Mak (2003), Meek et al. (1995) and Chau and Gray (2002)</w:t>
      </w:r>
    </w:p>
    <w:p w:rsidR="00A95413" w:rsidRPr="00046999" w:rsidRDefault="00A95413" w:rsidP="001D4BB3">
      <w:pPr>
        <w:jc w:val="both"/>
        <w:rPr>
          <w:rFonts w:cs="Calibri"/>
          <w:color w:val="000000"/>
          <w:u w:val="single"/>
        </w:rPr>
      </w:pPr>
      <w:r w:rsidRPr="00046999">
        <w:rPr>
          <w:rFonts w:cs="Calibri"/>
          <w:color w:val="000000"/>
          <w:u w:val="single"/>
        </w:rPr>
        <w:t>3.2 Financial-economic policy (related to the financial aspects of business).</w:t>
      </w:r>
    </w:p>
    <w:p w:rsidR="00A95413" w:rsidRPr="00046999" w:rsidRDefault="00A95413" w:rsidP="001D4BB3">
      <w:pPr>
        <w:jc w:val="both"/>
        <w:rPr>
          <w:rFonts w:cs="Calibri"/>
        </w:rPr>
      </w:pPr>
      <w:r w:rsidRPr="00046999">
        <w:rPr>
          <w:rFonts w:cs="Calibri"/>
        </w:rPr>
        <w:t>The policy concerning the financial-economic aspects of the business is presented.</w:t>
      </w:r>
    </w:p>
    <w:p w:rsidR="00A95413" w:rsidRPr="00046999" w:rsidRDefault="00A95413" w:rsidP="001D4BB3">
      <w:pPr>
        <w:jc w:val="both"/>
        <w:rPr>
          <w:rFonts w:cs="Calibri"/>
        </w:rPr>
      </w:pPr>
      <w:r w:rsidRPr="00046999">
        <w:rPr>
          <w:rFonts w:cs="Calibri"/>
        </w:rPr>
        <w:t>0 = no financial policy</w:t>
      </w:r>
    </w:p>
    <w:p w:rsidR="00A95413" w:rsidRPr="00046999" w:rsidRDefault="00A95413" w:rsidP="001D4BB3">
      <w:pPr>
        <w:jc w:val="both"/>
        <w:rPr>
          <w:rFonts w:cs="Calibri"/>
        </w:rPr>
      </w:pPr>
      <w:r w:rsidRPr="00046999">
        <w:rPr>
          <w:rFonts w:cs="Calibri"/>
        </w:rPr>
        <w:t>1= A financial-economic policy is included in the report.</w:t>
      </w:r>
    </w:p>
    <w:p w:rsidR="00A95413" w:rsidRPr="00046999" w:rsidRDefault="00A95413" w:rsidP="001D4BB3">
      <w:pPr>
        <w:jc w:val="both"/>
        <w:rPr>
          <w:rFonts w:cs="Calibri"/>
        </w:rPr>
      </w:pPr>
      <w:r w:rsidRPr="00046999">
        <w:rPr>
          <w:rFonts w:cs="Calibri"/>
        </w:rPr>
        <w:t>Why: in Transparency benchmark 2009</w:t>
      </w:r>
    </w:p>
    <w:p w:rsidR="00A95413" w:rsidRPr="00046999" w:rsidRDefault="00A95413" w:rsidP="001D4BB3">
      <w:pPr>
        <w:jc w:val="both"/>
        <w:rPr>
          <w:rFonts w:cs="Calibri"/>
          <w:color w:val="000000"/>
          <w:u w:val="single"/>
        </w:rPr>
      </w:pPr>
      <w:r w:rsidRPr="00046999">
        <w:rPr>
          <w:rFonts w:cs="Calibri"/>
          <w:color w:val="000000"/>
          <w:u w:val="single"/>
        </w:rPr>
        <w:t>3.3 Goals and objectives regarding financial aspects of business.</w:t>
      </w:r>
    </w:p>
    <w:p w:rsidR="00A95413" w:rsidRPr="00046999" w:rsidRDefault="00A95413" w:rsidP="001D4BB3">
      <w:pPr>
        <w:jc w:val="both"/>
        <w:rPr>
          <w:rFonts w:cs="Calibri"/>
        </w:rPr>
      </w:pPr>
      <w:r w:rsidRPr="00046999">
        <w:rPr>
          <w:rFonts w:cs="Calibri"/>
        </w:rPr>
        <w:t>The goals and objectives concerning the financial aspects of the firm are included.</w:t>
      </w:r>
    </w:p>
    <w:p w:rsidR="00A95413" w:rsidRPr="00046999" w:rsidRDefault="00A95413" w:rsidP="001D4BB3">
      <w:pPr>
        <w:jc w:val="both"/>
        <w:rPr>
          <w:rFonts w:cs="Calibri"/>
        </w:rPr>
      </w:pPr>
      <w:r w:rsidRPr="00046999">
        <w:rPr>
          <w:rFonts w:cs="Calibri"/>
        </w:rPr>
        <w:t xml:space="preserve">0 = no goals and/or objectives </w:t>
      </w:r>
    </w:p>
    <w:p w:rsidR="00A95413" w:rsidRPr="00046999" w:rsidRDefault="00A95413" w:rsidP="001D4BB3">
      <w:pPr>
        <w:jc w:val="both"/>
        <w:rPr>
          <w:rFonts w:cs="Calibri"/>
        </w:rPr>
      </w:pPr>
      <w:r w:rsidRPr="00046999">
        <w:rPr>
          <w:rFonts w:cs="Calibri"/>
        </w:rPr>
        <w:t>1= Information is provided about one or more of the goals, objectives or targets of the financial policy.</w:t>
      </w:r>
    </w:p>
    <w:p w:rsidR="00A95413" w:rsidRPr="00046999" w:rsidRDefault="00A95413" w:rsidP="001D4BB3">
      <w:pPr>
        <w:jc w:val="both"/>
        <w:rPr>
          <w:rFonts w:cs="Calibri"/>
        </w:rPr>
      </w:pPr>
      <w:r w:rsidRPr="00046999">
        <w:rPr>
          <w:rFonts w:cs="Calibri"/>
        </w:rPr>
        <w:t>Why: in Transparency benchmark 2009, Meet et al. (1995) and Chau and Gray (2002).</w:t>
      </w:r>
    </w:p>
    <w:p w:rsidR="00A95413" w:rsidRPr="00046999" w:rsidRDefault="00A95413" w:rsidP="001D4BB3">
      <w:pPr>
        <w:jc w:val="both"/>
        <w:rPr>
          <w:rFonts w:cs="Calibri"/>
          <w:color w:val="000000"/>
          <w:u w:val="single"/>
        </w:rPr>
      </w:pPr>
      <w:r w:rsidRPr="00046999">
        <w:rPr>
          <w:rFonts w:cs="Calibri"/>
          <w:color w:val="000000"/>
          <w:u w:val="single"/>
        </w:rPr>
        <w:t>3.4 Explanation of the improvements/deterioration of the financial results of 2009.</w:t>
      </w:r>
    </w:p>
    <w:p w:rsidR="00A95413" w:rsidRPr="00046999" w:rsidRDefault="00A95413" w:rsidP="001D4BB3">
      <w:pPr>
        <w:jc w:val="both"/>
        <w:rPr>
          <w:rFonts w:cs="Calibri"/>
        </w:rPr>
      </w:pPr>
      <w:r w:rsidRPr="00046999">
        <w:rPr>
          <w:rFonts w:cs="Calibri"/>
        </w:rPr>
        <w:lastRenderedPageBreak/>
        <w:t>The report explains improvements/deterioration relating the financial results compared to the prior reporting period</w:t>
      </w:r>
    </w:p>
    <w:p w:rsidR="00A95413" w:rsidRPr="00046999" w:rsidRDefault="00A95413" w:rsidP="001D4BB3">
      <w:pPr>
        <w:jc w:val="both"/>
        <w:rPr>
          <w:rFonts w:cs="Calibri"/>
        </w:rPr>
      </w:pPr>
      <w:r w:rsidRPr="00046999">
        <w:rPr>
          <w:rFonts w:cs="Calibri"/>
        </w:rPr>
        <w:t>0= no information</w:t>
      </w:r>
    </w:p>
    <w:p w:rsidR="00A95413" w:rsidRPr="00046999" w:rsidRDefault="00A95413" w:rsidP="001D4BB3">
      <w:pPr>
        <w:jc w:val="both"/>
        <w:rPr>
          <w:rFonts w:cs="Calibri"/>
        </w:rPr>
      </w:pPr>
      <w:r w:rsidRPr="00046999">
        <w:rPr>
          <w:rFonts w:cs="Calibri"/>
        </w:rPr>
        <w:t>1= The report shows improvements/deterioration relating the financial results compared to the prior reporting period. (not just number but also why a firm made a profit or a loss).</w:t>
      </w:r>
    </w:p>
    <w:p w:rsidR="00A95413" w:rsidRPr="00046999" w:rsidRDefault="00A95413" w:rsidP="001D4BB3">
      <w:pPr>
        <w:jc w:val="both"/>
        <w:rPr>
          <w:rFonts w:cs="Calibri"/>
        </w:rPr>
      </w:pPr>
      <w:r w:rsidRPr="00046999">
        <w:rPr>
          <w:rFonts w:cs="Calibri"/>
        </w:rPr>
        <w:t>Why: in Transparency benchmark 2009</w:t>
      </w:r>
    </w:p>
    <w:p w:rsidR="00A95413" w:rsidRPr="00046999" w:rsidRDefault="00A95413" w:rsidP="001D4BB3">
      <w:pPr>
        <w:jc w:val="both"/>
        <w:rPr>
          <w:rFonts w:cs="Calibri"/>
          <w:color w:val="000000"/>
          <w:u w:val="single"/>
        </w:rPr>
      </w:pPr>
      <w:r w:rsidRPr="00046999">
        <w:rPr>
          <w:rFonts w:cs="Calibri"/>
          <w:color w:val="000000"/>
          <w:u w:val="single"/>
        </w:rPr>
        <w:t>3.5 Results (sales or profit) specified per region or/products or/services.</w:t>
      </w:r>
    </w:p>
    <w:p w:rsidR="00A95413" w:rsidRPr="00046999" w:rsidRDefault="00A95413" w:rsidP="001D4BB3">
      <w:pPr>
        <w:jc w:val="both"/>
        <w:rPr>
          <w:rFonts w:cs="Calibri"/>
        </w:rPr>
      </w:pPr>
      <w:r w:rsidRPr="00046999">
        <w:rPr>
          <w:rFonts w:cs="Calibri"/>
        </w:rPr>
        <w:t>The results of the year are specified per region or/products or/services.</w:t>
      </w:r>
    </w:p>
    <w:p w:rsidR="00A95413" w:rsidRPr="00046999" w:rsidRDefault="00A95413" w:rsidP="001D4BB3">
      <w:pPr>
        <w:jc w:val="both"/>
        <w:rPr>
          <w:rFonts w:cs="Calibri"/>
        </w:rPr>
      </w:pPr>
      <w:r w:rsidRPr="00046999">
        <w:rPr>
          <w:rFonts w:cs="Calibri"/>
        </w:rPr>
        <w:t>0 = no specification</w:t>
      </w:r>
    </w:p>
    <w:p w:rsidR="00A95413" w:rsidRPr="00046999" w:rsidRDefault="00A95413" w:rsidP="001D4BB3">
      <w:pPr>
        <w:jc w:val="both"/>
        <w:rPr>
          <w:rFonts w:cs="Calibri"/>
        </w:rPr>
      </w:pPr>
      <w:r w:rsidRPr="00046999">
        <w:rPr>
          <w:rFonts w:cs="Calibri"/>
        </w:rPr>
        <w:t>1= the results are specified per region or/products or/services (can be on base of sales of profit.</w:t>
      </w:r>
    </w:p>
    <w:p w:rsidR="00A95413" w:rsidRPr="00046999" w:rsidRDefault="00A95413" w:rsidP="001D4BB3">
      <w:pPr>
        <w:jc w:val="both"/>
        <w:rPr>
          <w:rFonts w:cs="Calibri"/>
        </w:rPr>
      </w:pPr>
      <w:r w:rsidRPr="00046999">
        <w:rPr>
          <w:rFonts w:cs="Calibri"/>
        </w:rPr>
        <w:t>Why: in Transparency benchmark 2009</w:t>
      </w:r>
    </w:p>
    <w:p w:rsidR="00A95413" w:rsidRPr="00046999" w:rsidRDefault="00A95413" w:rsidP="001D4BB3">
      <w:pPr>
        <w:pStyle w:val="Lijstalinea"/>
        <w:numPr>
          <w:ilvl w:val="1"/>
          <w:numId w:val="10"/>
        </w:numPr>
        <w:jc w:val="both"/>
        <w:rPr>
          <w:rFonts w:cs="Calibri"/>
          <w:color w:val="000000"/>
          <w:u w:val="single"/>
        </w:rPr>
      </w:pPr>
      <w:r w:rsidRPr="00046999">
        <w:rPr>
          <w:rFonts w:cs="Calibri"/>
          <w:color w:val="000000"/>
          <w:u w:val="single"/>
        </w:rPr>
        <w:t>Sales and/or earnings forecast.</w:t>
      </w:r>
    </w:p>
    <w:p w:rsidR="00A95413" w:rsidRPr="00046999" w:rsidRDefault="00A95413" w:rsidP="001D4BB3">
      <w:pPr>
        <w:jc w:val="both"/>
        <w:rPr>
          <w:rFonts w:cs="Calibri"/>
        </w:rPr>
      </w:pPr>
      <w:r w:rsidRPr="00046999">
        <w:rPr>
          <w:rFonts w:cs="Calibri"/>
        </w:rPr>
        <w:t xml:space="preserve">A sales and/or earnings forecast is provided </w:t>
      </w:r>
    </w:p>
    <w:p w:rsidR="00A95413" w:rsidRPr="00046999" w:rsidRDefault="00A95413" w:rsidP="001D4BB3">
      <w:pPr>
        <w:jc w:val="both"/>
        <w:rPr>
          <w:rFonts w:cs="Calibri"/>
        </w:rPr>
      </w:pPr>
      <w:r w:rsidRPr="00046999">
        <w:rPr>
          <w:rFonts w:cs="Calibri"/>
        </w:rPr>
        <w:t>0 = no sales and earnings forecast</w:t>
      </w:r>
    </w:p>
    <w:p w:rsidR="00A95413" w:rsidRPr="00046999" w:rsidRDefault="00A95413" w:rsidP="001D4BB3">
      <w:pPr>
        <w:jc w:val="both"/>
        <w:rPr>
          <w:rFonts w:cs="Calibri"/>
        </w:rPr>
      </w:pPr>
      <w:r w:rsidRPr="00046999">
        <w:rPr>
          <w:rFonts w:cs="Calibri"/>
        </w:rPr>
        <w:t>1 = a sales and or/earnings forecast is provided (this does not have to be an exact number but a percentage will suffice).</w:t>
      </w:r>
    </w:p>
    <w:p w:rsidR="00A95413" w:rsidRPr="00046999" w:rsidRDefault="00A95413" w:rsidP="001D4BB3">
      <w:pPr>
        <w:jc w:val="both"/>
        <w:rPr>
          <w:rFonts w:cs="Calibri"/>
        </w:rPr>
      </w:pPr>
      <w:r w:rsidRPr="00046999">
        <w:rPr>
          <w:rFonts w:cs="Calibri"/>
        </w:rPr>
        <w:t>Why: Item in Eng and Mak (2003), Botosan (1997), Chau and Gray (2002) and Huafang and Jianguo (2007)</w:t>
      </w:r>
    </w:p>
    <w:p w:rsidR="00A95413" w:rsidRPr="00046999" w:rsidRDefault="00A95413" w:rsidP="001D4BB3">
      <w:pPr>
        <w:spacing w:after="0"/>
        <w:jc w:val="both"/>
        <w:rPr>
          <w:rFonts w:cs="Calibri"/>
          <w:color w:val="000000"/>
          <w:u w:val="single"/>
        </w:rPr>
      </w:pPr>
      <w:r w:rsidRPr="00046999">
        <w:rPr>
          <w:rFonts w:cs="Calibri"/>
          <w:color w:val="000000"/>
          <w:u w:val="single"/>
        </w:rPr>
        <w:t>3.7 Return on equity.</w:t>
      </w:r>
    </w:p>
    <w:p w:rsidR="00A95413" w:rsidRPr="00046999" w:rsidRDefault="00A95413" w:rsidP="001D4BB3">
      <w:pPr>
        <w:jc w:val="both"/>
        <w:rPr>
          <w:rFonts w:cs="Calibri"/>
        </w:rPr>
      </w:pPr>
      <w:r w:rsidRPr="00046999">
        <w:rPr>
          <w:rFonts w:cs="Calibri"/>
        </w:rPr>
        <w:t>The return on equity is shown in the report</w:t>
      </w:r>
    </w:p>
    <w:p w:rsidR="00A95413" w:rsidRPr="00046999" w:rsidRDefault="00A95413" w:rsidP="001D4BB3">
      <w:pPr>
        <w:jc w:val="both"/>
        <w:rPr>
          <w:rFonts w:cs="Calibri"/>
        </w:rPr>
      </w:pPr>
      <w:r w:rsidRPr="00046999">
        <w:rPr>
          <w:rFonts w:cs="Calibri"/>
        </w:rPr>
        <w:t>0 = no information</w:t>
      </w:r>
    </w:p>
    <w:p w:rsidR="00A95413" w:rsidRPr="00046999" w:rsidRDefault="00A95413" w:rsidP="001D4BB3">
      <w:pPr>
        <w:jc w:val="both"/>
        <w:rPr>
          <w:rFonts w:cs="Calibri"/>
        </w:rPr>
      </w:pPr>
      <w:r w:rsidRPr="00046999">
        <w:rPr>
          <w:rFonts w:cs="Calibri"/>
        </w:rPr>
        <w:t>1 = the return on equity (ROE) is shown</w:t>
      </w:r>
    </w:p>
    <w:p w:rsidR="00A95413" w:rsidRPr="00046999" w:rsidRDefault="00A95413" w:rsidP="001D4BB3">
      <w:pPr>
        <w:jc w:val="both"/>
        <w:rPr>
          <w:rFonts w:cs="Calibri"/>
        </w:rPr>
      </w:pPr>
      <w:r w:rsidRPr="00046999">
        <w:rPr>
          <w:rFonts w:cs="Calibri"/>
        </w:rPr>
        <w:t xml:space="preserve">Why: item in Botosan (1997), Eng and Mak (2003) </w:t>
      </w:r>
    </w:p>
    <w:p w:rsidR="00A95413" w:rsidRPr="00046999" w:rsidRDefault="00A95413" w:rsidP="001D4BB3">
      <w:pPr>
        <w:spacing w:after="0"/>
        <w:jc w:val="both"/>
        <w:rPr>
          <w:rFonts w:cs="Calibri"/>
          <w:color w:val="000000"/>
          <w:u w:val="single"/>
        </w:rPr>
      </w:pPr>
      <w:r w:rsidRPr="00046999">
        <w:rPr>
          <w:rFonts w:cs="Calibri"/>
          <w:color w:val="000000"/>
          <w:u w:val="single"/>
        </w:rPr>
        <w:t>3.8 Return on assets.</w:t>
      </w:r>
    </w:p>
    <w:p w:rsidR="00A95413" w:rsidRPr="00046999" w:rsidRDefault="00A95413" w:rsidP="001D4BB3">
      <w:pPr>
        <w:jc w:val="both"/>
        <w:rPr>
          <w:rFonts w:cs="Calibri"/>
        </w:rPr>
      </w:pPr>
      <w:r w:rsidRPr="00046999">
        <w:rPr>
          <w:rFonts w:cs="Calibri"/>
        </w:rPr>
        <w:t>The return on assets is shown in the report</w:t>
      </w:r>
    </w:p>
    <w:p w:rsidR="00A95413" w:rsidRPr="00046999" w:rsidRDefault="00A95413" w:rsidP="001D4BB3">
      <w:pPr>
        <w:jc w:val="both"/>
        <w:rPr>
          <w:rFonts w:cs="Calibri"/>
        </w:rPr>
      </w:pPr>
      <w:r w:rsidRPr="00046999">
        <w:rPr>
          <w:rFonts w:cs="Calibri"/>
        </w:rPr>
        <w:t>0= no information</w:t>
      </w:r>
    </w:p>
    <w:p w:rsidR="00A95413" w:rsidRPr="00046999" w:rsidRDefault="00A95413" w:rsidP="001D4BB3">
      <w:pPr>
        <w:jc w:val="both"/>
        <w:rPr>
          <w:rFonts w:cs="Calibri"/>
        </w:rPr>
      </w:pPr>
      <w:r w:rsidRPr="00046999">
        <w:rPr>
          <w:rFonts w:cs="Calibri"/>
        </w:rPr>
        <w:t>1= the return on assets (ROA) is shown</w:t>
      </w:r>
    </w:p>
    <w:p w:rsidR="00A95413" w:rsidRPr="00046999" w:rsidRDefault="00A95413" w:rsidP="001D4BB3">
      <w:pPr>
        <w:jc w:val="both"/>
        <w:rPr>
          <w:rFonts w:cs="Calibri"/>
        </w:rPr>
      </w:pPr>
      <w:r w:rsidRPr="00046999">
        <w:rPr>
          <w:rFonts w:cs="Calibri"/>
        </w:rPr>
        <w:t>Why: item in Eng and Mak (2003) and Botosan (1997)</w:t>
      </w:r>
    </w:p>
    <w:p w:rsidR="00A95413" w:rsidRPr="00046999" w:rsidRDefault="00A95413" w:rsidP="001D4BB3">
      <w:pPr>
        <w:spacing w:after="0"/>
        <w:jc w:val="both"/>
        <w:rPr>
          <w:rFonts w:cs="Calibri"/>
          <w:color w:val="000000"/>
          <w:u w:val="single"/>
        </w:rPr>
      </w:pPr>
      <w:r w:rsidRPr="00046999">
        <w:rPr>
          <w:rFonts w:cs="Calibri"/>
          <w:color w:val="000000"/>
          <w:u w:val="single"/>
        </w:rPr>
        <w:t>3.9 Gearing ratio.</w:t>
      </w:r>
    </w:p>
    <w:p w:rsidR="00A95413" w:rsidRPr="00046999" w:rsidRDefault="00A95413" w:rsidP="001D4BB3">
      <w:pPr>
        <w:jc w:val="both"/>
        <w:rPr>
          <w:rFonts w:cs="Calibri"/>
        </w:rPr>
      </w:pPr>
      <w:r w:rsidRPr="00046999">
        <w:rPr>
          <w:rFonts w:cs="Calibri"/>
        </w:rPr>
        <w:lastRenderedPageBreak/>
        <w:t>The gearing ratio is shown in the report</w:t>
      </w:r>
    </w:p>
    <w:p w:rsidR="00A95413" w:rsidRPr="00046999" w:rsidRDefault="00A95413" w:rsidP="001D4BB3">
      <w:pPr>
        <w:jc w:val="both"/>
        <w:rPr>
          <w:rFonts w:cs="Calibri"/>
        </w:rPr>
      </w:pPr>
      <w:r w:rsidRPr="00046999">
        <w:rPr>
          <w:rFonts w:cs="Calibri"/>
        </w:rPr>
        <w:t>0= no information</w:t>
      </w:r>
    </w:p>
    <w:p w:rsidR="00A95413" w:rsidRPr="00046999" w:rsidRDefault="00A95413" w:rsidP="001D4BB3">
      <w:pPr>
        <w:jc w:val="both"/>
        <w:rPr>
          <w:rFonts w:cs="Calibri"/>
        </w:rPr>
      </w:pPr>
      <w:r w:rsidRPr="00046999">
        <w:rPr>
          <w:rFonts w:cs="Calibri"/>
        </w:rPr>
        <w:t>1= the gearing ratio is shown in the report; this can also be: debt ratio, equity ratio, debt-to-equity ratio, times interest earned or interest coverage ratio.</w:t>
      </w:r>
    </w:p>
    <w:p w:rsidR="00A95413" w:rsidRPr="00046999" w:rsidRDefault="00A95413" w:rsidP="001D4BB3">
      <w:pPr>
        <w:jc w:val="both"/>
        <w:rPr>
          <w:rFonts w:cs="Calibri"/>
        </w:rPr>
      </w:pPr>
      <w:r w:rsidRPr="00046999">
        <w:rPr>
          <w:rFonts w:cs="Calibri"/>
        </w:rPr>
        <w:t>Why: item in Eng and Mak (2003), Huafang and Jianguo (2007), Chau and Gray (2002) and Meek et al. (1995)</w:t>
      </w:r>
    </w:p>
    <w:p w:rsidR="00A95413" w:rsidRPr="00046999" w:rsidRDefault="00A95413" w:rsidP="001D4BB3">
      <w:pPr>
        <w:spacing w:after="0"/>
        <w:jc w:val="both"/>
        <w:rPr>
          <w:rFonts w:cs="Calibri"/>
          <w:color w:val="000000"/>
        </w:rPr>
      </w:pPr>
      <w:r w:rsidRPr="00046999">
        <w:rPr>
          <w:rFonts w:cs="Calibri"/>
          <w:color w:val="000000"/>
          <w:u w:val="single"/>
        </w:rPr>
        <w:t>3.10 Liquidity ratio.</w:t>
      </w:r>
    </w:p>
    <w:p w:rsidR="00A95413" w:rsidRPr="00046999" w:rsidRDefault="00A95413" w:rsidP="001D4BB3">
      <w:pPr>
        <w:jc w:val="both"/>
        <w:rPr>
          <w:rFonts w:cs="Calibri"/>
        </w:rPr>
      </w:pPr>
      <w:r w:rsidRPr="00046999">
        <w:rPr>
          <w:rFonts w:cs="Calibri"/>
        </w:rPr>
        <w:t>The liquidity ratio is shown in the report</w:t>
      </w:r>
    </w:p>
    <w:p w:rsidR="00A95413" w:rsidRPr="00046999" w:rsidRDefault="00A95413" w:rsidP="001D4BB3">
      <w:pPr>
        <w:jc w:val="both"/>
        <w:rPr>
          <w:rFonts w:cs="Calibri"/>
        </w:rPr>
      </w:pPr>
      <w:r w:rsidRPr="00046999">
        <w:rPr>
          <w:rFonts w:cs="Calibri"/>
        </w:rPr>
        <w:t>0= no information</w:t>
      </w:r>
    </w:p>
    <w:p w:rsidR="00A95413" w:rsidRPr="00046999" w:rsidRDefault="00A95413" w:rsidP="001D4BB3">
      <w:pPr>
        <w:jc w:val="both"/>
        <w:rPr>
          <w:rFonts w:cs="Calibri"/>
        </w:rPr>
      </w:pPr>
      <w:r w:rsidRPr="00046999">
        <w:rPr>
          <w:rFonts w:cs="Calibri"/>
        </w:rPr>
        <w:t>1= the liquidity ratio is shown in the report; this can also be: current ratio, quick ratio or cash ratio.</w:t>
      </w:r>
    </w:p>
    <w:p w:rsidR="00A95413" w:rsidRPr="00046999" w:rsidRDefault="00A95413" w:rsidP="001D4BB3">
      <w:pPr>
        <w:jc w:val="both"/>
        <w:rPr>
          <w:rFonts w:cs="Calibri"/>
        </w:rPr>
      </w:pPr>
      <w:r w:rsidRPr="00046999">
        <w:rPr>
          <w:rFonts w:cs="Calibri"/>
        </w:rPr>
        <w:t>Why: item in Meek et al. (1995), Huafang and Jianguo (2007), Chau and Gray (2002) and Eng and Mak (2003)</w:t>
      </w:r>
    </w:p>
    <w:p w:rsidR="00A95413" w:rsidRPr="00046999" w:rsidRDefault="00A95413" w:rsidP="001D4BB3">
      <w:pPr>
        <w:jc w:val="both"/>
        <w:rPr>
          <w:rFonts w:cs="Calibri"/>
          <w:sz w:val="22"/>
          <w:szCs w:val="22"/>
          <w:lang w:eastAsia="nl-NL"/>
        </w:rPr>
      </w:pPr>
      <w:r w:rsidRPr="00046999">
        <w:rPr>
          <w:rFonts w:cs="Calibri"/>
          <w:sz w:val="22"/>
          <w:szCs w:val="22"/>
          <w:lang w:eastAsia="nl-NL"/>
        </w:rPr>
        <w:br w:type="page"/>
      </w:r>
    </w:p>
    <w:p w:rsidR="00A95413" w:rsidRPr="00046999" w:rsidRDefault="00A95413" w:rsidP="001D4BB3">
      <w:pPr>
        <w:pStyle w:val="Kop1"/>
        <w:jc w:val="both"/>
        <w:rPr>
          <w:rFonts w:cs="Calibri"/>
          <w:lang w:eastAsia="nl-NL"/>
        </w:rPr>
      </w:pPr>
      <w:bookmarkStart w:id="154" w:name="_Toc320365363"/>
      <w:r w:rsidRPr="00046999">
        <w:rPr>
          <w:rFonts w:cs="Calibri"/>
          <w:lang w:eastAsia="nl-NL"/>
        </w:rPr>
        <w:lastRenderedPageBreak/>
        <w:t>Appendix III: Literature review</w:t>
      </w:r>
      <w:bookmarkEnd w:id="15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2472"/>
        <w:gridCol w:w="1356"/>
        <w:gridCol w:w="1134"/>
        <w:gridCol w:w="3084"/>
      </w:tblGrid>
      <w:tr w:rsidR="00A95413" w:rsidRPr="00F63097" w:rsidTr="00B91A2E">
        <w:tc>
          <w:tcPr>
            <w:tcW w:w="1242" w:type="dxa"/>
          </w:tcPr>
          <w:p w:rsidR="00A95413" w:rsidRPr="00F63097" w:rsidRDefault="00A95413" w:rsidP="001D4BB3">
            <w:pPr>
              <w:rPr>
                <w:rFonts w:cs="Calibri"/>
              </w:rPr>
            </w:pPr>
            <w:r w:rsidRPr="00F63097">
              <w:rPr>
                <w:rFonts w:cs="Calibri"/>
                <w:b/>
              </w:rPr>
              <w:t>Authors</w:t>
            </w:r>
          </w:p>
        </w:tc>
        <w:tc>
          <w:tcPr>
            <w:tcW w:w="2472" w:type="dxa"/>
          </w:tcPr>
          <w:p w:rsidR="00A95413" w:rsidRPr="00F63097" w:rsidRDefault="00A95413" w:rsidP="001D4BB3">
            <w:pPr>
              <w:spacing w:after="0"/>
              <w:rPr>
                <w:rFonts w:cs="Calibri"/>
                <w:b/>
              </w:rPr>
            </w:pPr>
            <w:r w:rsidRPr="00F63097">
              <w:rPr>
                <w:rFonts w:cs="Calibri"/>
                <w:b/>
                <w:bCs/>
                <w:color w:val="000000"/>
                <w:lang w:eastAsia="nl-NL"/>
              </w:rPr>
              <w:t>Object of study</w:t>
            </w:r>
          </w:p>
        </w:tc>
        <w:tc>
          <w:tcPr>
            <w:tcW w:w="1356" w:type="dxa"/>
          </w:tcPr>
          <w:p w:rsidR="00A95413" w:rsidRPr="00F63097" w:rsidRDefault="00A95413" w:rsidP="001D4BB3">
            <w:pPr>
              <w:rPr>
                <w:rFonts w:cs="Calibri"/>
              </w:rPr>
            </w:pPr>
            <w:r w:rsidRPr="00F63097">
              <w:rPr>
                <w:rFonts w:cs="Calibri"/>
                <w:b/>
              </w:rPr>
              <w:t>Sample</w:t>
            </w:r>
          </w:p>
        </w:tc>
        <w:tc>
          <w:tcPr>
            <w:tcW w:w="1134" w:type="dxa"/>
          </w:tcPr>
          <w:p w:rsidR="00A95413" w:rsidRPr="00F63097" w:rsidRDefault="00A95413" w:rsidP="001D4BB3">
            <w:pPr>
              <w:rPr>
                <w:rFonts w:cs="Calibri"/>
              </w:rPr>
            </w:pPr>
            <w:r w:rsidRPr="00F63097">
              <w:rPr>
                <w:rFonts w:cs="Calibri"/>
                <w:b/>
              </w:rPr>
              <w:t>Methodology</w:t>
            </w:r>
          </w:p>
        </w:tc>
        <w:tc>
          <w:tcPr>
            <w:tcW w:w="3084" w:type="dxa"/>
          </w:tcPr>
          <w:p w:rsidR="00A95413" w:rsidRPr="00F63097" w:rsidRDefault="00A95413" w:rsidP="001D4BB3">
            <w:pPr>
              <w:rPr>
                <w:rFonts w:cs="Calibri"/>
              </w:rPr>
            </w:pPr>
            <w:r w:rsidRPr="00F63097">
              <w:rPr>
                <w:rFonts w:cs="Calibri"/>
                <w:b/>
              </w:rPr>
              <w:t>Outcome</w:t>
            </w:r>
          </w:p>
        </w:tc>
      </w:tr>
      <w:tr w:rsidR="00A95413" w:rsidRPr="00F63097" w:rsidTr="00B91A2E">
        <w:tc>
          <w:tcPr>
            <w:tcW w:w="1242" w:type="dxa"/>
          </w:tcPr>
          <w:p w:rsidR="00A95413" w:rsidRPr="00F63097" w:rsidRDefault="00A95413" w:rsidP="001D4BB3">
            <w:pPr>
              <w:rPr>
                <w:rFonts w:cs="Calibri"/>
                <w:lang w:val="it-IT"/>
              </w:rPr>
            </w:pPr>
            <w:r w:rsidRPr="00F63097">
              <w:rPr>
                <w:rFonts w:cs="Calibri"/>
                <w:color w:val="000000"/>
                <w:lang w:val="it-IT" w:eastAsia="nl-NL"/>
              </w:rPr>
              <w:t>McKinnon, J.L., Dalimunthe, L, 1993.</w:t>
            </w:r>
          </w:p>
        </w:tc>
        <w:tc>
          <w:tcPr>
            <w:tcW w:w="2472" w:type="dxa"/>
          </w:tcPr>
          <w:p w:rsidR="00A95413" w:rsidRPr="00F63097" w:rsidRDefault="00A95413" w:rsidP="001D4BB3">
            <w:pPr>
              <w:spacing w:after="0"/>
              <w:rPr>
                <w:rFonts w:cs="Calibri"/>
              </w:rPr>
            </w:pPr>
            <w:r w:rsidRPr="00F63097">
              <w:rPr>
                <w:rFonts w:cs="Calibri"/>
                <w:color w:val="000000"/>
                <w:lang w:eastAsia="nl-NL"/>
              </w:rPr>
              <w:t>This paper examines the economic incentives that motivate listed diversified companies in Australia to voluntarily disclose segment information.</w:t>
            </w:r>
          </w:p>
        </w:tc>
        <w:tc>
          <w:tcPr>
            <w:tcW w:w="1356" w:type="dxa"/>
          </w:tcPr>
          <w:p w:rsidR="00A95413" w:rsidRPr="00F63097" w:rsidRDefault="00A95413" w:rsidP="001D4BB3">
            <w:pPr>
              <w:spacing w:after="0"/>
              <w:rPr>
                <w:rFonts w:cs="Calibri"/>
              </w:rPr>
            </w:pPr>
            <w:r w:rsidRPr="00F63097">
              <w:rPr>
                <w:rFonts w:cs="Calibri"/>
                <w:color w:val="000000"/>
                <w:lang w:eastAsia="nl-NL"/>
              </w:rPr>
              <w:t>The study is based on a sample of 65 listed Australian diversified companies.</w:t>
            </w:r>
          </w:p>
        </w:tc>
        <w:tc>
          <w:tcPr>
            <w:tcW w:w="1134" w:type="dxa"/>
          </w:tcPr>
          <w:p w:rsidR="00A95413" w:rsidRPr="00F63097" w:rsidRDefault="00A95413" w:rsidP="001D4BB3">
            <w:pPr>
              <w:rPr>
                <w:rFonts w:cs="Calibri"/>
              </w:rPr>
            </w:pPr>
            <w:r w:rsidRPr="00F63097">
              <w:rPr>
                <w:rFonts w:cs="Calibri"/>
              </w:rPr>
              <w:t>Univariate and multivariate tests.</w:t>
            </w:r>
          </w:p>
        </w:tc>
        <w:tc>
          <w:tcPr>
            <w:tcW w:w="3084" w:type="dxa"/>
          </w:tcPr>
          <w:p w:rsidR="00A95413" w:rsidRPr="00F63097" w:rsidRDefault="00A95413" w:rsidP="001D4BB3">
            <w:pPr>
              <w:spacing w:after="0"/>
              <w:rPr>
                <w:rFonts w:cs="Calibri"/>
              </w:rPr>
            </w:pPr>
            <w:r w:rsidRPr="00F63097">
              <w:rPr>
                <w:rFonts w:cs="Calibri"/>
                <w:color w:val="000000"/>
                <w:lang w:eastAsia="nl-NL"/>
              </w:rPr>
              <w:t>This study finds support for the factors ownership diffusion, the level of minority interest in subsidiaries, firm size and industry membership to influence voluntary disclosures. No support is found for leverage or diversification into related versus unrelated industries.</w:t>
            </w:r>
          </w:p>
        </w:tc>
      </w:tr>
      <w:tr w:rsidR="00A95413" w:rsidRPr="00F63097" w:rsidTr="00B91A2E">
        <w:tc>
          <w:tcPr>
            <w:tcW w:w="1242" w:type="dxa"/>
          </w:tcPr>
          <w:p w:rsidR="00A95413" w:rsidRPr="00F63097" w:rsidRDefault="00A95413" w:rsidP="001D4BB3">
            <w:pPr>
              <w:spacing w:after="0"/>
              <w:rPr>
                <w:rFonts w:cs="Calibri"/>
              </w:rPr>
            </w:pPr>
            <w:r w:rsidRPr="00F63097">
              <w:rPr>
                <w:rFonts w:cs="Calibri"/>
                <w:color w:val="000000"/>
                <w:lang w:eastAsia="nl-NL"/>
              </w:rPr>
              <w:t>Meek, G.K., Roberts, C.B., Gray, S.J. (1995).</w:t>
            </w:r>
          </w:p>
        </w:tc>
        <w:tc>
          <w:tcPr>
            <w:tcW w:w="2472" w:type="dxa"/>
          </w:tcPr>
          <w:p w:rsidR="00A95413" w:rsidRPr="00F63097" w:rsidRDefault="00A95413" w:rsidP="001D4BB3">
            <w:pPr>
              <w:spacing w:after="0"/>
              <w:rPr>
                <w:rFonts w:cs="Calibri"/>
              </w:rPr>
            </w:pPr>
            <w:r w:rsidRPr="00F63097">
              <w:rPr>
                <w:rFonts w:cs="Calibri"/>
                <w:color w:val="000000"/>
                <w:lang w:eastAsia="nl-NL"/>
              </w:rPr>
              <w:t>This study examines factors influencing the voluntary disclosures of three types of information (strategic, non-financial, financial) contained in the annual reports of MNCs from the U.S., U.K. and</w:t>
            </w:r>
            <w:r w:rsidRPr="00F63097">
              <w:rPr>
                <w:rFonts w:cs="Calibri"/>
                <w:lang w:eastAsia="nl-NL"/>
              </w:rPr>
              <w:br/>
            </w:r>
            <w:r w:rsidRPr="00F63097">
              <w:rPr>
                <w:rFonts w:cs="Calibri"/>
                <w:color w:val="000000"/>
                <w:lang w:eastAsia="nl-NL"/>
              </w:rPr>
              <w:t>Continental Europe.</w:t>
            </w:r>
          </w:p>
        </w:tc>
        <w:tc>
          <w:tcPr>
            <w:tcW w:w="1356" w:type="dxa"/>
          </w:tcPr>
          <w:p w:rsidR="00A95413" w:rsidRPr="00F63097" w:rsidRDefault="00A95413" w:rsidP="001D4BB3">
            <w:pPr>
              <w:spacing w:after="0"/>
              <w:rPr>
                <w:rFonts w:cs="Calibri"/>
              </w:rPr>
            </w:pPr>
            <w:r w:rsidRPr="00F63097">
              <w:rPr>
                <w:rFonts w:cs="Calibri"/>
                <w:color w:val="000000"/>
                <w:lang w:eastAsia="nl-NL"/>
              </w:rPr>
              <w:t>Companies were selected from The</w:t>
            </w:r>
            <w:r w:rsidRPr="00F63097">
              <w:rPr>
                <w:rFonts w:cs="Calibri"/>
                <w:lang w:eastAsia="nl-NL"/>
              </w:rPr>
              <w:br/>
            </w:r>
            <w:r w:rsidRPr="00F63097">
              <w:rPr>
                <w:rFonts w:cs="Calibri"/>
                <w:color w:val="000000"/>
                <w:lang w:eastAsia="nl-NL"/>
              </w:rPr>
              <w:t>Business Week 1000, Financial Times UK Top 500, and Financial Times European Top 500. (1989)</w:t>
            </w:r>
          </w:p>
        </w:tc>
        <w:tc>
          <w:tcPr>
            <w:tcW w:w="1134" w:type="dxa"/>
          </w:tcPr>
          <w:p w:rsidR="00A95413" w:rsidRPr="00F63097" w:rsidRDefault="00A95413" w:rsidP="001D4BB3">
            <w:pPr>
              <w:spacing w:after="0"/>
              <w:rPr>
                <w:rFonts w:cs="Calibri"/>
              </w:rPr>
            </w:pPr>
            <w:r w:rsidRPr="00F63097">
              <w:rPr>
                <w:rFonts w:cs="Calibri"/>
                <w:color w:val="000000"/>
                <w:lang w:eastAsia="nl-NL"/>
              </w:rPr>
              <w:t>Regression analysis</w:t>
            </w:r>
          </w:p>
        </w:tc>
        <w:tc>
          <w:tcPr>
            <w:tcW w:w="3084" w:type="dxa"/>
          </w:tcPr>
          <w:p w:rsidR="00A95413" w:rsidRPr="00F63097" w:rsidRDefault="00A95413" w:rsidP="001D4BB3">
            <w:pPr>
              <w:spacing w:after="0"/>
              <w:rPr>
                <w:rFonts w:cs="Calibri"/>
              </w:rPr>
            </w:pPr>
            <w:r w:rsidRPr="00F63097">
              <w:rPr>
                <w:rFonts w:cs="Calibri"/>
                <w:color w:val="000000"/>
                <w:lang w:eastAsia="nl-NL"/>
              </w:rPr>
              <w:t>They study found that while company size, country/region, listing status, and, to a lesser extent, industry are the most important factors explaining voluntary disclosures overall, the importance of the factors varies by information type.</w:t>
            </w:r>
          </w:p>
        </w:tc>
      </w:tr>
      <w:tr w:rsidR="00A95413" w:rsidRPr="00F63097" w:rsidTr="00B91A2E">
        <w:tc>
          <w:tcPr>
            <w:tcW w:w="1242" w:type="dxa"/>
          </w:tcPr>
          <w:p w:rsidR="00A95413" w:rsidRPr="00F63097" w:rsidRDefault="00A95413" w:rsidP="001D4BB3">
            <w:pPr>
              <w:spacing w:after="0"/>
              <w:rPr>
                <w:rFonts w:cs="Calibri"/>
                <w:lang w:val="it-IT"/>
              </w:rPr>
            </w:pPr>
            <w:r w:rsidRPr="00F63097">
              <w:rPr>
                <w:rFonts w:cs="Calibri"/>
                <w:lang w:val="it-IT"/>
              </w:rPr>
              <w:t>Botosan, C.A. (1997)</w:t>
            </w:r>
          </w:p>
        </w:tc>
        <w:tc>
          <w:tcPr>
            <w:tcW w:w="2472" w:type="dxa"/>
          </w:tcPr>
          <w:p w:rsidR="00A95413" w:rsidRPr="00F63097" w:rsidRDefault="00A95413" w:rsidP="001D4BB3">
            <w:pPr>
              <w:spacing w:after="0"/>
              <w:rPr>
                <w:rFonts w:cs="Calibri"/>
                <w:lang w:val="it-IT"/>
              </w:rPr>
            </w:pPr>
            <w:r w:rsidRPr="00F63097">
              <w:rPr>
                <w:rFonts w:cs="Calibri"/>
                <w:color w:val="000000"/>
                <w:lang w:eastAsia="nl-NL"/>
              </w:rPr>
              <w:t>She examines the relation between voluntary disclosures and the cost of equity capital</w:t>
            </w:r>
          </w:p>
        </w:tc>
        <w:tc>
          <w:tcPr>
            <w:tcW w:w="1356" w:type="dxa"/>
          </w:tcPr>
          <w:p w:rsidR="00A95413" w:rsidRPr="00F63097" w:rsidRDefault="00A95413" w:rsidP="001D4BB3">
            <w:pPr>
              <w:spacing w:after="0"/>
              <w:rPr>
                <w:rFonts w:cs="Calibri"/>
                <w:lang w:val="it-IT"/>
              </w:rPr>
            </w:pPr>
            <w:r w:rsidRPr="00F63097">
              <w:rPr>
                <w:rFonts w:cs="Calibri"/>
                <w:color w:val="000000"/>
                <w:lang w:eastAsia="nl-NL"/>
              </w:rPr>
              <w:t>Her sample consists of 122 firms</w:t>
            </w:r>
          </w:p>
        </w:tc>
        <w:tc>
          <w:tcPr>
            <w:tcW w:w="1134" w:type="dxa"/>
          </w:tcPr>
          <w:p w:rsidR="00A95413" w:rsidRPr="00F63097" w:rsidRDefault="00A95413" w:rsidP="001D4BB3">
            <w:pPr>
              <w:spacing w:after="0"/>
              <w:rPr>
                <w:rFonts w:cs="Calibri"/>
                <w:lang w:val="it-IT"/>
              </w:rPr>
            </w:pPr>
            <w:r w:rsidRPr="00F63097">
              <w:rPr>
                <w:rFonts w:cs="Calibri"/>
                <w:lang w:val="it-IT"/>
              </w:rPr>
              <w:t>Regression analysis</w:t>
            </w:r>
          </w:p>
        </w:tc>
        <w:tc>
          <w:tcPr>
            <w:tcW w:w="3084" w:type="dxa"/>
          </w:tcPr>
          <w:p w:rsidR="00A95413" w:rsidRPr="00F63097" w:rsidRDefault="00A95413" w:rsidP="001D4BB3">
            <w:pPr>
              <w:spacing w:after="0"/>
              <w:rPr>
                <w:rFonts w:cs="Calibri"/>
              </w:rPr>
            </w:pPr>
            <w:r w:rsidRPr="00F63097">
              <w:rPr>
                <w:rFonts w:cs="Calibri"/>
                <w:color w:val="000000"/>
                <w:lang w:eastAsia="nl-NL"/>
              </w:rPr>
              <w:t>The results show that there is an association between higher disclosure and lower cost of equity capital when there is low analyst following. No significant association was found when there is high analyst following.</w:t>
            </w:r>
          </w:p>
        </w:tc>
      </w:tr>
      <w:tr w:rsidR="00A95413" w:rsidRPr="00F63097" w:rsidTr="00B91A2E">
        <w:tc>
          <w:tcPr>
            <w:tcW w:w="1242" w:type="dxa"/>
          </w:tcPr>
          <w:p w:rsidR="00A95413" w:rsidRPr="00F63097" w:rsidRDefault="00A95413" w:rsidP="001D4BB3">
            <w:pPr>
              <w:spacing w:after="0"/>
              <w:rPr>
                <w:rFonts w:cs="Calibri"/>
                <w:lang w:val="it-IT"/>
              </w:rPr>
            </w:pPr>
            <w:r w:rsidRPr="00F63097">
              <w:rPr>
                <w:rFonts w:cs="Calibri"/>
                <w:color w:val="000000"/>
                <w:lang w:val="it-IT" w:eastAsia="nl-NL"/>
              </w:rPr>
              <w:t xml:space="preserve">Haniffa, R.M., Cooke, T.E. (2001)  </w:t>
            </w:r>
          </w:p>
        </w:tc>
        <w:tc>
          <w:tcPr>
            <w:tcW w:w="2472" w:type="dxa"/>
          </w:tcPr>
          <w:p w:rsidR="00A95413" w:rsidRPr="00F63097" w:rsidRDefault="00A95413" w:rsidP="001D4BB3">
            <w:pPr>
              <w:spacing w:after="0"/>
              <w:rPr>
                <w:rFonts w:cs="Calibri"/>
                <w:lang w:val="it-IT"/>
              </w:rPr>
            </w:pPr>
            <w:r w:rsidRPr="00F63097">
              <w:rPr>
                <w:rFonts w:cs="Calibri"/>
              </w:rPr>
              <w:t xml:space="preserve">They examine the relation between various corporate governance variables, cultural and firm specific factors and the extent of voluntary disclosures of Malaysian firms. </w:t>
            </w:r>
          </w:p>
        </w:tc>
        <w:tc>
          <w:tcPr>
            <w:tcW w:w="1356" w:type="dxa"/>
          </w:tcPr>
          <w:p w:rsidR="00A95413" w:rsidRPr="00F63097" w:rsidRDefault="00A95413" w:rsidP="001D4BB3">
            <w:pPr>
              <w:spacing w:after="0"/>
              <w:rPr>
                <w:rFonts w:cs="Calibri"/>
              </w:rPr>
            </w:pPr>
            <w:r w:rsidRPr="00F63097">
              <w:rPr>
                <w:rFonts w:cs="Calibri"/>
              </w:rPr>
              <w:t>Their sample consists of 167 listed firms in Malaysia.</w:t>
            </w:r>
          </w:p>
        </w:tc>
        <w:tc>
          <w:tcPr>
            <w:tcW w:w="1134" w:type="dxa"/>
          </w:tcPr>
          <w:p w:rsidR="00A95413" w:rsidRPr="00F63097" w:rsidRDefault="00A95413" w:rsidP="001D4BB3">
            <w:pPr>
              <w:spacing w:after="0"/>
              <w:rPr>
                <w:rFonts w:cs="Calibri"/>
              </w:rPr>
            </w:pPr>
            <w:r w:rsidRPr="00F63097">
              <w:rPr>
                <w:rFonts w:cs="Calibri"/>
              </w:rPr>
              <w:t>A multiple regression analysis.</w:t>
            </w:r>
          </w:p>
        </w:tc>
        <w:tc>
          <w:tcPr>
            <w:tcW w:w="3084" w:type="dxa"/>
          </w:tcPr>
          <w:p w:rsidR="00A95413" w:rsidRPr="00F63097" w:rsidRDefault="00A95413" w:rsidP="001D4BB3">
            <w:pPr>
              <w:autoSpaceDE w:val="0"/>
              <w:autoSpaceDN w:val="0"/>
              <w:adjustRightInd w:val="0"/>
              <w:spacing w:before="0" w:after="0"/>
              <w:rPr>
                <w:rFonts w:cs="Calibri"/>
              </w:rPr>
            </w:pPr>
          </w:p>
          <w:p w:rsidR="00A95413" w:rsidRPr="00F63097" w:rsidRDefault="00A95413" w:rsidP="001D4BB3">
            <w:pPr>
              <w:autoSpaceDE w:val="0"/>
              <w:autoSpaceDN w:val="0"/>
              <w:adjustRightInd w:val="0"/>
              <w:spacing w:before="0" w:after="0"/>
              <w:rPr>
                <w:rFonts w:cs="Calibri"/>
              </w:rPr>
            </w:pPr>
            <w:r w:rsidRPr="00F63097">
              <w:rPr>
                <w:rFonts w:cs="Calibri"/>
              </w:rPr>
              <w:t>The results show that ownership structure is significantly positively related to the extent of voluntary disclosures.</w:t>
            </w:r>
          </w:p>
          <w:p w:rsidR="00A95413" w:rsidRPr="00F63097" w:rsidRDefault="00A95413" w:rsidP="001D4BB3">
            <w:pPr>
              <w:spacing w:after="0"/>
              <w:rPr>
                <w:rFonts w:cs="Calibri"/>
              </w:rPr>
            </w:pPr>
          </w:p>
        </w:tc>
      </w:tr>
      <w:tr w:rsidR="00A95413" w:rsidRPr="00F63097" w:rsidTr="00B91A2E">
        <w:tc>
          <w:tcPr>
            <w:tcW w:w="1242" w:type="dxa"/>
          </w:tcPr>
          <w:p w:rsidR="00A95413" w:rsidRPr="00F63097" w:rsidRDefault="00A95413" w:rsidP="001D4BB3">
            <w:pPr>
              <w:rPr>
                <w:rFonts w:cs="Calibri"/>
              </w:rPr>
            </w:pPr>
            <w:r w:rsidRPr="00F63097">
              <w:rPr>
                <w:rFonts w:cs="Calibri"/>
                <w:color w:val="000000"/>
                <w:lang w:val="it-IT" w:eastAsia="nl-NL"/>
              </w:rPr>
              <w:t xml:space="preserve">Ho, S.M, Wong, K.S, </w:t>
            </w:r>
            <w:r w:rsidRPr="00F63097">
              <w:rPr>
                <w:rFonts w:cs="Calibri"/>
                <w:color w:val="000000"/>
                <w:lang w:val="it-IT" w:eastAsia="nl-NL"/>
              </w:rPr>
              <w:lastRenderedPageBreak/>
              <w:t>(2001)</w:t>
            </w:r>
          </w:p>
        </w:tc>
        <w:tc>
          <w:tcPr>
            <w:tcW w:w="2472" w:type="dxa"/>
          </w:tcPr>
          <w:p w:rsidR="00A95413" w:rsidRPr="00F63097" w:rsidRDefault="00A95413" w:rsidP="001D4BB3">
            <w:pPr>
              <w:rPr>
                <w:rFonts w:cs="Calibri"/>
                <w:b/>
              </w:rPr>
            </w:pPr>
            <w:r w:rsidRPr="00F63097">
              <w:rPr>
                <w:rFonts w:cs="Calibri"/>
                <w:color w:val="000000"/>
                <w:lang w:eastAsia="nl-NL"/>
              </w:rPr>
              <w:lastRenderedPageBreak/>
              <w:t xml:space="preserve">A study of the relationship between corporate </w:t>
            </w:r>
            <w:r w:rsidRPr="00F63097">
              <w:rPr>
                <w:rFonts w:cs="Calibri"/>
                <w:color w:val="000000"/>
                <w:lang w:eastAsia="nl-NL"/>
              </w:rPr>
              <w:lastRenderedPageBreak/>
              <w:t>governance structures and the extent of voluntary disclosure</w:t>
            </w:r>
            <w:r w:rsidRPr="00F63097">
              <w:rPr>
                <w:rFonts w:cs="Calibri"/>
              </w:rPr>
              <w:t>.</w:t>
            </w:r>
          </w:p>
        </w:tc>
        <w:tc>
          <w:tcPr>
            <w:tcW w:w="1356" w:type="dxa"/>
          </w:tcPr>
          <w:p w:rsidR="00A95413" w:rsidRPr="00F63097" w:rsidRDefault="00A95413" w:rsidP="001D4BB3">
            <w:pPr>
              <w:rPr>
                <w:rFonts w:cs="Calibri"/>
              </w:rPr>
            </w:pPr>
            <w:r w:rsidRPr="00F63097">
              <w:rPr>
                <w:rFonts w:cs="Calibri"/>
                <w:color w:val="000000"/>
                <w:lang w:eastAsia="nl-NL"/>
              </w:rPr>
              <w:lastRenderedPageBreak/>
              <w:t xml:space="preserve">They received surveys from </w:t>
            </w:r>
            <w:r w:rsidRPr="00F63097">
              <w:rPr>
                <w:rFonts w:cs="Calibri"/>
                <w:color w:val="000000"/>
                <w:lang w:eastAsia="nl-NL"/>
              </w:rPr>
              <w:lastRenderedPageBreak/>
              <w:t>98 CFOs and 92 financial analysts. 190 in total. The study was conducted in Hong Kong</w:t>
            </w:r>
          </w:p>
        </w:tc>
        <w:tc>
          <w:tcPr>
            <w:tcW w:w="1134" w:type="dxa"/>
          </w:tcPr>
          <w:p w:rsidR="00A95413" w:rsidRPr="00F63097" w:rsidRDefault="00A95413" w:rsidP="001D4BB3">
            <w:pPr>
              <w:rPr>
                <w:rFonts w:cs="Calibri"/>
              </w:rPr>
            </w:pPr>
            <w:r w:rsidRPr="00F63097">
              <w:rPr>
                <w:rFonts w:cs="Calibri"/>
                <w:color w:val="000000"/>
                <w:lang w:eastAsia="nl-NL"/>
              </w:rPr>
              <w:lastRenderedPageBreak/>
              <w:t xml:space="preserve">Regression </w:t>
            </w:r>
            <w:r w:rsidRPr="00F63097">
              <w:rPr>
                <w:rFonts w:cs="Calibri"/>
                <w:color w:val="000000"/>
                <w:lang w:eastAsia="nl-NL"/>
              </w:rPr>
              <w:lastRenderedPageBreak/>
              <w:t>Analysis.</w:t>
            </w:r>
          </w:p>
        </w:tc>
        <w:tc>
          <w:tcPr>
            <w:tcW w:w="3084" w:type="dxa"/>
          </w:tcPr>
          <w:p w:rsidR="00A95413" w:rsidRPr="00F63097" w:rsidRDefault="00A95413" w:rsidP="001D4BB3">
            <w:pPr>
              <w:autoSpaceDE w:val="0"/>
              <w:autoSpaceDN w:val="0"/>
              <w:adjustRightInd w:val="0"/>
              <w:rPr>
                <w:rFonts w:cs="Calibri"/>
              </w:rPr>
            </w:pPr>
            <w:r w:rsidRPr="00F63097">
              <w:rPr>
                <w:rFonts w:cs="Calibri"/>
                <w:color w:val="000000"/>
                <w:lang w:eastAsia="nl-NL"/>
              </w:rPr>
              <w:lastRenderedPageBreak/>
              <w:t xml:space="preserve">Companies with a higher ratio of independent nonexecutive </w:t>
            </w:r>
            <w:r w:rsidRPr="00F63097">
              <w:rPr>
                <w:rFonts w:cs="Calibri"/>
                <w:color w:val="000000"/>
                <w:lang w:eastAsia="nl-NL"/>
              </w:rPr>
              <w:lastRenderedPageBreak/>
              <w:t>directors to total directors on board and firms with an audit committee would have a higher extent of voluntary disclosure. Another outcome is that they found a negative (but non-significant) relation between dominant personality and a lower extent of disclosure. The last outcome is that companies with a higher proportion of family members on board are more likely to have a lower extent of voluntary disclosure</w:t>
            </w:r>
          </w:p>
        </w:tc>
      </w:tr>
      <w:tr w:rsidR="00A95413" w:rsidRPr="00F63097" w:rsidTr="00B91A2E">
        <w:tc>
          <w:tcPr>
            <w:tcW w:w="1242" w:type="dxa"/>
          </w:tcPr>
          <w:p w:rsidR="00A95413" w:rsidRPr="00F63097" w:rsidRDefault="00A95413" w:rsidP="001D4BB3">
            <w:pPr>
              <w:autoSpaceDE w:val="0"/>
              <w:autoSpaceDN w:val="0"/>
              <w:adjustRightInd w:val="0"/>
              <w:spacing w:after="0"/>
              <w:rPr>
                <w:rFonts w:cs="Calibri"/>
              </w:rPr>
            </w:pPr>
            <w:r w:rsidRPr="00F63097">
              <w:rPr>
                <w:rFonts w:cs="Calibri"/>
              </w:rPr>
              <w:lastRenderedPageBreak/>
              <w:t>Chau and Gray (2002)</w:t>
            </w:r>
          </w:p>
          <w:p w:rsidR="00A95413" w:rsidRPr="00F63097" w:rsidRDefault="00A95413" w:rsidP="001D4BB3">
            <w:pPr>
              <w:rPr>
                <w:rFonts w:cs="Calibri"/>
              </w:rPr>
            </w:pPr>
          </w:p>
        </w:tc>
        <w:tc>
          <w:tcPr>
            <w:tcW w:w="2472" w:type="dxa"/>
          </w:tcPr>
          <w:p w:rsidR="00A95413" w:rsidRPr="00F63097" w:rsidRDefault="00A95413" w:rsidP="001D4BB3">
            <w:pPr>
              <w:spacing w:after="0"/>
              <w:rPr>
                <w:rFonts w:cs="Calibri"/>
              </w:rPr>
            </w:pPr>
            <w:r w:rsidRPr="00F63097">
              <w:rPr>
                <w:rFonts w:cs="Calibri"/>
              </w:rPr>
              <w:t>Analyze the relation between ownership structure and corporate voluntary disclosure in Hong Kong and Singapore.</w:t>
            </w:r>
          </w:p>
        </w:tc>
        <w:tc>
          <w:tcPr>
            <w:tcW w:w="1356" w:type="dxa"/>
          </w:tcPr>
          <w:p w:rsidR="00A95413" w:rsidRPr="00F63097" w:rsidRDefault="00A95413" w:rsidP="001D4BB3">
            <w:pPr>
              <w:spacing w:after="0"/>
              <w:rPr>
                <w:rFonts w:cs="Calibri"/>
              </w:rPr>
            </w:pPr>
            <w:r w:rsidRPr="00F63097">
              <w:rPr>
                <w:rFonts w:cs="Calibri"/>
              </w:rPr>
              <w:t>60 firms of which annual reports were available in the end of year 1997</w:t>
            </w:r>
          </w:p>
        </w:tc>
        <w:tc>
          <w:tcPr>
            <w:tcW w:w="1134" w:type="dxa"/>
          </w:tcPr>
          <w:p w:rsidR="00A95413" w:rsidRPr="00F63097" w:rsidRDefault="00A95413" w:rsidP="001D4BB3">
            <w:pPr>
              <w:spacing w:after="0"/>
              <w:rPr>
                <w:rFonts w:cs="Calibri"/>
              </w:rPr>
            </w:pPr>
            <w:r w:rsidRPr="00F63097">
              <w:rPr>
                <w:rFonts w:cs="Calibri"/>
              </w:rPr>
              <w:t>Linear multiple regression analysis</w:t>
            </w:r>
            <w:r w:rsidRPr="00F63097">
              <w:rPr>
                <w:rFonts w:cs="Calibri"/>
                <w:color w:val="000000"/>
                <w:lang w:eastAsia="nl-NL"/>
              </w:rPr>
              <w:t>.</w:t>
            </w:r>
          </w:p>
        </w:tc>
        <w:tc>
          <w:tcPr>
            <w:tcW w:w="3084" w:type="dxa"/>
          </w:tcPr>
          <w:p w:rsidR="00A95413" w:rsidRPr="00F63097" w:rsidRDefault="00A95413" w:rsidP="001D4BB3">
            <w:pPr>
              <w:spacing w:after="0"/>
              <w:rPr>
                <w:rFonts w:cs="Calibri"/>
              </w:rPr>
            </w:pPr>
            <w:r w:rsidRPr="00F63097">
              <w:rPr>
                <w:rFonts w:cs="Calibri"/>
              </w:rPr>
              <w:t>Their results showed that there is support for their hypothesis (based on the agency-theory) that there is a positive relation between more diffused ownership structure and the degree of voluntary disclosures.</w:t>
            </w:r>
          </w:p>
        </w:tc>
      </w:tr>
      <w:tr w:rsidR="00A95413" w:rsidRPr="00F63097" w:rsidTr="00B91A2E">
        <w:tc>
          <w:tcPr>
            <w:tcW w:w="1242" w:type="dxa"/>
          </w:tcPr>
          <w:p w:rsidR="00A95413" w:rsidRPr="00F63097" w:rsidRDefault="00A95413" w:rsidP="001D4BB3">
            <w:pPr>
              <w:rPr>
                <w:rFonts w:cs="Calibri"/>
                <w:lang w:val="nl-NL"/>
              </w:rPr>
            </w:pPr>
            <w:r w:rsidRPr="00F63097">
              <w:rPr>
                <w:rFonts w:cs="Calibri"/>
                <w:color w:val="000000"/>
                <w:lang w:val="nl-NL" w:eastAsia="nl-NL"/>
              </w:rPr>
              <w:t>Eng, L.L.  Mak, Y.T. (2003)</w:t>
            </w:r>
          </w:p>
        </w:tc>
        <w:tc>
          <w:tcPr>
            <w:tcW w:w="2472" w:type="dxa"/>
          </w:tcPr>
          <w:p w:rsidR="00A95413" w:rsidRPr="00F63097" w:rsidRDefault="00A95413" w:rsidP="001D4BB3">
            <w:pPr>
              <w:rPr>
                <w:rFonts w:cs="Calibri"/>
              </w:rPr>
            </w:pPr>
            <w:r w:rsidRPr="00F63097">
              <w:rPr>
                <w:rFonts w:cs="Calibri"/>
                <w:color w:val="000000"/>
                <w:lang w:eastAsia="nl-NL"/>
              </w:rPr>
              <w:t>Corporate governance and voluntary disclosure. Analyze the relation of corporate governance (ownership structure and board composition) and voluntary disclosures.</w:t>
            </w:r>
          </w:p>
        </w:tc>
        <w:tc>
          <w:tcPr>
            <w:tcW w:w="1356" w:type="dxa"/>
          </w:tcPr>
          <w:p w:rsidR="00A95413" w:rsidRPr="00F63097" w:rsidRDefault="00A95413" w:rsidP="001D4BB3">
            <w:pPr>
              <w:rPr>
                <w:rFonts w:cs="Calibri"/>
              </w:rPr>
            </w:pPr>
            <w:r w:rsidRPr="00F63097">
              <w:rPr>
                <w:rFonts w:cs="Calibri"/>
                <w:color w:val="000000"/>
                <w:lang w:eastAsia="nl-NL"/>
              </w:rPr>
              <w:t>158 firms listed on the Stock Exchange of Singapore at the end of 1995.</w:t>
            </w:r>
          </w:p>
        </w:tc>
        <w:tc>
          <w:tcPr>
            <w:tcW w:w="1134" w:type="dxa"/>
          </w:tcPr>
          <w:p w:rsidR="00A95413" w:rsidRPr="00F63097" w:rsidRDefault="00A95413" w:rsidP="001D4BB3">
            <w:pPr>
              <w:rPr>
                <w:rFonts w:cs="Calibri"/>
              </w:rPr>
            </w:pPr>
            <w:r w:rsidRPr="00F63097">
              <w:rPr>
                <w:rFonts w:cs="Calibri"/>
                <w:color w:val="000000"/>
                <w:lang w:eastAsia="nl-NL"/>
              </w:rPr>
              <w:t xml:space="preserve"> Content analysis and an ‘Ordinary Least Squares’ regression</w:t>
            </w:r>
          </w:p>
        </w:tc>
        <w:tc>
          <w:tcPr>
            <w:tcW w:w="3084" w:type="dxa"/>
          </w:tcPr>
          <w:p w:rsidR="00A95413" w:rsidRPr="00F63097" w:rsidRDefault="00A95413" w:rsidP="001D4BB3">
            <w:pPr>
              <w:rPr>
                <w:rFonts w:cs="Calibri"/>
              </w:rPr>
            </w:pPr>
            <w:r w:rsidRPr="00F63097">
              <w:rPr>
                <w:rFonts w:cs="Calibri"/>
                <w:color w:val="000000"/>
                <w:lang w:eastAsia="nl-NL"/>
              </w:rPr>
              <w:t xml:space="preserve">Lower managerial ownership and significant governmental ownership (parts of ownership structure) are associated with increased voluntary disclosure. Total blockholder ownership is not related to disclosure. On board composition they concluded that there is </w:t>
            </w:r>
            <w:r w:rsidRPr="00F63097">
              <w:rPr>
                <w:rFonts w:cs="Calibri"/>
              </w:rPr>
              <w:t>negative relation between the proportion of outside directors and voluntary disclosure.</w:t>
            </w:r>
          </w:p>
        </w:tc>
      </w:tr>
      <w:tr w:rsidR="00A95413" w:rsidRPr="00F63097" w:rsidTr="00B91A2E">
        <w:tc>
          <w:tcPr>
            <w:tcW w:w="1242" w:type="dxa"/>
          </w:tcPr>
          <w:p w:rsidR="00A95413" w:rsidRPr="00F63097" w:rsidRDefault="00A95413" w:rsidP="001D4BB3">
            <w:pPr>
              <w:spacing w:after="0"/>
              <w:rPr>
                <w:rFonts w:cs="Calibri"/>
              </w:rPr>
            </w:pPr>
            <w:r w:rsidRPr="00F63097">
              <w:rPr>
                <w:rFonts w:cs="Calibri"/>
                <w:color w:val="000000"/>
                <w:lang w:eastAsia="nl-NL"/>
              </w:rPr>
              <w:t>Barako, D.G, Hancock , P, Izan, H.Y., (2006)</w:t>
            </w:r>
          </w:p>
        </w:tc>
        <w:tc>
          <w:tcPr>
            <w:tcW w:w="2472" w:type="dxa"/>
          </w:tcPr>
          <w:p w:rsidR="00A95413" w:rsidRPr="00F63097" w:rsidRDefault="00A95413" w:rsidP="001D4BB3">
            <w:pPr>
              <w:spacing w:after="0"/>
              <w:rPr>
                <w:rFonts w:cs="Calibri"/>
              </w:rPr>
            </w:pPr>
            <w:r w:rsidRPr="00F63097">
              <w:rPr>
                <w:rFonts w:cs="Calibri"/>
                <w:color w:val="000000"/>
                <w:lang w:eastAsia="nl-NL"/>
              </w:rPr>
              <w:t xml:space="preserve">This study examines factors influencing voluntary corporate disclosure by Kenyan companies. </w:t>
            </w:r>
          </w:p>
        </w:tc>
        <w:tc>
          <w:tcPr>
            <w:tcW w:w="1356" w:type="dxa"/>
          </w:tcPr>
          <w:p w:rsidR="00A95413" w:rsidRPr="00F63097" w:rsidRDefault="00A95413" w:rsidP="001D4BB3">
            <w:pPr>
              <w:spacing w:after="0"/>
              <w:rPr>
                <w:rFonts w:cs="Calibri"/>
              </w:rPr>
            </w:pPr>
            <w:r w:rsidRPr="00F63097">
              <w:rPr>
                <w:rFonts w:cs="Calibri"/>
                <w:color w:val="000000"/>
                <w:lang w:eastAsia="nl-NL"/>
              </w:rPr>
              <w:t xml:space="preserve">All (54) companies listed on the NSE.(Nairobi Stock Exchange) </w:t>
            </w:r>
          </w:p>
        </w:tc>
        <w:tc>
          <w:tcPr>
            <w:tcW w:w="1134" w:type="dxa"/>
          </w:tcPr>
          <w:p w:rsidR="00A95413" w:rsidRPr="00F63097" w:rsidRDefault="00A95413" w:rsidP="001D4BB3">
            <w:pPr>
              <w:spacing w:after="0"/>
              <w:rPr>
                <w:rFonts w:cs="Calibri"/>
              </w:rPr>
            </w:pPr>
            <w:r w:rsidRPr="00F63097">
              <w:rPr>
                <w:rFonts w:cs="Calibri"/>
                <w:color w:val="000000"/>
                <w:lang w:eastAsia="nl-NL"/>
              </w:rPr>
              <w:t>Multiple regression analysis</w:t>
            </w:r>
          </w:p>
        </w:tc>
        <w:tc>
          <w:tcPr>
            <w:tcW w:w="3084" w:type="dxa"/>
          </w:tcPr>
          <w:p w:rsidR="00A95413" w:rsidRPr="00F63097" w:rsidRDefault="00A95413" w:rsidP="001D4BB3">
            <w:pPr>
              <w:spacing w:after="0"/>
              <w:rPr>
                <w:rFonts w:cs="Calibri"/>
              </w:rPr>
            </w:pPr>
            <w:r w:rsidRPr="00F63097">
              <w:rPr>
                <w:rFonts w:cs="Calibri"/>
                <w:color w:val="000000"/>
                <w:lang w:eastAsia="nl-NL"/>
              </w:rPr>
              <w:t xml:space="preserve">The results show that the audit committee, board composition, foreign ownership and percentage of stocks owned by institutional shareholders are the most statistically significant corporate governance measures that influence voluntary disclosure. Among the other factors, size and leverage ratio were positively </w:t>
            </w:r>
            <w:r w:rsidRPr="00F63097">
              <w:rPr>
                <w:rFonts w:cs="Calibri"/>
                <w:color w:val="000000"/>
                <w:lang w:eastAsia="nl-NL"/>
              </w:rPr>
              <w:lastRenderedPageBreak/>
              <w:t>related to the extent of disclosures.</w:t>
            </w:r>
          </w:p>
        </w:tc>
      </w:tr>
      <w:tr w:rsidR="00A95413" w:rsidRPr="00F63097" w:rsidTr="00B91A2E">
        <w:tc>
          <w:tcPr>
            <w:tcW w:w="1242" w:type="dxa"/>
          </w:tcPr>
          <w:p w:rsidR="00A95413" w:rsidRPr="00F63097" w:rsidRDefault="00A95413" w:rsidP="001D4BB3">
            <w:pPr>
              <w:rPr>
                <w:rFonts w:cs="Calibri"/>
              </w:rPr>
            </w:pPr>
            <w:r w:rsidRPr="00F63097">
              <w:rPr>
                <w:rFonts w:cs="Calibri"/>
              </w:rPr>
              <w:lastRenderedPageBreak/>
              <w:t>Huafang and Jianguo (2007)</w:t>
            </w:r>
          </w:p>
          <w:p w:rsidR="00A95413" w:rsidRPr="00F63097" w:rsidRDefault="00A95413" w:rsidP="001D4BB3">
            <w:pPr>
              <w:spacing w:after="0"/>
              <w:rPr>
                <w:rFonts w:cs="Calibri"/>
              </w:rPr>
            </w:pPr>
          </w:p>
        </w:tc>
        <w:tc>
          <w:tcPr>
            <w:tcW w:w="2472" w:type="dxa"/>
          </w:tcPr>
          <w:p w:rsidR="00A95413" w:rsidRPr="00F63097" w:rsidRDefault="00A95413" w:rsidP="001D4BB3">
            <w:pPr>
              <w:spacing w:after="0"/>
              <w:rPr>
                <w:rFonts w:cs="Calibri"/>
              </w:rPr>
            </w:pPr>
            <w:r w:rsidRPr="00F63097">
              <w:rPr>
                <w:rFonts w:cs="Calibri"/>
              </w:rPr>
              <w:t>Huafang and Jianguo (2007) studied the relation between ownership structure, board composition and voluntary disclosures in China</w:t>
            </w:r>
          </w:p>
        </w:tc>
        <w:tc>
          <w:tcPr>
            <w:tcW w:w="1356" w:type="dxa"/>
          </w:tcPr>
          <w:p w:rsidR="00A95413" w:rsidRPr="00F63097" w:rsidRDefault="00A95413" w:rsidP="001D4BB3">
            <w:pPr>
              <w:spacing w:after="0"/>
              <w:rPr>
                <w:rFonts w:cs="Calibri"/>
                <w:lang w:eastAsia="nl-NL"/>
              </w:rPr>
            </w:pPr>
            <w:r w:rsidRPr="00F63097">
              <w:rPr>
                <w:rFonts w:cs="Calibri"/>
              </w:rPr>
              <w:t>559 firm observations in the year 2002.</w:t>
            </w:r>
          </w:p>
        </w:tc>
        <w:tc>
          <w:tcPr>
            <w:tcW w:w="1134" w:type="dxa"/>
          </w:tcPr>
          <w:p w:rsidR="00A95413" w:rsidRPr="00F63097" w:rsidRDefault="00A95413" w:rsidP="001D4BB3">
            <w:pPr>
              <w:spacing w:after="0"/>
              <w:rPr>
                <w:rFonts w:cs="Calibri"/>
              </w:rPr>
            </w:pPr>
            <w:r w:rsidRPr="00F63097">
              <w:rPr>
                <w:rFonts w:cs="Calibri"/>
              </w:rPr>
              <w:t>Ordinary least squares regression model</w:t>
            </w:r>
          </w:p>
        </w:tc>
        <w:tc>
          <w:tcPr>
            <w:tcW w:w="3084" w:type="dxa"/>
          </w:tcPr>
          <w:p w:rsidR="00A95413" w:rsidRPr="00F63097" w:rsidRDefault="00A95413" w:rsidP="001D4BB3">
            <w:pPr>
              <w:spacing w:after="0"/>
              <w:rPr>
                <w:rFonts w:cs="Calibri"/>
              </w:rPr>
            </w:pPr>
            <w:r w:rsidRPr="00F63097">
              <w:rPr>
                <w:rFonts w:cs="Calibri"/>
              </w:rPr>
              <w:t>Their results show that higher blockholder ownership and foreign ownership is significantly related to an increased degree of voluntary disclosures. However, their results indicate that managerial ownership and state ownership are not significantly related to the extent of voluntary disclosure.</w:t>
            </w:r>
          </w:p>
        </w:tc>
      </w:tr>
      <w:tr w:rsidR="00A95413" w:rsidRPr="00F63097" w:rsidTr="00B91A2E">
        <w:tc>
          <w:tcPr>
            <w:tcW w:w="1242" w:type="dxa"/>
          </w:tcPr>
          <w:p w:rsidR="00A95413" w:rsidRPr="00F63097" w:rsidRDefault="00A95413" w:rsidP="001D4BB3">
            <w:pPr>
              <w:spacing w:after="0"/>
              <w:rPr>
                <w:rFonts w:cs="Calibri"/>
              </w:rPr>
            </w:pPr>
            <w:r w:rsidRPr="00F63097">
              <w:rPr>
                <w:rFonts w:cs="Calibri"/>
                <w:color w:val="000000"/>
                <w:lang w:eastAsia="nl-NL"/>
              </w:rPr>
              <w:t>Zourarakis, N.S, (2009)</w:t>
            </w:r>
          </w:p>
        </w:tc>
        <w:tc>
          <w:tcPr>
            <w:tcW w:w="2472" w:type="dxa"/>
          </w:tcPr>
          <w:p w:rsidR="00A95413" w:rsidRPr="00F63097" w:rsidRDefault="00A95413" w:rsidP="001D4BB3">
            <w:pPr>
              <w:spacing w:after="0"/>
              <w:rPr>
                <w:rFonts w:cs="Calibri"/>
                <w:lang w:eastAsia="nl-NL"/>
              </w:rPr>
            </w:pPr>
            <w:r w:rsidRPr="00F63097">
              <w:rPr>
                <w:rFonts w:cs="Calibri"/>
                <w:color w:val="000000"/>
                <w:lang w:eastAsia="nl-NL"/>
              </w:rPr>
              <w:t>The object of this study is to investigate the extent of voluntary disclosure for British firms and whether measures of corporate governance as well as other firm’s characteristics are associated with the disclosure of intellectual capital information.</w:t>
            </w:r>
          </w:p>
        </w:tc>
        <w:tc>
          <w:tcPr>
            <w:tcW w:w="1356" w:type="dxa"/>
          </w:tcPr>
          <w:p w:rsidR="00A95413" w:rsidRPr="00F63097" w:rsidRDefault="00A95413" w:rsidP="001D4BB3">
            <w:pPr>
              <w:spacing w:after="0"/>
              <w:rPr>
                <w:rFonts w:cs="Calibri"/>
                <w:lang w:eastAsia="nl-NL"/>
              </w:rPr>
            </w:pPr>
            <w:r w:rsidRPr="00F63097">
              <w:rPr>
                <w:rFonts w:cs="Calibri"/>
                <w:color w:val="000000"/>
                <w:lang w:eastAsia="nl-NL"/>
              </w:rPr>
              <w:t>97 (UK) companies, which were listed on FTSE 100 as at 31th</w:t>
            </w:r>
            <w:r w:rsidRPr="00F63097">
              <w:rPr>
                <w:rFonts w:cs="Calibri"/>
                <w:lang w:eastAsia="nl-NL"/>
              </w:rPr>
              <w:br/>
            </w:r>
            <w:r w:rsidRPr="00F63097">
              <w:rPr>
                <w:rFonts w:cs="Calibri"/>
                <w:color w:val="000000"/>
                <w:lang w:eastAsia="nl-NL"/>
              </w:rPr>
              <w:t xml:space="preserve">December 2007. </w:t>
            </w:r>
          </w:p>
        </w:tc>
        <w:tc>
          <w:tcPr>
            <w:tcW w:w="1134" w:type="dxa"/>
          </w:tcPr>
          <w:p w:rsidR="00A95413" w:rsidRPr="00F63097" w:rsidRDefault="00A95413" w:rsidP="001D4BB3">
            <w:pPr>
              <w:spacing w:after="0"/>
              <w:rPr>
                <w:rFonts w:cs="Calibri"/>
                <w:color w:val="000000"/>
                <w:lang w:eastAsia="nl-NL"/>
              </w:rPr>
            </w:pPr>
            <w:r w:rsidRPr="00F63097">
              <w:rPr>
                <w:rFonts w:cs="Calibri"/>
                <w:lang w:eastAsia="nl-NL"/>
              </w:rPr>
              <w:t xml:space="preserve">First </w:t>
            </w:r>
            <w:r w:rsidRPr="00F63097">
              <w:rPr>
                <w:rFonts w:cs="Calibri"/>
                <w:color w:val="000000"/>
                <w:lang w:eastAsia="nl-NL"/>
              </w:rPr>
              <w:t>content analysis. The second model is regression analysis.</w:t>
            </w:r>
          </w:p>
        </w:tc>
        <w:tc>
          <w:tcPr>
            <w:tcW w:w="3084" w:type="dxa"/>
          </w:tcPr>
          <w:p w:rsidR="00A95413" w:rsidRPr="00F63097" w:rsidRDefault="00A95413" w:rsidP="001D4BB3">
            <w:pPr>
              <w:spacing w:after="0"/>
              <w:rPr>
                <w:rFonts w:cs="Calibri"/>
              </w:rPr>
            </w:pPr>
            <w:r w:rsidRPr="00F63097">
              <w:rPr>
                <w:rFonts w:cs="Calibri"/>
                <w:color w:val="000000"/>
                <w:lang w:eastAsia="nl-NL"/>
              </w:rPr>
              <w:t>British firms disclose more information about their human capital. In addition, findings indicate that ownership structure, size and industry are important factors in describing disclosure trends of intellectual capital. To conclude, the outcomes of the study support the notions of Agency theory that refer to manager’s opportunism and information asymmetry.</w:t>
            </w:r>
          </w:p>
        </w:tc>
      </w:tr>
    </w:tbl>
    <w:p w:rsidR="00A95413" w:rsidRPr="00046999" w:rsidRDefault="00E0784B" w:rsidP="001D4BB3">
      <w:pPr>
        <w:pStyle w:val="Kop1"/>
        <w:jc w:val="both"/>
        <w:rPr>
          <w:rFonts w:cs="Calibri"/>
        </w:rPr>
      </w:pPr>
      <w:r w:rsidRPr="00E0784B">
        <w:rPr>
          <w:noProof/>
          <w:lang w:val="nl-NL" w:eastAsia="nl-NL"/>
        </w:rPr>
        <w:pict>
          <v:shapetype id="_x0000_t202" coordsize="21600,21600" o:spt="202" path="m,l,21600r21600,l21600,xe">
            <v:stroke joinstyle="miter"/>
            <v:path gradientshapeok="t" o:connecttype="rect"/>
          </v:shapetype>
          <v:shape id="_x0000_s1027" type="#_x0000_t202" style="position:absolute;left:0;text-align:left;margin-left:-10.4pt;margin-top:32.9pt;width:228pt;height:35.45pt;z-index:251666432;mso-position-horizontal-relative:text;mso-position-vertical-relative:text" stroked="f">
            <v:textbox style="mso-fit-shape-to-text:t" inset="0,0,0,0">
              <w:txbxContent>
                <w:p w:rsidR="001E2B80" w:rsidRPr="00F63097" w:rsidRDefault="001E2B80" w:rsidP="00246963">
                  <w:pPr>
                    <w:pStyle w:val="Bijschrift"/>
                    <w:rPr>
                      <w:rFonts w:cs="Calibri"/>
                      <w:caps/>
                      <w:noProof/>
                      <w:color w:val="FFFFFF"/>
                      <w:spacing w:val="15"/>
                      <w:sz w:val="22"/>
                      <w:szCs w:val="22"/>
                    </w:rPr>
                  </w:pPr>
                  <w:r w:rsidRPr="00A11675">
                    <w:rPr>
                      <w:sz w:val="22"/>
                      <w:szCs w:val="22"/>
                    </w:rPr>
                    <w:t xml:space="preserve">Figure </w:t>
                  </w:r>
                  <w:r>
                    <w:rPr>
                      <w:sz w:val="22"/>
                      <w:szCs w:val="22"/>
                    </w:rPr>
                    <w:t>2</w:t>
                  </w:r>
                  <w:r w:rsidRPr="00A11675">
                    <w:rPr>
                      <w:sz w:val="22"/>
                      <w:szCs w:val="22"/>
                    </w:rPr>
                    <w:t>: Box plots to detect outliers</w:t>
                  </w:r>
                </w:p>
              </w:txbxContent>
            </v:textbox>
            <w10:wrap type="square"/>
          </v:shape>
        </w:pict>
      </w:r>
      <w:r w:rsidR="0080569A">
        <w:rPr>
          <w:noProof/>
          <w:lang w:val="nl-NL" w:eastAsia="nl-NL"/>
        </w:rPr>
        <w:drawing>
          <wp:anchor distT="0" distB="0" distL="114300" distR="114300" simplePos="0" relativeHeight="251664384" behindDoc="0" locked="0" layoutInCell="1" allowOverlap="1">
            <wp:simplePos x="0" y="0"/>
            <wp:positionH relativeFrom="column">
              <wp:posOffset>-203327</wp:posOffset>
            </wp:positionH>
            <wp:positionV relativeFrom="paragraph">
              <wp:posOffset>908431</wp:posOffset>
            </wp:positionV>
            <wp:extent cx="2895473" cy="2317242"/>
            <wp:effectExtent l="171450" t="133350" r="362077" b="311658"/>
            <wp:wrapSquare wrapText="bothSides"/>
            <wp:docPr id="49"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cstate="print"/>
                    <a:srcRect/>
                    <a:stretch>
                      <a:fillRect/>
                    </a:stretch>
                  </pic:blipFill>
                  <pic:spPr bwMode="auto">
                    <a:xfrm>
                      <a:off x="0" y="0"/>
                      <a:ext cx="2895473" cy="2317242"/>
                    </a:xfrm>
                    <a:prstGeom prst="rect">
                      <a:avLst/>
                    </a:prstGeom>
                    <a:ln>
                      <a:noFill/>
                    </a:ln>
                    <a:effectLst>
                      <a:outerShdw blurRad="292100" dist="139700" dir="2700000" algn="tl" rotWithShape="0">
                        <a:srgbClr val="333333">
                          <a:alpha val="65000"/>
                        </a:srgbClr>
                      </a:outerShdw>
                    </a:effectLst>
                  </pic:spPr>
                </pic:pic>
              </a:graphicData>
            </a:graphic>
          </wp:anchor>
        </w:drawing>
      </w:r>
      <w:r w:rsidR="0080569A">
        <w:rPr>
          <w:noProof/>
          <w:lang w:val="nl-NL" w:eastAsia="nl-NL"/>
        </w:rPr>
        <w:drawing>
          <wp:anchor distT="0" distB="0" distL="114300" distR="114300" simplePos="0" relativeHeight="251653120" behindDoc="0" locked="0" layoutInCell="1" allowOverlap="1">
            <wp:simplePos x="0" y="0"/>
            <wp:positionH relativeFrom="column">
              <wp:posOffset>3197098</wp:posOffset>
            </wp:positionH>
            <wp:positionV relativeFrom="paragraph">
              <wp:posOffset>900811</wp:posOffset>
            </wp:positionV>
            <wp:extent cx="2921889" cy="2325116"/>
            <wp:effectExtent l="171450" t="133350" r="354711" b="303784"/>
            <wp:wrapSquare wrapText="bothSides"/>
            <wp:docPr id="48"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srcRect/>
                    <a:stretch>
                      <a:fillRect/>
                    </a:stretch>
                  </pic:blipFill>
                  <pic:spPr bwMode="auto">
                    <a:xfrm>
                      <a:off x="0" y="0"/>
                      <a:ext cx="2921889" cy="2325116"/>
                    </a:xfrm>
                    <a:prstGeom prst="rect">
                      <a:avLst/>
                    </a:prstGeom>
                    <a:ln>
                      <a:noFill/>
                    </a:ln>
                    <a:effectLst>
                      <a:outerShdw blurRad="292100" dist="139700" dir="2700000" algn="tl" rotWithShape="0">
                        <a:srgbClr val="333333">
                          <a:alpha val="65000"/>
                        </a:srgbClr>
                      </a:outerShdw>
                    </a:effectLst>
                  </pic:spPr>
                </pic:pic>
              </a:graphicData>
            </a:graphic>
          </wp:anchor>
        </w:drawing>
      </w:r>
      <w:bookmarkStart w:id="155" w:name="_Toc320365364"/>
      <w:r w:rsidR="00A95413" w:rsidRPr="00046999">
        <w:rPr>
          <w:rFonts w:cs="Calibri"/>
        </w:rPr>
        <w:t>Appendix IV: Boxplots</w:t>
      </w:r>
      <w:r w:rsidR="00A95413">
        <w:rPr>
          <w:rFonts w:cs="Calibri"/>
        </w:rPr>
        <w:t xml:space="preserve"> and Q-Q plots</w:t>
      </w:r>
      <w:bookmarkEnd w:id="155"/>
    </w:p>
    <w:p w:rsidR="00A95413" w:rsidRPr="00046999" w:rsidRDefault="00E0784B" w:rsidP="001D4BB3">
      <w:pPr>
        <w:rPr>
          <w:rFonts w:cs="Calibri"/>
          <w:sz w:val="22"/>
          <w:szCs w:val="22"/>
        </w:rPr>
      </w:pPr>
      <w:r w:rsidRPr="00E0784B">
        <w:rPr>
          <w:noProof/>
          <w:lang w:val="nl-NL" w:eastAsia="nl-NL"/>
        </w:rPr>
        <w:lastRenderedPageBreak/>
        <w:pict>
          <v:shape id="_x0000_s1030" type="#_x0000_t202" style="position:absolute;margin-left:-23.75pt;margin-top:415.85pt;width:344.4pt;height:35.45pt;z-index:251665408" stroked="f">
            <v:textbox style="mso-fit-shape-to-text:t" inset="0,0,0,0">
              <w:txbxContent>
                <w:p w:rsidR="001E2B80" w:rsidRPr="00F63097" w:rsidRDefault="001E2B80" w:rsidP="00246963">
                  <w:pPr>
                    <w:pStyle w:val="Bijschrift"/>
                    <w:rPr>
                      <w:rFonts w:cs="Calibri"/>
                      <w:noProof/>
                    </w:rPr>
                  </w:pPr>
                  <w:r w:rsidRPr="00A11675">
                    <w:rPr>
                      <w:sz w:val="22"/>
                      <w:szCs w:val="22"/>
                    </w:rPr>
                    <w:t xml:space="preserve">Figure </w:t>
                  </w:r>
                  <w:r>
                    <w:rPr>
                      <w:sz w:val="22"/>
                      <w:szCs w:val="22"/>
                    </w:rPr>
                    <w:t>3</w:t>
                  </w:r>
                  <w:r w:rsidRPr="00A11675">
                    <w:rPr>
                      <w:sz w:val="22"/>
                      <w:szCs w:val="22"/>
                    </w:rPr>
                    <w:t>: Q-Q plots after the corrections (except Government ownership</w:t>
                  </w:r>
                  <w:r>
                    <w:t>)</w:t>
                  </w:r>
                </w:p>
              </w:txbxContent>
            </v:textbox>
            <w10:wrap type="square"/>
          </v:shape>
        </w:pict>
      </w:r>
      <w:r w:rsidR="0080569A">
        <w:rPr>
          <w:noProof/>
          <w:lang w:val="nl-NL" w:eastAsia="nl-NL"/>
        </w:rPr>
        <w:drawing>
          <wp:anchor distT="0" distB="0" distL="114300" distR="114300" simplePos="0" relativeHeight="251658240" behindDoc="0" locked="0" layoutInCell="1" allowOverlap="1">
            <wp:simplePos x="0" y="0"/>
            <wp:positionH relativeFrom="column">
              <wp:posOffset>3244088</wp:posOffset>
            </wp:positionH>
            <wp:positionV relativeFrom="paragraph">
              <wp:posOffset>5742051</wp:posOffset>
            </wp:positionV>
            <wp:extent cx="3106039" cy="2439797"/>
            <wp:effectExtent l="171450" t="133350" r="361061" b="303403"/>
            <wp:wrapSquare wrapText="bothSides"/>
            <wp:docPr id="47" name="Pictur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8" cstate="print"/>
                    <a:srcRect/>
                    <a:stretch>
                      <a:fillRect/>
                    </a:stretch>
                  </pic:blipFill>
                  <pic:spPr bwMode="auto">
                    <a:xfrm>
                      <a:off x="0" y="0"/>
                      <a:ext cx="3106039" cy="2439797"/>
                    </a:xfrm>
                    <a:prstGeom prst="rect">
                      <a:avLst/>
                    </a:prstGeom>
                    <a:ln>
                      <a:noFill/>
                    </a:ln>
                    <a:effectLst>
                      <a:outerShdw blurRad="292100" dist="139700" dir="2700000" algn="tl" rotWithShape="0">
                        <a:srgbClr val="333333">
                          <a:alpha val="65000"/>
                        </a:srgbClr>
                      </a:outerShdw>
                    </a:effectLst>
                  </pic:spPr>
                </pic:pic>
              </a:graphicData>
            </a:graphic>
          </wp:anchor>
        </w:drawing>
      </w:r>
      <w:r w:rsidR="0080569A">
        <w:rPr>
          <w:noProof/>
          <w:lang w:val="nl-NL" w:eastAsia="nl-NL"/>
        </w:rPr>
        <w:drawing>
          <wp:anchor distT="0" distB="0" distL="114300" distR="114300" simplePos="0" relativeHeight="251656192" behindDoc="0" locked="0" layoutInCell="1" allowOverlap="1">
            <wp:simplePos x="0" y="0"/>
            <wp:positionH relativeFrom="column">
              <wp:posOffset>-300101</wp:posOffset>
            </wp:positionH>
            <wp:positionV relativeFrom="paragraph">
              <wp:posOffset>5713984</wp:posOffset>
            </wp:positionV>
            <wp:extent cx="3122930" cy="2470404"/>
            <wp:effectExtent l="152400" t="114300" r="363220" b="310896"/>
            <wp:wrapSquare wrapText="bothSides"/>
            <wp:docPr id="46"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srcRect/>
                    <a:stretch>
                      <a:fillRect/>
                    </a:stretch>
                  </pic:blipFill>
                  <pic:spPr bwMode="auto">
                    <a:xfrm>
                      <a:off x="0" y="0"/>
                      <a:ext cx="3122930" cy="2470404"/>
                    </a:xfrm>
                    <a:prstGeom prst="rect">
                      <a:avLst/>
                    </a:prstGeom>
                    <a:ln>
                      <a:noFill/>
                    </a:ln>
                    <a:effectLst>
                      <a:outerShdw blurRad="292100" dist="139700" dir="2700000" algn="tl" rotWithShape="0">
                        <a:srgbClr val="333333">
                          <a:alpha val="65000"/>
                        </a:srgbClr>
                      </a:outerShdw>
                    </a:effectLst>
                  </pic:spPr>
                </pic:pic>
              </a:graphicData>
            </a:graphic>
          </wp:anchor>
        </w:drawing>
      </w:r>
      <w:r w:rsidR="0080569A">
        <w:rPr>
          <w:noProof/>
          <w:lang w:val="nl-NL" w:eastAsia="nl-NL"/>
        </w:rPr>
        <w:drawing>
          <wp:anchor distT="0" distB="0" distL="114300" distR="114300" simplePos="0" relativeHeight="251663360" behindDoc="0" locked="0" layoutInCell="1" allowOverlap="1">
            <wp:simplePos x="0" y="0"/>
            <wp:positionH relativeFrom="column">
              <wp:posOffset>3196971</wp:posOffset>
            </wp:positionH>
            <wp:positionV relativeFrom="paragraph">
              <wp:posOffset>-88646</wp:posOffset>
            </wp:positionV>
            <wp:extent cx="3147949" cy="2535428"/>
            <wp:effectExtent l="152400" t="114300" r="357251" b="303022"/>
            <wp:wrapSquare wrapText="bothSides"/>
            <wp:docPr id="45" name="Afbeelding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srcRect/>
                    <a:stretch>
                      <a:fillRect/>
                    </a:stretch>
                  </pic:blipFill>
                  <pic:spPr bwMode="auto">
                    <a:xfrm>
                      <a:off x="0" y="0"/>
                      <a:ext cx="3147949" cy="2535428"/>
                    </a:xfrm>
                    <a:prstGeom prst="rect">
                      <a:avLst/>
                    </a:prstGeom>
                    <a:ln>
                      <a:noFill/>
                    </a:ln>
                    <a:effectLst>
                      <a:outerShdw blurRad="292100" dist="139700" dir="2700000" algn="tl" rotWithShape="0">
                        <a:srgbClr val="333333">
                          <a:alpha val="65000"/>
                        </a:srgbClr>
                      </a:outerShdw>
                    </a:effectLst>
                  </pic:spPr>
                </pic:pic>
              </a:graphicData>
            </a:graphic>
          </wp:anchor>
        </w:drawing>
      </w:r>
      <w:r w:rsidR="0080569A">
        <w:rPr>
          <w:noProof/>
          <w:lang w:val="nl-NL" w:eastAsia="nl-NL"/>
        </w:rPr>
        <w:drawing>
          <wp:anchor distT="0" distB="0" distL="114300" distR="114300" simplePos="0" relativeHeight="251651072" behindDoc="0" locked="0" layoutInCell="1" allowOverlap="1">
            <wp:simplePos x="0" y="0"/>
            <wp:positionH relativeFrom="column">
              <wp:posOffset>3263138</wp:posOffset>
            </wp:positionH>
            <wp:positionV relativeFrom="paragraph">
              <wp:posOffset>2751201</wp:posOffset>
            </wp:positionV>
            <wp:extent cx="3092831" cy="2460498"/>
            <wp:effectExtent l="171450" t="133350" r="355219" b="301752"/>
            <wp:wrapSquare wrapText="bothSides"/>
            <wp:docPr id="44"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srcRect/>
                    <a:stretch>
                      <a:fillRect/>
                    </a:stretch>
                  </pic:blipFill>
                  <pic:spPr bwMode="auto">
                    <a:xfrm>
                      <a:off x="0" y="0"/>
                      <a:ext cx="3092831" cy="2460498"/>
                    </a:xfrm>
                    <a:prstGeom prst="rect">
                      <a:avLst/>
                    </a:prstGeom>
                    <a:ln>
                      <a:noFill/>
                    </a:ln>
                    <a:effectLst>
                      <a:outerShdw blurRad="292100" dist="139700" dir="2700000" algn="tl" rotWithShape="0">
                        <a:srgbClr val="333333">
                          <a:alpha val="65000"/>
                        </a:srgbClr>
                      </a:outerShdw>
                    </a:effectLst>
                  </pic:spPr>
                </pic:pic>
              </a:graphicData>
            </a:graphic>
          </wp:anchor>
        </w:drawing>
      </w:r>
      <w:r w:rsidR="0080569A">
        <w:rPr>
          <w:noProof/>
          <w:lang w:val="nl-NL" w:eastAsia="nl-NL"/>
        </w:rPr>
        <w:drawing>
          <wp:anchor distT="0" distB="0" distL="114300" distR="114300" simplePos="0" relativeHeight="251652096" behindDoc="0" locked="0" layoutInCell="1" allowOverlap="1">
            <wp:simplePos x="0" y="0"/>
            <wp:positionH relativeFrom="column">
              <wp:posOffset>-205867</wp:posOffset>
            </wp:positionH>
            <wp:positionV relativeFrom="paragraph">
              <wp:posOffset>2772156</wp:posOffset>
            </wp:positionV>
            <wp:extent cx="3055112" cy="2446401"/>
            <wp:effectExtent l="171450" t="133350" r="354838" b="296799"/>
            <wp:wrapSquare wrapText="bothSides"/>
            <wp:docPr id="43"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srcRect/>
                    <a:stretch>
                      <a:fillRect/>
                    </a:stretch>
                  </pic:blipFill>
                  <pic:spPr bwMode="auto">
                    <a:xfrm>
                      <a:off x="0" y="0"/>
                      <a:ext cx="3055112" cy="2446401"/>
                    </a:xfrm>
                    <a:prstGeom prst="rect">
                      <a:avLst/>
                    </a:prstGeom>
                    <a:ln>
                      <a:noFill/>
                    </a:ln>
                    <a:effectLst>
                      <a:outerShdw blurRad="292100" dist="139700" dir="2700000" algn="tl" rotWithShape="0">
                        <a:srgbClr val="333333">
                          <a:alpha val="65000"/>
                        </a:srgbClr>
                      </a:outerShdw>
                    </a:effectLst>
                  </pic:spPr>
                </pic:pic>
              </a:graphicData>
            </a:graphic>
          </wp:anchor>
        </w:drawing>
      </w:r>
      <w:r w:rsidR="0080569A">
        <w:rPr>
          <w:noProof/>
          <w:lang w:val="nl-NL" w:eastAsia="nl-NL"/>
        </w:rPr>
        <w:drawing>
          <wp:anchor distT="0" distB="0" distL="114300" distR="114300" simplePos="0" relativeHeight="251654144" behindDoc="0" locked="0" layoutInCell="1" allowOverlap="1">
            <wp:simplePos x="0" y="0"/>
            <wp:positionH relativeFrom="column">
              <wp:posOffset>-249047</wp:posOffset>
            </wp:positionH>
            <wp:positionV relativeFrom="paragraph">
              <wp:posOffset>-93599</wp:posOffset>
            </wp:positionV>
            <wp:extent cx="3073019" cy="2456434"/>
            <wp:effectExtent l="171450" t="133350" r="355981" b="305816"/>
            <wp:wrapSquare wrapText="bothSides"/>
            <wp:docPr id="42"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cstate="print"/>
                    <a:srcRect/>
                    <a:stretch>
                      <a:fillRect/>
                    </a:stretch>
                  </pic:blipFill>
                  <pic:spPr bwMode="auto">
                    <a:xfrm>
                      <a:off x="0" y="0"/>
                      <a:ext cx="3073019" cy="2456434"/>
                    </a:xfrm>
                    <a:prstGeom prst="rect">
                      <a:avLst/>
                    </a:prstGeom>
                    <a:ln>
                      <a:noFill/>
                    </a:ln>
                    <a:effectLst>
                      <a:outerShdw blurRad="292100" dist="139700" dir="2700000" algn="tl" rotWithShape="0">
                        <a:srgbClr val="333333">
                          <a:alpha val="65000"/>
                        </a:srgbClr>
                      </a:outerShdw>
                    </a:effectLst>
                  </pic:spPr>
                </pic:pic>
              </a:graphicData>
            </a:graphic>
          </wp:anchor>
        </w:drawing>
      </w:r>
    </w:p>
    <w:p w:rsidR="00A95413" w:rsidRDefault="0080569A" w:rsidP="007E1360">
      <w:pPr>
        <w:jc w:val="both"/>
        <w:rPr>
          <w:rFonts w:cs="Calibri"/>
          <w:b/>
          <w:bCs/>
          <w:caps/>
          <w:color w:val="FFFFFF"/>
          <w:spacing w:val="15"/>
          <w:sz w:val="22"/>
          <w:szCs w:val="22"/>
        </w:rPr>
      </w:pPr>
      <w:r>
        <w:rPr>
          <w:noProof/>
          <w:lang w:val="nl-NL" w:eastAsia="nl-NL"/>
        </w:rPr>
        <w:lastRenderedPageBreak/>
        <w:drawing>
          <wp:anchor distT="0" distB="0" distL="114300" distR="114300" simplePos="0" relativeHeight="251657216" behindDoc="0" locked="0" layoutInCell="1" allowOverlap="1">
            <wp:simplePos x="0" y="0"/>
            <wp:positionH relativeFrom="column">
              <wp:posOffset>3376041</wp:posOffset>
            </wp:positionH>
            <wp:positionV relativeFrom="paragraph">
              <wp:posOffset>2490089</wp:posOffset>
            </wp:positionV>
            <wp:extent cx="3001518" cy="2381123"/>
            <wp:effectExtent l="152400" t="114300" r="370332" b="304927"/>
            <wp:wrapSquare wrapText="bothSides"/>
            <wp:docPr id="41" name="Afbeelding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srcRect/>
                    <a:stretch>
                      <a:fillRect/>
                    </a:stretch>
                  </pic:blipFill>
                  <pic:spPr bwMode="auto">
                    <a:xfrm>
                      <a:off x="0" y="0"/>
                      <a:ext cx="3001518" cy="2381123"/>
                    </a:xfrm>
                    <a:prstGeom prst="rect">
                      <a:avLst/>
                    </a:prstGeom>
                    <a:ln>
                      <a:noFill/>
                    </a:ln>
                    <a:effectLst>
                      <a:outerShdw blurRad="292100" dist="139700" dir="2700000" algn="tl" rotWithShape="0">
                        <a:srgbClr val="333333">
                          <a:alpha val="65000"/>
                        </a:srgbClr>
                      </a:outerShdw>
                    </a:effectLst>
                  </pic:spPr>
                </pic:pic>
              </a:graphicData>
            </a:graphic>
          </wp:anchor>
        </w:drawing>
      </w:r>
      <w:r>
        <w:rPr>
          <w:noProof/>
          <w:lang w:val="nl-NL" w:eastAsia="nl-NL"/>
        </w:rPr>
        <w:drawing>
          <wp:anchor distT="0" distB="0" distL="114300" distR="114300" simplePos="0" relativeHeight="251662336" behindDoc="0" locked="0" layoutInCell="1" allowOverlap="1">
            <wp:simplePos x="0" y="0"/>
            <wp:positionH relativeFrom="column">
              <wp:posOffset>-328422</wp:posOffset>
            </wp:positionH>
            <wp:positionV relativeFrom="paragraph">
              <wp:posOffset>5392801</wp:posOffset>
            </wp:positionV>
            <wp:extent cx="3022727" cy="2388870"/>
            <wp:effectExtent l="171450" t="133350" r="368173" b="297180"/>
            <wp:wrapSquare wrapText="bothSides"/>
            <wp:docPr id="40" name="Pictur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5" cstate="print"/>
                    <a:srcRect/>
                    <a:stretch>
                      <a:fillRect/>
                    </a:stretch>
                  </pic:blipFill>
                  <pic:spPr bwMode="auto">
                    <a:xfrm>
                      <a:off x="0" y="0"/>
                      <a:ext cx="3022727" cy="2388870"/>
                    </a:xfrm>
                    <a:prstGeom prst="rect">
                      <a:avLst/>
                    </a:prstGeom>
                    <a:ln>
                      <a:noFill/>
                    </a:ln>
                    <a:effectLst>
                      <a:outerShdw blurRad="292100" dist="139700" dir="2700000" algn="tl" rotWithShape="0">
                        <a:srgbClr val="333333">
                          <a:alpha val="65000"/>
                        </a:srgbClr>
                      </a:outerShdw>
                    </a:effectLst>
                  </pic:spPr>
                </pic:pic>
              </a:graphicData>
            </a:graphic>
          </wp:anchor>
        </w:drawing>
      </w:r>
      <w:r>
        <w:rPr>
          <w:noProof/>
          <w:lang w:val="nl-NL" w:eastAsia="nl-NL"/>
        </w:rPr>
        <w:drawing>
          <wp:anchor distT="0" distB="0" distL="114300" distR="114300" simplePos="0" relativeHeight="251660288" behindDoc="0" locked="0" layoutInCell="1" allowOverlap="1">
            <wp:simplePos x="0" y="0"/>
            <wp:positionH relativeFrom="column">
              <wp:posOffset>-328422</wp:posOffset>
            </wp:positionH>
            <wp:positionV relativeFrom="paragraph">
              <wp:posOffset>2489581</wp:posOffset>
            </wp:positionV>
            <wp:extent cx="3010789" cy="2382901"/>
            <wp:effectExtent l="171450" t="133350" r="361061" b="303149"/>
            <wp:wrapSquare wrapText="bothSides"/>
            <wp:docPr id="39" name="Pictur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6" cstate="print"/>
                    <a:srcRect/>
                    <a:stretch>
                      <a:fillRect/>
                    </a:stretch>
                  </pic:blipFill>
                  <pic:spPr bwMode="auto">
                    <a:xfrm>
                      <a:off x="0" y="0"/>
                      <a:ext cx="3010789" cy="2382901"/>
                    </a:xfrm>
                    <a:prstGeom prst="rect">
                      <a:avLst/>
                    </a:prstGeom>
                    <a:ln>
                      <a:noFill/>
                    </a:ln>
                    <a:effectLst>
                      <a:outerShdw blurRad="292100" dist="139700" dir="2700000" algn="tl" rotWithShape="0">
                        <a:srgbClr val="333333">
                          <a:alpha val="65000"/>
                        </a:srgbClr>
                      </a:outerShdw>
                    </a:effectLst>
                  </pic:spPr>
                </pic:pic>
              </a:graphicData>
            </a:graphic>
          </wp:anchor>
        </w:drawing>
      </w:r>
      <w:r>
        <w:rPr>
          <w:noProof/>
          <w:lang w:val="nl-NL" w:eastAsia="nl-NL"/>
        </w:rPr>
        <w:drawing>
          <wp:anchor distT="0" distB="0" distL="114300" distR="114300" simplePos="0" relativeHeight="251659264" behindDoc="0" locked="0" layoutInCell="1" allowOverlap="1">
            <wp:simplePos x="0" y="0"/>
            <wp:positionH relativeFrom="column">
              <wp:posOffset>3376168</wp:posOffset>
            </wp:positionH>
            <wp:positionV relativeFrom="paragraph">
              <wp:posOffset>-282194</wp:posOffset>
            </wp:positionV>
            <wp:extent cx="3026791" cy="2379472"/>
            <wp:effectExtent l="171450" t="133350" r="364109" b="306578"/>
            <wp:wrapSquare wrapText="bothSides"/>
            <wp:docPr id="38" name="Pictur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7" cstate="print"/>
                    <a:srcRect/>
                    <a:stretch>
                      <a:fillRect/>
                    </a:stretch>
                  </pic:blipFill>
                  <pic:spPr bwMode="auto">
                    <a:xfrm>
                      <a:off x="0" y="0"/>
                      <a:ext cx="3026791" cy="2379472"/>
                    </a:xfrm>
                    <a:prstGeom prst="rect">
                      <a:avLst/>
                    </a:prstGeom>
                    <a:ln>
                      <a:noFill/>
                    </a:ln>
                    <a:effectLst>
                      <a:outerShdw blurRad="292100" dist="139700" dir="2700000" algn="tl" rotWithShape="0">
                        <a:srgbClr val="333333">
                          <a:alpha val="65000"/>
                        </a:srgbClr>
                      </a:outerShdw>
                    </a:effectLst>
                  </pic:spPr>
                </pic:pic>
              </a:graphicData>
            </a:graphic>
          </wp:anchor>
        </w:drawing>
      </w:r>
      <w:r>
        <w:rPr>
          <w:noProof/>
          <w:lang w:val="nl-NL" w:eastAsia="nl-NL"/>
        </w:rPr>
        <w:drawing>
          <wp:anchor distT="0" distB="0" distL="114300" distR="114300" simplePos="0" relativeHeight="251661312" behindDoc="0" locked="0" layoutInCell="1" allowOverlap="1">
            <wp:simplePos x="0" y="0"/>
            <wp:positionH relativeFrom="column">
              <wp:posOffset>-328422</wp:posOffset>
            </wp:positionH>
            <wp:positionV relativeFrom="paragraph">
              <wp:posOffset>-282194</wp:posOffset>
            </wp:positionV>
            <wp:extent cx="3038475" cy="2388235"/>
            <wp:effectExtent l="171450" t="133350" r="371475" b="297815"/>
            <wp:wrapSquare wrapText="bothSides"/>
            <wp:docPr id="37" name="Pictur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 cstate="print"/>
                    <a:srcRect/>
                    <a:stretch>
                      <a:fillRect/>
                    </a:stretch>
                  </pic:blipFill>
                  <pic:spPr bwMode="auto">
                    <a:xfrm>
                      <a:off x="0" y="0"/>
                      <a:ext cx="3038475" cy="2388235"/>
                    </a:xfrm>
                    <a:prstGeom prst="rect">
                      <a:avLst/>
                    </a:prstGeom>
                    <a:ln>
                      <a:noFill/>
                    </a:ln>
                    <a:effectLst>
                      <a:outerShdw blurRad="292100" dist="139700" dir="2700000" algn="tl" rotWithShape="0">
                        <a:srgbClr val="333333">
                          <a:alpha val="65000"/>
                        </a:srgbClr>
                      </a:outerShdw>
                    </a:effectLst>
                  </pic:spPr>
                </pic:pic>
              </a:graphicData>
            </a:graphic>
          </wp:anchor>
        </w:drawing>
      </w:r>
      <w:r w:rsidR="00A95413">
        <w:rPr>
          <w:rFonts w:cs="Calibri"/>
        </w:rPr>
        <w:br w:type="page"/>
      </w:r>
    </w:p>
    <w:p w:rsidR="00A95413" w:rsidRPr="00046999" w:rsidRDefault="00A95413" w:rsidP="001D4BB3">
      <w:pPr>
        <w:pStyle w:val="Kop1"/>
        <w:jc w:val="both"/>
        <w:rPr>
          <w:rFonts w:cs="Calibri"/>
        </w:rPr>
      </w:pPr>
      <w:bookmarkStart w:id="156" w:name="_Toc320365365"/>
      <w:r w:rsidRPr="00046999">
        <w:rPr>
          <w:rFonts w:cs="Calibri"/>
        </w:rPr>
        <w:lastRenderedPageBreak/>
        <w:t>Appendix V: Information type analysis</w:t>
      </w:r>
      <w:bookmarkEnd w:id="156"/>
    </w:p>
    <w:p w:rsidR="00A95413" w:rsidRPr="00046999" w:rsidRDefault="00E0784B" w:rsidP="001D4BB3">
      <w:pPr>
        <w:autoSpaceDE w:val="0"/>
        <w:autoSpaceDN w:val="0"/>
        <w:adjustRightInd w:val="0"/>
        <w:spacing w:before="0" w:after="0"/>
        <w:jc w:val="both"/>
        <w:rPr>
          <w:rFonts w:cs="Calibri"/>
          <w:sz w:val="22"/>
          <w:szCs w:val="22"/>
        </w:rPr>
      </w:pPr>
      <w:r w:rsidRPr="00E0784B">
        <w:rPr>
          <w:noProof/>
          <w:lang w:val="nl-NL" w:eastAsia="nl-NL"/>
        </w:rPr>
        <w:pict>
          <v:shape id="_x0000_s1042" type="#_x0000_t202" style="position:absolute;left:0;text-align:left;margin-left:9.65pt;margin-top:8.55pt;width:231.6pt;height:35.45pt;z-index:251667456" stroked="f">
            <v:textbox style="mso-next-textbox:#_x0000_s1042;mso-fit-shape-to-text:t" inset="0,0,0,0">
              <w:txbxContent>
                <w:p w:rsidR="001E2B80" w:rsidRPr="00F63097" w:rsidRDefault="001E2B80" w:rsidP="00A11675">
                  <w:pPr>
                    <w:pStyle w:val="Bijschrift"/>
                    <w:rPr>
                      <w:rFonts w:cs="Calibri"/>
                      <w:i/>
                      <w:noProof/>
                      <w:sz w:val="22"/>
                      <w:szCs w:val="22"/>
                      <w:u w:val="single"/>
                    </w:rPr>
                  </w:pPr>
                  <w:r w:rsidRPr="00A11675">
                    <w:rPr>
                      <w:sz w:val="22"/>
                      <w:szCs w:val="22"/>
                    </w:rPr>
                    <w:t xml:space="preserve">Figure </w:t>
                  </w:r>
                  <w:r>
                    <w:rPr>
                      <w:sz w:val="22"/>
                      <w:szCs w:val="22"/>
                    </w:rPr>
                    <w:t>4</w:t>
                  </w:r>
                  <w:r w:rsidRPr="00A11675">
                    <w:rPr>
                      <w:sz w:val="22"/>
                      <w:szCs w:val="22"/>
                    </w:rPr>
                    <w:t>: Q-Q plots information type</w:t>
                  </w:r>
                </w:p>
              </w:txbxContent>
            </v:textbox>
            <w10:wrap type="square"/>
          </v:shape>
        </w:pict>
      </w:r>
    </w:p>
    <w:p w:rsidR="00A95413" w:rsidRPr="00046999" w:rsidRDefault="0080569A" w:rsidP="00A11675">
      <w:pPr>
        <w:autoSpaceDE w:val="0"/>
        <w:autoSpaceDN w:val="0"/>
        <w:adjustRightInd w:val="0"/>
        <w:spacing w:before="0" w:after="0"/>
        <w:jc w:val="both"/>
        <w:rPr>
          <w:rFonts w:cs="Calibri"/>
          <w:b/>
          <w:sz w:val="22"/>
          <w:szCs w:val="22"/>
          <w:u w:val="single"/>
        </w:rPr>
      </w:pPr>
      <w:r>
        <w:rPr>
          <w:noProof/>
          <w:lang w:val="nl-NL" w:eastAsia="nl-NL"/>
        </w:rPr>
        <w:drawing>
          <wp:anchor distT="0" distB="0" distL="114300" distR="114300" simplePos="0" relativeHeight="251648000" behindDoc="0" locked="0" layoutInCell="1" allowOverlap="1">
            <wp:simplePos x="0" y="0"/>
            <wp:positionH relativeFrom="column">
              <wp:posOffset>39624</wp:posOffset>
            </wp:positionH>
            <wp:positionV relativeFrom="paragraph">
              <wp:posOffset>409194</wp:posOffset>
            </wp:positionV>
            <wp:extent cx="3006344" cy="2359787"/>
            <wp:effectExtent l="152400" t="114300" r="365506" b="307213"/>
            <wp:wrapSquare wrapText="bothSides"/>
            <wp:docPr id="3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cstate="print"/>
                    <a:srcRect/>
                    <a:stretch>
                      <a:fillRect/>
                    </a:stretch>
                  </pic:blipFill>
                  <pic:spPr bwMode="auto">
                    <a:xfrm>
                      <a:off x="0" y="0"/>
                      <a:ext cx="3006344" cy="2359787"/>
                    </a:xfrm>
                    <a:prstGeom prst="rect">
                      <a:avLst/>
                    </a:prstGeom>
                    <a:ln>
                      <a:noFill/>
                    </a:ln>
                    <a:effectLst>
                      <a:outerShdw blurRad="292100" dist="139700" dir="2700000" algn="tl" rotWithShape="0">
                        <a:srgbClr val="333333">
                          <a:alpha val="65000"/>
                        </a:srgbClr>
                      </a:outerShdw>
                    </a:effectLst>
                  </pic:spPr>
                </pic:pic>
              </a:graphicData>
            </a:graphic>
          </wp:anchor>
        </w:drawing>
      </w:r>
      <w:r>
        <w:rPr>
          <w:noProof/>
          <w:lang w:val="nl-NL" w:eastAsia="nl-NL"/>
        </w:rPr>
        <w:drawing>
          <wp:anchor distT="0" distB="0" distL="114300" distR="114300" simplePos="0" relativeHeight="251650048" behindDoc="0" locked="0" layoutInCell="1" allowOverlap="1">
            <wp:simplePos x="0" y="0"/>
            <wp:positionH relativeFrom="column">
              <wp:posOffset>-3243326</wp:posOffset>
            </wp:positionH>
            <wp:positionV relativeFrom="paragraph">
              <wp:posOffset>408559</wp:posOffset>
            </wp:positionV>
            <wp:extent cx="2945384" cy="2332736"/>
            <wp:effectExtent l="152400" t="114300" r="369316" b="296164"/>
            <wp:wrapSquare wrapText="bothSides"/>
            <wp:docPr id="35"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cstate="print"/>
                    <a:srcRect/>
                    <a:stretch>
                      <a:fillRect/>
                    </a:stretch>
                  </pic:blipFill>
                  <pic:spPr bwMode="auto">
                    <a:xfrm>
                      <a:off x="0" y="0"/>
                      <a:ext cx="2945384" cy="2332736"/>
                    </a:xfrm>
                    <a:prstGeom prst="rect">
                      <a:avLst/>
                    </a:prstGeom>
                    <a:ln>
                      <a:noFill/>
                    </a:ln>
                    <a:effectLst>
                      <a:outerShdw blurRad="292100" dist="139700" dir="2700000" algn="tl" rotWithShape="0">
                        <a:srgbClr val="333333">
                          <a:alpha val="65000"/>
                        </a:srgbClr>
                      </a:outerShdw>
                    </a:effectLst>
                  </pic:spPr>
                </pic:pic>
              </a:graphicData>
            </a:graphic>
          </wp:anchor>
        </w:drawing>
      </w:r>
      <w:r w:rsidR="00A95413" w:rsidRPr="00046999">
        <w:rPr>
          <w:rFonts w:cs="Calibri"/>
          <w:i/>
          <w:sz w:val="22"/>
          <w:szCs w:val="22"/>
          <w:u w:val="single"/>
        </w:rPr>
        <w:t xml:space="preserve"> </w:t>
      </w:r>
    </w:p>
    <w:p w:rsidR="00A95413" w:rsidRDefault="0080569A">
      <w:pPr>
        <w:rPr>
          <w:rFonts w:cs="Calibri"/>
          <w:b/>
          <w:sz w:val="22"/>
          <w:szCs w:val="22"/>
          <w:u w:val="single"/>
        </w:rPr>
      </w:pPr>
      <w:r>
        <w:rPr>
          <w:noProof/>
          <w:lang w:val="nl-NL" w:eastAsia="nl-NL"/>
        </w:rPr>
        <w:drawing>
          <wp:anchor distT="0" distB="0" distL="114300" distR="114300" simplePos="0" relativeHeight="251649024" behindDoc="0" locked="0" layoutInCell="1" allowOverlap="1">
            <wp:simplePos x="0" y="0"/>
            <wp:positionH relativeFrom="column">
              <wp:posOffset>-110109</wp:posOffset>
            </wp:positionH>
            <wp:positionV relativeFrom="paragraph">
              <wp:posOffset>2956179</wp:posOffset>
            </wp:positionV>
            <wp:extent cx="2994914" cy="2383028"/>
            <wp:effectExtent l="152400" t="114300" r="357886" b="303022"/>
            <wp:wrapSquare wrapText="bothSides"/>
            <wp:docPr id="1"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cstate="print"/>
                    <a:srcRect/>
                    <a:stretch>
                      <a:fillRect/>
                    </a:stretch>
                  </pic:blipFill>
                  <pic:spPr bwMode="auto">
                    <a:xfrm>
                      <a:off x="0" y="0"/>
                      <a:ext cx="2994914" cy="2383028"/>
                    </a:xfrm>
                    <a:prstGeom prst="rect">
                      <a:avLst/>
                    </a:prstGeom>
                    <a:ln>
                      <a:noFill/>
                    </a:ln>
                    <a:effectLst>
                      <a:outerShdw blurRad="292100" dist="139700" dir="2700000" algn="tl" rotWithShape="0">
                        <a:srgbClr val="333333">
                          <a:alpha val="65000"/>
                        </a:srgbClr>
                      </a:outerShdw>
                    </a:effectLst>
                  </pic:spPr>
                </pic:pic>
              </a:graphicData>
            </a:graphic>
          </wp:anchor>
        </w:drawing>
      </w:r>
      <w:r w:rsidR="00A95413">
        <w:rPr>
          <w:rFonts w:cs="Calibri"/>
          <w:b/>
          <w:sz w:val="22"/>
          <w:szCs w:val="22"/>
          <w:u w:val="single"/>
        </w:rPr>
        <w:br w:type="page"/>
      </w:r>
    </w:p>
    <w:p w:rsidR="00A95413" w:rsidRPr="00046999" w:rsidRDefault="00A95413" w:rsidP="001D4BB3">
      <w:pPr>
        <w:pStyle w:val="Kop1"/>
        <w:jc w:val="both"/>
        <w:rPr>
          <w:rFonts w:cs="Calibri"/>
          <w:sz w:val="20"/>
          <w:szCs w:val="20"/>
        </w:rPr>
      </w:pPr>
      <w:bookmarkStart w:id="157" w:name="_Toc320365366"/>
      <w:r>
        <w:rPr>
          <w:rFonts w:cs="Calibri"/>
          <w:sz w:val="20"/>
          <w:szCs w:val="20"/>
        </w:rPr>
        <w:lastRenderedPageBreak/>
        <w:t>Appendix V</w:t>
      </w:r>
      <w:r w:rsidRPr="00046999">
        <w:rPr>
          <w:rFonts w:cs="Calibri"/>
          <w:sz w:val="20"/>
          <w:szCs w:val="20"/>
        </w:rPr>
        <w:t>I: Disclosure score sheets from prior studies</w:t>
      </w:r>
      <w:bookmarkEnd w:id="157"/>
    </w:p>
    <w:p w:rsidR="00A95413" w:rsidRPr="00046999" w:rsidRDefault="00A95413" w:rsidP="001D4BB3">
      <w:pPr>
        <w:pStyle w:val="Kop5"/>
        <w:jc w:val="both"/>
        <w:rPr>
          <w:rFonts w:cs="Calibri"/>
          <w:sz w:val="20"/>
          <w:szCs w:val="20"/>
        </w:rPr>
      </w:pPr>
      <w:r w:rsidRPr="00046999">
        <w:rPr>
          <w:rFonts w:cs="Calibri"/>
          <w:sz w:val="20"/>
          <w:szCs w:val="20"/>
        </w:rPr>
        <w:t>Meek et al. (1995)</w:t>
      </w:r>
    </w:p>
    <w:p w:rsidR="00A95413" w:rsidRPr="00046999" w:rsidRDefault="00A95413" w:rsidP="001D4BB3">
      <w:pPr>
        <w:autoSpaceDE w:val="0"/>
        <w:autoSpaceDN w:val="0"/>
        <w:adjustRightInd w:val="0"/>
        <w:spacing w:before="0" w:after="0" w:line="240" w:lineRule="auto"/>
        <w:jc w:val="both"/>
        <w:rPr>
          <w:rFonts w:cs="Calibri"/>
          <w:b/>
          <w:bCs/>
        </w:rPr>
      </w:pPr>
      <w:r w:rsidRPr="00046999">
        <w:rPr>
          <w:rFonts w:cs="Calibri"/>
          <w:b/>
          <w:bCs/>
        </w:rPr>
        <w:t>Strategic information</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1. General Corporate Information</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1 Brief history of company</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2 Organizational structure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2. Corporate Strategy</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3 Statement of strategy and objectives - general</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4 Statement of strategy and objectives - financial</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5 Statement of strategy and objectives - marketing</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6 Statement of strategy and objectives - social</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7 Impact of strategy on current results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8 Impact of strategy on future results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3. Acquisitions and Disposals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9 Reasons for the acquisitions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10 Reasons for the disposals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4. Research and Development</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11 Corporate policy on research and development</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12 Location of research and development activities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13 Number employed in research and development</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5. Future Prospects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14 Qualitative forecast of sales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15 Quantitative forecast of sales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16 Qualitative forecast of profits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17 Quantitative forecast of profits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18 Qualitative forecast of cash flows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19 Quantitative forecast of cash flows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20 Assumptions underlying the forecasts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21 Current period trading results - qualitative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22 Current period trading results - quantitative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23 Order book or backlog information</w:t>
      </w:r>
    </w:p>
    <w:p w:rsidR="00A95413" w:rsidRPr="00046999" w:rsidRDefault="00A95413" w:rsidP="001D4BB3">
      <w:pPr>
        <w:autoSpaceDE w:val="0"/>
        <w:autoSpaceDN w:val="0"/>
        <w:adjustRightInd w:val="0"/>
        <w:spacing w:before="0" w:after="0" w:line="240" w:lineRule="auto"/>
        <w:jc w:val="both"/>
        <w:rPr>
          <w:rFonts w:cs="Calibri"/>
          <w:b/>
          <w:bCs/>
        </w:rPr>
      </w:pPr>
      <w:r w:rsidRPr="00046999">
        <w:rPr>
          <w:rFonts w:cs="Calibri"/>
          <w:b/>
          <w:bCs/>
        </w:rPr>
        <w:t>Nonfinancial information</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6. Information About Directors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24 Age of the directors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25 Educational qualifications (academic and professional)</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26 Commercial experience of the executive directors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27 Other directorships held by executive directors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7. Employee Information</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28 Geographical distribution of employees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29 Line-of-business distribution of employees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30 Categories of employees by gender</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31 Identification of senior management and their functions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32 Number of employees for two or more years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33 Reasons for changes in employee numbers or categories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34 Amount spent on training</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35 Nature of training</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36 Categories of employees trained</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37 Number of employees trained</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38 Data on accidents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39 Cost of safety measures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lastRenderedPageBreak/>
        <w:t>40 Redundancy information (general)</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41 Equal opportunity policy statement</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42 Recruitment problems and related policy</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8. Social Policy and Value Added Information</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43 Safety of products (general)</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44 Environmental protection programs - quantitative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45 Charitable donations (amount)</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46 Community programs (general)</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47 Value added statement</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48 Value added data</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49 Value added ratios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50 Qualitative value added information</w:t>
      </w:r>
    </w:p>
    <w:p w:rsidR="00A95413" w:rsidRPr="00046999" w:rsidRDefault="00A95413" w:rsidP="001D4BB3">
      <w:pPr>
        <w:autoSpaceDE w:val="0"/>
        <w:autoSpaceDN w:val="0"/>
        <w:adjustRightInd w:val="0"/>
        <w:spacing w:before="0" w:after="0" w:line="240" w:lineRule="auto"/>
        <w:jc w:val="both"/>
        <w:rPr>
          <w:rFonts w:cs="Calibri"/>
          <w:b/>
          <w:bCs/>
        </w:rPr>
      </w:pPr>
      <w:r w:rsidRPr="00046999">
        <w:rPr>
          <w:rFonts w:cs="Calibri"/>
          <w:b/>
          <w:bCs/>
        </w:rPr>
        <w:t>Financial information</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9. Segmental Information</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51 Geographical capital expenditure - quantitative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52 Geographical production - quantitative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53 Line-of-business production - quantitative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54 Competitor analysis - qualitative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55 Competitor analysis - quantitative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56 Market share analysis - qualitative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57 Market share analysis - quantitative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10. Financial Review</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58 Profitability ratios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59 Cash flow ratios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60 Liquidity ratios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61 Gearing ratios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62 Disclosure of intangible valuations (except goodwill and brands)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63 Dividend payout policy</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64 Financial history or summary - six or more years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65 Restatement of financial information to non-U.S./U.K. GAAP</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66 Off balance sheet financing information</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67 Advertising information - qualitative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68 Advertising expenditure - quantitative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69 Effects of inflation on future operations - qualitative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70 Effects of inflation on results - qualitative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71 Effects of inflation on results - quantitative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72 Effects of inflation on assets - qualitative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73 Effects of inflation on assets - quantitative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74 Effects of interest rates on results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75 Effects of interest rates on future operations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11. Foreign Currency Information</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76 Effects of foreign currency fluctuations on future operations - qualitative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77 Effects of foreign currency fluctuations on current results - qualitative</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78 Major exchange rates used in the accounts</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79 Long-term debt by currency</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80 Short-term debt by currency</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81 Foreign currency exposure management description</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12. Stock Price Information</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82 Market capitalization at year end</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83 Market capitalization trend</w:t>
      </w:r>
    </w:p>
    <w:p w:rsidR="00A95413" w:rsidRPr="00046999" w:rsidRDefault="00A95413" w:rsidP="001D4BB3">
      <w:pPr>
        <w:autoSpaceDE w:val="0"/>
        <w:autoSpaceDN w:val="0"/>
        <w:adjustRightInd w:val="0"/>
        <w:spacing w:before="0" w:after="0" w:line="240" w:lineRule="auto"/>
        <w:jc w:val="both"/>
        <w:rPr>
          <w:rFonts w:cs="Calibri"/>
          <w:bCs/>
        </w:rPr>
      </w:pPr>
      <w:r w:rsidRPr="00046999">
        <w:rPr>
          <w:rFonts w:cs="Calibri"/>
          <w:bCs/>
        </w:rPr>
        <w:t>84 Size of shareholdings</w:t>
      </w:r>
    </w:p>
    <w:p w:rsidR="00A95413" w:rsidRPr="00046999" w:rsidRDefault="00A95413" w:rsidP="001D4BB3">
      <w:pPr>
        <w:autoSpaceDE w:val="0"/>
        <w:autoSpaceDN w:val="0"/>
        <w:adjustRightInd w:val="0"/>
        <w:spacing w:before="0" w:after="0" w:line="240" w:lineRule="auto"/>
        <w:jc w:val="both"/>
        <w:rPr>
          <w:rFonts w:cs="Calibri"/>
          <w:caps/>
          <w:color w:val="365F91"/>
          <w:spacing w:val="10"/>
        </w:rPr>
      </w:pPr>
      <w:r w:rsidRPr="00046999">
        <w:rPr>
          <w:rFonts w:cs="Calibri"/>
          <w:bCs/>
        </w:rPr>
        <w:t>85 Type of shareholder</w:t>
      </w:r>
    </w:p>
    <w:p w:rsidR="00A95413" w:rsidRPr="00046999" w:rsidRDefault="00A95413" w:rsidP="001D4BB3">
      <w:pPr>
        <w:pStyle w:val="Kop5"/>
        <w:jc w:val="both"/>
        <w:rPr>
          <w:rFonts w:cs="Calibri"/>
          <w:sz w:val="20"/>
          <w:szCs w:val="20"/>
        </w:rPr>
      </w:pPr>
      <w:r w:rsidRPr="00046999">
        <w:rPr>
          <w:rFonts w:cs="Calibri"/>
          <w:sz w:val="20"/>
          <w:szCs w:val="20"/>
        </w:rPr>
        <w:lastRenderedPageBreak/>
        <w:t>Botosan (1997)</w:t>
      </w:r>
    </w:p>
    <w:p w:rsidR="00A95413" w:rsidRPr="00046999" w:rsidRDefault="0080569A" w:rsidP="001D4BB3">
      <w:pPr>
        <w:jc w:val="both"/>
        <w:rPr>
          <w:rFonts w:cs="Calibri"/>
        </w:rPr>
      </w:pPr>
      <w:r>
        <w:rPr>
          <w:rFonts w:cs="Calibri"/>
          <w:noProof/>
          <w:lang w:val="nl-NL" w:eastAsia="nl-NL"/>
        </w:rPr>
        <w:drawing>
          <wp:inline distT="0" distB="0" distL="0" distR="0">
            <wp:extent cx="5901055" cy="4072255"/>
            <wp:effectExtent l="19050" t="0" r="4445" b="0"/>
            <wp:docPr id="1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32"/>
                    <a:srcRect/>
                    <a:stretch>
                      <a:fillRect/>
                    </a:stretch>
                  </pic:blipFill>
                  <pic:spPr bwMode="auto">
                    <a:xfrm>
                      <a:off x="0" y="0"/>
                      <a:ext cx="5901055" cy="4072255"/>
                    </a:xfrm>
                    <a:prstGeom prst="rect">
                      <a:avLst/>
                    </a:prstGeom>
                    <a:noFill/>
                    <a:ln w="9525">
                      <a:noFill/>
                      <a:miter lim="800000"/>
                      <a:headEnd/>
                      <a:tailEnd/>
                    </a:ln>
                  </pic:spPr>
                </pic:pic>
              </a:graphicData>
            </a:graphic>
          </wp:inline>
        </w:drawing>
      </w:r>
    </w:p>
    <w:p w:rsidR="00A95413" w:rsidRPr="00046999" w:rsidRDefault="0080569A" w:rsidP="001D4BB3">
      <w:pPr>
        <w:jc w:val="both"/>
        <w:rPr>
          <w:rFonts w:cs="Calibri"/>
        </w:rPr>
      </w:pPr>
      <w:r>
        <w:rPr>
          <w:rFonts w:cs="Calibri"/>
          <w:noProof/>
          <w:lang w:val="nl-NL" w:eastAsia="nl-NL"/>
        </w:rPr>
        <w:drawing>
          <wp:inline distT="0" distB="0" distL="0" distR="0">
            <wp:extent cx="5891530" cy="2959735"/>
            <wp:effectExtent l="19050" t="0" r="0" b="0"/>
            <wp:docPr id="1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a:picLocks noChangeAspect="1" noChangeArrowheads="1"/>
                    </pic:cNvPicPr>
                  </pic:nvPicPr>
                  <pic:blipFill>
                    <a:blip r:embed="rId33"/>
                    <a:srcRect/>
                    <a:stretch>
                      <a:fillRect/>
                    </a:stretch>
                  </pic:blipFill>
                  <pic:spPr bwMode="auto">
                    <a:xfrm>
                      <a:off x="0" y="0"/>
                      <a:ext cx="5891530" cy="2959735"/>
                    </a:xfrm>
                    <a:prstGeom prst="rect">
                      <a:avLst/>
                    </a:prstGeom>
                    <a:noFill/>
                    <a:ln w="9525">
                      <a:noFill/>
                      <a:miter lim="800000"/>
                      <a:headEnd/>
                      <a:tailEnd/>
                    </a:ln>
                  </pic:spPr>
                </pic:pic>
              </a:graphicData>
            </a:graphic>
          </wp:inline>
        </w:drawing>
      </w:r>
    </w:p>
    <w:p w:rsidR="00A95413" w:rsidRPr="00046999" w:rsidRDefault="00A95413" w:rsidP="001D4BB3">
      <w:pPr>
        <w:pStyle w:val="Kop5"/>
        <w:jc w:val="both"/>
        <w:rPr>
          <w:rFonts w:cs="Calibri"/>
          <w:sz w:val="20"/>
          <w:szCs w:val="20"/>
        </w:rPr>
      </w:pPr>
    </w:p>
    <w:p w:rsidR="00A95413" w:rsidRPr="00046999" w:rsidRDefault="00A95413" w:rsidP="001D4BB3">
      <w:pPr>
        <w:pStyle w:val="Kop5"/>
        <w:jc w:val="both"/>
        <w:rPr>
          <w:rFonts w:cs="Calibri"/>
          <w:sz w:val="20"/>
          <w:szCs w:val="20"/>
        </w:rPr>
      </w:pPr>
      <w:r w:rsidRPr="00046999">
        <w:rPr>
          <w:rFonts w:cs="Calibri"/>
          <w:sz w:val="20"/>
          <w:szCs w:val="20"/>
        </w:rPr>
        <w:lastRenderedPageBreak/>
        <w:t>Chau and Gray (2002)</w:t>
      </w:r>
    </w:p>
    <w:p w:rsidR="00A95413" w:rsidRPr="00046999" w:rsidRDefault="00A95413" w:rsidP="001D4BB3">
      <w:pPr>
        <w:jc w:val="both"/>
        <w:rPr>
          <w:rFonts w:cs="Calibri"/>
        </w:rPr>
      </w:pPr>
      <w:r w:rsidRPr="00046999">
        <w:rPr>
          <w:rFonts w:cs="Calibri"/>
        </w:rPr>
        <w:br/>
      </w:r>
      <w:r w:rsidR="0080569A">
        <w:rPr>
          <w:rFonts w:cs="Calibri"/>
          <w:b/>
          <w:noProof/>
          <w:lang w:val="nl-NL" w:eastAsia="nl-NL"/>
        </w:rPr>
        <w:drawing>
          <wp:inline distT="0" distB="0" distL="0" distR="0">
            <wp:extent cx="5712460" cy="2526665"/>
            <wp:effectExtent l="19050" t="0" r="2540" b="0"/>
            <wp:docPr id="16"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34"/>
                    <a:srcRect/>
                    <a:stretch>
                      <a:fillRect/>
                    </a:stretch>
                  </pic:blipFill>
                  <pic:spPr bwMode="auto">
                    <a:xfrm>
                      <a:off x="0" y="0"/>
                      <a:ext cx="5712460" cy="2526665"/>
                    </a:xfrm>
                    <a:prstGeom prst="rect">
                      <a:avLst/>
                    </a:prstGeom>
                    <a:noFill/>
                    <a:ln w="9525">
                      <a:noFill/>
                      <a:miter lim="800000"/>
                      <a:headEnd/>
                      <a:tailEnd/>
                    </a:ln>
                  </pic:spPr>
                </pic:pic>
              </a:graphicData>
            </a:graphic>
          </wp:inline>
        </w:drawing>
      </w:r>
    </w:p>
    <w:p w:rsidR="00A95413" w:rsidRPr="00046999" w:rsidRDefault="0080569A" w:rsidP="001D4BB3">
      <w:pPr>
        <w:jc w:val="both"/>
        <w:rPr>
          <w:rFonts w:cs="Calibri"/>
        </w:rPr>
      </w:pPr>
      <w:r>
        <w:rPr>
          <w:rFonts w:cs="Calibri"/>
          <w:b/>
          <w:noProof/>
          <w:lang w:val="nl-NL" w:eastAsia="nl-NL"/>
        </w:rPr>
        <w:drawing>
          <wp:inline distT="0" distB="0" distL="0" distR="0">
            <wp:extent cx="5702935" cy="2375535"/>
            <wp:effectExtent l="19050" t="0" r="0" b="0"/>
            <wp:docPr id="17"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pic:cNvPicPr>
                      <a:picLocks noChangeAspect="1" noChangeArrowheads="1"/>
                    </pic:cNvPicPr>
                  </pic:nvPicPr>
                  <pic:blipFill>
                    <a:blip r:embed="rId35"/>
                    <a:srcRect/>
                    <a:stretch>
                      <a:fillRect/>
                    </a:stretch>
                  </pic:blipFill>
                  <pic:spPr bwMode="auto">
                    <a:xfrm>
                      <a:off x="0" y="0"/>
                      <a:ext cx="5702935" cy="2375535"/>
                    </a:xfrm>
                    <a:prstGeom prst="rect">
                      <a:avLst/>
                    </a:prstGeom>
                    <a:noFill/>
                    <a:ln w="9525">
                      <a:noFill/>
                      <a:miter lim="800000"/>
                      <a:headEnd/>
                      <a:tailEnd/>
                    </a:ln>
                  </pic:spPr>
                </pic:pic>
              </a:graphicData>
            </a:graphic>
          </wp:inline>
        </w:drawing>
      </w:r>
    </w:p>
    <w:p w:rsidR="00A95413" w:rsidRPr="00046999" w:rsidRDefault="0080569A" w:rsidP="001D4BB3">
      <w:pPr>
        <w:jc w:val="both"/>
        <w:rPr>
          <w:rFonts w:cs="Calibri"/>
        </w:rPr>
      </w:pPr>
      <w:r>
        <w:rPr>
          <w:rFonts w:cs="Calibri"/>
          <w:b/>
          <w:noProof/>
          <w:lang w:val="nl-NL" w:eastAsia="nl-NL"/>
        </w:rPr>
        <w:lastRenderedPageBreak/>
        <w:drawing>
          <wp:inline distT="0" distB="0" distL="0" distR="0">
            <wp:extent cx="5702935" cy="2978785"/>
            <wp:effectExtent l="19050" t="0" r="0" b="0"/>
            <wp:docPr id="18"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6"/>
                    <pic:cNvPicPr>
                      <a:picLocks noChangeAspect="1" noChangeArrowheads="1"/>
                    </pic:cNvPicPr>
                  </pic:nvPicPr>
                  <pic:blipFill>
                    <a:blip r:embed="rId36"/>
                    <a:srcRect/>
                    <a:stretch>
                      <a:fillRect/>
                    </a:stretch>
                  </pic:blipFill>
                  <pic:spPr bwMode="auto">
                    <a:xfrm>
                      <a:off x="0" y="0"/>
                      <a:ext cx="5702935" cy="2978785"/>
                    </a:xfrm>
                    <a:prstGeom prst="rect">
                      <a:avLst/>
                    </a:prstGeom>
                    <a:noFill/>
                    <a:ln w="9525">
                      <a:noFill/>
                      <a:miter lim="800000"/>
                      <a:headEnd/>
                      <a:tailEnd/>
                    </a:ln>
                  </pic:spPr>
                </pic:pic>
              </a:graphicData>
            </a:graphic>
          </wp:inline>
        </w:drawing>
      </w:r>
    </w:p>
    <w:p w:rsidR="00A95413" w:rsidRPr="00046999" w:rsidRDefault="0080569A" w:rsidP="001D4BB3">
      <w:pPr>
        <w:jc w:val="both"/>
        <w:rPr>
          <w:rFonts w:cs="Calibri"/>
        </w:rPr>
      </w:pPr>
      <w:r>
        <w:rPr>
          <w:rFonts w:cs="Calibri"/>
          <w:b/>
          <w:noProof/>
          <w:lang w:val="nl-NL" w:eastAsia="nl-NL"/>
        </w:rPr>
        <w:drawing>
          <wp:inline distT="0" distB="0" distL="0" distR="0">
            <wp:extent cx="5684520" cy="1913890"/>
            <wp:effectExtent l="19050" t="0" r="0" b="0"/>
            <wp:docPr id="19"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8"/>
                    <pic:cNvPicPr>
                      <a:picLocks noChangeAspect="1" noChangeArrowheads="1"/>
                    </pic:cNvPicPr>
                  </pic:nvPicPr>
                  <pic:blipFill>
                    <a:blip r:embed="rId37"/>
                    <a:srcRect/>
                    <a:stretch>
                      <a:fillRect/>
                    </a:stretch>
                  </pic:blipFill>
                  <pic:spPr bwMode="auto">
                    <a:xfrm>
                      <a:off x="0" y="0"/>
                      <a:ext cx="5684520" cy="1913890"/>
                    </a:xfrm>
                    <a:prstGeom prst="rect">
                      <a:avLst/>
                    </a:prstGeom>
                    <a:noFill/>
                    <a:ln w="9525">
                      <a:noFill/>
                      <a:miter lim="800000"/>
                      <a:headEnd/>
                      <a:tailEnd/>
                    </a:ln>
                  </pic:spPr>
                </pic:pic>
              </a:graphicData>
            </a:graphic>
          </wp:inline>
        </w:drawing>
      </w:r>
    </w:p>
    <w:p w:rsidR="00A95413" w:rsidRPr="00046999" w:rsidRDefault="0080569A" w:rsidP="001D4BB3">
      <w:pPr>
        <w:jc w:val="both"/>
        <w:rPr>
          <w:rFonts w:cs="Calibri"/>
        </w:rPr>
      </w:pPr>
      <w:r>
        <w:rPr>
          <w:rFonts w:cs="Calibri"/>
          <w:b/>
          <w:noProof/>
          <w:lang w:val="nl-NL" w:eastAsia="nl-NL"/>
        </w:rPr>
        <w:drawing>
          <wp:inline distT="0" distB="0" distL="0" distR="0">
            <wp:extent cx="5702935" cy="2903220"/>
            <wp:effectExtent l="19050" t="0" r="0" b="0"/>
            <wp:docPr id="20"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9"/>
                    <pic:cNvPicPr>
                      <a:picLocks noChangeAspect="1" noChangeArrowheads="1"/>
                    </pic:cNvPicPr>
                  </pic:nvPicPr>
                  <pic:blipFill>
                    <a:blip r:embed="rId38"/>
                    <a:srcRect/>
                    <a:stretch>
                      <a:fillRect/>
                    </a:stretch>
                  </pic:blipFill>
                  <pic:spPr bwMode="auto">
                    <a:xfrm>
                      <a:off x="0" y="0"/>
                      <a:ext cx="5702935" cy="2903220"/>
                    </a:xfrm>
                    <a:prstGeom prst="rect">
                      <a:avLst/>
                    </a:prstGeom>
                    <a:noFill/>
                    <a:ln w="9525">
                      <a:noFill/>
                      <a:miter lim="800000"/>
                      <a:headEnd/>
                      <a:tailEnd/>
                    </a:ln>
                  </pic:spPr>
                </pic:pic>
              </a:graphicData>
            </a:graphic>
          </wp:inline>
        </w:drawing>
      </w:r>
    </w:p>
    <w:p w:rsidR="00A95413" w:rsidRPr="00046999" w:rsidRDefault="0080569A" w:rsidP="001D4BB3">
      <w:pPr>
        <w:jc w:val="both"/>
        <w:rPr>
          <w:rFonts w:cs="Calibri"/>
        </w:rPr>
      </w:pPr>
      <w:r>
        <w:rPr>
          <w:rFonts w:cs="Calibri"/>
          <w:b/>
          <w:noProof/>
          <w:lang w:val="nl-NL" w:eastAsia="nl-NL"/>
        </w:rPr>
        <w:lastRenderedPageBreak/>
        <w:drawing>
          <wp:inline distT="0" distB="0" distL="0" distR="0">
            <wp:extent cx="5702935" cy="2262505"/>
            <wp:effectExtent l="19050" t="0" r="0" b="0"/>
            <wp:docPr id="21"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0"/>
                    <pic:cNvPicPr>
                      <a:picLocks noChangeAspect="1" noChangeArrowheads="1"/>
                    </pic:cNvPicPr>
                  </pic:nvPicPr>
                  <pic:blipFill>
                    <a:blip r:embed="rId39"/>
                    <a:srcRect/>
                    <a:stretch>
                      <a:fillRect/>
                    </a:stretch>
                  </pic:blipFill>
                  <pic:spPr bwMode="auto">
                    <a:xfrm>
                      <a:off x="0" y="0"/>
                      <a:ext cx="5702935" cy="2262505"/>
                    </a:xfrm>
                    <a:prstGeom prst="rect">
                      <a:avLst/>
                    </a:prstGeom>
                    <a:noFill/>
                    <a:ln w="9525">
                      <a:noFill/>
                      <a:miter lim="800000"/>
                      <a:headEnd/>
                      <a:tailEnd/>
                    </a:ln>
                  </pic:spPr>
                </pic:pic>
              </a:graphicData>
            </a:graphic>
          </wp:inline>
        </w:drawing>
      </w:r>
    </w:p>
    <w:p w:rsidR="00A95413" w:rsidRPr="00046999" w:rsidRDefault="0080569A" w:rsidP="001D4BB3">
      <w:pPr>
        <w:jc w:val="both"/>
        <w:rPr>
          <w:rFonts w:cs="Calibri"/>
        </w:rPr>
      </w:pPr>
      <w:r>
        <w:rPr>
          <w:rFonts w:cs="Calibri"/>
          <w:b/>
          <w:noProof/>
          <w:lang w:val="nl-NL" w:eastAsia="nl-NL"/>
        </w:rPr>
        <w:drawing>
          <wp:inline distT="0" distB="0" distL="0" distR="0">
            <wp:extent cx="5760085" cy="2007870"/>
            <wp:effectExtent l="19050" t="0" r="0" b="0"/>
            <wp:docPr id="22"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1"/>
                    <pic:cNvPicPr>
                      <a:picLocks noChangeAspect="1" noChangeArrowheads="1"/>
                    </pic:cNvPicPr>
                  </pic:nvPicPr>
                  <pic:blipFill>
                    <a:blip r:embed="rId40"/>
                    <a:srcRect/>
                    <a:stretch>
                      <a:fillRect/>
                    </a:stretch>
                  </pic:blipFill>
                  <pic:spPr bwMode="auto">
                    <a:xfrm>
                      <a:off x="0" y="0"/>
                      <a:ext cx="5760085" cy="2007870"/>
                    </a:xfrm>
                    <a:prstGeom prst="rect">
                      <a:avLst/>
                    </a:prstGeom>
                    <a:noFill/>
                    <a:ln w="9525">
                      <a:noFill/>
                      <a:miter lim="800000"/>
                      <a:headEnd/>
                      <a:tailEnd/>
                    </a:ln>
                  </pic:spPr>
                </pic:pic>
              </a:graphicData>
            </a:graphic>
          </wp:inline>
        </w:drawing>
      </w:r>
      <w:r>
        <w:rPr>
          <w:rFonts w:cs="Calibri"/>
          <w:b/>
          <w:noProof/>
          <w:lang w:val="nl-NL" w:eastAsia="nl-NL"/>
        </w:rPr>
        <w:drawing>
          <wp:inline distT="0" distB="0" distL="0" distR="0">
            <wp:extent cx="5702935" cy="2677160"/>
            <wp:effectExtent l="19050" t="0" r="0" b="0"/>
            <wp:docPr id="23"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2"/>
                    <pic:cNvPicPr>
                      <a:picLocks noChangeAspect="1" noChangeArrowheads="1"/>
                    </pic:cNvPicPr>
                  </pic:nvPicPr>
                  <pic:blipFill>
                    <a:blip r:embed="rId41"/>
                    <a:srcRect/>
                    <a:stretch>
                      <a:fillRect/>
                    </a:stretch>
                  </pic:blipFill>
                  <pic:spPr bwMode="auto">
                    <a:xfrm>
                      <a:off x="0" y="0"/>
                      <a:ext cx="5702935" cy="2677160"/>
                    </a:xfrm>
                    <a:prstGeom prst="rect">
                      <a:avLst/>
                    </a:prstGeom>
                    <a:noFill/>
                    <a:ln w="9525">
                      <a:noFill/>
                      <a:miter lim="800000"/>
                      <a:headEnd/>
                      <a:tailEnd/>
                    </a:ln>
                  </pic:spPr>
                </pic:pic>
              </a:graphicData>
            </a:graphic>
          </wp:inline>
        </w:drawing>
      </w:r>
    </w:p>
    <w:p w:rsidR="00A95413" w:rsidRPr="00046999" w:rsidRDefault="0080569A" w:rsidP="001D4BB3">
      <w:pPr>
        <w:jc w:val="both"/>
        <w:rPr>
          <w:rFonts w:cs="Calibri"/>
        </w:rPr>
      </w:pPr>
      <w:r>
        <w:rPr>
          <w:rFonts w:cs="Calibri"/>
          <w:b/>
          <w:noProof/>
          <w:lang w:val="nl-NL" w:eastAsia="nl-NL"/>
        </w:rPr>
        <w:lastRenderedPageBreak/>
        <w:drawing>
          <wp:inline distT="0" distB="0" distL="0" distR="0">
            <wp:extent cx="5760085" cy="3469005"/>
            <wp:effectExtent l="19050" t="0" r="0" b="0"/>
            <wp:docPr id="24"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5"/>
                    <pic:cNvPicPr>
                      <a:picLocks noChangeAspect="1" noChangeArrowheads="1"/>
                    </pic:cNvPicPr>
                  </pic:nvPicPr>
                  <pic:blipFill>
                    <a:blip r:embed="rId42"/>
                    <a:srcRect/>
                    <a:stretch>
                      <a:fillRect/>
                    </a:stretch>
                  </pic:blipFill>
                  <pic:spPr bwMode="auto">
                    <a:xfrm>
                      <a:off x="0" y="0"/>
                      <a:ext cx="5760085" cy="3469005"/>
                    </a:xfrm>
                    <a:prstGeom prst="rect">
                      <a:avLst/>
                    </a:prstGeom>
                    <a:noFill/>
                    <a:ln w="9525">
                      <a:noFill/>
                      <a:miter lim="800000"/>
                      <a:headEnd/>
                      <a:tailEnd/>
                    </a:ln>
                  </pic:spPr>
                </pic:pic>
              </a:graphicData>
            </a:graphic>
          </wp:inline>
        </w:drawing>
      </w:r>
    </w:p>
    <w:p w:rsidR="00A95413" w:rsidRPr="00046999" w:rsidRDefault="0080569A" w:rsidP="001D4BB3">
      <w:pPr>
        <w:jc w:val="both"/>
        <w:rPr>
          <w:rFonts w:cs="Calibri"/>
        </w:rPr>
      </w:pPr>
      <w:r>
        <w:rPr>
          <w:rFonts w:cs="Calibri"/>
          <w:b/>
          <w:noProof/>
          <w:lang w:val="nl-NL" w:eastAsia="nl-NL"/>
        </w:rPr>
        <w:drawing>
          <wp:inline distT="0" distB="0" distL="0" distR="0">
            <wp:extent cx="5760085" cy="2818765"/>
            <wp:effectExtent l="19050" t="0" r="0" b="0"/>
            <wp:docPr id="25"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6"/>
                    <pic:cNvPicPr>
                      <a:picLocks noChangeAspect="1" noChangeArrowheads="1"/>
                    </pic:cNvPicPr>
                  </pic:nvPicPr>
                  <pic:blipFill>
                    <a:blip r:embed="rId43"/>
                    <a:srcRect/>
                    <a:stretch>
                      <a:fillRect/>
                    </a:stretch>
                  </pic:blipFill>
                  <pic:spPr bwMode="auto">
                    <a:xfrm>
                      <a:off x="0" y="0"/>
                      <a:ext cx="5760085" cy="2818765"/>
                    </a:xfrm>
                    <a:prstGeom prst="rect">
                      <a:avLst/>
                    </a:prstGeom>
                    <a:noFill/>
                    <a:ln w="9525">
                      <a:noFill/>
                      <a:miter lim="800000"/>
                      <a:headEnd/>
                      <a:tailEnd/>
                    </a:ln>
                  </pic:spPr>
                </pic:pic>
              </a:graphicData>
            </a:graphic>
          </wp:inline>
        </w:drawing>
      </w:r>
    </w:p>
    <w:p w:rsidR="00A95413" w:rsidRPr="00046999" w:rsidRDefault="0080569A" w:rsidP="001D4BB3">
      <w:pPr>
        <w:jc w:val="both"/>
        <w:rPr>
          <w:rFonts w:cs="Calibri"/>
        </w:rPr>
      </w:pPr>
      <w:r>
        <w:rPr>
          <w:rFonts w:cs="Calibri"/>
          <w:noProof/>
          <w:lang w:val="nl-NL" w:eastAsia="nl-NL"/>
        </w:rPr>
        <w:lastRenderedPageBreak/>
        <w:drawing>
          <wp:inline distT="0" distB="0" distL="0" distR="0">
            <wp:extent cx="5684520" cy="3563620"/>
            <wp:effectExtent l="19050" t="0" r="0" b="0"/>
            <wp:docPr id="2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44"/>
                    <a:srcRect/>
                    <a:stretch>
                      <a:fillRect/>
                    </a:stretch>
                  </pic:blipFill>
                  <pic:spPr bwMode="auto">
                    <a:xfrm>
                      <a:off x="0" y="0"/>
                      <a:ext cx="5684520" cy="3563620"/>
                    </a:xfrm>
                    <a:prstGeom prst="rect">
                      <a:avLst/>
                    </a:prstGeom>
                    <a:noFill/>
                    <a:ln w="9525">
                      <a:noFill/>
                      <a:miter lim="800000"/>
                      <a:headEnd/>
                      <a:tailEnd/>
                    </a:ln>
                  </pic:spPr>
                </pic:pic>
              </a:graphicData>
            </a:graphic>
          </wp:inline>
        </w:drawing>
      </w:r>
    </w:p>
    <w:p w:rsidR="00046BFB" w:rsidRDefault="00046BFB">
      <w:pPr>
        <w:spacing w:before="0" w:after="0" w:line="240" w:lineRule="auto"/>
        <w:rPr>
          <w:rFonts w:cs="Calibri"/>
          <w:caps/>
          <w:color w:val="365F91"/>
          <w:spacing w:val="10"/>
        </w:rPr>
      </w:pPr>
      <w:r>
        <w:rPr>
          <w:rFonts w:cs="Calibri"/>
        </w:rPr>
        <w:br w:type="page"/>
      </w:r>
    </w:p>
    <w:p w:rsidR="00A95413" w:rsidRPr="00046999" w:rsidRDefault="00A95413" w:rsidP="001D4BB3">
      <w:pPr>
        <w:pStyle w:val="Kop5"/>
        <w:jc w:val="both"/>
        <w:rPr>
          <w:rFonts w:cs="Calibri"/>
          <w:sz w:val="20"/>
          <w:szCs w:val="20"/>
        </w:rPr>
      </w:pPr>
      <w:r w:rsidRPr="00046999">
        <w:rPr>
          <w:rFonts w:cs="Calibri"/>
          <w:sz w:val="20"/>
          <w:szCs w:val="20"/>
        </w:rPr>
        <w:lastRenderedPageBreak/>
        <w:t>Eng and Mak (2003)</w:t>
      </w:r>
    </w:p>
    <w:p w:rsidR="00A95413" w:rsidRPr="00046999" w:rsidRDefault="0080569A" w:rsidP="001D4BB3">
      <w:pPr>
        <w:jc w:val="both"/>
        <w:rPr>
          <w:rFonts w:cs="Calibri"/>
        </w:rPr>
      </w:pPr>
      <w:r>
        <w:rPr>
          <w:rFonts w:cs="Calibri"/>
          <w:noProof/>
          <w:lang w:val="nl-NL" w:eastAsia="nl-NL"/>
        </w:rPr>
        <w:drawing>
          <wp:inline distT="0" distB="0" distL="0" distR="0">
            <wp:extent cx="5750560" cy="6918960"/>
            <wp:effectExtent l="19050" t="0" r="2540" b="0"/>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5"/>
                    <a:srcRect/>
                    <a:stretch>
                      <a:fillRect/>
                    </a:stretch>
                  </pic:blipFill>
                  <pic:spPr bwMode="auto">
                    <a:xfrm>
                      <a:off x="0" y="0"/>
                      <a:ext cx="5750560" cy="6918960"/>
                    </a:xfrm>
                    <a:prstGeom prst="rect">
                      <a:avLst/>
                    </a:prstGeom>
                    <a:noFill/>
                    <a:ln w="9525">
                      <a:noFill/>
                      <a:miter lim="800000"/>
                      <a:headEnd/>
                      <a:tailEnd/>
                    </a:ln>
                  </pic:spPr>
                </pic:pic>
              </a:graphicData>
            </a:graphic>
          </wp:inline>
        </w:drawing>
      </w:r>
    </w:p>
    <w:p w:rsidR="00A95413" w:rsidRPr="00046999" w:rsidRDefault="0080569A" w:rsidP="001D4BB3">
      <w:pPr>
        <w:jc w:val="both"/>
        <w:rPr>
          <w:rFonts w:cs="Calibri"/>
        </w:rPr>
      </w:pPr>
      <w:r>
        <w:rPr>
          <w:rFonts w:cs="Calibri"/>
          <w:noProof/>
          <w:lang w:val="nl-NL" w:eastAsia="nl-NL"/>
        </w:rPr>
        <w:lastRenderedPageBreak/>
        <w:drawing>
          <wp:inline distT="0" distB="0" distL="0" distR="0">
            <wp:extent cx="5760085" cy="3554095"/>
            <wp:effectExtent l="19050" t="0" r="0" b="0"/>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6"/>
                    <a:srcRect/>
                    <a:stretch>
                      <a:fillRect/>
                    </a:stretch>
                  </pic:blipFill>
                  <pic:spPr bwMode="auto">
                    <a:xfrm>
                      <a:off x="0" y="0"/>
                      <a:ext cx="5760085" cy="3554095"/>
                    </a:xfrm>
                    <a:prstGeom prst="rect">
                      <a:avLst/>
                    </a:prstGeom>
                    <a:noFill/>
                    <a:ln w="9525">
                      <a:noFill/>
                      <a:miter lim="800000"/>
                      <a:headEnd/>
                      <a:tailEnd/>
                    </a:ln>
                  </pic:spPr>
                </pic:pic>
              </a:graphicData>
            </a:graphic>
          </wp:inline>
        </w:drawing>
      </w:r>
    </w:p>
    <w:p w:rsidR="00A95413" w:rsidRPr="00046999" w:rsidRDefault="00A95413" w:rsidP="001D4BB3">
      <w:pPr>
        <w:pStyle w:val="Kop5"/>
        <w:jc w:val="both"/>
        <w:rPr>
          <w:rFonts w:cs="Calibri"/>
          <w:sz w:val="20"/>
          <w:szCs w:val="20"/>
        </w:rPr>
      </w:pPr>
      <w:r w:rsidRPr="00046999">
        <w:rPr>
          <w:rFonts w:cs="Calibri"/>
          <w:sz w:val="20"/>
          <w:szCs w:val="20"/>
        </w:rPr>
        <w:t>Huafang and Jianguo (2007)</w:t>
      </w:r>
    </w:p>
    <w:p w:rsidR="00A95413" w:rsidRPr="00046999" w:rsidRDefault="00A95413" w:rsidP="001D4BB3">
      <w:pPr>
        <w:autoSpaceDE w:val="0"/>
        <w:autoSpaceDN w:val="0"/>
        <w:adjustRightInd w:val="0"/>
        <w:spacing w:after="0" w:line="360" w:lineRule="auto"/>
        <w:jc w:val="both"/>
        <w:rPr>
          <w:rFonts w:cs="Calibri"/>
        </w:rPr>
      </w:pPr>
      <w:r w:rsidRPr="00046999">
        <w:rPr>
          <w:rFonts w:cs="Calibri"/>
        </w:rPr>
        <w:t>Items of voluntary disclosure index (DSCORE)</w:t>
      </w:r>
    </w:p>
    <w:p w:rsidR="00A95413" w:rsidRPr="00046999" w:rsidRDefault="00A95413" w:rsidP="001D4BB3">
      <w:pPr>
        <w:autoSpaceDE w:val="0"/>
        <w:autoSpaceDN w:val="0"/>
        <w:adjustRightInd w:val="0"/>
        <w:spacing w:after="0" w:line="240" w:lineRule="auto"/>
        <w:jc w:val="both"/>
        <w:rPr>
          <w:rFonts w:cs="Calibri"/>
          <w:b/>
        </w:rPr>
      </w:pPr>
      <w:r w:rsidRPr="00046999">
        <w:rPr>
          <w:rFonts w:cs="Calibri"/>
          <w:b/>
        </w:rPr>
        <w:t>1. Background information</w:t>
      </w:r>
    </w:p>
    <w:p w:rsidR="00A95413" w:rsidRPr="00046999" w:rsidRDefault="00A95413" w:rsidP="001D4BB3">
      <w:pPr>
        <w:autoSpaceDE w:val="0"/>
        <w:autoSpaceDN w:val="0"/>
        <w:adjustRightInd w:val="0"/>
        <w:spacing w:after="0" w:line="240" w:lineRule="auto"/>
        <w:jc w:val="both"/>
        <w:rPr>
          <w:rFonts w:cs="Calibri"/>
        </w:rPr>
      </w:pPr>
      <w:r w:rsidRPr="00046999">
        <w:rPr>
          <w:rFonts w:cs="Calibri"/>
          <w:i/>
        </w:rPr>
        <w:t>1.1 A</w:t>
      </w:r>
      <w:r w:rsidRPr="00046999">
        <w:rPr>
          <w:rFonts w:cs="Calibri"/>
        </w:rPr>
        <w:t xml:space="preserve"> statement of corporate goals is provided.</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1.2 General statement of corporate strategy is provided.</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1.3 Actions to be taken in future year discussed.</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1.4 Competitive environment discussed.</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1.5 Trade status discussed.</w:t>
      </w:r>
    </w:p>
    <w:p w:rsidR="00A95413" w:rsidRPr="00046999" w:rsidRDefault="00A95413" w:rsidP="001D4BB3">
      <w:pPr>
        <w:autoSpaceDE w:val="0"/>
        <w:autoSpaceDN w:val="0"/>
        <w:adjustRightInd w:val="0"/>
        <w:spacing w:after="0" w:line="240" w:lineRule="auto"/>
        <w:jc w:val="both"/>
        <w:rPr>
          <w:rFonts w:cs="Calibri"/>
          <w:b/>
        </w:rPr>
      </w:pPr>
      <w:r w:rsidRPr="00046999">
        <w:rPr>
          <w:rFonts w:cs="Calibri"/>
          <w:b/>
        </w:rPr>
        <w:t>2. Business Information</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2.1 Change in sales</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2.2 Change in cost of goods sold</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2.3 Change in gross profits</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2.4 Change in administration expenses</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2.5 Change in operating expenses</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2.6 Change in financial expenses</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lastRenderedPageBreak/>
        <w:t>2.7 Change in inventory</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2.8 Change in accounts receivable</w:t>
      </w:r>
    </w:p>
    <w:p w:rsidR="00A95413" w:rsidRPr="00046999" w:rsidRDefault="00A95413" w:rsidP="001D4BB3">
      <w:pPr>
        <w:tabs>
          <w:tab w:val="left" w:pos="2717"/>
        </w:tabs>
        <w:autoSpaceDE w:val="0"/>
        <w:autoSpaceDN w:val="0"/>
        <w:adjustRightInd w:val="0"/>
        <w:spacing w:after="0" w:line="240" w:lineRule="auto"/>
        <w:jc w:val="both"/>
        <w:rPr>
          <w:rFonts w:cs="Calibri"/>
        </w:rPr>
      </w:pPr>
      <w:r w:rsidRPr="00046999">
        <w:rPr>
          <w:rFonts w:cs="Calibri"/>
        </w:rPr>
        <w:t>2.9 R&amp;D expenditures</w:t>
      </w:r>
      <w:r w:rsidRPr="00046999">
        <w:rPr>
          <w:rFonts w:cs="Calibri"/>
        </w:rPr>
        <w:tab/>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2.10 Comparison of previous plan to actual achievement</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2.11 Operating plan next year</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2.12 Future profits forecasted</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2.13 Order backlog</w:t>
      </w:r>
    </w:p>
    <w:p w:rsidR="00A95413" w:rsidRPr="00046999" w:rsidRDefault="00A95413" w:rsidP="001D4BB3">
      <w:pPr>
        <w:autoSpaceDE w:val="0"/>
        <w:autoSpaceDN w:val="0"/>
        <w:adjustRightInd w:val="0"/>
        <w:spacing w:after="0" w:line="240" w:lineRule="auto"/>
        <w:jc w:val="both"/>
        <w:rPr>
          <w:rFonts w:cs="Calibri"/>
          <w:b/>
        </w:rPr>
      </w:pPr>
      <w:r w:rsidRPr="00046999">
        <w:rPr>
          <w:rFonts w:cs="Calibri"/>
          <w:b/>
        </w:rPr>
        <w:t>3. Financial information</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3.1 Liquidity ratio</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3.2 Gearing ratio</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3.3 Inventory turnover</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3.4 Turnover of receivables</w:t>
      </w:r>
    </w:p>
    <w:p w:rsidR="00A95413" w:rsidRPr="00046999" w:rsidRDefault="00A95413" w:rsidP="001D4BB3">
      <w:pPr>
        <w:autoSpaceDE w:val="0"/>
        <w:autoSpaceDN w:val="0"/>
        <w:adjustRightInd w:val="0"/>
        <w:spacing w:after="0" w:line="240" w:lineRule="auto"/>
        <w:jc w:val="both"/>
        <w:rPr>
          <w:rFonts w:cs="Calibri"/>
          <w:b/>
        </w:rPr>
      </w:pPr>
      <w:r w:rsidRPr="00046999">
        <w:rPr>
          <w:rFonts w:cs="Calibri"/>
          <w:b/>
        </w:rPr>
        <w:t>4. Non-financial information</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4.1 Staff training</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4.2 ISO or other quality awards</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4.3 Other awards</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4.4 Social commonweal</w:t>
      </w:r>
      <w:r>
        <w:rPr>
          <w:rFonts w:cs="Calibri"/>
        </w:rPr>
        <w:t>th</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4.5 Brand</w:t>
      </w:r>
    </w:p>
    <w:p w:rsidR="00A95413" w:rsidRPr="00046999" w:rsidRDefault="00A95413" w:rsidP="001D4BB3">
      <w:pPr>
        <w:autoSpaceDE w:val="0"/>
        <w:autoSpaceDN w:val="0"/>
        <w:adjustRightInd w:val="0"/>
        <w:spacing w:after="0" w:line="240" w:lineRule="auto"/>
        <w:jc w:val="both"/>
        <w:rPr>
          <w:rFonts w:cs="Calibri"/>
        </w:rPr>
      </w:pPr>
      <w:r w:rsidRPr="00046999">
        <w:rPr>
          <w:rFonts w:cs="Calibri"/>
        </w:rPr>
        <w:t>4.6 Names of the top five suppliers/customers</w:t>
      </w:r>
    </w:p>
    <w:p w:rsidR="00A95413" w:rsidRPr="00046999" w:rsidRDefault="00A95413" w:rsidP="001D4BB3">
      <w:pPr>
        <w:autoSpaceDE w:val="0"/>
        <w:autoSpaceDN w:val="0"/>
        <w:adjustRightInd w:val="0"/>
        <w:spacing w:after="0" w:line="240" w:lineRule="auto"/>
        <w:jc w:val="both"/>
        <w:rPr>
          <w:rFonts w:cs="Calibri"/>
          <w:lang w:val="fr-FR"/>
        </w:rPr>
      </w:pPr>
      <w:r w:rsidRPr="00046999">
        <w:rPr>
          <w:rFonts w:cs="Calibri"/>
          <w:lang w:val="fr-FR"/>
        </w:rPr>
        <w:t>4.7 Enterprise culture</w:t>
      </w:r>
    </w:p>
    <w:p w:rsidR="00A95413" w:rsidRPr="00046999" w:rsidRDefault="00A95413" w:rsidP="001D4BB3">
      <w:pPr>
        <w:autoSpaceDE w:val="0"/>
        <w:autoSpaceDN w:val="0"/>
        <w:adjustRightInd w:val="0"/>
        <w:spacing w:after="0" w:line="240" w:lineRule="auto"/>
        <w:jc w:val="both"/>
        <w:rPr>
          <w:rFonts w:cs="Calibri"/>
          <w:lang w:val="fr-FR"/>
        </w:rPr>
      </w:pPr>
      <w:r w:rsidRPr="00046999">
        <w:rPr>
          <w:rFonts w:cs="Calibri"/>
          <w:lang w:val="fr-FR"/>
        </w:rPr>
        <w:t>4.8 Environment protection</w:t>
      </w:r>
      <w:r w:rsidRPr="00046999">
        <w:rPr>
          <w:rFonts w:cs="Calibri"/>
          <w:lang w:val="fr-FR"/>
        </w:rPr>
        <w:tab/>
      </w:r>
    </w:p>
    <w:p w:rsidR="00A95413" w:rsidRPr="00046999" w:rsidRDefault="00A95413" w:rsidP="001D4BB3">
      <w:pPr>
        <w:autoSpaceDE w:val="0"/>
        <w:autoSpaceDN w:val="0"/>
        <w:adjustRightInd w:val="0"/>
        <w:spacing w:after="0" w:line="360" w:lineRule="auto"/>
        <w:jc w:val="both"/>
        <w:rPr>
          <w:rFonts w:cs="Calibri"/>
          <w:sz w:val="22"/>
          <w:szCs w:val="22"/>
          <w:lang w:val="fr-FR"/>
        </w:rPr>
      </w:pPr>
    </w:p>
    <w:p w:rsidR="00046BFB" w:rsidRDefault="00046BFB">
      <w:pPr>
        <w:spacing w:before="0" w:after="0" w:line="240" w:lineRule="auto"/>
        <w:rPr>
          <w:rFonts w:cs="Calibri"/>
          <w:caps/>
          <w:color w:val="365F91"/>
          <w:spacing w:val="10"/>
          <w:sz w:val="22"/>
          <w:szCs w:val="22"/>
        </w:rPr>
      </w:pPr>
      <w:r>
        <w:rPr>
          <w:rFonts w:cs="Calibri"/>
        </w:rPr>
        <w:br w:type="page"/>
      </w:r>
    </w:p>
    <w:p w:rsidR="00A95413" w:rsidRPr="00046999" w:rsidRDefault="00A95413" w:rsidP="001D4BB3">
      <w:pPr>
        <w:pStyle w:val="Kop5"/>
        <w:jc w:val="both"/>
        <w:rPr>
          <w:rFonts w:cs="Calibri"/>
        </w:rPr>
      </w:pPr>
      <w:r w:rsidRPr="00046999">
        <w:rPr>
          <w:rFonts w:cs="Calibri"/>
        </w:rPr>
        <w:lastRenderedPageBreak/>
        <w:t>Dutch Transparancy Benchmark (2009)</w:t>
      </w:r>
    </w:p>
    <w:p w:rsidR="00A95413" w:rsidRPr="00046999" w:rsidRDefault="0080569A" w:rsidP="001D4BB3">
      <w:pPr>
        <w:autoSpaceDE w:val="0"/>
        <w:autoSpaceDN w:val="0"/>
        <w:adjustRightInd w:val="0"/>
        <w:spacing w:after="0" w:line="360" w:lineRule="auto"/>
        <w:jc w:val="both"/>
        <w:rPr>
          <w:rFonts w:cs="Calibri"/>
          <w:sz w:val="22"/>
          <w:szCs w:val="22"/>
          <w:lang w:val="fr-FR"/>
        </w:rPr>
      </w:pPr>
      <w:r>
        <w:rPr>
          <w:rFonts w:cs="Calibri"/>
          <w:b/>
          <w:caps/>
          <w:noProof/>
          <w:color w:val="FFFFFF"/>
          <w:spacing w:val="15"/>
          <w:sz w:val="22"/>
          <w:szCs w:val="22"/>
          <w:shd w:val="clear" w:color="auto" w:fill="4F81BD"/>
          <w:lang w:val="nl-NL" w:eastAsia="nl-NL"/>
        </w:rPr>
        <w:drawing>
          <wp:inline distT="0" distB="0" distL="0" distR="0">
            <wp:extent cx="5910580" cy="6777990"/>
            <wp:effectExtent l="19050" t="0" r="0" b="0"/>
            <wp:docPr id="29"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7"/>
                    <a:srcRect/>
                    <a:stretch>
                      <a:fillRect/>
                    </a:stretch>
                  </pic:blipFill>
                  <pic:spPr bwMode="auto">
                    <a:xfrm>
                      <a:off x="0" y="0"/>
                      <a:ext cx="5910580" cy="6777990"/>
                    </a:xfrm>
                    <a:prstGeom prst="rect">
                      <a:avLst/>
                    </a:prstGeom>
                    <a:noFill/>
                    <a:ln w="9525">
                      <a:noFill/>
                      <a:miter lim="800000"/>
                      <a:headEnd/>
                      <a:tailEnd/>
                    </a:ln>
                  </pic:spPr>
                </pic:pic>
              </a:graphicData>
            </a:graphic>
          </wp:inline>
        </w:drawing>
      </w:r>
      <w:r w:rsidR="00A95413" w:rsidRPr="00046999">
        <w:rPr>
          <w:rFonts w:cs="Calibri"/>
          <w:sz w:val="22"/>
          <w:szCs w:val="22"/>
          <w:u w:val="single"/>
          <w:lang w:val="fr-FR"/>
        </w:rPr>
        <w:t>)</w:t>
      </w:r>
    </w:p>
    <w:p w:rsidR="00A95413" w:rsidRPr="00046999" w:rsidRDefault="0080569A" w:rsidP="001D4BB3">
      <w:pPr>
        <w:jc w:val="both"/>
        <w:rPr>
          <w:rFonts w:cs="Calibri"/>
          <w:sz w:val="22"/>
          <w:szCs w:val="22"/>
          <w:u w:val="single"/>
          <w:lang w:val="fr-FR"/>
        </w:rPr>
      </w:pPr>
      <w:r>
        <w:rPr>
          <w:rFonts w:cs="Calibri"/>
          <w:b/>
          <w:caps/>
          <w:noProof/>
          <w:color w:val="FFFFFF"/>
          <w:spacing w:val="15"/>
          <w:sz w:val="22"/>
          <w:szCs w:val="22"/>
          <w:shd w:val="clear" w:color="auto" w:fill="4F81BD"/>
          <w:lang w:val="nl-NL" w:eastAsia="nl-NL"/>
        </w:rPr>
        <w:lastRenderedPageBreak/>
        <w:drawing>
          <wp:inline distT="0" distB="0" distL="0" distR="0">
            <wp:extent cx="6853555" cy="8503285"/>
            <wp:effectExtent l="19050" t="0" r="4445" b="0"/>
            <wp:docPr id="30"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8"/>
                    <a:srcRect/>
                    <a:stretch>
                      <a:fillRect/>
                    </a:stretch>
                  </pic:blipFill>
                  <pic:spPr bwMode="auto">
                    <a:xfrm>
                      <a:off x="0" y="0"/>
                      <a:ext cx="6853555" cy="8503285"/>
                    </a:xfrm>
                    <a:prstGeom prst="rect">
                      <a:avLst/>
                    </a:prstGeom>
                    <a:noFill/>
                    <a:ln w="9525">
                      <a:noFill/>
                      <a:miter lim="800000"/>
                      <a:headEnd/>
                      <a:tailEnd/>
                    </a:ln>
                  </pic:spPr>
                </pic:pic>
              </a:graphicData>
            </a:graphic>
          </wp:inline>
        </w:drawing>
      </w:r>
    </w:p>
    <w:p w:rsidR="00A95413" w:rsidRPr="00046999" w:rsidRDefault="0080569A" w:rsidP="001D4BB3">
      <w:pPr>
        <w:jc w:val="both"/>
        <w:rPr>
          <w:rFonts w:cs="Calibri"/>
          <w:sz w:val="22"/>
          <w:szCs w:val="22"/>
          <w:u w:val="single"/>
          <w:lang w:val="fr-FR"/>
        </w:rPr>
      </w:pPr>
      <w:r>
        <w:rPr>
          <w:rFonts w:cs="Calibri"/>
          <w:b/>
          <w:caps/>
          <w:noProof/>
          <w:color w:val="FFFFFF"/>
          <w:spacing w:val="15"/>
          <w:sz w:val="22"/>
          <w:szCs w:val="22"/>
          <w:shd w:val="clear" w:color="auto" w:fill="4F81BD"/>
          <w:lang w:val="nl-NL" w:eastAsia="nl-NL"/>
        </w:rPr>
        <w:lastRenderedPageBreak/>
        <w:drawing>
          <wp:inline distT="0" distB="0" distL="0" distR="0">
            <wp:extent cx="6476365" cy="7654290"/>
            <wp:effectExtent l="19050" t="0" r="635" b="0"/>
            <wp:docPr id="31"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9"/>
                    <a:srcRect/>
                    <a:stretch>
                      <a:fillRect/>
                    </a:stretch>
                  </pic:blipFill>
                  <pic:spPr bwMode="auto">
                    <a:xfrm>
                      <a:off x="0" y="0"/>
                      <a:ext cx="6476365" cy="7654290"/>
                    </a:xfrm>
                    <a:prstGeom prst="rect">
                      <a:avLst/>
                    </a:prstGeom>
                    <a:noFill/>
                    <a:ln w="9525">
                      <a:noFill/>
                      <a:miter lim="800000"/>
                      <a:headEnd/>
                      <a:tailEnd/>
                    </a:ln>
                  </pic:spPr>
                </pic:pic>
              </a:graphicData>
            </a:graphic>
          </wp:inline>
        </w:drawing>
      </w:r>
    </w:p>
    <w:p w:rsidR="00A95413" w:rsidRPr="00046999" w:rsidRDefault="0080569A" w:rsidP="001D4BB3">
      <w:pPr>
        <w:jc w:val="both"/>
        <w:rPr>
          <w:rFonts w:cs="Calibri"/>
          <w:sz w:val="22"/>
          <w:szCs w:val="22"/>
          <w:u w:val="single"/>
          <w:lang w:val="fr-FR"/>
        </w:rPr>
      </w:pPr>
      <w:r>
        <w:rPr>
          <w:rFonts w:cs="Calibri"/>
          <w:b/>
          <w:caps/>
          <w:noProof/>
          <w:color w:val="FFFFFF"/>
          <w:spacing w:val="15"/>
          <w:sz w:val="22"/>
          <w:szCs w:val="22"/>
          <w:shd w:val="clear" w:color="auto" w:fill="4F81BD"/>
          <w:lang w:val="nl-NL" w:eastAsia="nl-NL"/>
        </w:rPr>
        <w:lastRenderedPageBreak/>
        <w:drawing>
          <wp:inline distT="0" distB="0" distL="0" distR="0">
            <wp:extent cx="6523355" cy="7277735"/>
            <wp:effectExtent l="19050" t="0" r="0" b="0"/>
            <wp:docPr id="32"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0"/>
                    <a:srcRect/>
                    <a:stretch>
                      <a:fillRect/>
                    </a:stretch>
                  </pic:blipFill>
                  <pic:spPr bwMode="auto">
                    <a:xfrm>
                      <a:off x="0" y="0"/>
                      <a:ext cx="6523355" cy="7277735"/>
                    </a:xfrm>
                    <a:prstGeom prst="rect">
                      <a:avLst/>
                    </a:prstGeom>
                    <a:noFill/>
                    <a:ln w="9525">
                      <a:noFill/>
                      <a:miter lim="800000"/>
                      <a:headEnd/>
                      <a:tailEnd/>
                    </a:ln>
                  </pic:spPr>
                </pic:pic>
              </a:graphicData>
            </a:graphic>
          </wp:inline>
        </w:drawing>
      </w:r>
    </w:p>
    <w:p w:rsidR="00A95413" w:rsidRPr="00046999" w:rsidRDefault="0080569A" w:rsidP="001D4BB3">
      <w:pPr>
        <w:jc w:val="both"/>
        <w:rPr>
          <w:rFonts w:cs="Calibri"/>
          <w:sz w:val="22"/>
          <w:szCs w:val="22"/>
          <w:u w:val="single"/>
          <w:lang w:val="fr-FR"/>
        </w:rPr>
      </w:pPr>
      <w:r>
        <w:rPr>
          <w:rFonts w:cs="Calibri"/>
          <w:b/>
          <w:caps/>
          <w:noProof/>
          <w:color w:val="FFFFFF"/>
          <w:spacing w:val="15"/>
          <w:sz w:val="22"/>
          <w:szCs w:val="22"/>
          <w:shd w:val="clear" w:color="auto" w:fill="4F81BD"/>
          <w:lang w:val="nl-NL" w:eastAsia="nl-NL"/>
        </w:rPr>
        <w:lastRenderedPageBreak/>
        <w:drawing>
          <wp:inline distT="0" distB="0" distL="0" distR="0">
            <wp:extent cx="6278245" cy="7588885"/>
            <wp:effectExtent l="19050" t="0" r="8255" b="0"/>
            <wp:docPr id="33"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1"/>
                    <a:srcRect/>
                    <a:stretch>
                      <a:fillRect/>
                    </a:stretch>
                  </pic:blipFill>
                  <pic:spPr bwMode="auto">
                    <a:xfrm>
                      <a:off x="0" y="0"/>
                      <a:ext cx="6278245" cy="7588885"/>
                    </a:xfrm>
                    <a:prstGeom prst="rect">
                      <a:avLst/>
                    </a:prstGeom>
                    <a:noFill/>
                    <a:ln w="9525">
                      <a:noFill/>
                      <a:miter lim="800000"/>
                      <a:headEnd/>
                      <a:tailEnd/>
                    </a:ln>
                  </pic:spPr>
                </pic:pic>
              </a:graphicData>
            </a:graphic>
          </wp:inline>
        </w:drawing>
      </w:r>
    </w:p>
    <w:p w:rsidR="00A95413" w:rsidRPr="00046999" w:rsidRDefault="0080569A" w:rsidP="001D4BB3">
      <w:pPr>
        <w:jc w:val="both"/>
        <w:rPr>
          <w:rFonts w:cs="Calibri"/>
          <w:sz w:val="22"/>
          <w:szCs w:val="22"/>
          <w:u w:val="single"/>
          <w:lang w:val="fr-FR"/>
        </w:rPr>
      </w:pPr>
      <w:r>
        <w:rPr>
          <w:rFonts w:cs="Calibri"/>
          <w:b/>
          <w:caps/>
          <w:noProof/>
          <w:color w:val="FFFFFF"/>
          <w:spacing w:val="15"/>
          <w:sz w:val="22"/>
          <w:szCs w:val="22"/>
          <w:shd w:val="clear" w:color="auto" w:fill="4F81BD"/>
          <w:lang w:val="nl-NL" w:eastAsia="nl-NL"/>
        </w:rPr>
        <w:lastRenderedPageBreak/>
        <w:drawing>
          <wp:inline distT="0" distB="0" distL="0" distR="0">
            <wp:extent cx="6447790" cy="7475220"/>
            <wp:effectExtent l="19050" t="0" r="0" b="0"/>
            <wp:docPr id="34"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
                    <pic:cNvPicPr>
                      <a:picLocks noChangeAspect="1" noChangeArrowheads="1"/>
                    </pic:cNvPicPr>
                  </pic:nvPicPr>
                  <pic:blipFill>
                    <a:blip r:embed="rId52"/>
                    <a:srcRect/>
                    <a:stretch>
                      <a:fillRect/>
                    </a:stretch>
                  </pic:blipFill>
                  <pic:spPr bwMode="auto">
                    <a:xfrm>
                      <a:off x="0" y="0"/>
                      <a:ext cx="6447790" cy="7475220"/>
                    </a:xfrm>
                    <a:prstGeom prst="rect">
                      <a:avLst/>
                    </a:prstGeom>
                    <a:noFill/>
                    <a:ln w="9525">
                      <a:noFill/>
                      <a:miter lim="800000"/>
                      <a:headEnd/>
                      <a:tailEnd/>
                    </a:ln>
                  </pic:spPr>
                </pic:pic>
              </a:graphicData>
            </a:graphic>
          </wp:inline>
        </w:drawing>
      </w:r>
    </w:p>
    <w:p w:rsidR="00A95413" w:rsidRPr="00046999" w:rsidRDefault="00A95413" w:rsidP="001D4BB3">
      <w:pPr>
        <w:jc w:val="both"/>
        <w:rPr>
          <w:rFonts w:cs="Calibri"/>
          <w:sz w:val="22"/>
          <w:szCs w:val="22"/>
        </w:rPr>
      </w:pPr>
    </w:p>
    <w:p w:rsidR="00A95413" w:rsidRPr="00046999" w:rsidRDefault="00A95413" w:rsidP="001D4BB3">
      <w:pPr>
        <w:jc w:val="both"/>
        <w:rPr>
          <w:rFonts w:cs="Calibri"/>
          <w:sz w:val="22"/>
          <w:szCs w:val="22"/>
        </w:rPr>
      </w:pPr>
    </w:p>
    <w:sectPr w:rsidR="00A95413" w:rsidRPr="00046999" w:rsidSect="00E63340">
      <w:footerReference w:type="default" r:id="rId53"/>
      <w:pgSz w:w="12240" w:h="15840"/>
      <w:pgMar w:top="1440" w:right="1440" w:bottom="1440" w:left="1440"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6C10" w:rsidRDefault="00FB6C10" w:rsidP="00F657AB">
      <w:pPr>
        <w:spacing w:before="0" w:after="0" w:line="240" w:lineRule="auto"/>
      </w:pPr>
      <w:r>
        <w:separator/>
      </w:r>
    </w:p>
  </w:endnote>
  <w:endnote w:type="continuationSeparator" w:id="0">
    <w:p w:rsidR="00FB6C10" w:rsidRDefault="00FB6C10" w:rsidP="00F657AB">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9999999">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480026"/>
      <w:docPartObj>
        <w:docPartGallery w:val="Page Numbers (Bottom of Page)"/>
        <w:docPartUnique/>
      </w:docPartObj>
    </w:sdtPr>
    <w:sdtContent>
      <w:p w:rsidR="001E2B80" w:rsidRDefault="00E0784B">
        <w:pPr>
          <w:pStyle w:val="Voettekst"/>
          <w:jc w:val="right"/>
        </w:pPr>
        <w:fldSimple w:instr=" PAGE   \* MERGEFORMAT ">
          <w:r w:rsidR="00AF10F7">
            <w:rPr>
              <w:noProof/>
            </w:rPr>
            <w:t>1</w:t>
          </w:r>
        </w:fldSimple>
      </w:p>
    </w:sdtContent>
  </w:sdt>
  <w:p w:rsidR="001E2B80" w:rsidRDefault="001E2B80">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6C10" w:rsidRDefault="00FB6C10" w:rsidP="00F657AB">
      <w:pPr>
        <w:spacing w:before="0" w:after="0" w:line="240" w:lineRule="auto"/>
      </w:pPr>
      <w:r>
        <w:separator/>
      </w:r>
    </w:p>
  </w:footnote>
  <w:footnote w:type="continuationSeparator" w:id="0">
    <w:p w:rsidR="00FB6C10" w:rsidRDefault="00FB6C10" w:rsidP="00F657AB">
      <w:pPr>
        <w:spacing w:before="0" w:after="0" w:line="240" w:lineRule="auto"/>
      </w:pPr>
      <w:r>
        <w:continuationSeparator/>
      </w:r>
    </w:p>
  </w:footnote>
  <w:footnote w:id="1">
    <w:p w:rsidR="001E2B80" w:rsidRDefault="001E2B80">
      <w:pPr>
        <w:pStyle w:val="Voetnoottekst"/>
      </w:pPr>
      <w:r w:rsidRPr="00E65B83">
        <w:rPr>
          <w:rStyle w:val="Voetnootmarkering"/>
        </w:rPr>
        <w:footnoteRef/>
      </w:r>
      <w:r w:rsidRPr="00E65B83">
        <w:t xml:space="preserve"> </w:t>
      </w:r>
      <w:r w:rsidRPr="00E65B83">
        <w:rPr>
          <w:rStyle w:val="Zwaar"/>
          <w:rFonts w:cs="Calibri"/>
          <w:b w:val="0"/>
          <w:bCs/>
        </w:rPr>
        <w:t>Fi</w:t>
      </w:r>
      <w:r>
        <w:rPr>
          <w:rStyle w:val="Zwaar"/>
          <w:rFonts w:cs="Calibri"/>
          <w:b w:val="0"/>
          <w:bCs/>
        </w:rPr>
        <w:t>nancial Times, 15 December 2010</w:t>
      </w:r>
      <w:r w:rsidRPr="00E65B83">
        <w:rPr>
          <w:rStyle w:val="Zwaar"/>
          <w:rFonts w:cs="Calibri"/>
          <w:b w:val="0"/>
          <w:bCs/>
        </w:rPr>
        <w:t>.</w:t>
      </w:r>
    </w:p>
  </w:footnote>
  <w:footnote w:id="2">
    <w:p w:rsidR="001E2B80" w:rsidRDefault="001E2B80">
      <w:pPr>
        <w:pStyle w:val="Voetnoottekst"/>
      </w:pPr>
      <w:r>
        <w:rPr>
          <w:rStyle w:val="Voetnootmarkering"/>
        </w:rPr>
        <w:footnoteRef/>
      </w:r>
      <w:r>
        <w:t xml:space="preserve"> </w:t>
      </w:r>
      <w:r w:rsidRPr="000A0F3F">
        <w:rPr>
          <w:rFonts w:ascii="Cambria" w:hAnsi="Cambria" w:cs="Calibri"/>
          <w:sz w:val="16"/>
          <w:szCs w:val="16"/>
        </w:rPr>
        <w:t>There is a</w:t>
      </w:r>
      <w:r>
        <w:rPr>
          <w:rFonts w:ascii="Cambria" w:hAnsi="Cambria" w:cs="Calibri"/>
          <w:sz w:val="16"/>
          <w:szCs w:val="16"/>
        </w:rPr>
        <w:t>lso a</w:t>
      </w:r>
      <w:r w:rsidRPr="000A0F3F">
        <w:rPr>
          <w:rFonts w:ascii="Cambria" w:hAnsi="Cambria" w:cs="Calibri"/>
          <w:sz w:val="16"/>
          <w:szCs w:val="16"/>
        </w:rPr>
        <w:t xml:space="preserve"> Transparency benchmark from 2010. However, this </w:t>
      </w:r>
      <w:r>
        <w:rPr>
          <w:rFonts w:ascii="Cambria" w:hAnsi="Cambria" w:cs="Calibri"/>
          <w:sz w:val="16"/>
          <w:szCs w:val="16"/>
        </w:rPr>
        <w:t xml:space="preserve">2010 </w:t>
      </w:r>
      <w:r w:rsidRPr="000A0F3F">
        <w:rPr>
          <w:rFonts w:ascii="Cambria" w:hAnsi="Cambria" w:cs="Calibri"/>
          <w:sz w:val="16"/>
          <w:szCs w:val="16"/>
        </w:rPr>
        <w:t xml:space="preserve">benchmark is far more extended and also focuses a lot more on CSR. As CSR is one, but not the only voluntary disclosure that is measured, the focus was to keep the items on the disclosure sheet more general and therefore, the benchmark from 2009 was used.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alt="var epsilon" style="width:6.6pt;height:6.6pt;visibility:visible" o:bullet="t">
        <v:imagedata r:id="rId1" o:title=""/>
      </v:shape>
    </w:pict>
  </w:numPicBullet>
  <w:abstractNum w:abstractNumId="0">
    <w:nsid w:val="009038CD"/>
    <w:multiLevelType w:val="multilevel"/>
    <w:tmpl w:val="90C8C66E"/>
    <w:lvl w:ilvl="0">
      <w:start w:val="1"/>
      <w:numFmt w:val="decimal"/>
      <w:lvlText w:val="%1"/>
      <w:lvlJc w:val="left"/>
      <w:pPr>
        <w:ind w:left="360" w:hanging="360"/>
      </w:pPr>
      <w:rPr>
        <w:rFonts w:cs="Times New Roman" w:hint="default"/>
      </w:rPr>
    </w:lvl>
    <w:lvl w:ilvl="1">
      <w:start w:val="7"/>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
    <w:nsid w:val="044D38A7"/>
    <w:multiLevelType w:val="multilevel"/>
    <w:tmpl w:val="23E8FF1E"/>
    <w:lvl w:ilvl="0">
      <w:start w:val="3"/>
      <w:numFmt w:val="decimal"/>
      <w:lvlText w:val="%1"/>
      <w:lvlJc w:val="left"/>
      <w:pPr>
        <w:ind w:left="360" w:hanging="360"/>
      </w:pPr>
      <w:rPr>
        <w:rFonts w:cs="Times New Roman" w:hint="default"/>
      </w:rPr>
    </w:lvl>
    <w:lvl w:ilvl="1">
      <w:start w:val="6"/>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
    <w:nsid w:val="15812B8C"/>
    <w:multiLevelType w:val="hybridMultilevel"/>
    <w:tmpl w:val="C24EA658"/>
    <w:lvl w:ilvl="0" w:tplc="E7425BC8">
      <w:start w:val="1"/>
      <w:numFmt w:val="bullet"/>
      <w:lvlText w:val=""/>
      <w:lvlPicBulletId w:val="0"/>
      <w:lvlJc w:val="left"/>
      <w:pPr>
        <w:tabs>
          <w:tab w:val="num" w:pos="720"/>
        </w:tabs>
        <w:ind w:left="720" w:hanging="360"/>
      </w:pPr>
      <w:rPr>
        <w:rFonts w:ascii="Symbol" w:hAnsi="Symbol" w:hint="default"/>
      </w:rPr>
    </w:lvl>
    <w:lvl w:ilvl="1" w:tplc="85F23F82" w:tentative="1">
      <w:start w:val="1"/>
      <w:numFmt w:val="bullet"/>
      <w:lvlText w:val=""/>
      <w:lvlJc w:val="left"/>
      <w:pPr>
        <w:tabs>
          <w:tab w:val="num" w:pos="1440"/>
        </w:tabs>
        <w:ind w:left="1440" w:hanging="360"/>
      </w:pPr>
      <w:rPr>
        <w:rFonts w:ascii="Symbol" w:hAnsi="Symbol" w:hint="default"/>
      </w:rPr>
    </w:lvl>
    <w:lvl w:ilvl="2" w:tplc="AB009B08" w:tentative="1">
      <w:start w:val="1"/>
      <w:numFmt w:val="bullet"/>
      <w:lvlText w:val=""/>
      <w:lvlJc w:val="left"/>
      <w:pPr>
        <w:tabs>
          <w:tab w:val="num" w:pos="2160"/>
        </w:tabs>
        <w:ind w:left="2160" w:hanging="360"/>
      </w:pPr>
      <w:rPr>
        <w:rFonts w:ascii="Symbol" w:hAnsi="Symbol" w:hint="default"/>
      </w:rPr>
    </w:lvl>
    <w:lvl w:ilvl="3" w:tplc="2758BF08" w:tentative="1">
      <w:start w:val="1"/>
      <w:numFmt w:val="bullet"/>
      <w:lvlText w:val=""/>
      <w:lvlJc w:val="left"/>
      <w:pPr>
        <w:tabs>
          <w:tab w:val="num" w:pos="2880"/>
        </w:tabs>
        <w:ind w:left="2880" w:hanging="360"/>
      </w:pPr>
      <w:rPr>
        <w:rFonts w:ascii="Symbol" w:hAnsi="Symbol" w:hint="default"/>
      </w:rPr>
    </w:lvl>
    <w:lvl w:ilvl="4" w:tplc="38EAD936" w:tentative="1">
      <w:start w:val="1"/>
      <w:numFmt w:val="bullet"/>
      <w:lvlText w:val=""/>
      <w:lvlJc w:val="left"/>
      <w:pPr>
        <w:tabs>
          <w:tab w:val="num" w:pos="3600"/>
        </w:tabs>
        <w:ind w:left="3600" w:hanging="360"/>
      </w:pPr>
      <w:rPr>
        <w:rFonts w:ascii="Symbol" w:hAnsi="Symbol" w:hint="default"/>
      </w:rPr>
    </w:lvl>
    <w:lvl w:ilvl="5" w:tplc="A3AEC240" w:tentative="1">
      <w:start w:val="1"/>
      <w:numFmt w:val="bullet"/>
      <w:lvlText w:val=""/>
      <w:lvlJc w:val="left"/>
      <w:pPr>
        <w:tabs>
          <w:tab w:val="num" w:pos="4320"/>
        </w:tabs>
        <w:ind w:left="4320" w:hanging="360"/>
      </w:pPr>
      <w:rPr>
        <w:rFonts w:ascii="Symbol" w:hAnsi="Symbol" w:hint="default"/>
      </w:rPr>
    </w:lvl>
    <w:lvl w:ilvl="6" w:tplc="C4046F90" w:tentative="1">
      <w:start w:val="1"/>
      <w:numFmt w:val="bullet"/>
      <w:lvlText w:val=""/>
      <w:lvlJc w:val="left"/>
      <w:pPr>
        <w:tabs>
          <w:tab w:val="num" w:pos="5040"/>
        </w:tabs>
        <w:ind w:left="5040" w:hanging="360"/>
      </w:pPr>
      <w:rPr>
        <w:rFonts w:ascii="Symbol" w:hAnsi="Symbol" w:hint="default"/>
      </w:rPr>
    </w:lvl>
    <w:lvl w:ilvl="7" w:tplc="71DEB412" w:tentative="1">
      <w:start w:val="1"/>
      <w:numFmt w:val="bullet"/>
      <w:lvlText w:val=""/>
      <w:lvlJc w:val="left"/>
      <w:pPr>
        <w:tabs>
          <w:tab w:val="num" w:pos="5760"/>
        </w:tabs>
        <w:ind w:left="5760" w:hanging="360"/>
      </w:pPr>
      <w:rPr>
        <w:rFonts w:ascii="Symbol" w:hAnsi="Symbol" w:hint="default"/>
      </w:rPr>
    </w:lvl>
    <w:lvl w:ilvl="8" w:tplc="97EEFC96" w:tentative="1">
      <w:start w:val="1"/>
      <w:numFmt w:val="bullet"/>
      <w:lvlText w:val=""/>
      <w:lvlJc w:val="left"/>
      <w:pPr>
        <w:tabs>
          <w:tab w:val="num" w:pos="6480"/>
        </w:tabs>
        <w:ind w:left="6480" w:hanging="360"/>
      </w:pPr>
      <w:rPr>
        <w:rFonts w:ascii="Symbol" w:hAnsi="Symbol" w:hint="default"/>
      </w:rPr>
    </w:lvl>
  </w:abstractNum>
  <w:abstractNum w:abstractNumId="3">
    <w:nsid w:val="1B0B18CE"/>
    <w:multiLevelType w:val="hybridMultilevel"/>
    <w:tmpl w:val="F168E3F8"/>
    <w:lvl w:ilvl="0" w:tplc="62385A4E">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E62EB0"/>
    <w:multiLevelType w:val="hybridMultilevel"/>
    <w:tmpl w:val="A04E4A5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1F2F18C7"/>
    <w:multiLevelType w:val="multilevel"/>
    <w:tmpl w:val="BCF6A828"/>
    <w:lvl w:ilvl="0">
      <w:start w:val="1"/>
      <w:numFmt w:val="decimal"/>
      <w:lvlText w:val="%1"/>
      <w:lvlJc w:val="left"/>
      <w:pPr>
        <w:tabs>
          <w:tab w:val="num" w:pos="340"/>
        </w:tabs>
        <w:ind w:left="340" w:hanging="340"/>
      </w:pPr>
      <w:rPr>
        <w:rFonts w:ascii="9999999" w:hAnsi="9999999" w:cs="Times New Roman" w:hint="default"/>
      </w:rPr>
    </w:lvl>
    <w:lvl w:ilvl="1">
      <w:start w:val="1"/>
      <w:numFmt w:val="bullet"/>
      <w:lvlText w:val=""/>
      <w:lvlJc w:val="left"/>
      <w:pPr>
        <w:tabs>
          <w:tab w:val="num" w:pos="680"/>
        </w:tabs>
        <w:ind w:left="680" w:hanging="340"/>
      </w:pPr>
      <w:rPr>
        <w:rFonts w:ascii="Symbol" w:hAnsi="Symbol" w:hint="default"/>
        <w:sz w:val="22"/>
      </w:rPr>
    </w:lvl>
    <w:lvl w:ilvl="2">
      <w:start w:val="1"/>
      <w:numFmt w:val="bullet"/>
      <w:lvlText w:val="-"/>
      <w:lvlJc w:val="left"/>
      <w:pPr>
        <w:tabs>
          <w:tab w:val="num" w:pos="1020"/>
        </w:tabs>
        <w:ind w:left="1020" w:hanging="340"/>
      </w:pPr>
      <w:rPr>
        <w:rFonts w:ascii="9999999" w:hAnsi="9999999" w:hint="default"/>
      </w:rPr>
    </w:lvl>
    <w:lvl w:ilvl="3">
      <w:start w:val="1"/>
      <w:numFmt w:val="bullet"/>
      <w:lvlText w:val=""/>
      <w:lvlJc w:val="left"/>
      <w:pPr>
        <w:tabs>
          <w:tab w:val="num" w:pos="1361"/>
        </w:tabs>
        <w:ind w:left="1361" w:hanging="341"/>
      </w:pPr>
      <w:rPr>
        <w:rFonts w:ascii="Symbol" w:hAnsi="Symbol" w:hint="default"/>
        <w:sz w:val="22"/>
      </w:rPr>
    </w:lvl>
    <w:lvl w:ilvl="4">
      <w:start w:val="1"/>
      <w:numFmt w:val="bullet"/>
      <w:lvlText w:val="-"/>
      <w:lvlJc w:val="left"/>
      <w:pPr>
        <w:tabs>
          <w:tab w:val="num" w:pos="1701"/>
        </w:tabs>
        <w:ind w:left="1701" w:hanging="340"/>
      </w:pPr>
      <w:rPr>
        <w:rFonts w:ascii="9999999" w:hAnsi="9999999" w:hint="default"/>
      </w:rPr>
    </w:lvl>
    <w:lvl w:ilvl="5">
      <w:start w:val="1"/>
      <w:numFmt w:val="bullet"/>
      <w:lvlText w:val=""/>
      <w:lvlJc w:val="left"/>
      <w:pPr>
        <w:tabs>
          <w:tab w:val="num" w:pos="2041"/>
        </w:tabs>
        <w:ind w:left="2041" w:hanging="340"/>
      </w:pPr>
      <w:rPr>
        <w:rFonts w:ascii="Wingdings" w:hAnsi="Wingdings" w:hint="default"/>
      </w:rPr>
    </w:lvl>
    <w:lvl w:ilvl="6">
      <w:start w:val="1"/>
      <w:numFmt w:val="bullet"/>
      <w:lvlText w:val=""/>
      <w:lvlJc w:val="left"/>
      <w:pPr>
        <w:tabs>
          <w:tab w:val="num" w:pos="2381"/>
        </w:tabs>
        <w:ind w:left="2381" w:hanging="340"/>
      </w:pPr>
      <w:rPr>
        <w:rFonts w:ascii="Wingdings" w:hAnsi="Wingdings" w:hint="default"/>
      </w:rPr>
    </w:lvl>
    <w:lvl w:ilvl="7">
      <w:start w:val="1"/>
      <w:numFmt w:val="bullet"/>
      <w:lvlText w:val=""/>
      <w:lvlJc w:val="left"/>
      <w:pPr>
        <w:tabs>
          <w:tab w:val="num" w:pos="2721"/>
        </w:tabs>
        <w:ind w:left="2721" w:hanging="340"/>
      </w:pPr>
      <w:rPr>
        <w:rFonts w:ascii="Symbol" w:hAnsi="Symbol" w:hint="default"/>
      </w:rPr>
    </w:lvl>
    <w:lvl w:ilvl="8">
      <w:start w:val="1"/>
      <w:numFmt w:val="bullet"/>
      <w:lvlText w:val=""/>
      <w:lvlJc w:val="left"/>
      <w:pPr>
        <w:tabs>
          <w:tab w:val="num" w:pos="3061"/>
        </w:tabs>
        <w:ind w:left="3061" w:hanging="340"/>
      </w:pPr>
      <w:rPr>
        <w:rFonts w:ascii="Symbol" w:hAnsi="Symbol" w:hint="default"/>
      </w:rPr>
    </w:lvl>
  </w:abstractNum>
  <w:abstractNum w:abstractNumId="6">
    <w:nsid w:val="22460DF7"/>
    <w:multiLevelType w:val="multilevel"/>
    <w:tmpl w:val="E7AAFA92"/>
    <w:lvl w:ilvl="0">
      <w:start w:val="1"/>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7">
    <w:nsid w:val="381D77FF"/>
    <w:multiLevelType w:val="hybridMultilevel"/>
    <w:tmpl w:val="9CD07290"/>
    <w:lvl w:ilvl="0" w:tplc="2312D3A4">
      <w:start w:val="3"/>
      <w:numFmt w:val="bullet"/>
      <w:lvlText w:val="-"/>
      <w:lvlJc w:val="left"/>
      <w:pPr>
        <w:tabs>
          <w:tab w:val="num" w:pos="720"/>
        </w:tabs>
        <w:ind w:left="720" w:hanging="360"/>
      </w:pPr>
      <w:rPr>
        <w:rFonts w:ascii="Times New Roman" w:eastAsia="Times New Roman" w:hAnsi="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40A54018"/>
    <w:multiLevelType w:val="hybridMultilevel"/>
    <w:tmpl w:val="EEE0C58C"/>
    <w:lvl w:ilvl="0" w:tplc="14708A02">
      <w:start w:val="1"/>
      <w:numFmt w:val="lowerLetter"/>
      <w:lvlText w:val="%1."/>
      <w:lvlJc w:val="left"/>
      <w:pPr>
        <w:ind w:left="420" w:hanging="360"/>
      </w:pPr>
      <w:rPr>
        <w:rFonts w:cs="Times New Roman" w:hint="default"/>
      </w:rPr>
    </w:lvl>
    <w:lvl w:ilvl="1" w:tplc="04090019" w:tentative="1">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abstractNum w:abstractNumId="9">
    <w:nsid w:val="55042F21"/>
    <w:multiLevelType w:val="hybridMultilevel"/>
    <w:tmpl w:val="99304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6A06FA6"/>
    <w:multiLevelType w:val="hybridMultilevel"/>
    <w:tmpl w:val="8AFC8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B755486"/>
    <w:multiLevelType w:val="hybridMultilevel"/>
    <w:tmpl w:val="A04E4A5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7207354A"/>
    <w:multiLevelType w:val="multilevel"/>
    <w:tmpl w:val="4C42F2AA"/>
    <w:lvl w:ilvl="0">
      <w:start w:val="1"/>
      <w:numFmt w:val="decimal"/>
      <w:lvlText w:val="%1"/>
      <w:lvlJc w:val="left"/>
      <w:pPr>
        <w:ind w:left="360" w:hanging="360"/>
      </w:pPr>
      <w:rPr>
        <w:rFonts w:ascii="Calibri" w:eastAsia="Times New Roman" w:hAnsi="Calibri" w:cs="Times New Roman" w:hint="default"/>
        <w:color w:val="auto"/>
        <w:sz w:val="20"/>
      </w:rPr>
    </w:lvl>
    <w:lvl w:ilvl="1">
      <w:start w:val="1"/>
      <w:numFmt w:val="decimal"/>
      <w:lvlText w:val="%1.%2"/>
      <w:lvlJc w:val="left"/>
      <w:pPr>
        <w:ind w:left="360" w:hanging="360"/>
      </w:pPr>
      <w:rPr>
        <w:rFonts w:ascii="Calibri" w:eastAsia="Times New Roman" w:hAnsi="Calibri" w:cs="Times New Roman" w:hint="default"/>
        <w:color w:val="auto"/>
        <w:sz w:val="20"/>
      </w:rPr>
    </w:lvl>
    <w:lvl w:ilvl="2">
      <w:start w:val="1"/>
      <w:numFmt w:val="decimal"/>
      <w:lvlText w:val="%1.%2.%3"/>
      <w:lvlJc w:val="left"/>
      <w:pPr>
        <w:ind w:left="720" w:hanging="720"/>
      </w:pPr>
      <w:rPr>
        <w:rFonts w:ascii="Calibri" w:eastAsia="Times New Roman" w:hAnsi="Calibri" w:cs="Times New Roman" w:hint="default"/>
        <w:color w:val="auto"/>
        <w:sz w:val="20"/>
      </w:rPr>
    </w:lvl>
    <w:lvl w:ilvl="3">
      <w:start w:val="1"/>
      <w:numFmt w:val="decimal"/>
      <w:lvlText w:val="%1.%2.%3.%4"/>
      <w:lvlJc w:val="left"/>
      <w:pPr>
        <w:ind w:left="720" w:hanging="720"/>
      </w:pPr>
      <w:rPr>
        <w:rFonts w:ascii="Calibri" w:eastAsia="Times New Roman" w:hAnsi="Calibri" w:cs="Times New Roman" w:hint="default"/>
        <w:color w:val="auto"/>
        <w:sz w:val="20"/>
      </w:rPr>
    </w:lvl>
    <w:lvl w:ilvl="4">
      <w:start w:val="1"/>
      <w:numFmt w:val="decimal"/>
      <w:lvlText w:val="%1.%2.%3.%4.%5"/>
      <w:lvlJc w:val="left"/>
      <w:pPr>
        <w:ind w:left="720" w:hanging="720"/>
      </w:pPr>
      <w:rPr>
        <w:rFonts w:ascii="Calibri" w:eastAsia="Times New Roman" w:hAnsi="Calibri" w:cs="Times New Roman" w:hint="default"/>
        <w:color w:val="auto"/>
        <w:sz w:val="20"/>
      </w:rPr>
    </w:lvl>
    <w:lvl w:ilvl="5">
      <w:start w:val="1"/>
      <w:numFmt w:val="decimal"/>
      <w:lvlText w:val="%1.%2.%3.%4.%5.%6"/>
      <w:lvlJc w:val="left"/>
      <w:pPr>
        <w:ind w:left="1080" w:hanging="1080"/>
      </w:pPr>
      <w:rPr>
        <w:rFonts w:ascii="Calibri" w:eastAsia="Times New Roman" w:hAnsi="Calibri" w:cs="Times New Roman" w:hint="default"/>
        <w:color w:val="auto"/>
        <w:sz w:val="20"/>
      </w:rPr>
    </w:lvl>
    <w:lvl w:ilvl="6">
      <w:start w:val="1"/>
      <w:numFmt w:val="decimal"/>
      <w:lvlText w:val="%1.%2.%3.%4.%5.%6.%7"/>
      <w:lvlJc w:val="left"/>
      <w:pPr>
        <w:ind w:left="1080" w:hanging="1080"/>
      </w:pPr>
      <w:rPr>
        <w:rFonts w:ascii="Calibri" w:eastAsia="Times New Roman" w:hAnsi="Calibri" w:cs="Times New Roman" w:hint="default"/>
        <w:color w:val="auto"/>
        <w:sz w:val="20"/>
      </w:rPr>
    </w:lvl>
    <w:lvl w:ilvl="7">
      <w:start w:val="1"/>
      <w:numFmt w:val="decimal"/>
      <w:lvlText w:val="%1.%2.%3.%4.%5.%6.%7.%8"/>
      <w:lvlJc w:val="left"/>
      <w:pPr>
        <w:ind w:left="1440" w:hanging="1440"/>
      </w:pPr>
      <w:rPr>
        <w:rFonts w:ascii="Calibri" w:eastAsia="Times New Roman" w:hAnsi="Calibri" w:cs="Times New Roman" w:hint="default"/>
        <w:color w:val="auto"/>
        <w:sz w:val="20"/>
      </w:rPr>
    </w:lvl>
    <w:lvl w:ilvl="8">
      <w:start w:val="1"/>
      <w:numFmt w:val="decimal"/>
      <w:lvlText w:val="%1.%2.%3.%4.%5.%6.%7.%8.%9"/>
      <w:lvlJc w:val="left"/>
      <w:pPr>
        <w:ind w:left="1440" w:hanging="1440"/>
      </w:pPr>
      <w:rPr>
        <w:rFonts w:ascii="Calibri" w:eastAsia="Times New Roman" w:hAnsi="Calibri" w:cs="Times New Roman" w:hint="default"/>
        <w:color w:val="auto"/>
        <w:sz w:val="20"/>
      </w:rPr>
    </w:lvl>
  </w:abstractNum>
  <w:abstractNum w:abstractNumId="13">
    <w:nsid w:val="74AF3AC1"/>
    <w:multiLevelType w:val="hybridMultilevel"/>
    <w:tmpl w:val="A4327C70"/>
    <w:lvl w:ilvl="0" w:tplc="8D84A0C2">
      <w:start w:val="1"/>
      <w:numFmt w:val="lowerLetter"/>
      <w:lvlText w:val="%1."/>
      <w:lvlJc w:val="left"/>
      <w:pPr>
        <w:ind w:left="420" w:hanging="360"/>
      </w:pPr>
      <w:rPr>
        <w:rFonts w:cs="Times New Roman" w:hint="default"/>
      </w:rPr>
    </w:lvl>
    <w:lvl w:ilvl="1" w:tplc="04090019" w:tentative="1">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num w:numId="1">
    <w:abstractNumId w:val="3"/>
  </w:num>
  <w:num w:numId="2">
    <w:abstractNumId w:val="5"/>
  </w:num>
  <w:num w:numId="3">
    <w:abstractNumId w:val="10"/>
  </w:num>
  <w:num w:numId="4">
    <w:abstractNumId w:val="9"/>
  </w:num>
  <w:num w:numId="5">
    <w:abstractNumId w:val="7"/>
  </w:num>
  <w:num w:numId="6">
    <w:abstractNumId w:val="2"/>
  </w:num>
  <w:num w:numId="7">
    <w:abstractNumId w:val="12"/>
  </w:num>
  <w:num w:numId="8">
    <w:abstractNumId w:val="6"/>
  </w:num>
  <w:num w:numId="9">
    <w:abstractNumId w:val="0"/>
  </w:num>
  <w:num w:numId="10">
    <w:abstractNumId w:val="1"/>
  </w:num>
  <w:num w:numId="11">
    <w:abstractNumId w:val="13"/>
  </w:num>
  <w:num w:numId="12">
    <w:abstractNumId w:val="11"/>
  </w:num>
  <w:num w:numId="13">
    <w:abstractNumId w:val="8"/>
  </w:num>
  <w:num w:numId="1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defaultTabStop w:val="720"/>
  <w:hyphenationZone w:val="425"/>
  <w:drawingGridHorizontalSpacing w:val="100"/>
  <w:displayHorizontalDrawingGridEvery w:val="2"/>
  <w:characterSpacingControl w:val="doNotCompress"/>
  <w:footnotePr>
    <w:footnote w:id="-1"/>
    <w:footnote w:id="0"/>
  </w:footnotePr>
  <w:endnotePr>
    <w:endnote w:id="-1"/>
    <w:endnote w:id="0"/>
  </w:endnotePr>
  <w:compat/>
  <w:rsids>
    <w:rsidRoot w:val="00663667"/>
    <w:rsid w:val="00000A13"/>
    <w:rsid w:val="000014E9"/>
    <w:rsid w:val="00001576"/>
    <w:rsid w:val="00001EA0"/>
    <w:rsid w:val="000022C8"/>
    <w:rsid w:val="00002AC3"/>
    <w:rsid w:val="00002EA6"/>
    <w:rsid w:val="00003443"/>
    <w:rsid w:val="00003FC8"/>
    <w:rsid w:val="0000547F"/>
    <w:rsid w:val="00005D2E"/>
    <w:rsid w:val="00006F08"/>
    <w:rsid w:val="000077E7"/>
    <w:rsid w:val="000108A3"/>
    <w:rsid w:val="00012368"/>
    <w:rsid w:val="0001365C"/>
    <w:rsid w:val="000137E7"/>
    <w:rsid w:val="00013B56"/>
    <w:rsid w:val="00013C63"/>
    <w:rsid w:val="00014EAC"/>
    <w:rsid w:val="00015E38"/>
    <w:rsid w:val="00020CA0"/>
    <w:rsid w:val="0002176F"/>
    <w:rsid w:val="000217BE"/>
    <w:rsid w:val="00024028"/>
    <w:rsid w:val="00025099"/>
    <w:rsid w:val="00026B69"/>
    <w:rsid w:val="00026DE5"/>
    <w:rsid w:val="0003010E"/>
    <w:rsid w:val="00030525"/>
    <w:rsid w:val="00030CD0"/>
    <w:rsid w:val="00032B98"/>
    <w:rsid w:val="0003331B"/>
    <w:rsid w:val="00033A87"/>
    <w:rsid w:val="0003498C"/>
    <w:rsid w:val="00035ACE"/>
    <w:rsid w:val="0003638E"/>
    <w:rsid w:val="00040A42"/>
    <w:rsid w:val="00040FF6"/>
    <w:rsid w:val="00041799"/>
    <w:rsid w:val="0004181D"/>
    <w:rsid w:val="00041932"/>
    <w:rsid w:val="00042C2E"/>
    <w:rsid w:val="00044447"/>
    <w:rsid w:val="000454D6"/>
    <w:rsid w:val="000467E9"/>
    <w:rsid w:val="00046999"/>
    <w:rsid w:val="00046BFB"/>
    <w:rsid w:val="00046CF6"/>
    <w:rsid w:val="000473B2"/>
    <w:rsid w:val="00047DA4"/>
    <w:rsid w:val="00050108"/>
    <w:rsid w:val="00050B5A"/>
    <w:rsid w:val="00050ECA"/>
    <w:rsid w:val="000527E7"/>
    <w:rsid w:val="00054902"/>
    <w:rsid w:val="00054E2B"/>
    <w:rsid w:val="000555B0"/>
    <w:rsid w:val="000568E4"/>
    <w:rsid w:val="00057441"/>
    <w:rsid w:val="0005758A"/>
    <w:rsid w:val="00057A4C"/>
    <w:rsid w:val="00060454"/>
    <w:rsid w:val="000629A1"/>
    <w:rsid w:val="00062DCD"/>
    <w:rsid w:val="00064AF3"/>
    <w:rsid w:val="00065D35"/>
    <w:rsid w:val="00067131"/>
    <w:rsid w:val="00067276"/>
    <w:rsid w:val="00067545"/>
    <w:rsid w:val="00067F0A"/>
    <w:rsid w:val="00070DE0"/>
    <w:rsid w:val="00070EC8"/>
    <w:rsid w:val="00072383"/>
    <w:rsid w:val="00072F85"/>
    <w:rsid w:val="00073267"/>
    <w:rsid w:val="00074B89"/>
    <w:rsid w:val="00075474"/>
    <w:rsid w:val="00075F96"/>
    <w:rsid w:val="000761F3"/>
    <w:rsid w:val="00076C0E"/>
    <w:rsid w:val="0007790F"/>
    <w:rsid w:val="0008006C"/>
    <w:rsid w:val="00080239"/>
    <w:rsid w:val="00080F47"/>
    <w:rsid w:val="0008105D"/>
    <w:rsid w:val="00081CC0"/>
    <w:rsid w:val="0008224F"/>
    <w:rsid w:val="00082E6A"/>
    <w:rsid w:val="0008376E"/>
    <w:rsid w:val="00083AF9"/>
    <w:rsid w:val="00086222"/>
    <w:rsid w:val="000875AE"/>
    <w:rsid w:val="00087DD7"/>
    <w:rsid w:val="00090156"/>
    <w:rsid w:val="00090273"/>
    <w:rsid w:val="000908D6"/>
    <w:rsid w:val="000909C1"/>
    <w:rsid w:val="0009256D"/>
    <w:rsid w:val="00092966"/>
    <w:rsid w:val="00092D06"/>
    <w:rsid w:val="00094444"/>
    <w:rsid w:val="00095132"/>
    <w:rsid w:val="000954E5"/>
    <w:rsid w:val="000967D8"/>
    <w:rsid w:val="000968A2"/>
    <w:rsid w:val="00096CEB"/>
    <w:rsid w:val="00097458"/>
    <w:rsid w:val="00097767"/>
    <w:rsid w:val="00097773"/>
    <w:rsid w:val="0009786A"/>
    <w:rsid w:val="000A02E8"/>
    <w:rsid w:val="000A031F"/>
    <w:rsid w:val="000A078C"/>
    <w:rsid w:val="000A0AAE"/>
    <w:rsid w:val="000A0F3F"/>
    <w:rsid w:val="000A18F5"/>
    <w:rsid w:val="000A2612"/>
    <w:rsid w:val="000A3447"/>
    <w:rsid w:val="000A346B"/>
    <w:rsid w:val="000A3801"/>
    <w:rsid w:val="000A4452"/>
    <w:rsid w:val="000A5733"/>
    <w:rsid w:val="000A5BFD"/>
    <w:rsid w:val="000A624B"/>
    <w:rsid w:val="000A79C5"/>
    <w:rsid w:val="000A7CAA"/>
    <w:rsid w:val="000A7FC9"/>
    <w:rsid w:val="000B318A"/>
    <w:rsid w:val="000B4660"/>
    <w:rsid w:val="000B562C"/>
    <w:rsid w:val="000B61FF"/>
    <w:rsid w:val="000B6D19"/>
    <w:rsid w:val="000B7BD0"/>
    <w:rsid w:val="000C0429"/>
    <w:rsid w:val="000C0E28"/>
    <w:rsid w:val="000C18D5"/>
    <w:rsid w:val="000C2991"/>
    <w:rsid w:val="000C2C9D"/>
    <w:rsid w:val="000C350B"/>
    <w:rsid w:val="000C39FC"/>
    <w:rsid w:val="000C3BF8"/>
    <w:rsid w:val="000C55CE"/>
    <w:rsid w:val="000C7238"/>
    <w:rsid w:val="000C7281"/>
    <w:rsid w:val="000D0225"/>
    <w:rsid w:val="000D0E36"/>
    <w:rsid w:val="000D1219"/>
    <w:rsid w:val="000D1FE0"/>
    <w:rsid w:val="000D2DA4"/>
    <w:rsid w:val="000D3CED"/>
    <w:rsid w:val="000D4E70"/>
    <w:rsid w:val="000D552C"/>
    <w:rsid w:val="000D64C9"/>
    <w:rsid w:val="000D6C44"/>
    <w:rsid w:val="000D78F6"/>
    <w:rsid w:val="000E0320"/>
    <w:rsid w:val="000E0E63"/>
    <w:rsid w:val="000E1740"/>
    <w:rsid w:val="000E1818"/>
    <w:rsid w:val="000E3020"/>
    <w:rsid w:val="000E3B5F"/>
    <w:rsid w:val="000E43C9"/>
    <w:rsid w:val="000E48F5"/>
    <w:rsid w:val="000E4CA5"/>
    <w:rsid w:val="000E593A"/>
    <w:rsid w:val="000E6AD0"/>
    <w:rsid w:val="000E6BAA"/>
    <w:rsid w:val="000E6CC4"/>
    <w:rsid w:val="000E6D05"/>
    <w:rsid w:val="000E7271"/>
    <w:rsid w:val="000E76E0"/>
    <w:rsid w:val="000F079B"/>
    <w:rsid w:val="000F16F8"/>
    <w:rsid w:val="000F19EA"/>
    <w:rsid w:val="000F29B3"/>
    <w:rsid w:val="000F3846"/>
    <w:rsid w:val="000F3EE5"/>
    <w:rsid w:val="000F475D"/>
    <w:rsid w:val="000F4FF3"/>
    <w:rsid w:val="000F5524"/>
    <w:rsid w:val="000F5ED3"/>
    <w:rsid w:val="000F6969"/>
    <w:rsid w:val="0010127D"/>
    <w:rsid w:val="00101550"/>
    <w:rsid w:val="0010199B"/>
    <w:rsid w:val="00101C20"/>
    <w:rsid w:val="0010204B"/>
    <w:rsid w:val="00102450"/>
    <w:rsid w:val="00102EB4"/>
    <w:rsid w:val="00103612"/>
    <w:rsid w:val="00105684"/>
    <w:rsid w:val="00106DA8"/>
    <w:rsid w:val="001074C6"/>
    <w:rsid w:val="00107D32"/>
    <w:rsid w:val="001101AA"/>
    <w:rsid w:val="00110562"/>
    <w:rsid w:val="001133CC"/>
    <w:rsid w:val="0011375E"/>
    <w:rsid w:val="001142C7"/>
    <w:rsid w:val="00116EA2"/>
    <w:rsid w:val="00117911"/>
    <w:rsid w:val="00117F35"/>
    <w:rsid w:val="00117F6B"/>
    <w:rsid w:val="00120B34"/>
    <w:rsid w:val="00120DAB"/>
    <w:rsid w:val="001215AE"/>
    <w:rsid w:val="00122009"/>
    <w:rsid w:val="00122DD7"/>
    <w:rsid w:val="0012368B"/>
    <w:rsid w:val="00125401"/>
    <w:rsid w:val="001266B5"/>
    <w:rsid w:val="00127773"/>
    <w:rsid w:val="001277B0"/>
    <w:rsid w:val="00127BF3"/>
    <w:rsid w:val="0013205A"/>
    <w:rsid w:val="00132AFF"/>
    <w:rsid w:val="00133112"/>
    <w:rsid w:val="0013345C"/>
    <w:rsid w:val="00134104"/>
    <w:rsid w:val="00134CB3"/>
    <w:rsid w:val="00135C7C"/>
    <w:rsid w:val="001362BF"/>
    <w:rsid w:val="00136C6A"/>
    <w:rsid w:val="00136C7A"/>
    <w:rsid w:val="00137078"/>
    <w:rsid w:val="001370AF"/>
    <w:rsid w:val="001377FA"/>
    <w:rsid w:val="001402A8"/>
    <w:rsid w:val="001405DD"/>
    <w:rsid w:val="00140DC0"/>
    <w:rsid w:val="00141DCF"/>
    <w:rsid w:val="0014316D"/>
    <w:rsid w:val="00144259"/>
    <w:rsid w:val="001456AD"/>
    <w:rsid w:val="00145CBC"/>
    <w:rsid w:val="001462B4"/>
    <w:rsid w:val="00146E7C"/>
    <w:rsid w:val="00146ED9"/>
    <w:rsid w:val="00147421"/>
    <w:rsid w:val="00150570"/>
    <w:rsid w:val="00150DE3"/>
    <w:rsid w:val="00152F74"/>
    <w:rsid w:val="00153A59"/>
    <w:rsid w:val="00154F36"/>
    <w:rsid w:val="001553A3"/>
    <w:rsid w:val="001556B1"/>
    <w:rsid w:val="00156205"/>
    <w:rsid w:val="0015767C"/>
    <w:rsid w:val="00157725"/>
    <w:rsid w:val="0016094F"/>
    <w:rsid w:val="00161046"/>
    <w:rsid w:val="00161508"/>
    <w:rsid w:val="001618BD"/>
    <w:rsid w:val="001619F3"/>
    <w:rsid w:val="001623D0"/>
    <w:rsid w:val="00162C6B"/>
    <w:rsid w:val="00163F13"/>
    <w:rsid w:val="001641F0"/>
    <w:rsid w:val="00165940"/>
    <w:rsid w:val="00165B98"/>
    <w:rsid w:val="00166366"/>
    <w:rsid w:val="00166875"/>
    <w:rsid w:val="00171C43"/>
    <w:rsid w:val="00171E20"/>
    <w:rsid w:val="00171F9F"/>
    <w:rsid w:val="00172BA5"/>
    <w:rsid w:val="00172EF4"/>
    <w:rsid w:val="0017388B"/>
    <w:rsid w:val="001744F5"/>
    <w:rsid w:val="0017452C"/>
    <w:rsid w:val="00174D8E"/>
    <w:rsid w:val="001763FA"/>
    <w:rsid w:val="0017691E"/>
    <w:rsid w:val="00177154"/>
    <w:rsid w:val="00177E64"/>
    <w:rsid w:val="00180BF9"/>
    <w:rsid w:val="00181675"/>
    <w:rsid w:val="001818A9"/>
    <w:rsid w:val="001827F3"/>
    <w:rsid w:val="001830F8"/>
    <w:rsid w:val="00184B8C"/>
    <w:rsid w:val="001857EB"/>
    <w:rsid w:val="00187879"/>
    <w:rsid w:val="00187D83"/>
    <w:rsid w:val="00190694"/>
    <w:rsid w:val="00190B23"/>
    <w:rsid w:val="001923BD"/>
    <w:rsid w:val="001925D0"/>
    <w:rsid w:val="001928D5"/>
    <w:rsid w:val="00192FE8"/>
    <w:rsid w:val="0019327A"/>
    <w:rsid w:val="00193962"/>
    <w:rsid w:val="00194223"/>
    <w:rsid w:val="0019494D"/>
    <w:rsid w:val="00195006"/>
    <w:rsid w:val="00196BE9"/>
    <w:rsid w:val="001974F7"/>
    <w:rsid w:val="001975EE"/>
    <w:rsid w:val="001A0468"/>
    <w:rsid w:val="001A12AC"/>
    <w:rsid w:val="001A15C0"/>
    <w:rsid w:val="001A1D09"/>
    <w:rsid w:val="001A20B0"/>
    <w:rsid w:val="001A2161"/>
    <w:rsid w:val="001A28DB"/>
    <w:rsid w:val="001A2BFC"/>
    <w:rsid w:val="001A4B5A"/>
    <w:rsid w:val="001A54D4"/>
    <w:rsid w:val="001A6668"/>
    <w:rsid w:val="001B0060"/>
    <w:rsid w:val="001B0987"/>
    <w:rsid w:val="001B0E63"/>
    <w:rsid w:val="001B10F9"/>
    <w:rsid w:val="001B132D"/>
    <w:rsid w:val="001B132F"/>
    <w:rsid w:val="001B1685"/>
    <w:rsid w:val="001B46A7"/>
    <w:rsid w:val="001B589F"/>
    <w:rsid w:val="001B7189"/>
    <w:rsid w:val="001B739F"/>
    <w:rsid w:val="001C0465"/>
    <w:rsid w:val="001C0F85"/>
    <w:rsid w:val="001C1E4B"/>
    <w:rsid w:val="001C2789"/>
    <w:rsid w:val="001C2BD0"/>
    <w:rsid w:val="001C441C"/>
    <w:rsid w:val="001C5775"/>
    <w:rsid w:val="001C58FC"/>
    <w:rsid w:val="001C5F16"/>
    <w:rsid w:val="001C6B2A"/>
    <w:rsid w:val="001C77CC"/>
    <w:rsid w:val="001C7F6B"/>
    <w:rsid w:val="001D0587"/>
    <w:rsid w:val="001D28BC"/>
    <w:rsid w:val="001D2B40"/>
    <w:rsid w:val="001D34A8"/>
    <w:rsid w:val="001D40DE"/>
    <w:rsid w:val="001D4647"/>
    <w:rsid w:val="001D4BB3"/>
    <w:rsid w:val="001D5120"/>
    <w:rsid w:val="001D5917"/>
    <w:rsid w:val="001D5C23"/>
    <w:rsid w:val="001D5E07"/>
    <w:rsid w:val="001D5E22"/>
    <w:rsid w:val="001D5FFF"/>
    <w:rsid w:val="001D61B2"/>
    <w:rsid w:val="001E04C6"/>
    <w:rsid w:val="001E079A"/>
    <w:rsid w:val="001E09DF"/>
    <w:rsid w:val="001E0A44"/>
    <w:rsid w:val="001E1418"/>
    <w:rsid w:val="001E232F"/>
    <w:rsid w:val="001E2B80"/>
    <w:rsid w:val="001E2DB2"/>
    <w:rsid w:val="001E35F9"/>
    <w:rsid w:val="001E3890"/>
    <w:rsid w:val="001E5DB8"/>
    <w:rsid w:val="001E6A0A"/>
    <w:rsid w:val="001E7AB7"/>
    <w:rsid w:val="001E7CC3"/>
    <w:rsid w:val="001F0158"/>
    <w:rsid w:val="001F026E"/>
    <w:rsid w:val="001F0976"/>
    <w:rsid w:val="001F167D"/>
    <w:rsid w:val="001F2078"/>
    <w:rsid w:val="001F29F3"/>
    <w:rsid w:val="001F2F3B"/>
    <w:rsid w:val="001F39EB"/>
    <w:rsid w:val="001F56CA"/>
    <w:rsid w:val="001F5842"/>
    <w:rsid w:val="001F5D10"/>
    <w:rsid w:val="001F64CE"/>
    <w:rsid w:val="001F7605"/>
    <w:rsid w:val="001F77A0"/>
    <w:rsid w:val="001F79D8"/>
    <w:rsid w:val="00200537"/>
    <w:rsid w:val="00200D20"/>
    <w:rsid w:val="00201FBA"/>
    <w:rsid w:val="002028F0"/>
    <w:rsid w:val="00202F4D"/>
    <w:rsid w:val="00203F98"/>
    <w:rsid w:val="00204DB6"/>
    <w:rsid w:val="00206D40"/>
    <w:rsid w:val="002109E6"/>
    <w:rsid w:val="002111B7"/>
    <w:rsid w:val="002114E1"/>
    <w:rsid w:val="00211838"/>
    <w:rsid w:val="002118E4"/>
    <w:rsid w:val="00211AAD"/>
    <w:rsid w:val="00211C15"/>
    <w:rsid w:val="00212267"/>
    <w:rsid w:val="00212491"/>
    <w:rsid w:val="002124FC"/>
    <w:rsid w:val="00213BAB"/>
    <w:rsid w:val="00213CFC"/>
    <w:rsid w:val="00215A58"/>
    <w:rsid w:val="00216EE9"/>
    <w:rsid w:val="00220BC6"/>
    <w:rsid w:val="00220E6D"/>
    <w:rsid w:val="00220EA4"/>
    <w:rsid w:val="00221728"/>
    <w:rsid w:val="00221B54"/>
    <w:rsid w:val="00221C5B"/>
    <w:rsid w:val="00221D88"/>
    <w:rsid w:val="00222CCF"/>
    <w:rsid w:val="00223571"/>
    <w:rsid w:val="00223FDD"/>
    <w:rsid w:val="00224CA3"/>
    <w:rsid w:val="00224E71"/>
    <w:rsid w:val="0022719E"/>
    <w:rsid w:val="0022750D"/>
    <w:rsid w:val="0022763F"/>
    <w:rsid w:val="0022793B"/>
    <w:rsid w:val="00227E4F"/>
    <w:rsid w:val="0023167A"/>
    <w:rsid w:val="00233871"/>
    <w:rsid w:val="002341F5"/>
    <w:rsid w:val="002342A4"/>
    <w:rsid w:val="00235945"/>
    <w:rsid w:val="00235C00"/>
    <w:rsid w:val="00236519"/>
    <w:rsid w:val="00236FC0"/>
    <w:rsid w:val="00240D10"/>
    <w:rsid w:val="00242655"/>
    <w:rsid w:val="002431CC"/>
    <w:rsid w:val="002431E9"/>
    <w:rsid w:val="00243510"/>
    <w:rsid w:val="00243D50"/>
    <w:rsid w:val="00243FD4"/>
    <w:rsid w:val="002451D1"/>
    <w:rsid w:val="0024546D"/>
    <w:rsid w:val="00246963"/>
    <w:rsid w:val="00246968"/>
    <w:rsid w:val="00246BB1"/>
    <w:rsid w:val="002472FC"/>
    <w:rsid w:val="002473B4"/>
    <w:rsid w:val="00251A95"/>
    <w:rsid w:val="002538B2"/>
    <w:rsid w:val="0025406C"/>
    <w:rsid w:val="002557AC"/>
    <w:rsid w:val="00255C75"/>
    <w:rsid w:val="00256488"/>
    <w:rsid w:val="0025664C"/>
    <w:rsid w:val="00260208"/>
    <w:rsid w:val="00262484"/>
    <w:rsid w:val="002624A4"/>
    <w:rsid w:val="00262942"/>
    <w:rsid w:val="00262DF3"/>
    <w:rsid w:val="00263399"/>
    <w:rsid w:val="00263630"/>
    <w:rsid w:val="00263A35"/>
    <w:rsid w:val="00263D24"/>
    <w:rsid w:val="002652EE"/>
    <w:rsid w:val="00265583"/>
    <w:rsid w:val="00266045"/>
    <w:rsid w:val="00266359"/>
    <w:rsid w:val="00267360"/>
    <w:rsid w:val="00267C55"/>
    <w:rsid w:val="00271517"/>
    <w:rsid w:val="002735C2"/>
    <w:rsid w:val="00274677"/>
    <w:rsid w:val="0027509F"/>
    <w:rsid w:val="00276C3F"/>
    <w:rsid w:val="00276C5F"/>
    <w:rsid w:val="00277044"/>
    <w:rsid w:val="00277B5D"/>
    <w:rsid w:val="00277DE6"/>
    <w:rsid w:val="0028096F"/>
    <w:rsid w:val="00280B00"/>
    <w:rsid w:val="00280E20"/>
    <w:rsid w:val="00280E2C"/>
    <w:rsid w:val="00280EC8"/>
    <w:rsid w:val="00281790"/>
    <w:rsid w:val="00281A63"/>
    <w:rsid w:val="00284C6F"/>
    <w:rsid w:val="00285388"/>
    <w:rsid w:val="00286EAC"/>
    <w:rsid w:val="00287C78"/>
    <w:rsid w:val="002908F2"/>
    <w:rsid w:val="00291567"/>
    <w:rsid w:val="00291A88"/>
    <w:rsid w:val="0029233A"/>
    <w:rsid w:val="002925A4"/>
    <w:rsid w:val="0029460E"/>
    <w:rsid w:val="002962D8"/>
    <w:rsid w:val="00296345"/>
    <w:rsid w:val="00297FED"/>
    <w:rsid w:val="002A0321"/>
    <w:rsid w:val="002A0484"/>
    <w:rsid w:val="002A0DEB"/>
    <w:rsid w:val="002A15B4"/>
    <w:rsid w:val="002A1F59"/>
    <w:rsid w:val="002A39FA"/>
    <w:rsid w:val="002A4A32"/>
    <w:rsid w:val="002A54BD"/>
    <w:rsid w:val="002A71E5"/>
    <w:rsid w:val="002A7D16"/>
    <w:rsid w:val="002B0223"/>
    <w:rsid w:val="002B1248"/>
    <w:rsid w:val="002B3230"/>
    <w:rsid w:val="002B40D0"/>
    <w:rsid w:val="002B4A66"/>
    <w:rsid w:val="002B597B"/>
    <w:rsid w:val="002B62F7"/>
    <w:rsid w:val="002C0ABD"/>
    <w:rsid w:val="002C0FCD"/>
    <w:rsid w:val="002C170E"/>
    <w:rsid w:val="002C2157"/>
    <w:rsid w:val="002C2BE8"/>
    <w:rsid w:val="002C2D02"/>
    <w:rsid w:val="002C2E7A"/>
    <w:rsid w:val="002C33E6"/>
    <w:rsid w:val="002C3AC7"/>
    <w:rsid w:val="002C60F8"/>
    <w:rsid w:val="002C6D31"/>
    <w:rsid w:val="002C7217"/>
    <w:rsid w:val="002C7E8F"/>
    <w:rsid w:val="002D04BB"/>
    <w:rsid w:val="002D1F44"/>
    <w:rsid w:val="002D5C0D"/>
    <w:rsid w:val="002D5D0C"/>
    <w:rsid w:val="002D621A"/>
    <w:rsid w:val="002D6C49"/>
    <w:rsid w:val="002E07D5"/>
    <w:rsid w:val="002E0923"/>
    <w:rsid w:val="002E115F"/>
    <w:rsid w:val="002E16A3"/>
    <w:rsid w:val="002E1CF5"/>
    <w:rsid w:val="002E2989"/>
    <w:rsid w:val="002E353D"/>
    <w:rsid w:val="002E4BCE"/>
    <w:rsid w:val="002E56BE"/>
    <w:rsid w:val="002E5A77"/>
    <w:rsid w:val="002E63E7"/>
    <w:rsid w:val="002E6B5F"/>
    <w:rsid w:val="002F2960"/>
    <w:rsid w:val="002F34B3"/>
    <w:rsid w:val="002F466A"/>
    <w:rsid w:val="002F4E6B"/>
    <w:rsid w:val="002F58A7"/>
    <w:rsid w:val="002F6C29"/>
    <w:rsid w:val="002F6C42"/>
    <w:rsid w:val="0030193C"/>
    <w:rsid w:val="00301C2C"/>
    <w:rsid w:val="00301E54"/>
    <w:rsid w:val="0030211B"/>
    <w:rsid w:val="00302622"/>
    <w:rsid w:val="00302D57"/>
    <w:rsid w:val="00302F8B"/>
    <w:rsid w:val="003033DF"/>
    <w:rsid w:val="00303B19"/>
    <w:rsid w:val="00303F74"/>
    <w:rsid w:val="0030402F"/>
    <w:rsid w:val="0030564C"/>
    <w:rsid w:val="00305C91"/>
    <w:rsid w:val="00306584"/>
    <w:rsid w:val="003067BD"/>
    <w:rsid w:val="0031048E"/>
    <w:rsid w:val="00311D77"/>
    <w:rsid w:val="003134DE"/>
    <w:rsid w:val="003136CE"/>
    <w:rsid w:val="00316980"/>
    <w:rsid w:val="00316E22"/>
    <w:rsid w:val="00316E9F"/>
    <w:rsid w:val="00317A45"/>
    <w:rsid w:val="00320D7E"/>
    <w:rsid w:val="00320EC5"/>
    <w:rsid w:val="00321677"/>
    <w:rsid w:val="00321D18"/>
    <w:rsid w:val="00321F83"/>
    <w:rsid w:val="00323323"/>
    <w:rsid w:val="00324234"/>
    <w:rsid w:val="003257FB"/>
    <w:rsid w:val="00330C22"/>
    <w:rsid w:val="0033151A"/>
    <w:rsid w:val="0033163F"/>
    <w:rsid w:val="00331877"/>
    <w:rsid w:val="00331E00"/>
    <w:rsid w:val="003321C8"/>
    <w:rsid w:val="0033259D"/>
    <w:rsid w:val="00332C8C"/>
    <w:rsid w:val="003339A2"/>
    <w:rsid w:val="0033453F"/>
    <w:rsid w:val="003369BE"/>
    <w:rsid w:val="00337404"/>
    <w:rsid w:val="003374E7"/>
    <w:rsid w:val="00340D16"/>
    <w:rsid w:val="0034156F"/>
    <w:rsid w:val="003426EF"/>
    <w:rsid w:val="00342F16"/>
    <w:rsid w:val="003430E0"/>
    <w:rsid w:val="00344BBD"/>
    <w:rsid w:val="003451A4"/>
    <w:rsid w:val="00345A41"/>
    <w:rsid w:val="00346941"/>
    <w:rsid w:val="00346D3A"/>
    <w:rsid w:val="00347DD3"/>
    <w:rsid w:val="00350392"/>
    <w:rsid w:val="00351056"/>
    <w:rsid w:val="00351134"/>
    <w:rsid w:val="00352014"/>
    <w:rsid w:val="003521E9"/>
    <w:rsid w:val="003536B6"/>
    <w:rsid w:val="00354E59"/>
    <w:rsid w:val="00355545"/>
    <w:rsid w:val="00357D60"/>
    <w:rsid w:val="0036009B"/>
    <w:rsid w:val="00360F28"/>
    <w:rsid w:val="00361074"/>
    <w:rsid w:val="003616E2"/>
    <w:rsid w:val="00361A9E"/>
    <w:rsid w:val="00362449"/>
    <w:rsid w:val="0036246C"/>
    <w:rsid w:val="00362FC1"/>
    <w:rsid w:val="003631FA"/>
    <w:rsid w:val="00364C3A"/>
    <w:rsid w:val="0036557B"/>
    <w:rsid w:val="003658A8"/>
    <w:rsid w:val="003662DC"/>
    <w:rsid w:val="00366EDF"/>
    <w:rsid w:val="00367EF7"/>
    <w:rsid w:val="003701A8"/>
    <w:rsid w:val="00370729"/>
    <w:rsid w:val="00371BC7"/>
    <w:rsid w:val="00373717"/>
    <w:rsid w:val="00375033"/>
    <w:rsid w:val="00375135"/>
    <w:rsid w:val="003752D0"/>
    <w:rsid w:val="00376A7E"/>
    <w:rsid w:val="00376B89"/>
    <w:rsid w:val="00376CA9"/>
    <w:rsid w:val="00377576"/>
    <w:rsid w:val="003777A9"/>
    <w:rsid w:val="00381350"/>
    <w:rsid w:val="0038160A"/>
    <w:rsid w:val="003817FF"/>
    <w:rsid w:val="00381931"/>
    <w:rsid w:val="00381BC4"/>
    <w:rsid w:val="00381DAD"/>
    <w:rsid w:val="003822B6"/>
    <w:rsid w:val="003829AA"/>
    <w:rsid w:val="00383467"/>
    <w:rsid w:val="003834B2"/>
    <w:rsid w:val="00384ACD"/>
    <w:rsid w:val="00385028"/>
    <w:rsid w:val="003855DC"/>
    <w:rsid w:val="00385D20"/>
    <w:rsid w:val="00386367"/>
    <w:rsid w:val="003871A0"/>
    <w:rsid w:val="00390852"/>
    <w:rsid w:val="00390DCD"/>
    <w:rsid w:val="00390FCA"/>
    <w:rsid w:val="0039138F"/>
    <w:rsid w:val="00391812"/>
    <w:rsid w:val="00391F34"/>
    <w:rsid w:val="003928D7"/>
    <w:rsid w:val="0039371B"/>
    <w:rsid w:val="0039371D"/>
    <w:rsid w:val="00393D03"/>
    <w:rsid w:val="003944E4"/>
    <w:rsid w:val="003948AF"/>
    <w:rsid w:val="003975E6"/>
    <w:rsid w:val="003A0AFF"/>
    <w:rsid w:val="003A0BB9"/>
    <w:rsid w:val="003A0DE7"/>
    <w:rsid w:val="003A1B6C"/>
    <w:rsid w:val="003A1FCC"/>
    <w:rsid w:val="003A3747"/>
    <w:rsid w:val="003A5218"/>
    <w:rsid w:val="003A68CE"/>
    <w:rsid w:val="003A7AB9"/>
    <w:rsid w:val="003B00AD"/>
    <w:rsid w:val="003B0BB4"/>
    <w:rsid w:val="003B21B2"/>
    <w:rsid w:val="003B2243"/>
    <w:rsid w:val="003B397D"/>
    <w:rsid w:val="003B4324"/>
    <w:rsid w:val="003B4CD9"/>
    <w:rsid w:val="003B5D96"/>
    <w:rsid w:val="003B6448"/>
    <w:rsid w:val="003B6B30"/>
    <w:rsid w:val="003B6FF4"/>
    <w:rsid w:val="003B72CE"/>
    <w:rsid w:val="003B7465"/>
    <w:rsid w:val="003C0CA2"/>
    <w:rsid w:val="003C1E78"/>
    <w:rsid w:val="003C2C9F"/>
    <w:rsid w:val="003C2EF5"/>
    <w:rsid w:val="003C43FB"/>
    <w:rsid w:val="003C479C"/>
    <w:rsid w:val="003C483E"/>
    <w:rsid w:val="003C730E"/>
    <w:rsid w:val="003D16DA"/>
    <w:rsid w:val="003D1B03"/>
    <w:rsid w:val="003D3589"/>
    <w:rsid w:val="003D3B48"/>
    <w:rsid w:val="003D4CBD"/>
    <w:rsid w:val="003D542B"/>
    <w:rsid w:val="003D5B4C"/>
    <w:rsid w:val="003D621A"/>
    <w:rsid w:val="003D6CDE"/>
    <w:rsid w:val="003D7151"/>
    <w:rsid w:val="003D76A0"/>
    <w:rsid w:val="003E27C6"/>
    <w:rsid w:val="003E4E75"/>
    <w:rsid w:val="003E50B1"/>
    <w:rsid w:val="003E568B"/>
    <w:rsid w:val="003E60C5"/>
    <w:rsid w:val="003E663A"/>
    <w:rsid w:val="003E6F58"/>
    <w:rsid w:val="003E72A9"/>
    <w:rsid w:val="003E7892"/>
    <w:rsid w:val="003F0589"/>
    <w:rsid w:val="003F1914"/>
    <w:rsid w:val="003F270D"/>
    <w:rsid w:val="003F2E38"/>
    <w:rsid w:val="003F3507"/>
    <w:rsid w:val="003F4835"/>
    <w:rsid w:val="003F5161"/>
    <w:rsid w:val="003F6341"/>
    <w:rsid w:val="003F71BF"/>
    <w:rsid w:val="00400E53"/>
    <w:rsid w:val="00401B68"/>
    <w:rsid w:val="00401DC5"/>
    <w:rsid w:val="00402158"/>
    <w:rsid w:val="00403F5B"/>
    <w:rsid w:val="0040504B"/>
    <w:rsid w:val="00405D07"/>
    <w:rsid w:val="00406126"/>
    <w:rsid w:val="00406425"/>
    <w:rsid w:val="004075E3"/>
    <w:rsid w:val="0041053E"/>
    <w:rsid w:val="004121DF"/>
    <w:rsid w:val="00412B23"/>
    <w:rsid w:val="004138D8"/>
    <w:rsid w:val="00413970"/>
    <w:rsid w:val="00414A3D"/>
    <w:rsid w:val="00414C66"/>
    <w:rsid w:val="00415881"/>
    <w:rsid w:val="00415D82"/>
    <w:rsid w:val="0041707A"/>
    <w:rsid w:val="00417900"/>
    <w:rsid w:val="004207B1"/>
    <w:rsid w:val="004213F4"/>
    <w:rsid w:val="00421579"/>
    <w:rsid w:val="0042190E"/>
    <w:rsid w:val="00422E53"/>
    <w:rsid w:val="004231AA"/>
    <w:rsid w:val="00423FB6"/>
    <w:rsid w:val="00424086"/>
    <w:rsid w:val="004250D7"/>
    <w:rsid w:val="00425347"/>
    <w:rsid w:val="004258D1"/>
    <w:rsid w:val="004261D3"/>
    <w:rsid w:val="00426BCE"/>
    <w:rsid w:val="00426E6F"/>
    <w:rsid w:val="00430194"/>
    <w:rsid w:val="00430322"/>
    <w:rsid w:val="0043093C"/>
    <w:rsid w:val="004314C3"/>
    <w:rsid w:val="00432F43"/>
    <w:rsid w:val="004332F2"/>
    <w:rsid w:val="00433C99"/>
    <w:rsid w:val="004341BA"/>
    <w:rsid w:val="00434E2F"/>
    <w:rsid w:val="004362BD"/>
    <w:rsid w:val="0043638C"/>
    <w:rsid w:val="004366B4"/>
    <w:rsid w:val="004367AB"/>
    <w:rsid w:val="00436F11"/>
    <w:rsid w:val="00437537"/>
    <w:rsid w:val="00437801"/>
    <w:rsid w:val="00437843"/>
    <w:rsid w:val="00437F7C"/>
    <w:rsid w:val="00440699"/>
    <w:rsid w:val="00440D6D"/>
    <w:rsid w:val="004411F4"/>
    <w:rsid w:val="004413B4"/>
    <w:rsid w:val="0044217E"/>
    <w:rsid w:val="0044263C"/>
    <w:rsid w:val="004436B5"/>
    <w:rsid w:val="004439DD"/>
    <w:rsid w:val="004450F6"/>
    <w:rsid w:val="00445F2C"/>
    <w:rsid w:val="004464A0"/>
    <w:rsid w:val="004464A1"/>
    <w:rsid w:val="00446CBA"/>
    <w:rsid w:val="00447632"/>
    <w:rsid w:val="00447843"/>
    <w:rsid w:val="00450232"/>
    <w:rsid w:val="00451C9B"/>
    <w:rsid w:val="00452725"/>
    <w:rsid w:val="00453905"/>
    <w:rsid w:val="00453CF3"/>
    <w:rsid w:val="0045403D"/>
    <w:rsid w:val="00455744"/>
    <w:rsid w:val="00455F7E"/>
    <w:rsid w:val="00456502"/>
    <w:rsid w:val="004566CE"/>
    <w:rsid w:val="00456AA5"/>
    <w:rsid w:val="00457156"/>
    <w:rsid w:val="0045758C"/>
    <w:rsid w:val="004577DF"/>
    <w:rsid w:val="00457B4F"/>
    <w:rsid w:val="00460630"/>
    <w:rsid w:val="00460689"/>
    <w:rsid w:val="004629AB"/>
    <w:rsid w:val="00462A2B"/>
    <w:rsid w:val="00462FE1"/>
    <w:rsid w:val="00463193"/>
    <w:rsid w:val="00463786"/>
    <w:rsid w:val="00463ADD"/>
    <w:rsid w:val="00464199"/>
    <w:rsid w:val="00464213"/>
    <w:rsid w:val="004647A1"/>
    <w:rsid w:val="0046602F"/>
    <w:rsid w:val="004678EF"/>
    <w:rsid w:val="00470076"/>
    <w:rsid w:val="00470496"/>
    <w:rsid w:val="00470DD4"/>
    <w:rsid w:val="0047102A"/>
    <w:rsid w:val="00471161"/>
    <w:rsid w:val="0047189D"/>
    <w:rsid w:val="00472243"/>
    <w:rsid w:val="004723FE"/>
    <w:rsid w:val="0047548F"/>
    <w:rsid w:val="004762F5"/>
    <w:rsid w:val="004778FC"/>
    <w:rsid w:val="004806D5"/>
    <w:rsid w:val="004809EC"/>
    <w:rsid w:val="00480E57"/>
    <w:rsid w:val="00482430"/>
    <w:rsid w:val="00482B7C"/>
    <w:rsid w:val="00482F93"/>
    <w:rsid w:val="00484D0B"/>
    <w:rsid w:val="00485303"/>
    <w:rsid w:val="0048538A"/>
    <w:rsid w:val="004859A4"/>
    <w:rsid w:val="004862EC"/>
    <w:rsid w:val="00486397"/>
    <w:rsid w:val="0048659E"/>
    <w:rsid w:val="004865AB"/>
    <w:rsid w:val="00487C72"/>
    <w:rsid w:val="00487EFA"/>
    <w:rsid w:val="0049075E"/>
    <w:rsid w:val="004912CA"/>
    <w:rsid w:val="00491C0C"/>
    <w:rsid w:val="00491F0F"/>
    <w:rsid w:val="00493817"/>
    <w:rsid w:val="00493993"/>
    <w:rsid w:val="00493B5C"/>
    <w:rsid w:val="00493F3F"/>
    <w:rsid w:val="00494A16"/>
    <w:rsid w:val="004956BE"/>
    <w:rsid w:val="0049612A"/>
    <w:rsid w:val="00496786"/>
    <w:rsid w:val="004979F4"/>
    <w:rsid w:val="004A03CD"/>
    <w:rsid w:val="004A0521"/>
    <w:rsid w:val="004A088D"/>
    <w:rsid w:val="004A216A"/>
    <w:rsid w:val="004A2B08"/>
    <w:rsid w:val="004A2F7D"/>
    <w:rsid w:val="004A35FF"/>
    <w:rsid w:val="004A39A6"/>
    <w:rsid w:val="004A3BF8"/>
    <w:rsid w:val="004A3F92"/>
    <w:rsid w:val="004A4C1A"/>
    <w:rsid w:val="004A5014"/>
    <w:rsid w:val="004A54AA"/>
    <w:rsid w:val="004B04DD"/>
    <w:rsid w:val="004B08E9"/>
    <w:rsid w:val="004B11AC"/>
    <w:rsid w:val="004B1370"/>
    <w:rsid w:val="004B1822"/>
    <w:rsid w:val="004B291F"/>
    <w:rsid w:val="004B2F54"/>
    <w:rsid w:val="004B4AAF"/>
    <w:rsid w:val="004B5289"/>
    <w:rsid w:val="004B5B9F"/>
    <w:rsid w:val="004B5CFC"/>
    <w:rsid w:val="004B6259"/>
    <w:rsid w:val="004B6724"/>
    <w:rsid w:val="004B68AD"/>
    <w:rsid w:val="004B6FC5"/>
    <w:rsid w:val="004B7A2E"/>
    <w:rsid w:val="004C1224"/>
    <w:rsid w:val="004C2E80"/>
    <w:rsid w:val="004C380F"/>
    <w:rsid w:val="004C3F03"/>
    <w:rsid w:val="004C762D"/>
    <w:rsid w:val="004C7AE4"/>
    <w:rsid w:val="004C7D13"/>
    <w:rsid w:val="004C7DD5"/>
    <w:rsid w:val="004C7EA4"/>
    <w:rsid w:val="004D347C"/>
    <w:rsid w:val="004D38BE"/>
    <w:rsid w:val="004D40F3"/>
    <w:rsid w:val="004D4A0C"/>
    <w:rsid w:val="004D4C39"/>
    <w:rsid w:val="004D4C55"/>
    <w:rsid w:val="004D6715"/>
    <w:rsid w:val="004D6D82"/>
    <w:rsid w:val="004D6F37"/>
    <w:rsid w:val="004D713B"/>
    <w:rsid w:val="004D734E"/>
    <w:rsid w:val="004E0535"/>
    <w:rsid w:val="004E09C7"/>
    <w:rsid w:val="004E1A37"/>
    <w:rsid w:val="004E23D0"/>
    <w:rsid w:val="004E2C85"/>
    <w:rsid w:val="004E45A3"/>
    <w:rsid w:val="004E5384"/>
    <w:rsid w:val="004E7F96"/>
    <w:rsid w:val="004F0C4C"/>
    <w:rsid w:val="004F1BE5"/>
    <w:rsid w:val="004F21F2"/>
    <w:rsid w:val="004F24C6"/>
    <w:rsid w:val="004F3745"/>
    <w:rsid w:val="004F40A2"/>
    <w:rsid w:val="004F5740"/>
    <w:rsid w:val="004F607A"/>
    <w:rsid w:val="0050014B"/>
    <w:rsid w:val="00501B1C"/>
    <w:rsid w:val="00501BD0"/>
    <w:rsid w:val="00501DD0"/>
    <w:rsid w:val="0050265E"/>
    <w:rsid w:val="00502CFA"/>
    <w:rsid w:val="00504FE4"/>
    <w:rsid w:val="005054BB"/>
    <w:rsid w:val="00505FA0"/>
    <w:rsid w:val="00507202"/>
    <w:rsid w:val="00510F01"/>
    <w:rsid w:val="005111CF"/>
    <w:rsid w:val="00511563"/>
    <w:rsid w:val="005117D0"/>
    <w:rsid w:val="00511865"/>
    <w:rsid w:val="00511A0A"/>
    <w:rsid w:val="00513765"/>
    <w:rsid w:val="00513C3D"/>
    <w:rsid w:val="00513CCF"/>
    <w:rsid w:val="0051418E"/>
    <w:rsid w:val="005148B3"/>
    <w:rsid w:val="0051513A"/>
    <w:rsid w:val="00515FAE"/>
    <w:rsid w:val="0051608D"/>
    <w:rsid w:val="00517AC3"/>
    <w:rsid w:val="005200C2"/>
    <w:rsid w:val="00520516"/>
    <w:rsid w:val="0052089C"/>
    <w:rsid w:val="00520DBE"/>
    <w:rsid w:val="005211AA"/>
    <w:rsid w:val="005214C5"/>
    <w:rsid w:val="00521806"/>
    <w:rsid w:val="00521B8F"/>
    <w:rsid w:val="00523856"/>
    <w:rsid w:val="005238E6"/>
    <w:rsid w:val="00523CE0"/>
    <w:rsid w:val="00524ED3"/>
    <w:rsid w:val="0052503F"/>
    <w:rsid w:val="005254B8"/>
    <w:rsid w:val="00525AA9"/>
    <w:rsid w:val="00525B9C"/>
    <w:rsid w:val="0052603A"/>
    <w:rsid w:val="00526900"/>
    <w:rsid w:val="00526DFA"/>
    <w:rsid w:val="005270CC"/>
    <w:rsid w:val="00530071"/>
    <w:rsid w:val="0053080F"/>
    <w:rsid w:val="00531F45"/>
    <w:rsid w:val="005325CA"/>
    <w:rsid w:val="00532D5D"/>
    <w:rsid w:val="00532E28"/>
    <w:rsid w:val="00534214"/>
    <w:rsid w:val="00534D4F"/>
    <w:rsid w:val="00535AA6"/>
    <w:rsid w:val="00535D1F"/>
    <w:rsid w:val="00535EF9"/>
    <w:rsid w:val="005371D2"/>
    <w:rsid w:val="005377B2"/>
    <w:rsid w:val="00540D44"/>
    <w:rsid w:val="005426D1"/>
    <w:rsid w:val="00543E5A"/>
    <w:rsid w:val="005444FD"/>
    <w:rsid w:val="005457DC"/>
    <w:rsid w:val="0054687F"/>
    <w:rsid w:val="00546F6A"/>
    <w:rsid w:val="00546FE1"/>
    <w:rsid w:val="00550184"/>
    <w:rsid w:val="00550351"/>
    <w:rsid w:val="005507AA"/>
    <w:rsid w:val="00550996"/>
    <w:rsid w:val="005532ED"/>
    <w:rsid w:val="00554262"/>
    <w:rsid w:val="00556D44"/>
    <w:rsid w:val="005574AB"/>
    <w:rsid w:val="00557ADE"/>
    <w:rsid w:val="005604A2"/>
    <w:rsid w:val="005604BC"/>
    <w:rsid w:val="00560D24"/>
    <w:rsid w:val="00560E52"/>
    <w:rsid w:val="005614EA"/>
    <w:rsid w:val="005624A8"/>
    <w:rsid w:val="005624B8"/>
    <w:rsid w:val="00562584"/>
    <w:rsid w:val="005632D8"/>
    <w:rsid w:val="005635CB"/>
    <w:rsid w:val="005640B1"/>
    <w:rsid w:val="005659A5"/>
    <w:rsid w:val="00565FF8"/>
    <w:rsid w:val="00570241"/>
    <w:rsid w:val="00570942"/>
    <w:rsid w:val="00572131"/>
    <w:rsid w:val="00572932"/>
    <w:rsid w:val="005730B7"/>
    <w:rsid w:val="00573ED5"/>
    <w:rsid w:val="0057480D"/>
    <w:rsid w:val="00574CBC"/>
    <w:rsid w:val="00575260"/>
    <w:rsid w:val="00575E58"/>
    <w:rsid w:val="00576B97"/>
    <w:rsid w:val="00577F39"/>
    <w:rsid w:val="005801E7"/>
    <w:rsid w:val="00581634"/>
    <w:rsid w:val="00582030"/>
    <w:rsid w:val="00582079"/>
    <w:rsid w:val="0058293C"/>
    <w:rsid w:val="00583979"/>
    <w:rsid w:val="00585E06"/>
    <w:rsid w:val="00587BD2"/>
    <w:rsid w:val="00591623"/>
    <w:rsid w:val="00591E71"/>
    <w:rsid w:val="005931A8"/>
    <w:rsid w:val="0059325F"/>
    <w:rsid w:val="00595A36"/>
    <w:rsid w:val="0059660B"/>
    <w:rsid w:val="00596FEB"/>
    <w:rsid w:val="00597239"/>
    <w:rsid w:val="005A1633"/>
    <w:rsid w:val="005A23F5"/>
    <w:rsid w:val="005A29BC"/>
    <w:rsid w:val="005A3710"/>
    <w:rsid w:val="005A4D3C"/>
    <w:rsid w:val="005A6069"/>
    <w:rsid w:val="005A6D66"/>
    <w:rsid w:val="005A7044"/>
    <w:rsid w:val="005A7D2B"/>
    <w:rsid w:val="005B083D"/>
    <w:rsid w:val="005B0B4B"/>
    <w:rsid w:val="005B2C61"/>
    <w:rsid w:val="005B2F96"/>
    <w:rsid w:val="005B5050"/>
    <w:rsid w:val="005B530D"/>
    <w:rsid w:val="005B6639"/>
    <w:rsid w:val="005B666A"/>
    <w:rsid w:val="005B6F5A"/>
    <w:rsid w:val="005B7E0B"/>
    <w:rsid w:val="005C01C7"/>
    <w:rsid w:val="005C0918"/>
    <w:rsid w:val="005C09FD"/>
    <w:rsid w:val="005C0AE3"/>
    <w:rsid w:val="005C1A0B"/>
    <w:rsid w:val="005C35EA"/>
    <w:rsid w:val="005C37AC"/>
    <w:rsid w:val="005C3B2F"/>
    <w:rsid w:val="005C44C6"/>
    <w:rsid w:val="005C4F21"/>
    <w:rsid w:val="005C507E"/>
    <w:rsid w:val="005C560B"/>
    <w:rsid w:val="005C5A3F"/>
    <w:rsid w:val="005C7423"/>
    <w:rsid w:val="005C77CE"/>
    <w:rsid w:val="005D02CA"/>
    <w:rsid w:val="005D0ABE"/>
    <w:rsid w:val="005D0EE9"/>
    <w:rsid w:val="005D10A1"/>
    <w:rsid w:val="005D17A7"/>
    <w:rsid w:val="005D23C9"/>
    <w:rsid w:val="005D2790"/>
    <w:rsid w:val="005D37D5"/>
    <w:rsid w:val="005D3ADE"/>
    <w:rsid w:val="005D44C0"/>
    <w:rsid w:val="005D6496"/>
    <w:rsid w:val="005D6A55"/>
    <w:rsid w:val="005D7388"/>
    <w:rsid w:val="005E0324"/>
    <w:rsid w:val="005E0803"/>
    <w:rsid w:val="005E081D"/>
    <w:rsid w:val="005E1486"/>
    <w:rsid w:val="005E16C6"/>
    <w:rsid w:val="005E1738"/>
    <w:rsid w:val="005E1CAF"/>
    <w:rsid w:val="005E2710"/>
    <w:rsid w:val="005E4311"/>
    <w:rsid w:val="005E579D"/>
    <w:rsid w:val="005E63D4"/>
    <w:rsid w:val="005E796D"/>
    <w:rsid w:val="005E7FE3"/>
    <w:rsid w:val="005F01DF"/>
    <w:rsid w:val="005F1F14"/>
    <w:rsid w:val="005F3407"/>
    <w:rsid w:val="005F3411"/>
    <w:rsid w:val="005F388F"/>
    <w:rsid w:val="005F40CD"/>
    <w:rsid w:val="005F4B0C"/>
    <w:rsid w:val="005F52A2"/>
    <w:rsid w:val="005F5547"/>
    <w:rsid w:val="005F635A"/>
    <w:rsid w:val="005F71A1"/>
    <w:rsid w:val="005F74FA"/>
    <w:rsid w:val="00600776"/>
    <w:rsid w:val="00600C26"/>
    <w:rsid w:val="00600E48"/>
    <w:rsid w:val="006020F0"/>
    <w:rsid w:val="0060484B"/>
    <w:rsid w:val="006048F6"/>
    <w:rsid w:val="0060495C"/>
    <w:rsid w:val="00604C11"/>
    <w:rsid w:val="00605D01"/>
    <w:rsid w:val="00606B85"/>
    <w:rsid w:val="00606F62"/>
    <w:rsid w:val="0061069C"/>
    <w:rsid w:val="0061106F"/>
    <w:rsid w:val="00613948"/>
    <w:rsid w:val="0061488D"/>
    <w:rsid w:val="00615C2F"/>
    <w:rsid w:val="00615ED1"/>
    <w:rsid w:val="006179BF"/>
    <w:rsid w:val="00617E6E"/>
    <w:rsid w:val="00617E93"/>
    <w:rsid w:val="006200DC"/>
    <w:rsid w:val="00620B9E"/>
    <w:rsid w:val="006213A4"/>
    <w:rsid w:val="00621562"/>
    <w:rsid w:val="00621DF6"/>
    <w:rsid w:val="00621E34"/>
    <w:rsid w:val="00621F27"/>
    <w:rsid w:val="00622FFD"/>
    <w:rsid w:val="00625482"/>
    <w:rsid w:val="0062581A"/>
    <w:rsid w:val="00625D29"/>
    <w:rsid w:val="00625FEF"/>
    <w:rsid w:val="0062637E"/>
    <w:rsid w:val="006270C2"/>
    <w:rsid w:val="006331DB"/>
    <w:rsid w:val="00633B22"/>
    <w:rsid w:val="0063503B"/>
    <w:rsid w:val="0063511D"/>
    <w:rsid w:val="00635624"/>
    <w:rsid w:val="00636610"/>
    <w:rsid w:val="00641054"/>
    <w:rsid w:val="0064177E"/>
    <w:rsid w:val="00641CCC"/>
    <w:rsid w:val="00642320"/>
    <w:rsid w:val="00642ABC"/>
    <w:rsid w:val="00642E7A"/>
    <w:rsid w:val="00643406"/>
    <w:rsid w:val="00644247"/>
    <w:rsid w:val="006442DA"/>
    <w:rsid w:val="00644443"/>
    <w:rsid w:val="00644B39"/>
    <w:rsid w:val="0064507A"/>
    <w:rsid w:val="006469A4"/>
    <w:rsid w:val="00646FFA"/>
    <w:rsid w:val="0064751D"/>
    <w:rsid w:val="00647600"/>
    <w:rsid w:val="00647957"/>
    <w:rsid w:val="00647C4D"/>
    <w:rsid w:val="00647D38"/>
    <w:rsid w:val="00650ED7"/>
    <w:rsid w:val="00651F50"/>
    <w:rsid w:val="00652148"/>
    <w:rsid w:val="006522D7"/>
    <w:rsid w:val="00652F68"/>
    <w:rsid w:val="0065477A"/>
    <w:rsid w:val="00654E31"/>
    <w:rsid w:val="006557ED"/>
    <w:rsid w:val="00655F3B"/>
    <w:rsid w:val="00656B96"/>
    <w:rsid w:val="00657552"/>
    <w:rsid w:val="00660E42"/>
    <w:rsid w:val="0066116A"/>
    <w:rsid w:val="00662048"/>
    <w:rsid w:val="006623B6"/>
    <w:rsid w:val="00663667"/>
    <w:rsid w:val="00663B2B"/>
    <w:rsid w:val="006647CA"/>
    <w:rsid w:val="00665616"/>
    <w:rsid w:val="00666061"/>
    <w:rsid w:val="0066626D"/>
    <w:rsid w:val="006676B8"/>
    <w:rsid w:val="0066799A"/>
    <w:rsid w:val="0067036F"/>
    <w:rsid w:val="00671DB6"/>
    <w:rsid w:val="006729A3"/>
    <w:rsid w:val="00672E65"/>
    <w:rsid w:val="00673ED3"/>
    <w:rsid w:val="00673FEA"/>
    <w:rsid w:val="006802F0"/>
    <w:rsid w:val="006812B4"/>
    <w:rsid w:val="006817B3"/>
    <w:rsid w:val="00682810"/>
    <w:rsid w:val="00682930"/>
    <w:rsid w:val="0068357A"/>
    <w:rsid w:val="00683C68"/>
    <w:rsid w:val="00683DD2"/>
    <w:rsid w:val="0068540F"/>
    <w:rsid w:val="0068557A"/>
    <w:rsid w:val="00685644"/>
    <w:rsid w:val="00687E45"/>
    <w:rsid w:val="00690652"/>
    <w:rsid w:val="00690745"/>
    <w:rsid w:val="00690C4A"/>
    <w:rsid w:val="006919F1"/>
    <w:rsid w:val="00692414"/>
    <w:rsid w:val="0069285E"/>
    <w:rsid w:val="006928CB"/>
    <w:rsid w:val="00693F02"/>
    <w:rsid w:val="0069424D"/>
    <w:rsid w:val="006949ED"/>
    <w:rsid w:val="00695370"/>
    <w:rsid w:val="00695A3E"/>
    <w:rsid w:val="00695EBE"/>
    <w:rsid w:val="00696C1E"/>
    <w:rsid w:val="00696CE2"/>
    <w:rsid w:val="00696EA2"/>
    <w:rsid w:val="0069722A"/>
    <w:rsid w:val="00697337"/>
    <w:rsid w:val="00697626"/>
    <w:rsid w:val="00697C1A"/>
    <w:rsid w:val="00697FEF"/>
    <w:rsid w:val="006A02FC"/>
    <w:rsid w:val="006A206C"/>
    <w:rsid w:val="006A31F2"/>
    <w:rsid w:val="006A3A05"/>
    <w:rsid w:val="006A4F3A"/>
    <w:rsid w:val="006A67B1"/>
    <w:rsid w:val="006A6A68"/>
    <w:rsid w:val="006A6AA8"/>
    <w:rsid w:val="006B069C"/>
    <w:rsid w:val="006B0C6A"/>
    <w:rsid w:val="006B0EE5"/>
    <w:rsid w:val="006B0F29"/>
    <w:rsid w:val="006B1186"/>
    <w:rsid w:val="006B43BF"/>
    <w:rsid w:val="006B488F"/>
    <w:rsid w:val="006B492B"/>
    <w:rsid w:val="006B5401"/>
    <w:rsid w:val="006B5558"/>
    <w:rsid w:val="006B75A3"/>
    <w:rsid w:val="006B7766"/>
    <w:rsid w:val="006C0554"/>
    <w:rsid w:val="006C0A71"/>
    <w:rsid w:val="006C1C7C"/>
    <w:rsid w:val="006C2549"/>
    <w:rsid w:val="006C3DFC"/>
    <w:rsid w:val="006C4997"/>
    <w:rsid w:val="006C4CB8"/>
    <w:rsid w:val="006C5ED4"/>
    <w:rsid w:val="006C6243"/>
    <w:rsid w:val="006C641A"/>
    <w:rsid w:val="006C789D"/>
    <w:rsid w:val="006D0D56"/>
    <w:rsid w:val="006D1A9C"/>
    <w:rsid w:val="006D2A7E"/>
    <w:rsid w:val="006D343B"/>
    <w:rsid w:val="006D3E8C"/>
    <w:rsid w:val="006D4F6C"/>
    <w:rsid w:val="006D5417"/>
    <w:rsid w:val="006D57E6"/>
    <w:rsid w:val="006D6787"/>
    <w:rsid w:val="006D6F87"/>
    <w:rsid w:val="006D733E"/>
    <w:rsid w:val="006D74E3"/>
    <w:rsid w:val="006D7588"/>
    <w:rsid w:val="006D7B90"/>
    <w:rsid w:val="006E05AB"/>
    <w:rsid w:val="006E0FA5"/>
    <w:rsid w:val="006E10AA"/>
    <w:rsid w:val="006E28DE"/>
    <w:rsid w:val="006E3B50"/>
    <w:rsid w:val="006E41E7"/>
    <w:rsid w:val="006E43F9"/>
    <w:rsid w:val="006E5222"/>
    <w:rsid w:val="006E593A"/>
    <w:rsid w:val="006E6554"/>
    <w:rsid w:val="006E6654"/>
    <w:rsid w:val="006E67F3"/>
    <w:rsid w:val="006E69F2"/>
    <w:rsid w:val="006E7008"/>
    <w:rsid w:val="006F01E4"/>
    <w:rsid w:val="006F0346"/>
    <w:rsid w:val="006F08CE"/>
    <w:rsid w:val="006F10ED"/>
    <w:rsid w:val="006F15A5"/>
    <w:rsid w:val="006F1D73"/>
    <w:rsid w:val="006F2592"/>
    <w:rsid w:val="006F2D7F"/>
    <w:rsid w:val="006F4452"/>
    <w:rsid w:val="006F4C0B"/>
    <w:rsid w:val="006F4F98"/>
    <w:rsid w:val="006F5C5C"/>
    <w:rsid w:val="006F6655"/>
    <w:rsid w:val="006F7352"/>
    <w:rsid w:val="00700BF3"/>
    <w:rsid w:val="00700E12"/>
    <w:rsid w:val="007022BD"/>
    <w:rsid w:val="007026D8"/>
    <w:rsid w:val="007026E5"/>
    <w:rsid w:val="00702B7D"/>
    <w:rsid w:val="00703B04"/>
    <w:rsid w:val="00704161"/>
    <w:rsid w:val="00704225"/>
    <w:rsid w:val="0070429B"/>
    <w:rsid w:val="0071224E"/>
    <w:rsid w:val="007129DC"/>
    <w:rsid w:val="00712CD3"/>
    <w:rsid w:val="0071337D"/>
    <w:rsid w:val="00713C8C"/>
    <w:rsid w:val="00717677"/>
    <w:rsid w:val="007201B1"/>
    <w:rsid w:val="00720C1B"/>
    <w:rsid w:val="007210BA"/>
    <w:rsid w:val="0072111D"/>
    <w:rsid w:val="007215D6"/>
    <w:rsid w:val="00722332"/>
    <w:rsid w:val="00722779"/>
    <w:rsid w:val="0072334A"/>
    <w:rsid w:val="0072373A"/>
    <w:rsid w:val="0072390D"/>
    <w:rsid w:val="007241D1"/>
    <w:rsid w:val="00724709"/>
    <w:rsid w:val="00724C32"/>
    <w:rsid w:val="00725A61"/>
    <w:rsid w:val="00726B53"/>
    <w:rsid w:val="00727194"/>
    <w:rsid w:val="0072794F"/>
    <w:rsid w:val="00727955"/>
    <w:rsid w:val="007279E6"/>
    <w:rsid w:val="00727B80"/>
    <w:rsid w:val="00730B5D"/>
    <w:rsid w:val="00731CFF"/>
    <w:rsid w:val="00732813"/>
    <w:rsid w:val="007332BA"/>
    <w:rsid w:val="00733A37"/>
    <w:rsid w:val="007343A8"/>
    <w:rsid w:val="007343FD"/>
    <w:rsid w:val="00734A84"/>
    <w:rsid w:val="00735962"/>
    <w:rsid w:val="007367E5"/>
    <w:rsid w:val="00740EF6"/>
    <w:rsid w:val="007420E4"/>
    <w:rsid w:val="007434FB"/>
    <w:rsid w:val="00743D36"/>
    <w:rsid w:val="00744792"/>
    <w:rsid w:val="00744D50"/>
    <w:rsid w:val="00744D8B"/>
    <w:rsid w:val="00747242"/>
    <w:rsid w:val="007477ED"/>
    <w:rsid w:val="0075032F"/>
    <w:rsid w:val="00751314"/>
    <w:rsid w:val="007520B9"/>
    <w:rsid w:val="0075257C"/>
    <w:rsid w:val="00752826"/>
    <w:rsid w:val="0075293F"/>
    <w:rsid w:val="0075394F"/>
    <w:rsid w:val="00753E0E"/>
    <w:rsid w:val="0075501B"/>
    <w:rsid w:val="00757553"/>
    <w:rsid w:val="007575F9"/>
    <w:rsid w:val="00757EDB"/>
    <w:rsid w:val="00760688"/>
    <w:rsid w:val="00760BF4"/>
    <w:rsid w:val="00762827"/>
    <w:rsid w:val="00762C21"/>
    <w:rsid w:val="007632F6"/>
    <w:rsid w:val="00763740"/>
    <w:rsid w:val="00763E23"/>
    <w:rsid w:val="00765ACD"/>
    <w:rsid w:val="00765EA7"/>
    <w:rsid w:val="0076739B"/>
    <w:rsid w:val="007678DE"/>
    <w:rsid w:val="00770097"/>
    <w:rsid w:val="007708AC"/>
    <w:rsid w:val="00770DA6"/>
    <w:rsid w:val="00770E8F"/>
    <w:rsid w:val="00771342"/>
    <w:rsid w:val="007717BD"/>
    <w:rsid w:val="00771C17"/>
    <w:rsid w:val="0077202B"/>
    <w:rsid w:val="00772712"/>
    <w:rsid w:val="007728D2"/>
    <w:rsid w:val="00773B84"/>
    <w:rsid w:val="00774A79"/>
    <w:rsid w:val="00775675"/>
    <w:rsid w:val="007761FE"/>
    <w:rsid w:val="00777488"/>
    <w:rsid w:val="007807C6"/>
    <w:rsid w:val="0078097C"/>
    <w:rsid w:val="00781236"/>
    <w:rsid w:val="007816B0"/>
    <w:rsid w:val="007823AD"/>
    <w:rsid w:val="007825C9"/>
    <w:rsid w:val="007829A1"/>
    <w:rsid w:val="0078471B"/>
    <w:rsid w:val="00784820"/>
    <w:rsid w:val="00784C0C"/>
    <w:rsid w:val="00784EFF"/>
    <w:rsid w:val="007850F0"/>
    <w:rsid w:val="0078557E"/>
    <w:rsid w:val="00785906"/>
    <w:rsid w:val="00785B36"/>
    <w:rsid w:val="007860A7"/>
    <w:rsid w:val="0078743E"/>
    <w:rsid w:val="00790B19"/>
    <w:rsid w:val="00790E2B"/>
    <w:rsid w:val="00791BE8"/>
    <w:rsid w:val="00792037"/>
    <w:rsid w:val="00793194"/>
    <w:rsid w:val="00793811"/>
    <w:rsid w:val="00794448"/>
    <w:rsid w:val="0079466A"/>
    <w:rsid w:val="00796472"/>
    <w:rsid w:val="007971B1"/>
    <w:rsid w:val="00797616"/>
    <w:rsid w:val="00797F61"/>
    <w:rsid w:val="007A1DA5"/>
    <w:rsid w:val="007A3A05"/>
    <w:rsid w:val="007A3B2F"/>
    <w:rsid w:val="007A3E06"/>
    <w:rsid w:val="007A4AE7"/>
    <w:rsid w:val="007A4BFF"/>
    <w:rsid w:val="007A4D62"/>
    <w:rsid w:val="007A624A"/>
    <w:rsid w:val="007A6CB8"/>
    <w:rsid w:val="007A7084"/>
    <w:rsid w:val="007A7F7F"/>
    <w:rsid w:val="007B078C"/>
    <w:rsid w:val="007B2B10"/>
    <w:rsid w:val="007B42E7"/>
    <w:rsid w:val="007B5527"/>
    <w:rsid w:val="007B5C0C"/>
    <w:rsid w:val="007B5DD0"/>
    <w:rsid w:val="007B5E3D"/>
    <w:rsid w:val="007B7B3A"/>
    <w:rsid w:val="007C0091"/>
    <w:rsid w:val="007C19AE"/>
    <w:rsid w:val="007C2E5C"/>
    <w:rsid w:val="007C2F9C"/>
    <w:rsid w:val="007C34C6"/>
    <w:rsid w:val="007C3BEE"/>
    <w:rsid w:val="007C44A9"/>
    <w:rsid w:val="007C516C"/>
    <w:rsid w:val="007C51AF"/>
    <w:rsid w:val="007C51F5"/>
    <w:rsid w:val="007C5209"/>
    <w:rsid w:val="007C56F4"/>
    <w:rsid w:val="007C6453"/>
    <w:rsid w:val="007C685D"/>
    <w:rsid w:val="007C6FF8"/>
    <w:rsid w:val="007C7569"/>
    <w:rsid w:val="007C7F95"/>
    <w:rsid w:val="007D0DA8"/>
    <w:rsid w:val="007D20D8"/>
    <w:rsid w:val="007D2792"/>
    <w:rsid w:val="007D3C7E"/>
    <w:rsid w:val="007D3D7A"/>
    <w:rsid w:val="007D468D"/>
    <w:rsid w:val="007D4F3B"/>
    <w:rsid w:val="007D54E4"/>
    <w:rsid w:val="007D598A"/>
    <w:rsid w:val="007D5CA0"/>
    <w:rsid w:val="007D5CC4"/>
    <w:rsid w:val="007D6732"/>
    <w:rsid w:val="007D7145"/>
    <w:rsid w:val="007D7564"/>
    <w:rsid w:val="007D7AF9"/>
    <w:rsid w:val="007D7BC1"/>
    <w:rsid w:val="007D7C60"/>
    <w:rsid w:val="007E03FC"/>
    <w:rsid w:val="007E0BFE"/>
    <w:rsid w:val="007E1360"/>
    <w:rsid w:val="007E14EA"/>
    <w:rsid w:val="007E1AED"/>
    <w:rsid w:val="007E1E6C"/>
    <w:rsid w:val="007E2783"/>
    <w:rsid w:val="007E2956"/>
    <w:rsid w:val="007E3209"/>
    <w:rsid w:val="007E3C44"/>
    <w:rsid w:val="007E7D7C"/>
    <w:rsid w:val="007E7E5F"/>
    <w:rsid w:val="007F186E"/>
    <w:rsid w:val="007F3371"/>
    <w:rsid w:val="007F40B9"/>
    <w:rsid w:val="007F4771"/>
    <w:rsid w:val="007F5CC9"/>
    <w:rsid w:val="007F5CE8"/>
    <w:rsid w:val="007F76A9"/>
    <w:rsid w:val="00800329"/>
    <w:rsid w:val="008004E5"/>
    <w:rsid w:val="00801CD8"/>
    <w:rsid w:val="00801E64"/>
    <w:rsid w:val="008029C4"/>
    <w:rsid w:val="00803CBE"/>
    <w:rsid w:val="00804427"/>
    <w:rsid w:val="0080471D"/>
    <w:rsid w:val="0080569A"/>
    <w:rsid w:val="0080597F"/>
    <w:rsid w:val="00805C86"/>
    <w:rsid w:val="00805F06"/>
    <w:rsid w:val="008060E8"/>
    <w:rsid w:val="00807BC6"/>
    <w:rsid w:val="00810B00"/>
    <w:rsid w:val="00810F5D"/>
    <w:rsid w:val="00811503"/>
    <w:rsid w:val="00812279"/>
    <w:rsid w:val="00812ABE"/>
    <w:rsid w:val="00813891"/>
    <w:rsid w:val="00813EE1"/>
    <w:rsid w:val="00814FEC"/>
    <w:rsid w:val="008151DE"/>
    <w:rsid w:val="008152E5"/>
    <w:rsid w:val="00815353"/>
    <w:rsid w:val="008168B5"/>
    <w:rsid w:val="00820D65"/>
    <w:rsid w:val="00820E62"/>
    <w:rsid w:val="0082144C"/>
    <w:rsid w:val="008223F8"/>
    <w:rsid w:val="00822E7F"/>
    <w:rsid w:val="00822FBE"/>
    <w:rsid w:val="00822FC7"/>
    <w:rsid w:val="008233D4"/>
    <w:rsid w:val="00823946"/>
    <w:rsid w:val="008251BF"/>
    <w:rsid w:val="00825395"/>
    <w:rsid w:val="0082549B"/>
    <w:rsid w:val="00825E00"/>
    <w:rsid w:val="00826359"/>
    <w:rsid w:val="00830103"/>
    <w:rsid w:val="00830562"/>
    <w:rsid w:val="00831958"/>
    <w:rsid w:val="00831E0C"/>
    <w:rsid w:val="00832AD1"/>
    <w:rsid w:val="008332EF"/>
    <w:rsid w:val="00833E63"/>
    <w:rsid w:val="008344F1"/>
    <w:rsid w:val="00840180"/>
    <w:rsid w:val="00841246"/>
    <w:rsid w:val="0084139F"/>
    <w:rsid w:val="00843091"/>
    <w:rsid w:val="00843695"/>
    <w:rsid w:val="0084387A"/>
    <w:rsid w:val="008439E9"/>
    <w:rsid w:val="00844CDD"/>
    <w:rsid w:val="0084507C"/>
    <w:rsid w:val="008451BC"/>
    <w:rsid w:val="00846E28"/>
    <w:rsid w:val="00847FB9"/>
    <w:rsid w:val="00850910"/>
    <w:rsid w:val="008513B0"/>
    <w:rsid w:val="00851ABE"/>
    <w:rsid w:val="0085209C"/>
    <w:rsid w:val="0085228A"/>
    <w:rsid w:val="00852916"/>
    <w:rsid w:val="00853507"/>
    <w:rsid w:val="00854B2A"/>
    <w:rsid w:val="00856964"/>
    <w:rsid w:val="008575A1"/>
    <w:rsid w:val="008601F4"/>
    <w:rsid w:val="00860B27"/>
    <w:rsid w:val="00860F64"/>
    <w:rsid w:val="008614F7"/>
    <w:rsid w:val="0086182C"/>
    <w:rsid w:val="00862364"/>
    <w:rsid w:val="00863748"/>
    <w:rsid w:val="0086436F"/>
    <w:rsid w:val="00864535"/>
    <w:rsid w:val="0086527A"/>
    <w:rsid w:val="00865313"/>
    <w:rsid w:val="0086633D"/>
    <w:rsid w:val="008664C0"/>
    <w:rsid w:val="00870349"/>
    <w:rsid w:val="0087098E"/>
    <w:rsid w:val="00871FF4"/>
    <w:rsid w:val="0087299E"/>
    <w:rsid w:val="008729CB"/>
    <w:rsid w:val="00872C90"/>
    <w:rsid w:val="00873EB6"/>
    <w:rsid w:val="00873EEB"/>
    <w:rsid w:val="008751BF"/>
    <w:rsid w:val="0087721F"/>
    <w:rsid w:val="0087737D"/>
    <w:rsid w:val="00877648"/>
    <w:rsid w:val="00877CA5"/>
    <w:rsid w:val="00880C49"/>
    <w:rsid w:val="008813C4"/>
    <w:rsid w:val="008813DE"/>
    <w:rsid w:val="008829D1"/>
    <w:rsid w:val="00882A26"/>
    <w:rsid w:val="00882E4D"/>
    <w:rsid w:val="008845F4"/>
    <w:rsid w:val="0088690F"/>
    <w:rsid w:val="00886C40"/>
    <w:rsid w:val="0089034A"/>
    <w:rsid w:val="00890E69"/>
    <w:rsid w:val="008911CD"/>
    <w:rsid w:val="00892D08"/>
    <w:rsid w:val="00892DCF"/>
    <w:rsid w:val="00893215"/>
    <w:rsid w:val="008939B2"/>
    <w:rsid w:val="00893AEB"/>
    <w:rsid w:val="00895487"/>
    <w:rsid w:val="00895D20"/>
    <w:rsid w:val="0089644D"/>
    <w:rsid w:val="00896FA9"/>
    <w:rsid w:val="0089730B"/>
    <w:rsid w:val="008978EE"/>
    <w:rsid w:val="008A000C"/>
    <w:rsid w:val="008A075C"/>
    <w:rsid w:val="008A1A49"/>
    <w:rsid w:val="008A324D"/>
    <w:rsid w:val="008A33FD"/>
    <w:rsid w:val="008A3939"/>
    <w:rsid w:val="008A4E51"/>
    <w:rsid w:val="008A50F5"/>
    <w:rsid w:val="008A6EA8"/>
    <w:rsid w:val="008A719B"/>
    <w:rsid w:val="008A7DD5"/>
    <w:rsid w:val="008B02A3"/>
    <w:rsid w:val="008B0673"/>
    <w:rsid w:val="008B1F77"/>
    <w:rsid w:val="008B3EC0"/>
    <w:rsid w:val="008B4DF2"/>
    <w:rsid w:val="008B5173"/>
    <w:rsid w:val="008B5830"/>
    <w:rsid w:val="008B6167"/>
    <w:rsid w:val="008B621E"/>
    <w:rsid w:val="008B6327"/>
    <w:rsid w:val="008B64BE"/>
    <w:rsid w:val="008B65F3"/>
    <w:rsid w:val="008B6AFB"/>
    <w:rsid w:val="008B7FED"/>
    <w:rsid w:val="008C0DE4"/>
    <w:rsid w:val="008C162B"/>
    <w:rsid w:val="008C18CC"/>
    <w:rsid w:val="008C28C2"/>
    <w:rsid w:val="008C2E22"/>
    <w:rsid w:val="008C36BA"/>
    <w:rsid w:val="008C386D"/>
    <w:rsid w:val="008C391B"/>
    <w:rsid w:val="008C5B5F"/>
    <w:rsid w:val="008C626D"/>
    <w:rsid w:val="008C7CD9"/>
    <w:rsid w:val="008D07D0"/>
    <w:rsid w:val="008D0979"/>
    <w:rsid w:val="008D0ADA"/>
    <w:rsid w:val="008D0B8F"/>
    <w:rsid w:val="008D3AD2"/>
    <w:rsid w:val="008D3C99"/>
    <w:rsid w:val="008D4B8E"/>
    <w:rsid w:val="008D4D92"/>
    <w:rsid w:val="008D5734"/>
    <w:rsid w:val="008D737F"/>
    <w:rsid w:val="008D7430"/>
    <w:rsid w:val="008D769D"/>
    <w:rsid w:val="008D7E76"/>
    <w:rsid w:val="008E18F1"/>
    <w:rsid w:val="008E18F8"/>
    <w:rsid w:val="008E1AD4"/>
    <w:rsid w:val="008E241E"/>
    <w:rsid w:val="008E370B"/>
    <w:rsid w:val="008E4A9C"/>
    <w:rsid w:val="008E503C"/>
    <w:rsid w:val="008E57C9"/>
    <w:rsid w:val="008E6A4A"/>
    <w:rsid w:val="008E708D"/>
    <w:rsid w:val="008E7702"/>
    <w:rsid w:val="008E7D07"/>
    <w:rsid w:val="008E7E82"/>
    <w:rsid w:val="008F0314"/>
    <w:rsid w:val="008F1478"/>
    <w:rsid w:val="008F1A2F"/>
    <w:rsid w:val="008F2134"/>
    <w:rsid w:val="008F3491"/>
    <w:rsid w:val="008F479F"/>
    <w:rsid w:val="008F51ED"/>
    <w:rsid w:val="008F5474"/>
    <w:rsid w:val="008F686F"/>
    <w:rsid w:val="008F6B20"/>
    <w:rsid w:val="008F71C9"/>
    <w:rsid w:val="008F793F"/>
    <w:rsid w:val="008F795D"/>
    <w:rsid w:val="009036C2"/>
    <w:rsid w:val="00903A33"/>
    <w:rsid w:val="00903C94"/>
    <w:rsid w:val="00904791"/>
    <w:rsid w:val="009060D1"/>
    <w:rsid w:val="0090672D"/>
    <w:rsid w:val="00906901"/>
    <w:rsid w:val="00907FA3"/>
    <w:rsid w:val="0091241F"/>
    <w:rsid w:val="00912DC5"/>
    <w:rsid w:val="00912FFB"/>
    <w:rsid w:val="009139A1"/>
    <w:rsid w:val="0091425E"/>
    <w:rsid w:val="00914264"/>
    <w:rsid w:val="00914EA3"/>
    <w:rsid w:val="0091541F"/>
    <w:rsid w:val="00916234"/>
    <w:rsid w:val="009200E1"/>
    <w:rsid w:val="00920481"/>
    <w:rsid w:val="0092093B"/>
    <w:rsid w:val="009211DC"/>
    <w:rsid w:val="00923A11"/>
    <w:rsid w:val="009246AB"/>
    <w:rsid w:val="00924BDD"/>
    <w:rsid w:val="00925189"/>
    <w:rsid w:val="0092635B"/>
    <w:rsid w:val="00927881"/>
    <w:rsid w:val="00927C46"/>
    <w:rsid w:val="00930B18"/>
    <w:rsid w:val="00931232"/>
    <w:rsid w:val="0093174E"/>
    <w:rsid w:val="00931ABB"/>
    <w:rsid w:val="0093206B"/>
    <w:rsid w:val="0093249E"/>
    <w:rsid w:val="00932C71"/>
    <w:rsid w:val="009331C6"/>
    <w:rsid w:val="0093381B"/>
    <w:rsid w:val="00933E01"/>
    <w:rsid w:val="0093448E"/>
    <w:rsid w:val="00934C9C"/>
    <w:rsid w:val="00934D86"/>
    <w:rsid w:val="0093512C"/>
    <w:rsid w:val="009353EA"/>
    <w:rsid w:val="0094030C"/>
    <w:rsid w:val="00940BCE"/>
    <w:rsid w:val="00941B83"/>
    <w:rsid w:val="00942314"/>
    <w:rsid w:val="00942FD5"/>
    <w:rsid w:val="009432A9"/>
    <w:rsid w:val="00943C24"/>
    <w:rsid w:val="00946221"/>
    <w:rsid w:val="00946685"/>
    <w:rsid w:val="009507E7"/>
    <w:rsid w:val="009526F4"/>
    <w:rsid w:val="00953FE1"/>
    <w:rsid w:val="009547B2"/>
    <w:rsid w:val="0095576A"/>
    <w:rsid w:val="00957373"/>
    <w:rsid w:val="00957751"/>
    <w:rsid w:val="0095790B"/>
    <w:rsid w:val="00960B32"/>
    <w:rsid w:val="00960C19"/>
    <w:rsid w:val="0096108D"/>
    <w:rsid w:val="00962404"/>
    <w:rsid w:val="009635BE"/>
    <w:rsid w:val="009636E4"/>
    <w:rsid w:val="0096547C"/>
    <w:rsid w:val="009702A1"/>
    <w:rsid w:val="0097187F"/>
    <w:rsid w:val="00972261"/>
    <w:rsid w:val="00973875"/>
    <w:rsid w:val="009738FD"/>
    <w:rsid w:val="00975025"/>
    <w:rsid w:val="00975CE3"/>
    <w:rsid w:val="00975F6B"/>
    <w:rsid w:val="009764B2"/>
    <w:rsid w:val="00976A5E"/>
    <w:rsid w:val="00976CDD"/>
    <w:rsid w:val="00977F9F"/>
    <w:rsid w:val="00980EB7"/>
    <w:rsid w:val="0098136A"/>
    <w:rsid w:val="00981FCB"/>
    <w:rsid w:val="009827D5"/>
    <w:rsid w:val="00982884"/>
    <w:rsid w:val="00983B63"/>
    <w:rsid w:val="0098534E"/>
    <w:rsid w:val="00985A5A"/>
    <w:rsid w:val="00986A41"/>
    <w:rsid w:val="00986A75"/>
    <w:rsid w:val="00986E6A"/>
    <w:rsid w:val="00986F46"/>
    <w:rsid w:val="00987149"/>
    <w:rsid w:val="0098797F"/>
    <w:rsid w:val="00987AAD"/>
    <w:rsid w:val="00987FEB"/>
    <w:rsid w:val="009900BE"/>
    <w:rsid w:val="0099018A"/>
    <w:rsid w:val="00990A33"/>
    <w:rsid w:val="00991093"/>
    <w:rsid w:val="00992687"/>
    <w:rsid w:val="0099296A"/>
    <w:rsid w:val="009929C6"/>
    <w:rsid w:val="00993BB4"/>
    <w:rsid w:val="009943F2"/>
    <w:rsid w:val="00995A1F"/>
    <w:rsid w:val="0099629A"/>
    <w:rsid w:val="00996B26"/>
    <w:rsid w:val="009970F9"/>
    <w:rsid w:val="009A0280"/>
    <w:rsid w:val="009A0474"/>
    <w:rsid w:val="009A047F"/>
    <w:rsid w:val="009A0BA9"/>
    <w:rsid w:val="009A0F74"/>
    <w:rsid w:val="009A1739"/>
    <w:rsid w:val="009A1B54"/>
    <w:rsid w:val="009A24F5"/>
    <w:rsid w:val="009A2D9D"/>
    <w:rsid w:val="009A3232"/>
    <w:rsid w:val="009A39AD"/>
    <w:rsid w:val="009A4060"/>
    <w:rsid w:val="009A46C5"/>
    <w:rsid w:val="009A4E95"/>
    <w:rsid w:val="009A5FB6"/>
    <w:rsid w:val="009A68D4"/>
    <w:rsid w:val="009A79E4"/>
    <w:rsid w:val="009B02D4"/>
    <w:rsid w:val="009B0945"/>
    <w:rsid w:val="009B287C"/>
    <w:rsid w:val="009B2CC2"/>
    <w:rsid w:val="009B3039"/>
    <w:rsid w:val="009B3175"/>
    <w:rsid w:val="009B387A"/>
    <w:rsid w:val="009B38DE"/>
    <w:rsid w:val="009B3F6E"/>
    <w:rsid w:val="009B4386"/>
    <w:rsid w:val="009B4B71"/>
    <w:rsid w:val="009B4D5B"/>
    <w:rsid w:val="009B5006"/>
    <w:rsid w:val="009B57F5"/>
    <w:rsid w:val="009B5A07"/>
    <w:rsid w:val="009B7799"/>
    <w:rsid w:val="009B779E"/>
    <w:rsid w:val="009B7A07"/>
    <w:rsid w:val="009C03A1"/>
    <w:rsid w:val="009C1F20"/>
    <w:rsid w:val="009C2174"/>
    <w:rsid w:val="009C307A"/>
    <w:rsid w:val="009C30ED"/>
    <w:rsid w:val="009C3950"/>
    <w:rsid w:val="009C461B"/>
    <w:rsid w:val="009C4EA1"/>
    <w:rsid w:val="009C4F57"/>
    <w:rsid w:val="009C5270"/>
    <w:rsid w:val="009C52C9"/>
    <w:rsid w:val="009C5474"/>
    <w:rsid w:val="009C621F"/>
    <w:rsid w:val="009C64B8"/>
    <w:rsid w:val="009C64EE"/>
    <w:rsid w:val="009D17AB"/>
    <w:rsid w:val="009D1F90"/>
    <w:rsid w:val="009D25F8"/>
    <w:rsid w:val="009D2881"/>
    <w:rsid w:val="009D29DF"/>
    <w:rsid w:val="009D4D7C"/>
    <w:rsid w:val="009D54C5"/>
    <w:rsid w:val="009D55EE"/>
    <w:rsid w:val="009D5A27"/>
    <w:rsid w:val="009D5FFD"/>
    <w:rsid w:val="009D6DD0"/>
    <w:rsid w:val="009D73A9"/>
    <w:rsid w:val="009E0DB7"/>
    <w:rsid w:val="009E122B"/>
    <w:rsid w:val="009E1AC3"/>
    <w:rsid w:val="009E1CFF"/>
    <w:rsid w:val="009E219B"/>
    <w:rsid w:val="009E28BB"/>
    <w:rsid w:val="009E3B1B"/>
    <w:rsid w:val="009E4268"/>
    <w:rsid w:val="009E5F76"/>
    <w:rsid w:val="009E6374"/>
    <w:rsid w:val="009F0736"/>
    <w:rsid w:val="009F0D94"/>
    <w:rsid w:val="009F1319"/>
    <w:rsid w:val="009F145A"/>
    <w:rsid w:val="009F1F32"/>
    <w:rsid w:val="009F23DA"/>
    <w:rsid w:val="009F2C29"/>
    <w:rsid w:val="009F2EAA"/>
    <w:rsid w:val="009F358E"/>
    <w:rsid w:val="009F3D8B"/>
    <w:rsid w:val="009F45B1"/>
    <w:rsid w:val="009F5C9A"/>
    <w:rsid w:val="009F5CFF"/>
    <w:rsid w:val="00A00346"/>
    <w:rsid w:val="00A005DB"/>
    <w:rsid w:val="00A0085F"/>
    <w:rsid w:val="00A014E4"/>
    <w:rsid w:val="00A01A1D"/>
    <w:rsid w:val="00A01E9E"/>
    <w:rsid w:val="00A02483"/>
    <w:rsid w:val="00A02776"/>
    <w:rsid w:val="00A02791"/>
    <w:rsid w:val="00A02B5D"/>
    <w:rsid w:val="00A03551"/>
    <w:rsid w:val="00A03665"/>
    <w:rsid w:val="00A04859"/>
    <w:rsid w:val="00A04C6E"/>
    <w:rsid w:val="00A04F9E"/>
    <w:rsid w:val="00A05302"/>
    <w:rsid w:val="00A05B34"/>
    <w:rsid w:val="00A0631A"/>
    <w:rsid w:val="00A068BB"/>
    <w:rsid w:val="00A06DAB"/>
    <w:rsid w:val="00A070ED"/>
    <w:rsid w:val="00A0750C"/>
    <w:rsid w:val="00A1027C"/>
    <w:rsid w:val="00A10E22"/>
    <w:rsid w:val="00A1117B"/>
    <w:rsid w:val="00A11191"/>
    <w:rsid w:val="00A11262"/>
    <w:rsid w:val="00A1129A"/>
    <w:rsid w:val="00A11675"/>
    <w:rsid w:val="00A11988"/>
    <w:rsid w:val="00A11CC6"/>
    <w:rsid w:val="00A13D1B"/>
    <w:rsid w:val="00A14317"/>
    <w:rsid w:val="00A149D0"/>
    <w:rsid w:val="00A149FF"/>
    <w:rsid w:val="00A15E3B"/>
    <w:rsid w:val="00A163DC"/>
    <w:rsid w:val="00A1649E"/>
    <w:rsid w:val="00A16C8F"/>
    <w:rsid w:val="00A17952"/>
    <w:rsid w:val="00A17992"/>
    <w:rsid w:val="00A17E5B"/>
    <w:rsid w:val="00A205C4"/>
    <w:rsid w:val="00A20F83"/>
    <w:rsid w:val="00A213DD"/>
    <w:rsid w:val="00A21D45"/>
    <w:rsid w:val="00A22784"/>
    <w:rsid w:val="00A22964"/>
    <w:rsid w:val="00A22D4D"/>
    <w:rsid w:val="00A25116"/>
    <w:rsid w:val="00A26F87"/>
    <w:rsid w:val="00A26FFE"/>
    <w:rsid w:val="00A27C3C"/>
    <w:rsid w:val="00A27F01"/>
    <w:rsid w:val="00A318AD"/>
    <w:rsid w:val="00A33DA5"/>
    <w:rsid w:val="00A36AD5"/>
    <w:rsid w:val="00A4034E"/>
    <w:rsid w:val="00A42809"/>
    <w:rsid w:val="00A42BF8"/>
    <w:rsid w:val="00A4548E"/>
    <w:rsid w:val="00A46236"/>
    <w:rsid w:val="00A467F2"/>
    <w:rsid w:val="00A47E9A"/>
    <w:rsid w:val="00A501ED"/>
    <w:rsid w:val="00A504CE"/>
    <w:rsid w:val="00A50E3F"/>
    <w:rsid w:val="00A525B6"/>
    <w:rsid w:val="00A532F9"/>
    <w:rsid w:val="00A53723"/>
    <w:rsid w:val="00A53DF3"/>
    <w:rsid w:val="00A543E6"/>
    <w:rsid w:val="00A5580B"/>
    <w:rsid w:val="00A56668"/>
    <w:rsid w:val="00A56C4F"/>
    <w:rsid w:val="00A575D5"/>
    <w:rsid w:val="00A57900"/>
    <w:rsid w:val="00A6214C"/>
    <w:rsid w:val="00A63016"/>
    <w:rsid w:val="00A6422D"/>
    <w:rsid w:val="00A6499F"/>
    <w:rsid w:val="00A65AFE"/>
    <w:rsid w:val="00A65F6F"/>
    <w:rsid w:val="00A66203"/>
    <w:rsid w:val="00A67C3C"/>
    <w:rsid w:val="00A70362"/>
    <w:rsid w:val="00A7109C"/>
    <w:rsid w:val="00A71574"/>
    <w:rsid w:val="00A72BEB"/>
    <w:rsid w:val="00A72EB1"/>
    <w:rsid w:val="00A73154"/>
    <w:rsid w:val="00A733F8"/>
    <w:rsid w:val="00A75213"/>
    <w:rsid w:val="00A7558E"/>
    <w:rsid w:val="00A75796"/>
    <w:rsid w:val="00A75CDD"/>
    <w:rsid w:val="00A75E48"/>
    <w:rsid w:val="00A76A86"/>
    <w:rsid w:val="00A76D1A"/>
    <w:rsid w:val="00A80E2C"/>
    <w:rsid w:val="00A8141F"/>
    <w:rsid w:val="00A8249C"/>
    <w:rsid w:val="00A829BF"/>
    <w:rsid w:val="00A82C99"/>
    <w:rsid w:val="00A8303F"/>
    <w:rsid w:val="00A834C2"/>
    <w:rsid w:val="00A83662"/>
    <w:rsid w:val="00A839AC"/>
    <w:rsid w:val="00A85644"/>
    <w:rsid w:val="00A8595A"/>
    <w:rsid w:val="00A85A8B"/>
    <w:rsid w:val="00A85F42"/>
    <w:rsid w:val="00A8761C"/>
    <w:rsid w:val="00A87764"/>
    <w:rsid w:val="00A90BBF"/>
    <w:rsid w:val="00A90F02"/>
    <w:rsid w:val="00A936D0"/>
    <w:rsid w:val="00A942AB"/>
    <w:rsid w:val="00A94C4B"/>
    <w:rsid w:val="00A94E4E"/>
    <w:rsid w:val="00A95264"/>
    <w:rsid w:val="00A9539B"/>
    <w:rsid w:val="00A95413"/>
    <w:rsid w:val="00A954CF"/>
    <w:rsid w:val="00A9588B"/>
    <w:rsid w:val="00A95D0F"/>
    <w:rsid w:val="00A963B9"/>
    <w:rsid w:val="00A965F9"/>
    <w:rsid w:val="00A96813"/>
    <w:rsid w:val="00A96CAA"/>
    <w:rsid w:val="00A971FC"/>
    <w:rsid w:val="00A972DB"/>
    <w:rsid w:val="00A97F00"/>
    <w:rsid w:val="00AA0467"/>
    <w:rsid w:val="00AA0C2F"/>
    <w:rsid w:val="00AA1790"/>
    <w:rsid w:val="00AA1CED"/>
    <w:rsid w:val="00AA29BD"/>
    <w:rsid w:val="00AA3080"/>
    <w:rsid w:val="00AA4A2C"/>
    <w:rsid w:val="00AA4A55"/>
    <w:rsid w:val="00AA5F82"/>
    <w:rsid w:val="00AA618F"/>
    <w:rsid w:val="00AA6220"/>
    <w:rsid w:val="00AA7AF0"/>
    <w:rsid w:val="00AA7C8F"/>
    <w:rsid w:val="00AB11F8"/>
    <w:rsid w:val="00AB14CA"/>
    <w:rsid w:val="00AB1710"/>
    <w:rsid w:val="00AB1FE5"/>
    <w:rsid w:val="00AB25C5"/>
    <w:rsid w:val="00AB2E94"/>
    <w:rsid w:val="00AB3541"/>
    <w:rsid w:val="00AB3B4A"/>
    <w:rsid w:val="00AB3D6A"/>
    <w:rsid w:val="00AB3D8A"/>
    <w:rsid w:val="00AB3F82"/>
    <w:rsid w:val="00AB40E9"/>
    <w:rsid w:val="00AB4AC0"/>
    <w:rsid w:val="00AB4AFB"/>
    <w:rsid w:val="00AB5D08"/>
    <w:rsid w:val="00AB636B"/>
    <w:rsid w:val="00AC07B8"/>
    <w:rsid w:val="00AC117A"/>
    <w:rsid w:val="00AC1D45"/>
    <w:rsid w:val="00AC1E2E"/>
    <w:rsid w:val="00AC4C7E"/>
    <w:rsid w:val="00AC6101"/>
    <w:rsid w:val="00AC7F4A"/>
    <w:rsid w:val="00AD0126"/>
    <w:rsid w:val="00AD0566"/>
    <w:rsid w:val="00AD110D"/>
    <w:rsid w:val="00AD17CF"/>
    <w:rsid w:val="00AD1A6A"/>
    <w:rsid w:val="00AD1ED9"/>
    <w:rsid w:val="00AD337D"/>
    <w:rsid w:val="00AD33DA"/>
    <w:rsid w:val="00AD500F"/>
    <w:rsid w:val="00AD6816"/>
    <w:rsid w:val="00AD68B7"/>
    <w:rsid w:val="00AD6F87"/>
    <w:rsid w:val="00AD7215"/>
    <w:rsid w:val="00AD734A"/>
    <w:rsid w:val="00AD74B4"/>
    <w:rsid w:val="00AD77E2"/>
    <w:rsid w:val="00AD7B5D"/>
    <w:rsid w:val="00AD7F10"/>
    <w:rsid w:val="00AE0411"/>
    <w:rsid w:val="00AE0554"/>
    <w:rsid w:val="00AE2038"/>
    <w:rsid w:val="00AE254E"/>
    <w:rsid w:val="00AE2ACE"/>
    <w:rsid w:val="00AE2C54"/>
    <w:rsid w:val="00AE3449"/>
    <w:rsid w:val="00AE3862"/>
    <w:rsid w:val="00AE4271"/>
    <w:rsid w:val="00AE4E57"/>
    <w:rsid w:val="00AE5AFA"/>
    <w:rsid w:val="00AE65F4"/>
    <w:rsid w:val="00AE6970"/>
    <w:rsid w:val="00AE70A0"/>
    <w:rsid w:val="00AE7B65"/>
    <w:rsid w:val="00AF0404"/>
    <w:rsid w:val="00AF0A97"/>
    <w:rsid w:val="00AF0ABD"/>
    <w:rsid w:val="00AF10F7"/>
    <w:rsid w:val="00AF1561"/>
    <w:rsid w:val="00AF2120"/>
    <w:rsid w:val="00AF606E"/>
    <w:rsid w:val="00AF763D"/>
    <w:rsid w:val="00B00CEC"/>
    <w:rsid w:val="00B03434"/>
    <w:rsid w:val="00B04A2E"/>
    <w:rsid w:val="00B05AF0"/>
    <w:rsid w:val="00B05F88"/>
    <w:rsid w:val="00B0617E"/>
    <w:rsid w:val="00B063FB"/>
    <w:rsid w:val="00B064E0"/>
    <w:rsid w:val="00B071B8"/>
    <w:rsid w:val="00B07213"/>
    <w:rsid w:val="00B07480"/>
    <w:rsid w:val="00B078F7"/>
    <w:rsid w:val="00B1089C"/>
    <w:rsid w:val="00B10F1B"/>
    <w:rsid w:val="00B10FE3"/>
    <w:rsid w:val="00B11573"/>
    <w:rsid w:val="00B1183C"/>
    <w:rsid w:val="00B11C24"/>
    <w:rsid w:val="00B11E51"/>
    <w:rsid w:val="00B12DEA"/>
    <w:rsid w:val="00B13FC7"/>
    <w:rsid w:val="00B14777"/>
    <w:rsid w:val="00B1577F"/>
    <w:rsid w:val="00B17414"/>
    <w:rsid w:val="00B17671"/>
    <w:rsid w:val="00B20354"/>
    <w:rsid w:val="00B214F1"/>
    <w:rsid w:val="00B22A66"/>
    <w:rsid w:val="00B22BFB"/>
    <w:rsid w:val="00B2551C"/>
    <w:rsid w:val="00B26322"/>
    <w:rsid w:val="00B26383"/>
    <w:rsid w:val="00B271B8"/>
    <w:rsid w:val="00B27433"/>
    <w:rsid w:val="00B278EC"/>
    <w:rsid w:val="00B27A75"/>
    <w:rsid w:val="00B27FCD"/>
    <w:rsid w:val="00B3006C"/>
    <w:rsid w:val="00B31625"/>
    <w:rsid w:val="00B32825"/>
    <w:rsid w:val="00B33318"/>
    <w:rsid w:val="00B33DDD"/>
    <w:rsid w:val="00B362C3"/>
    <w:rsid w:val="00B3660E"/>
    <w:rsid w:val="00B36706"/>
    <w:rsid w:val="00B37125"/>
    <w:rsid w:val="00B37A78"/>
    <w:rsid w:val="00B37F07"/>
    <w:rsid w:val="00B40679"/>
    <w:rsid w:val="00B40D71"/>
    <w:rsid w:val="00B42887"/>
    <w:rsid w:val="00B428A2"/>
    <w:rsid w:val="00B429AB"/>
    <w:rsid w:val="00B435DD"/>
    <w:rsid w:val="00B43EDB"/>
    <w:rsid w:val="00B44D52"/>
    <w:rsid w:val="00B46249"/>
    <w:rsid w:val="00B46995"/>
    <w:rsid w:val="00B47468"/>
    <w:rsid w:val="00B50A99"/>
    <w:rsid w:val="00B52126"/>
    <w:rsid w:val="00B52163"/>
    <w:rsid w:val="00B53536"/>
    <w:rsid w:val="00B53842"/>
    <w:rsid w:val="00B539B2"/>
    <w:rsid w:val="00B546C8"/>
    <w:rsid w:val="00B54725"/>
    <w:rsid w:val="00B54B01"/>
    <w:rsid w:val="00B56A93"/>
    <w:rsid w:val="00B56D37"/>
    <w:rsid w:val="00B5765A"/>
    <w:rsid w:val="00B57D7C"/>
    <w:rsid w:val="00B6097E"/>
    <w:rsid w:val="00B60A1F"/>
    <w:rsid w:val="00B60E8A"/>
    <w:rsid w:val="00B612C3"/>
    <w:rsid w:val="00B61615"/>
    <w:rsid w:val="00B61FA4"/>
    <w:rsid w:val="00B627B7"/>
    <w:rsid w:val="00B63238"/>
    <w:rsid w:val="00B63ED0"/>
    <w:rsid w:val="00B64814"/>
    <w:rsid w:val="00B64AB6"/>
    <w:rsid w:val="00B64D6E"/>
    <w:rsid w:val="00B6509B"/>
    <w:rsid w:val="00B65925"/>
    <w:rsid w:val="00B65FD7"/>
    <w:rsid w:val="00B66597"/>
    <w:rsid w:val="00B67C27"/>
    <w:rsid w:val="00B702AE"/>
    <w:rsid w:val="00B703DA"/>
    <w:rsid w:val="00B705E4"/>
    <w:rsid w:val="00B7064C"/>
    <w:rsid w:val="00B706F3"/>
    <w:rsid w:val="00B7072A"/>
    <w:rsid w:val="00B708C3"/>
    <w:rsid w:val="00B70F6B"/>
    <w:rsid w:val="00B723E7"/>
    <w:rsid w:val="00B727C5"/>
    <w:rsid w:val="00B735FD"/>
    <w:rsid w:val="00B73A37"/>
    <w:rsid w:val="00B73FCE"/>
    <w:rsid w:val="00B74B45"/>
    <w:rsid w:val="00B74B71"/>
    <w:rsid w:val="00B76307"/>
    <w:rsid w:val="00B76AA0"/>
    <w:rsid w:val="00B8027B"/>
    <w:rsid w:val="00B80781"/>
    <w:rsid w:val="00B828B6"/>
    <w:rsid w:val="00B82B51"/>
    <w:rsid w:val="00B84864"/>
    <w:rsid w:val="00B84893"/>
    <w:rsid w:val="00B84B51"/>
    <w:rsid w:val="00B84B9B"/>
    <w:rsid w:val="00B85D79"/>
    <w:rsid w:val="00B875E8"/>
    <w:rsid w:val="00B8767D"/>
    <w:rsid w:val="00B903E5"/>
    <w:rsid w:val="00B90755"/>
    <w:rsid w:val="00B90A2F"/>
    <w:rsid w:val="00B91459"/>
    <w:rsid w:val="00B917ED"/>
    <w:rsid w:val="00B91A2E"/>
    <w:rsid w:val="00B92590"/>
    <w:rsid w:val="00B92BCE"/>
    <w:rsid w:val="00B93899"/>
    <w:rsid w:val="00B94378"/>
    <w:rsid w:val="00B9530F"/>
    <w:rsid w:val="00B96311"/>
    <w:rsid w:val="00B96728"/>
    <w:rsid w:val="00B96811"/>
    <w:rsid w:val="00B96ECF"/>
    <w:rsid w:val="00BA0FD7"/>
    <w:rsid w:val="00BA1054"/>
    <w:rsid w:val="00BA16EE"/>
    <w:rsid w:val="00BA1EAE"/>
    <w:rsid w:val="00BA2E7E"/>
    <w:rsid w:val="00BA49D1"/>
    <w:rsid w:val="00BA5401"/>
    <w:rsid w:val="00BA5860"/>
    <w:rsid w:val="00BA5F5B"/>
    <w:rsid w:val="00BA5FFA"/>
    <w:rsid w:val="00BA7B67"/>
    <w:rsid w:val="00BB1024"/>
    <w:rsid w:val="00BB1208"/>
    <w:rsid w:val="00BB35B3"/>
    <w:rsid w:val="00BB3852"/>
    <w:rsid w:val="00BB52F6"/>
    <w:rsid w:val="00BB6054"/>
    <w:rsid w:val="00BB71B1"/>
    <w:rsid w:val="00BB78AA"/>
    <w:rsid w:val="00BC0639"/>
    <w:rsid w:val="00BC133F"/>
    <w:rsid w:val="00BC2138"/>
    <w:rsid w:val="00BC3050"/>
    <w:rsid w:val="00BC388D"/>
    <w:rsid w:val="00BC38C4"/>
    <w:rsid w:val="00BC3E15"/>
    <w:rsid w:val="00BC40B3"/>
    <w:rsid w:val="00BC4752"/>
    <w:rsid w:val="00BC4DEF"/>
    <w:rsid w:val="00BC5986"/>
    <w:rsid w:val="00BC6514"/>
    <w:rsid w:val="00BC68A1"/>
    <w:rsid w:val="00BC6BD6"/>
    <w:rsid w:val="00BC770B"/>
    <w:rsid w:val="00BC79C4"/>
    <w:rsid w:val="00BD020C"/>
    <w:rsid w:val="00BD0F43"/>
    <w:rsid w:val="00BD10AE"/>
    <w:rsid w:val="00BD14E1"/>
    <w:rsid w:val="00BD1711"/>
    <w:rsid w:val="00BD2CB3"/>
    <w:rsid w:val="00BD2FBA"/>
    <w:rsid w:val="00BD4A86"/>
    <w:rsid w:val="00BD4A8C"/>
    <w:rsid w:val="00BD5128"/>
    <w:rsid w:val="00BD635A"/>
    <w:rsid w:val="00BD6CEA"/>
    <w:rsid w:val="00BD73C6"/>
    <w:rsid w:val="00BD7F71"/>
    <w:rsid w:val="00BE0E1D"/>
    <w:rsid w:val="00BE16F2"/>
    <w:rsid w:val="00BE189A"/>
    <w:rsid w:val="00BE1B87"/>
    <w:rsid w:val="00BE3397"/>
    <w:rsid w:val="00BE34F7"/>
    <w:rsid w:val="00BE3A72"/>
    <w:rsid w:val="00BE5518"/>
    <w:rsid w:val="00BE5748"/>
    <w:rsid w:val="00BE5892"/>
    <w:rsid w:val="00BE5B12"/>
    <w:rsid w:val="00BE61EC"/>
    <w:rsid w:val="00BE625F"/>
    <w:rsid w:val="00BE6350"/>
    <w:rsid w:val="00BE6413"/>
    <w:rsid w:val="00BE6A55"/>
    <w:rsid w:val="00BE6C92"/>
    <w:rsid w:val="00BE6F99"/>
    <w:rsid w:val="00BE78B4"/>
    <w:rsid w:val="00BF19CC"/>
    <w:rsid w:val="00BF1A4C"/>
    <w:rsid w:val="00BF1DE2"/>
    <w:rsid w:val="00BF1FE8"/>
    <w:rsid w:val="00BF3FF4"/>
    <w:rsid w:val="00BF42FF"/>
    <w:rsid w:val="00BF53EA"/>
    <w:rsid w:val="00BF5902"/>
    <w:rsid w:val="00BF5A93"/>
    <w:rsid w:val="00BF6619"/>
    <w:rsid w:val="00BF79A2"/>
    <w:rsid w:val="00BF7A3E"/>
    <w:rsid w:val="00BF7A9C"/>
    <w:rsid w:val="00C0055F"/>
    <w:rsid w:val="00C00B02"/>
    <w:rsid w:val="00C00E82"/>
    <w:rsid w:val="00C01D7B"/>
    <w:rsid w:val="00C03143"/>
    <w:rsid w:val="00C031D8"/>
    <w:rsid w:val="00C032A5"/>
    <w:rsid w:val="00C03949"/>
    <w:rsid w:val="00C040BA"/>
    <w:rsid w:val="00C04E91"/>
    <w:rsid w:val="00C05B63"/>
    <w:rsid w:val="00C0693A"/>
    <w:rsid w:val="00C07DA1"/>
    <w:rsid w:val="00C10E7D"/>
    <w:rsid w:val="00C10ECF"/>
    <w:rsid w:val="00C113A7"/>
    <w:rsid w:val="00C11783"/>
    <w:rsid w:val="00C118AE"/>
    <w:rsid w:val="00C11F20"/>
    <w:rsid w:val="00C1258C"/>
    <w:rsid w:val="00C12CDC"/>
    <w:rsid w:val="00C13223"/>
    <w:rsid w:val="00C145AC"/>
    <w:rsid w:val="00C157ED"/>
    <w:rsid w:val="00C16B16"/>
    <w:rsid w:val="00C20069"/>
    <w:rsid w:val="00C218E5"/>
    <w:rsid w:val="00C223BA"/>
    <w:rsid w:val="00C24957"/>
    <w:rsid w:val="00C25B74"/>
    <w:rsid w:val="00C2613E"/>
    <w:rsid w:val="00C26B83"/>
    <w:rsid w:val="00C26DE6"/>
    <w:rsid w:val="00C27974"/>
    <w:rsid w:val="00C27E3B"/>
    <w:rsid w:val="00C3011E"/>
    <w:rsid w:val="00C301B2"/>
    <w:rsid w:val="00C303AC"/>
    <w:rsid w:val="00C303BC"/>
    <w:rsid w:val="00C3042E"/>
    <w:rsid w:val="00C321D1"/>
    <w:rsid w:val="00C321F7"/>
    <w:rsid w:val="00C32ADD"/>
    <w:rsid w:val="00C330EB"/>
    <w:rsid w:val="00C331DE"/>
    <w:rsid w:val="00C346BC"/>
    <w:rsid w:val="00C34D7E"/>
    <w:rsid w:val="00C35361"/>
    <w:rsid w:val="00C36446"/>
    <w:rsid w:val="00C36546"/>
    <w:rsid w:val="00C36F89"/>
    <w:rsid w:val="00C3721F"/>
    <w:rsid w:val="00C3799E"/>
    <w:rsid w:val="00C407DC"/>
    <w:rsid w:val="00C415F8"/>
    <w:rsid w:val="00C42282"/>
    <w:rsid w:val="00C42531"/>
    <w:rsid w:val="00C42968"/>
    <w:rsid w:val="00C440DF"/>
    <w:rsid w:val="00C449A3"/>
    <w:rsid w:val="00C4669F"/>
    <w:rsid w:val="00C46F44"/>
    <w:rsid w:val="00C47561"/>
    <w:rsid w:val="00C479D4"/>
    <w:rsid w:val="00C50071"/>
    <w:rsid w:val="00C50742"/>
    <w:rsid w:val="00C518A7"/>
    <w:rsid w:val="00C5244C"/>
    <w:rsid w:val="00C524B4"/>
    <w:rsid w:val="00C529BD"/>
    <w:rsid w:val="00C52D86"/>
    <w:rsid w:val="00C543FD"/>
    <w:rsid w:val="00C56159"/>
    <w:rsid w:val="00C56247"/>
    <w:rsid w:val="00C568EF"/>
    <w:rsid w:val="00C57868"/>
    <w:rsid w:val="00C57E79"/>
    <w:rsid w:val="00C61466"/>
    <w:rsid w:val="00C61B27"/>
    <w:rsid w:val="00C62B84"/>
    <w:rsid w:val="00C63084"/>
    <w:rsid w:val="00C63FB6"/>
    <w:rsid w:val="00C650FD"/>
    <w:rsid w:val="00C6619C"/>
    <w:rsid w:val="00C6645F"/>
    <w:rsid w:val="00C6749F"/>
    <w:rsid w:val="00C677F9"/>
    <w:rsid w:val="00C700B6"/>
    <w:rsid w:val="00C70759"/>
    <w:rsid w:val="00C70FAF"/>
    <w:rsid w:val="00C72365"/>
    <w:rsid w:val="00C72955"/>
    <w:rsid w:val="00C72D7A"/>
    <w:rsid w:val="00C736A9"/>
    <w:rsid w:val="00C73A84"/>
    <w:rsid w:val="00C7468E"/>
    <w:rsid w:val="00C74DE0"/>
    <w:rsid w:val="00C753FF"/>
    <w:rsid w:val="00C75657"/>
    <w:rsid w:val="00C75D35"/>
    <w:rsid w:val="00C76B9C"/>
    <w:rsid w:val="00C76FD1"/>
    <w:rsid w:val="00C77610"/>
    <w:rsid w:val="00C77F54"/>
    <w:rsid w:val="00C80B28"/>
    <w:rsid w:val="00C80F44"/>
    <w:rsid w:val="00C811FD"/>
    <w:rsid w:val="00C8120D"/>
    <w:rsid w:val="00C8174D"/>
    <w:rsid w:val="00C82222"/>
    <w:rsid w:val="00C82926"/>
    <w:rsid w:val="00C839F5"/>
    <w:rsid w:val="00C84C4F"/>
    <w:rsid w:val="00C86093"/>
    <w:rsid w:val="00C86B2D"/>
    <w:rsid w:val="00C873AF"/>
    <w:rsid w:val="00C90BC4"/>
    <w:rsid w:val="00C90F57"/>
    <w:rsid w:val="00C91637"/>
    <w:rsid w:val="00C916F6"/>
    <w:rsid w:val="00C93464"/>
    <w:rsid w:val="00C937F0"/>
    <w:rsid w:val="00C93B62"/>
    <w:rsid w:val="00C96FE9"/>
    <w:rsid w:val="00C97529"/>
    <w:rsid w:val="00C978C6"/>
    <w:rsid w:val="00CA00A1"/>
    <w:rsid w:val="00CA07D9"/>
    <w:rsid w:val="00CA12BB"/>
    <w:rsid w:val="00CA15CB"/>
    <w:rsid w:val="00CA196E"/>
    <w:rsid w:val="00CA1B2E"/>
    <w:rsid w:val="00CA2E83"/>
    <w:rsid w:val="00CA3A21"/>
    <w:rsid w:val="00CA444C"/>
    <w:rsid w:val="00CA46C4"/>
    <w:rsid w:val="00CA4E83"/>
    <w:rsid w:val="00CA576E"/>
    <w:rsid w:val="00CA58DC"/>
    <w:rsid w:val="00CA6658"/>
    <w:rsid w:val="00CA7F97"/>
    <w:rsid w:val="00CA7FA5"/>
    <w:rsid w:val="00CB0075"/>
    <w:rsid w:val="00CB17AE"/>
    <w:rsid w:val="00CB1967"/>
    <w:rsid w:val="00CB1CBE"/>
    <w:rsid w:val="00CB20DB"/>
    <w:rsid w:val="00CB23DF"/>
    <w:rsid w:val="00CB2D15"/>
    <w:rsid w:val="00CB3823"/>
    <w:rsid w:val="00CB5668"/>
    <w:rsid w:val="00CB6695"/>
    <w:rsid w:val="00CB7E21"/>
    <w:rsid w:val="00CC01DA"/>
    <w:rsid w:val="00CC1B45"/>
    <w:rsid w:val="00CC1D01"/>
    <w:rsid w:val="00CC246C"/>
    <w:rsid w:val="00CC389A"/>
    <w:rsid w:val="00CC38BB"/>
    <w:rsid w:val="00CC3CC0"/>
    <w:rsid w:val="00CC4C7D"/>
    <w:rsid w:val="00CC4F51"/>
    <w:rsid w:val="00CC5EB5"/>
    <w:rsid w:val="00CD1262"/>
    <w:rsid w:val="00CD1AB1"/>
    <w:rsid w:val="00CD1F58"/>
    <w:rsid w:val="00CD2841"/>
    <w:rsid w:val="00CD315F"/>
    <w:rsid w:val="00CD316E"/>
    <w:rsid w:val="00CD34EA"/>
    <w:rsid w:val="00CD3925"/>
    <w:rsid w:val="00CD3CE9"/>
    <w:rsid w:val="00CD4E8D"/>
    <w:rsid w:val="00CD504A"/>
    <w:rsid w:val="00CD5061"/>
    <w:rsid w:val="00CD5C56"/>
    <w:rsid w:val="00CD61AC"/>
    <w:rsid w:val="00CD6D34"/>
    <w:rsid w:val="00CD7893"/>
    <w:rsid w:val="00CD7DFC"/>
    <w:rsid w:val="00CD7EA6"/>
    <w:rsid w:val="00CE01FC"/>
    <w:rsid w:val="00CE0A08"/>
    <w:rsid w:val="00CE0B0D"/>
    <w:rsid w:val="00CE211C"/>
    <w:rsid w:val="00CE304C"/>
    <w:rsid w:val="00CE3273"/>
    <w:rsid w:val="00CE343B"/>
    <w:rsid w:val="00CE35C4"/>
    <w:rsid w:val="00CE35CE"/>
    <w:rsid w:val="00CE3829"/>
    <w:rsid w:val="00CE43B7"/>
    <w:rsid w:val="00CE50B3"/>
    <w:rsid w:val="00CE6420"/>
    <w:rsid w:val="00CE660F"/>
    <w:rsid w:val="00CE69FA"/>
    <w:rsid w:val="00CF0781"/>
    <w:rsid w:val="00CF0AE7"/>
    <w:rsid w:val="00CF2DFD"/>
    <w:rsid w:val="00CF3138"/>
    <w:rsid w:val="00CF41EE"/>
    <w:rsid w:val="00CF53AE"/>
    <w:rsid w:val="00CF5E27"/>
    <w:rsid w:val="00CF6957"/>
    <w:rsid w:val="00CF6A09"/>
    <w:rsid w:val="00D0052E"/>
    <w:rsid w:val="00D00680"/>
    <w:rsid w:val="00D019E0"/>
    <w:rsid w:val="00D02212"/>
    <w:rsid w:val="00D0309B"/>
    <w:rsid w:val="00D037BF"/>
    <w:rsid w:val="00D03F71"/>
    <w:rsid w:val="00D04DC6"/>
    <w:rsid w:val="00D058A3"/>
    <w:rsid w:val="00D109ED"/>
    <w:rsid w:val="00D116D7"/>
    <w:rsid w:val="00D11FD5"/>
    <w:rsid w:val="00D12075"/>
    <w:rsid w:val="00D13B14"/>
    <w:rsid w:val="00D14377"/>
    <w:rsid w:val="00D14412"/>
    <w:rsid w:val="00D14725"/>
    <w:rsid w:val="00D14905"/>
    <w:rsid w:val="00D14AE6"/>
    <w:rsid w:val="00D14E28"/>
    <w:rsid w:val="00D15AC9"/>
    <w:rsid w:val="00D15BEC"/>
    <w:rsid w:val="00D1604A"/>
    <w:rsid w:val="00D1659C"/>
    <w:rsid w:val="00D16C04"/>
    <w:rsid w:val="00D1770D"/>
    <w:rsid w:val="00D17BF5"/>
    <w:rsid w:val="00D17D11"/>
    <w:rsid w:val="00D21127"/>
    <w:rsid w:val="00D21821"/>
    <w:rsid w:val="00D21AFF"/>
    <w:rsid w:val="00D22286"/>
    <w:rsid w:val="00D22882"/>
    <w:rsid w:val="00D22FDA"/>
    <w:rsid w:val="00D240F1"/>
    <w:rsid w:val="00D2434C"/>
    <w:rsid w:val="00D25E78"/>
    <w:rsid w:val="00D25F7D"/>
    <w:rsid w:val="00D268A7"/>
    <w:rsid w:val="00D26902"/>
    <w:rsid w:val="00D27146"/>
    <w:rsid w:val="00D27D3D"/>
    <w:rsid w:val="00D27E45"/>
    <w:rsid w:val="00D304E0"/>
    <w:rsid w:val="00D3054C"/>
    <w:rsid w:val="00D30572"/>
    <w:rsid w:val="00D3060D"/>
    <w:rsid w:val="00D310F4"/>
    <w:rsid w:val="00D326CC"/>
    <w:rsid w:val="00D32ACD"/>
    <w:rsid w:val="00D3309D"/>
    <w:rsid w:val="00D33925"/>
    <w:rsid w:val="00D33B46"/>
    <w:rsid w:val="00D34875"/>
    <w:rsid w:val="00D34C10"/>
    <w:rsid w:val="00D359DB"/>
    <w:rsid w:val="00D36318"/>
    <w:rsid w:val="00D379D5"/>
    <w:rsid w:val="00D37EA6"/>
    <w:rsid w:val="00D4191D"/>
    <w:rsid w:val="00D41F3A"/>
    <w:rsid w:val="00D41F3C"/>
    <w:rsid w:val="00D42201"/>
    <w:rsid w:val="00D4220A"/>
    <w:rsid w:val="00D431A9"/>
    <w:rsid w:val="00D4358F"/>
    <w:rsid w:val="00D43EAA"/>
    <w:rsid w:val="00D43EE4"/>
    <w:rsid w:val="00D440C2"/>
    <w:rsid w:val="00D44B99"/>
    <w:rsid w:val="00D44C20"/>
    <w:rsid w:val="00D4530A"/>
    <w:rsid w:val="00D45C29"/>
    <w:rsid w:val="00D45D64"/>
    <w:rsid w:val="00D46E28"/>
    <w:rsid w:val="00D50C54"/>
    <w:rsid w:val="00D52527"/>
    <w:rsid w:val="00D5338B"/>
    <w:rsid w:val="00D543B2"/>
    <w:rsid w:val="00D55E7C"/>
    <w:rsid w:val="00D5610A"/>
    <w:rsid w:val="00D5677A"/>
    <w:rsid w:val="00D57181"/>
    <w:rsid w:val="00D60313"/>
    <w:rsid w:val="00D604C4"/>
    <w:rsid w:val="00D6088F"/>
    <w:rsid w:val="00D6170A"/>
    <w:rsid w:val="00D62088"/>
    <w:rsid w:val="00D62285"/>
    <w:rsid w:val="00D63D8C"/>
    <w:rsid w:val="00D648D3"/>
    <w:rsid w:val="00D6575A"/>
    <w:rsid w:val="00D65A66"/>
    <w:rsid w:val="00D6621F"/>
    <w:rsid w:val="00D67935"/>
    <w:rsid w:val="00D679A4"/>
    <w:rsid w:val="00D7044E"/>
    <w:rsid w:val="00D70DFB"/>
    <w:rsid w:val="00D71328"/>
    <w:rsid w:val="00D72BCE"/>
    <w:rsid w:val="00D7302F"/>
    <w:rsid w:val="00D764E9"/>
    <w:rsid w:val="00D806B6"/>
    <w:rsid w:val="00D80BCE"/>
    <w:rsid w:val="00D81091"/>
    <w:rsid w:val="00D8373F"/>
    <w:rsid w:val="00D83B7C"/>
    <w:rsid w:val="00D84D1A"/>
    <w:rsid w:val="00D85ECC"/>
    <w:rsid w:val="00D85FB4"/>
    <w:rsid w:val="00D86829"/>
    <w:rsid w:val="00D8691A"/>
    <w:rsid w:val="00D87053"/>
    <w:rsid w:val="00D87180"/>
    <w:rsid w:val="00D876E4"/>
    <w:rsid w:val="00D87DA5"/>
    <w:rsid w:val="00D87F12"/>
    <w:rsid w:val="00D91BEB"/>
    <w:rsid w:val="00D91DC4"/>
    <w:rsid w:val="00D91FF5"/>
    <w:rsid w:val="00D927BD"/>
    <w:rsid w:val="00D93A50"/>
    <w:rsid w:val="00D9428E"/>
    <w:rsid w:val="00D95520"/>
    <w:rsid w:val="00D95CF1"/>
    <w:rsid w:val="00D96B39"/>
    <w:rsid w:val="00D975B3"/>
    <w:rsid w:val="00DA18A0"/>
    <w:rsid w:val="00DA4398"/>
    <w:rsid w:val="00DA44CA"/>
    <w:rsid w:val="00DA50BF"/>
    <w:rsid w:val="00DA65B0"/>
    <w:rsid w:val="00DB0AB6"/>
    <w:rsid w:val="00DB1058"/>
    <w:rsid w:val="00DB298A"/>
    <w:rsid w:val="00DB4396"/>
    <w:rsid w:val="00DB4C8B"/>
    <w:rsid w:val="00DB77D9"/>
    <w:rsid w:val="00DB7932"/>
    <w:rsid w:val="00DB7D71"/>
    <w:rsid w:val="00DC0B92"/>
    <w:rsid w:val="00DC2782"/>
    <w:rsid w:val="00DC2AA2"/>
    <w:rsid w:val="00DC317F"/>
    <w:rsid w:val="00DC4120"/>
    <w:rsid w:val="00DC425C"/>
    <w:rsid w:val="00DC53C9"/>
    <w:rsid w:val="00DC69B6"/>
    <w:rsid w:val="00DC6DFD"/>
    <w:rsid w:val="00DC7723"/>
    <w:rsid w:val="00DD0259"/>
    <w:rsid w:val="00DD0355"/>
    <w:rsid w:val="00DD0952"/>
    <w:rsid w:val="00DD1667"/>
    <w:rsid w:val="00DD1B1E"/>
    <w:rsid w:val="00DD230B"/>
    <w:rsid w:val="00DD28B0"/>
    <w:rsid w:val="00DD372F"/>
    <w:rsid w:val="00DD3E26"/>
    <w:rsid w:val="00DD6234"/>
    <w:rsid w:val="00DD6854"/>
    <w:rsid w:val="00DE08CE"/>
    <w:rsid w:val="00DE1B6D"/>
    <w:rsid w:val="00DE1DDA"/>
    <w:rsid w:val="00DE2BCF"/>
    <w:rsid w:val="00DE2D71"/>
    <w:rsid w:val="00DE35CB"/>
    <w:rsid w:val="00DE3976"/>
    <w:rsid w:val="00DE4819"/>
    <w:rsid w:val="00DE4AD5"/>
    <w:rsid w:val="00DE697E"/>
    <w:rsid w:val="00DE6B70"/>
    <w:rsid w:val="00DE7C72"/>
    <w:rsid w:val="00DF04AB"/>
    <w:rsid w:val="00DF0957"/>
    <w:rsid w:val="00DF0B2E"/>
    <w:rsid w:val="00DF1490"/>
    <w:rsid w:val="00DF177A"/>
    <w:rsid w:val="00DF17E6"/>
    <w:rsid w:val="00DF1BA8"/>
    <w:rsid w:val="00DF26C1"/>
    <w:rsid w:val="00DF2B18"/>
    <w:rsid w:val="00DF54AD"/>
    <w:rsid w:val="00DF5B63"/>
    <w:rsid w:val="00DF6044"/>
    <w:rsid w:val="00E002FA"/>
    <w:rsid w:val="00E00B83"/>
    <w:rsid w:val="00E01C80"/>
    <w:rsid w:val="00E03958"/>
    <w:rsid w:val="00E052C1"/>
    <w:rsid w:val="00E054EF"/>
    <w:rsid w:val="00E05BCD"/>
    <w:rsid w:val="00E05E3A"/>
    <w:rsid w:val="00E062E9"/>
    <w:rsid w:val="00E0784B"/>
    <w:rsid w:val="00E10149"/>
    <w:rsid w:val="00E1086A"/>
    <w:rsid w:val="00E13084"/>
    <w:rsid w:val="00E1433D"/>
    <w:rsid w:val="00E14595"/>
    <w:rsid w:val="00E14763"/>
    <w:rsid w:val="00E14C3F"/>
    <w:rsid w:val="00E14EDE"/>
    <w:rsid w:val="00E1555F"/>
    <w:rsid w:val="00E16402"/>
    <w:rsid w:val="00E16A96"/>
    <w:rsid w:val="00E16C30"/>
    <w:rsid w:val="00E176D2"/>
    <w:rsid w:val="00E17F32"/>
    <w:rsid w:val="00E20402"/>
    <w:rsid w:val="00E21C38"/>
    <w:rsid w:val="00E22C7E"/>
    <w:rsid w:val="00E22F87"/>
    <w:rsid w:val="00E230DF"/>
    <w:rsid w:val="00E2500B"/>
    <w:rsid w:val="00E2736C"/>
    <w:rsid w:val="00E27470"/>
    <w:rsid w:val="00E318C9"/>
    <w:rsid w:val="00E32EBA"/>
    <w:rsid w:val="00E33A44"/>
    <w:rsid w:val="00E33EA8"/>
    <w:rsid w:val="00E3464A"/>
    <w:rsid w:val="00E34E40"/>
    <w:rsid w:val="00E354FC"/>
    <w:rsid w:val="00E363D0"/>
    <w:rsid w:val="00E36848"/>
    <w:rsid w:val="00E36F3A"/>
    <w:rsid w:val="00E37CBC"/>
    <w:rsid w:val="00E401C3"/>
    <w:rsid w:val="00E404A6"/>
    <w:rsid w:val="00E4212C"/>
    <w:rsid w:val="00E4229F"/>
    <w:rsid w:val="00E428B5"/>
    <w:rsid w:val="00E42DAB"/>
    <w:rsid w:val="00E43182"/>
    <w:rsid w:val="00E44318"/>
    <w:rsid w:val="00E447FF"/>
    <w:rsid w:val="00E4482D"/>
    <w:rsid w:val="00E44988"/>
    <w:rsid w:val="00E458F7"/>
    <w:rsid w:val="00E45EE9"/>
    <w:rsid w:val="00E461F3"/>
    <w:rsid w:val="00E4623C"/>
    <w:rsid w:val="00E46C60"/>
    <w:rsid w:val="00E513F0"/>
    <w:rsid w:val="00E51A9B"/>
    <w:rsid w:val="00E51BBD"/>
    <w:rsid w:val="00E53962"/>
    <w:rsid w:val="00E54010"/>
    <w:rsid w:val="00E543C9"/>
    <w:rsid w:val="00E548E6"/>
    <w:rsid w:val="00E5543A"/>
    <w:rsid w:val="00E566C3"/>
    <w:rsid w:val="00E56CC0"/>
    <w:rsid w:val="00E574AD"/>
    <w:rsid w:val="00E60318"/>
    <w:rsid w:val="00E60F50"/>
    <w:rsid w:val="00E61253"/>
    <w:rsid w:val="00E62A84"/>
    <w:rsid w:val="00E62EDB"/>
    <w:rsid w:val="00E63340"/>
    <w:rsid w:val="00E63779"/>
    <w:rsid w:val="00E649CB"/>
    <w:rsid w:val="00E655D7"/>
    <w:rsid w:val="00E65B83"/>
    <w:rsid w:val="00E664BA"/>
    <w:rsid w:val="00E6662C"/>
    <w:rsid w:val="00E679B8"/>
    <w:rsid w:val="00E709F5"/>
    <w:rsid w:val="00E70E23"/>
    <w:rsid w:val="00E729B9"/>
    <w:rsid w:val="00E73F2D"/>
    <w:rsid w:val="00E740C4"/>
    <w:rsid w:val="00E74229"/>
    <w:rsid w:val="00E74B9A"/>
    <w:rsid w:val="00E74D66"/>
    <w:rsid w:val="00E750C7"/>
    <w:rsid w:val="00E75F58"/>
    <w:rsid w:val="00E76439"/>
    <w:rsid w:val="00E770EE"/>
    <w:rsid w:val="00E775E3"/>
    <w:rsid w:val="00E77CB0"/>
    <w:rsid w:val="00E8010C"/>
    <w:rsid w:val="00E8089F"/>
    <w:rsid w:val="00E80FF0"/>
    <w:rsid w:val="00E818D6"/>
    <w:rsid w:val="00E8200D"/>
    <w:rsid w:val="00E82102"/>
    <w:rsid w:val="00E8219C"/>
    <w:rsid w:val="00E826FF"/>
    <w:rsid w:val="00E83425"/>
    <w:rsid w:val="00E83693"/>
    <w:rsid w:val="00E84A09"/>
    <w:rsid w:val="00E8540B"/>
    <w:rsid w:val="00E85C07"/>
    <w:rsid w:val="00E85D29"/>
    <w:rsid w:val="00E862CC"/>
    <w:rsid w:val="00E87B45"/>
    <w:rsid w:val="00E90433"/>
    <w:rsid w:val="00E90C37"/>
    <w:rsid w:val="00E90DB2"/>
    <w:rsid w:val="00E9197F"/>
    <w:rsid w:val="00E938EF"/>
    <w:rsid w:val="00E93CC3"/>
    <w:rsid w:val="00E94D48"/>
    <w:rsid w:val="00E96AF4"/>
    <w:rsid w:val="00EA021D"/>
    <w:rsid w:val="00EA024D"/>
    <w:rsid w:val="00EA096D"/>
    <w:rsid w:val="00EA43E9"/>
    <w:rsid w:val="00EA49B1"/>
    <w:rsid w:val="00EA5D4C"/>
    <w:rsid w:val="00EA6491"/>
    <w:rsid w:val="00EA6BB4"/>
    <w:rsid w:val="00EA7010"/>
    <w:rsid w:val="00EA7346"/>
    <w:rsid w:val="00EA785B"/>
    <w:rsid w:val="00EA78D6"/>
    <w:rsid w:val="00EA7E27"/>
    <w:rsid w:val="00EA7E92"/>
    <w:rsid w:val="00EB07C6"/>
    <w:rsid w:val="00EB0B4E"/>
    <w:rsid w:val="00EB0D0C"/>
    <w:rsid w:val="00EB154E"/>
    <w:rsid w:val="00EB39D3"/>
    <w:rsid w:val="00EB5879"/>
    <w:rsid w:val="00EB60BD"/>
    <w:rsid w:val="00EB6D66"/>
    <w:rsid w:val="00EB70BF"/>
    <w:rsid w:val="00EB716F"/>
    <w:rsid w:val="00EC02E1"/>
    <w:rsid w:val="00EC032A"/>
    <w:rsid w:val="00EC1719"/>
    <w:rsid w:val="00EC3280"/>
    <w:rsid w:val="00EC37B4"/>
    <w:rsid w:val="00EC3A9D"/>
    <w:rsid w:val="00EC4397"/>
    <w:rsid w:val="00EC461F"/>
    <w:rsid w:val="00EC5070"/>
    <w:rsid w:val="00ED1510"/>
    <w:rsid w:val="00ED176D"/>
    <w:rsid w:val="00ED2666"/>
    <w:rsid w:val="00ED2988"/>
    <w:rsid w:val="00ED3823"/>
    <w:rsid w:val="00ED42BC"/>
    <w:rsid w:val="00ED597E"/>
    <w:rsid w:val="00ED6165"/>
    <w:rsid w:val="00ED6A32"/>
    <w:rsid w:val="00ED7456"/>
    <w:rsid w:val="00ED75D7"/>
    <w:rsid w:val="00EE0D9B"/>
    <w:rsid w:val="00EE1396"/>
    <w:rsid w:val="00EE1633"/>
    <w:rsid w:val="00EE2E4C"/>
    <w:rsid w:val="00EE3BB5"/>
    <w:rsid w:val="00EE3F8C"/>
    <w:rsid w:val="00EE52DF"/>
    <w:rsid w:val="00EE6810"/>
    <w:rsid w:val="00EE765A"/>
    <w:rsid w:val="00EE78C6"/>
    <w:rsid w:val="00EF037E"/>
    <w:rsid w:val="00EF053B"/>
    <w:rsid w:val="00EF092A"/>
    <w:rsid w:val="00EF0BCD"/>
    <w:rsid w:val="00EF0FF0"/>
    <w:rsid w:val="00EF12AF"/>
    <w:rsid w:val="00EF16AC"/>
    <w:rsid w:val="00EF1B35"/>
    <w:rsid w:val="00EF4F71"/>
    <w:rsid w:val="00EF6021"/>
    <w:rsid w:val="00EF675D"/>
    <w:rsid w:val="00EF6E87"/>
    <w:rsid w:val="00EF71FB"/>
    <w:rsid w:val="00EF792C"/>
    <w:rsid w:val="00F000AE"/>
    <w:rsid w:val="00F0016D"/>
    <w:rsid w:val="00F0055C"/>
    <w:rsid w:val="00F00CFB"/>
    <w:rsid w:val="00F00F2C"/>
    <w:rsid w:val="00F0125C"/>
    <w:rsid w:val="00F01528"/>
    <w:rsid w:val="00F02E9E"/>
    <w:rsid w:val="00F0314E"/>
    <w:rsid w:val="00F03925"/>
    <w:rsid w:val="00F040E9"/>
    <w:rsid w:val="00F05C4D"/>
    <w:rsid w:val="00F06305"/>
    <w:rsid w:val="00F10905"/>
    <w:rsid w:val="00F109D8"/>
    <w:rsid w:val="00F10B01"/>
    <w:rsid w:val="00F10C08"/>
    <w:rsid w:val="00F11441"/>
    <w:rsid w:val="00F127E0"/>
    <w:rsid w:val="00F12C1F"/>
    <w:rsid w:val="00F12E39"/>
    <w:rsid w:val="00F14391"/>
    <w:rsid w:val="00F14D4A"/>
    <w:rsid w:val="00F1595A"/>
    <w:rsid w:val="00F1734E"/>
    <w:rsid w:val="00F17735"/>
    <w:rsid w:val="00F17796"/>
    <w:rsid w:val="00F17816"/>
    <w:rsid w:val="00F20D27"/>
    <w:rsid w:val="00F22B48"/>
    <w:rsid w:val="00F2306C"/>
    <w:rsid w:val="00F241AF"/>
    <w:rsid w:val="00F2422D"/>
    <w:rsid w:val="00F24ADF"/>
    <w:rsid w:val="00F25806"/>
    <w:rsid w:val="00F26210"/>
    <w:rsid w:val="00F262D6"/>
    <w:rsid w:val="00F27C46"/>
    <w:rsid w:val="00F32633"/>
    <w:rsid w:val="00F32C47"/>
    <w:rsid w:val="00F340BC"/>
    <w:rsid w:val="00F3411E"/>
    <w:rsid w:val="00F347B5"/>
    <w:rsid w:val="00F351BA"/>
    <w:rsid w:val="00F35867"/>
    <w:rsid w:val="00F35A00"/>
    <w:rsid w:val="00F35BF8"/>
    <w:rsid w:val="00F36246"/>
    <w:rsid w:val="00F364B0"/>
    <w:rsid w:val="00F36A31"/>
    <w:rsid w:val="00F36E50"/>
    <w:rsid w:val="00F37003"/>
    <w:rsid w:val="00F408F2"/>
    <w:rsid w:val="00F40CA1"/>
    <w:rsid w:val="00F40F74"/>
    <w:rsid w:val="00F4105F"/>
    <w:rsid w:val="00F41297"/>
    <w:rsid w:val="00F42A4E"/>
    <w:rsid w:val="00F439F3"/>
    <w:rsid w:val="00F46DD6"/>
    <w:rsid w:val="00F4792F"/>
    <w:rsid w:val="00F5039F"/>
    <w:rsid w:val="00F503DD"/>
    <w:rsid w:val="00F51147"/>
    <w:rsid w:val="00F54976"/>
    <w:rsid w:val="00F5574E"/>
    <w:rsid w:val="00F56039"/>
    <w:rsid w:val="00F560AE"/>
    <w:rsid w:val="00F56A15"/>
    <w:rsid w:val="00F56E1C"/>
    <w:rsid w:val="00F56E3C"/>
    <w:rsid w:val="00F5719E"/>
    <w:rsid w:val="00F57B9F"/>
    <w:rsid w:val="00F57DC3"/>
    <w:rsid w:val="00F60E47"/>
    <w:rsid w:val="00F60F0E"/>
    <w:rsid w:val="00F6235B"/>
    <w:rsid w:val="00F623C9"/>
    <w:rsid w:val="00F63097"/>
    <w:rsid w:val="00F64033"/>
    <w:rsid w:val="00F641B5"/>
    <w:rsid w:val="00F65382"/>
    <w:rsid w:val="00F657AB"/>
    <w:rsid w:val="00F6733E"/>
    <w:rsid w:val="00F70133"/>
    <w:rsid w:val="00F70DC8"/>
    <w:rsid w:val="00F7168E"/>
    <w:rsid w:val="00F71BAA"/>
    <w:rsid w:val="00F72138"/>
    <w:rsid w:val="00F72294"/>
    <w:rsid w:val="00F724F9"/>
    <w:rsid w:val="00F726D5"/>
    <w:rsid w:val="00F728FF"/>
    <w:rsid w:val="00F731F4"/>
    <w:rsid w:val="00F73E36"/>
    <w:rsid w:val="00F73F64"/>
    <w:rsid w:val="00F75793"/>
    <w:rsid w:val="00F764FB"/>
    <w:rsid w:val="00F7651D"/>
    <w:rsid w:val="00F76B71"/>
    <w:rsid w:val="00F77578"/>
    <w:rsid w:val="00F77C1C"/>
    <w:rsid w:val="00F77D04"/>
    <w:rsid w:val="00F804F2"/>
    <w:rsid w:val="00F80793"/>
    <w:rsid w:val="00F80C2D"/>
    <w:rsid w:val="00F80D41"/>
    <w:rsid w:val="00F80ED5"/>
    <w:rsid w:val="00F8123D"/>
    <w:rsid w:val="00F81AFD"/>
    <w:rsid w:val="00F81B1B"/>
    <w:rsid w:val="00F823C0"/>
    <w:rsid w:val="00F82C78"/>
    <w:rsid w:val="00F82CFF"/>
    <w:rsid w:val="00F83438"/>
    <w:rsid w:val="00F835C5"/>
    <w:rsid w:val="00F841C7"/>
    <w:rsid w:val="00F846ED"/>
    <w:rsid w:val="00F848D5"/>
    <w:rsid w:val="00F85DD3"/>
    <w:rsid w:val="00F86269"/>
    <w:rsid w:val="00F86C78"/>
    <w:rsid w:val="00F86EB6"/>
    <w:rsid w:val="00F8711B"/>
    <w:rsid w:val="00F90432"/>
    <w:rsid w:val="00F9053A"/>
    <w:rsid w:val="00F91AAE"/>
    <w:rsid w:val="00F92365"/>
    <w:rsid w:val="00F92C2C"/>
    <w:rsid w:val="00F92D17"/>
    <w:rsid w:val="00F9333D"/>
    <w:rsid w:val="00F9350A"/>
    <w:rsid w:val="00F9469B"/>
    <w:rsid w:val="00F96A9A"/>
    <w:rsid w:val="00F97DBE"/>
    <w:rsid w:val="00FA04C0"/>
    <w:rsid w:val="00FA0F29"/>
    <w:rsid w:val="00FA1D9A"/>
    <w:rsid w:val="00FA2B09"/>
    <w:rsid w:val="00FA44D3"/>
    <w:rsid w:val="00FA54E9"/>
    <w:rsid w:val="00FA5A79"/>
    <w:rsid w:val="00FA6414"/>
    <w:rsid w:val="00FA6888"/>
    <w:rsid w:val="00FA7758"/>
    <w:rsid w:val="00FA7F99"/>
    <w:rsid w:val="00FB1912"/>
    <w:rsid w:val="00FB1B44"/>
    <w:rsid w:val="00FB20AE"/>
    <w:rsid w:val="00FB3918"/>
    <w:rsid w:val="00FB4DA7"/>
    <w:rsid w:val="00FB5077"/>
    <w:rsid w:val="00FB55EF"/>
    <w:rsid w:val="00FB6C10"/>
    <w:rsid w:val="00FC02B8"/>
    <w:rsid w:val="00FC0464"/>
    <w:rsid w:val="00FC04DE"/>
    <w:rsid w:val="00FC0B67"/>
    <w:rsid w:val="00FC1F58"/>
    <w:rsid w:val="00FC3B4C"/>
    <w:rsid w:val="00FC3C0C"/>
    <w:rsid w:val="00FC41EA"/>
    <w:rsid w:val="00FC4237"/>
    <w:rsid w:val="00FC4D4A"/>
    <w:rsid w:val="00FC50DC"/>
    <w:rsid w:val="00FC6068"/>
    <w:rsid w:val="00FC6948"/>
    <w:rsid w:val="00FC7099"/>
    <w:rsid w:val="00FD0810"/>
    <w:rsid w:val="00FD09E8"/>
    <w:rsid w:val="00FD153A"/>
    <w:rsid w:val="00FD4097"/>
    <w:rsid w:val="00FD413A"/>
    <w:rsid w:val="00FD478A"/>
    <w:rsid w:val="00FD51B1"/>
    <w:rsid w:val="00FD52B7"/>
    <w:rsid w:val="00FD5869"/>
    <w:rsid w:val="00FD6239"/>
    <w:rsid w:val="00FD6AFC"/>
    <w:rsid w:val="00FD70C7"/>
    <w:rsid w:val="00FE085A"/>
    <w:rsid w:val="00FE38D5"/>
    <w:rsid w:val="00FE4BA3"/>
    <w:rsid w:val="00FE6722"/>
    <w:rsid w:val="00FE7156"/>
    <w:rsid w:val="00FF19DA"/>
    <w:rsid w:val="00FF2120"/>
    <w:rsid w:val="00FF2883"/>
    <w:rsid w:val="00FF2A02"/>
    <w:rsid w:val="00FF2B29"/>
    <w:rsid w:val="00FF3A87"/>
    <w:rsid w:val="00FF3AD3"/>
    <w:rsid w:val="00FF41FB"/>
    <w:rsid w:val="00FF46F6"/>
    <w:rsid w:val="00FF4879"/>
    <w:rsid w:val="00FF4949"/>
    <w:rsid w:val="00FF4A6A"/>
    <w:rsid w:val="00FF5DA1"/>
    <w:rsid w:val="00FF60E0"/>
    <w:rsid w:val="00FF6ED2"/>
    <w:rsid w:val="00FF6EEC"/>
    <w:rsid w:val="00FF7459"/>
    <w:rsid w:val="00FF7485"/>
    <w:rsid w:val="00FF7607"/>
    <w:rsid w:val="00FF78D7"/>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nl-NL" w:eastAsia="nl-NL"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Standaard">
    <w:name w:val="Normal"/>
    <w:qFormat/>
    <w:rsid w:val="00663667"/>
    <w:pPr>
      <w:spacing w:before="200" w:after="200" w:line="276" w:lineRule="auto"/>
    </w:pPr>
    <w:rPr>
      <w:sz w:val="20"/>
      <w:szCs w:val="20"/>
      <w:lang w:val="en-US" w:eastAsia="en-US"/>
    </w:rPr>
  </w:style>
  <w:style w:type="paragraph" w:styleId="Kop1">
    <w:name w:val="heading 1"/>
    <w:basedOn w:val="Standaard"/>
    <w:next w:val="Standaard"/>
    <w:link w:val="Kop1Char"/>
    <w:uiPriority w:val="99"/>
    <w:qFormat/>
    <w:rsid w:val="00663667"/>
    <w:pPr>
      <w:pBdr>
        <w:top w:val="single" w:sz="24" w:space="0" w:color="4F81BD"/>
        <w:left w:val="single" w:sz="24" w:space="0" w:color="4F81BD"/>
        <w:bottom w:val="single" w:sz="24" w:space="0" w:color="4F81BD"/>
        <w:right w:val="single" w:sz="24" w:space="0" w:color="4F81BD"/>
      </w:pBdr>
      <w:shd w:val="clear" w:color="auto" w:fill="4F81BD"/>
      <w:spacing w:after="0"/>
      <w:outlineLvl w:val="0"/>
    </w:pPr>
    <w:rPr>
      <w:b/>
      <w:bCs/>
      <w:caps/>
      <w:color w:val="FFFFFF"/>
      <w:spacing w:val="15"/>
      <w:sz w:val="22"/>
      <w:szCs w:val="22"/>
    </w:rPr>
  </w:style>
  <w:style w:type="paragraph" w:styleId="Kop2">
    <w:name w:val="heading 2"/>
    <w:basedOn w:val="Standaard"/>
    <w:next w:val="Standaard"/>
    <w:link w:val="Kop2Char"/>
    <w:uiPriority w:val="99"/>
    <w:qFormat/>
    <w:rsid w:val="00663667"/>
    <w:pPr>
      <w:pBdr>
        <w:top w:val="single" w:sz="24" w:space="0" w:color="DBE5F1"/>
        <w:left w:val="single" w:sz="24" w:space="0" w:color="DBE5F1"/>
        <w:bottom w:val="single" w:sz="24" w:space="0" w:color="DBE5F1"/>
        <w:right w:val="single" w:sz="24" w:space="0" w:color="DBE5F1"/>
      </w:pBdr>
      <w:shd w:val="clear" w:color="auto" w:fill="DBE5F1"/>
      <w:spacing w:after="0"/>
      <w:outlineLvl w:val="1"/>
    </w:pPr>
    <w:rPr>
      <w:caps/>
      <w:spacing w:val="15"/>
      <w:sz w:val="22"/>
      <w:szCs w:val="22"/>
    </w:rPr>
  </w:style>
  <w:style w:type="paragraph" w:styleId="Kop3">
    <w:name w:val="heading 3"/>
    <w:basedOn w:val="Standaard"/>
    <w:next w:val="Standaard"/>
    <w:link w:val="Kop3Char"/>
    <w:uiPriority w:val="99"/>
    <w:qFormat/>
    <w:rsid w:val="00663667"/>
    <w:pPr>
      <w:pBdr>
        <w:top w:val="single" w:sz="6" w:space="2" w:color="4F81BD"/>
        <w:left w:val="single" w:sz="6" w:space="2" w:color="4F81BD"/>
      </w:pBdr>
      <w:spacing w:before="300" w:after="0"/>
      <w:outlineLvl w:val="2"/>
    </w:pPr>
    <w:rPr>
      <w:caps/>
      <w:color w:val="243F60"/>
      <w:spacing w:val="15"/>
      <w:sz w:val="22"/>
      <w:szCs w:val="22"/>
    </w:rPr>
  </w:style>
  <w:style w:type="paragraph" w:styleId="Kop4">
    <w:name w:val="heading 4"/>
    <w:basedOn w:val="Standaard"/>
    <w:next w:val="Standaard"/>
    <w:link w:val="Kop4Char"/>
    <w:uiPriority w:val="99"/>
    <w:qFormat/>
    <w:rsid w:val="00663667"/>
    <w:pPr>
      <w:pBdr>
        <w:top w:val="dotted" w:sz="6" w:space="2" w:color="4F81BD"/>
        <w:left w:val="dotted" w:sz="6" w:space="2" w:color="4F81BD"/>
      </w:pBdr>
      <w:spacing w:before="300" w:after="0"/>
      <w:outlineLvl w:val="3"/>
    </w:pPr>
    <w:rPr>
      <w:caps/>
      <w:color w:val="365F91"/>
      <w:spacing w:val="10"/>
      <w:sz w:val="22"/>
      <w:szCs w:val="22"/>
    </w:rPr>
  </w:style>
  <w:style w:type="paragraph" w:styleId="Kop5">
    <w:name w:val="heading 5"/>
    <w:basedOn w:val="Standaard"/>
    <w:next w:val="Standaard"/>
    <w:link w:val="Kop5Char"/>
    <w:uiPriority w:val="99"/>
    <w:qFormat/>
    <w:rsid w:val="00663667"/>
    <w:pPr>
      <w:pBdr>
        <w:bottom w:val="single" w:sz="6" w:space="1" w:color="4F81BD"/>
      </w:pBdr>
      <w:spacing w:before="300" w:after="0"/>
      <w:outlineLvl w:val="4"/>
    </w:pPr>
    <w:rPr>
      <w:caps/>
      <w:color w:val="365F91"/>
      <w:spacing w:val="10"/>
      <w:sz w:val="22"/>
      <w:szCs w:val="22"/>
    </w:rPr>
  </w:style>
  <w:style w:type="paragraph" w:styleId="Kop6">
    <w:name w:val="heading 6"/>
    <w:basedOn w:val="Standaard"/>
    <w:next w:val="Standaard"/>
    <w:link w:val="Kop6Char"/>
    <w:uiPriority w:val="99"/>
    <w:qFormat/>
    <w:rsid w:val="00663667"/>
    <w:pPr>
      <w:pBdr>
        <w:bottom w:val="dotted" w:sz="6" w:space="1" w:color="4F81BD"/>
      </w:pBdr>
      <w:spacing w:before="300" w:after="0"/>
      <w:outlineLvl w:val="5"/>
    </w:pPr>
    <w:rPr>
      <w:caps/>
      <w:color w:val="365F91"/>
      <w:spacing w:val="10"/>
      <w:sz w:val="22"/>
      <w:szCs w:val="22"/>
    </w:rPr>
  </w:style>
  <w:style w:type="paragraph" w:styleId="Kop7">
    <w:name w:val="heading 7"/>
    <w:basedOn w:val="Standaard"/>
    <w:next w:val="Standaard"/>
    <w:link w:val="Kop7Char"/>
    <w:uiPriority w:val="99"/>
    <w:qFormat/>
    <w:rsid w:val="00663667"/>
    <w:pPr>
      <w:spacing w:before="300" w:after="0"/>
      <w:outlineLvl w:val="6"/>
    </w:pPr>
    <w:rPr>
      <w:caps/>
      <w:color w:val="365F91"/>
      <w:spacing w:val="10"/>
      <w:sz w:val="22"/>
      <w:szCs w:val="22"/>
    </w:rPr>
  </w:style>
  <w:style w:type="paragraph" w:styleId="Kop8">
    <w:name w:val="heading 8"/>
    <w:basedOn w:val="Standaard"/>
    <w:next w:val="Standaard"/>
    <w:link w:val="Kop8Char"/>
    <w:uiPriority w:val="99"/>
    <w:qFormat/>
    <w:rsid w:val="00663667"/>
    <w:pPr>
      <w:spacing w:before="300" w:after="0"/>
      <w:outlineLvl w:val="7"/>
    </w:pPr>
    <w:rPr>
      <w:caps/>
      <w:spacing w:val="10"/>
      <w:sz w:val="18"/>
      <w:szCs w:val="18"/>
    </w:rPr>
  </w:style>
  <w:style w:type="paragraph" w:styleId="Kop9">
    <w:name w:val="heading 9"/>
    <w:basedOn w:val="Standaard"/>
    <w:next w:val="Standaard"/>
    <w:link w:val="Kop9Char"/>
    <w:uiPriority w:val="99"/>
    <w:qFormat/>
    <w:rsid w:val="00663667"/>
    <w:pPr>
      <w:spacing w:before="300" w:after="0"/>
      <w:outlineLvl w:val="8"/>
    </w:pPr>
    <w:rPr>
      <w:i/>
      <w:caps/>
      <w:spacing w:val="10"/>
      <w:sz w:val="18"/>
      <w:szCs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sid w:val="00663667"/>
    <w:rPr>
      <w:rFonts w:cs="Times New Roman"/>
      <w:b/>
      <w:bCs/>
      <w:caps/>
      <w:color w:val="FFFFFF"/>
      <w:spacing w:val="15"/>
      <w:shd w:val="clear" w:color="auto" w:fill="4F81BD"/>
    </w:rPr>
  </w:style>
  <w:style w:type="character" w:customStyle="1" w:styleId="Kop2Char">
    <w:name w:val="Kop 2 Char"/>
    <w:basedOn w:val="Standaardalinea-lettertype"/>
    <w:link w:val="Kop2"/>
    <w:uiPriority w:val="99"/>
    <w:locked/>
    <w:rsid w:val="00663667"/>
    <w:rPr>
      <w:rFonts w:cs="Times New Roman"/>
      <w:caps/>
      <w:spacing w:val="15"/>
      <w:shd w:val="clear" w:color="auto" w:fill="DBE5F1"/>
    </w:rPr>
  </w:style>
  <w:style w:type="character" w:customStyle="1" w:styleId="Kop3Char">
    <w:name w:val="Kop 3 Char"/>
    <w:basedOn w:val="Standaardalinea-lettertype"/>
    <w:link w:val="Kop3"/>
    <w:uiPriority w:val="99"/>
    <w:locked/>
    <w:rsid w:val="00663667"/>
    <w:rPr>
      <w:rFonts w:cs="Times New Roman"/>
      <w:caps/>
      <w:color w:val="243F60"/>
      <w:spacing w:val="15"/>
    </w:rPr>
  </w:style>
  <w:style w:type="character" w:customStyle="1" w:styleId="Kop4Char">
    <w:name w:val="Kop 4 Char"/>
    <w:basedOn w:val="Standaardalinea-lettertype"/>
    <w:link w:val="Kop4"/>
    <w:uiPriority w:val="99"/>
    <w:locked/>
    <w:rsid w:val="00663667"/>
    <w:rPr>
      <w:rFonts w:cs="Times New Roman"/>
      <w:caps/>
      <w:color w:val="365F91"/>
      <w:spacing w:val="10"/>
    </w:rPr>
  </w:style>
  <w:style w:type="character" w:customStyle="1" w:styleId="Kop5Char">
    <w:name w:val="Kop 5 Char"/>
    <w:basedOn w:val="Standaardalinea-lettertype"/>
    <w:link w:val="Kop5"/>
    <w:uiPriority w:val="99"/>
    <w:locked/>
    <w:rsid w:val="00663667"/>
    <w:rPr>
      <w:rFonts w:cs="Times New Roman"/>
      <w:caps/>
      <w:color w:val="365F91"/>
      <w:spacing w:val="10"/>
    </w:rPr>
  </w:style>
  <w:style w:type="character" w:customStyle="1" w:styleId="Kop6Char">
    <w:name w:val="Kop 6 Char"/>
    <w:basedOn w:val="Standaardalinea-lettertype"/>
    <w:link w:val="Kop6"/>
    <w:uiPriority w:val="99"/>
    <w:locked/>
    <w:rsid w:val="00663667"/>
    <w:rPr>
      <w:rFonts w:cs="Times New Roman"/>
      <w:caps/>
      <w:color w:val="365F91"/>
      <w:spacing w:val="10"/>
    </w:rPr>
  </w:style>
  <w:style w:type="character" w:customStyle="1" w:styleId="Kop7Char">
    <w:name w:val="Kop 7 Char"/>
    <w:basedOn w:val="Standaardalinea-lettertype"/>
    <w:link w:val="Kop7"/>
    <w:uiPriority w:val="99"/>
    <w:semiHidden/>
    <w:locked/>
    <w:rsid w:val="00663667"/>
    <w:rPr>
      <w:rFonts w:cs="Times New Roman"/>
      <w:caps/>
      <w:color w:val="365F91"/>
      <w:spacing w:val="10"/>
    </w:rPr>
  </w:style>
  <w:style w:type="character" w:customStyle="1" w:styleId="Kop8Char">
    <w:name w:val="Kop 8 Char"/>
    <w:basedOn w:val="Standaardalinea-lettertype"/>
    <w:link w:val="Kop8"/>
    <w:uiPriority w:val="99"/>
    <w:semiHidden/>
    <w:locked/>
    <w:rsid w:val="00663667"/>
    <w:rPr>
      <w:rFonts w:cs="Times New Roman"/>
      <w:caps/>
      <w:spacing w:val="10"/>
      <w:sz w:val="18"/>
      <w:szCs w:val="18"/>
    </w:rPr>
  </w:style>
  <w:style w:type="character" w:customStyle="1" w:styleId="Kop9Char">
    <w:name w:val="Kop 9 Char"/>
    <w:basedOn w:val="Standaardalinea-lettertype"/>
    <w:link w:val="Kop9"/>
    <w:uiPriority w:val="99"/>
    <w:semiHidden/>
    <w:locked/>
    <w:rsid w:val="00663667"/>
    <w:rPr>
      <w:rFonts w:cs="Times New Roman"/>
      <w:i/>
      <w:caps/>
      <w:spacing w:val="10"/>
      <w:sz w:val="18"/>
      <w:szCs w:val="18"/>
    </w:rPr>
  </w:style>
  <w:style w:type="paragraph" w:styleId="Bijschrift">
    <w:name w:val="caption"/>
    <w:basedOn w:val="Standaard"/>
    <w:next w:val="Standaard"/>
    <w:uiPriority w:val="99"/>
    <w:qFormat/>
    <w:rsid w:val="00663667"/>
    <w:rPr>
      <w:b/>
      <w:bCs/>
      <w:color w:val="365F91"/>
      <w:sz w:val="16"/>
      <w:szCs w:val="16"/>
    </w:rPr>
  </w:style>
  <w:style w:type="paragraph" w:styleId="Titel">
    <w:name w:val="Title"/>
    <w:basedOn w:val="Standaard"/>
    <w:next w:val="Standaard"/>
    <w:link w:val="TitelChar"/>
    <w:uiPriority w:val="99"/>
    <w:qFormat/>
    <w:rsid w:val="00663667"/>
    <w:pPr>
      <w:spacing w:before="720"/>
    </w:pPr>
    <w:rPr>
      <w:caps/>
      <w:color w:val="4F81BD"/>
      <w:spacing w:val="10"/>
      <w:kern w:val="28"/>
      <w:sz w:val="52"/>
      <w:szCs w:val="52"/>
    </w:rPr>
  </w:style>
  <w:style w:type="character" w:customStyle="1" w:styleId="TitelChar">
    <w:name w:val="Titel Char"/>
    <w:basedOn w:val="Standaardalinea-lettertype"/>
    <w:link w:val="Titel"/>
    <w:uiPriority w:val="99"/>
    <w:locked/>
    <w:rsid w:val="00663667"/>
    <w:rPr>
      <w:rFonts w:cs="Times New Roman"/>
      <w:caps/>
      <w:color w:val="4F81BD"/>
      <w:spacing w:val="10"/>
      <w:kern w:val="28"/>
      <w:sz w:val="52"/>
      <w:szCs w:val="52"/>
    </w:rPr>
  </w:style>
  <w:style w:type="paragraph" w:styleId="Subtitel">
    <w:name w:val="Subtitle"/>
    <w:basedOn w:val="Standaard"/>
    <w:next w:val="Standaard"/>
    <w:link w:val="SubtitelChar"/>
    <w:uiPriority w:val="99"/>
    <w:qFormat/>
    <w:rsid w:val="00663667"/>
    <w:pPr>
      <w:spacing w:after="1000" w:line="240" w:lineRule="auto"/>
    </w:pPr>
    <w:rPr>
      <w:caps/>
      <w:color w:val="595959"/>
      <w:spacing w:val="10"/>
      <w:sz w:val="24"/>
      <w:szCs w:val="24"/>
    </w:rPr>
  </w:style>
  <w:style w:type="character" w:customStyle="1" w:styleId="SubtitelChar">
    <w:name w:val="Subtitel Char"/>
    <w:basedOn w:val="Standaardalinea-lettertype"/>
    <w:link w:val="Subtitel"/>
    <w:uiPriority w:val="99"/>
    <w:locked/>
    <w:rsid w:val="00663667"/>
    <w:rPr>
      <w:rFonts w:cs="Times New Roman"/>
      <w:caps/>
      <w:color w:val="595959"/>
      <w:spacing w:val="10"/>
      <w:sz w:val="24"/>
      <w:szCs w:val="24"/>
    </w:rPr>
  </w:style>
  <w:style w:type="character" w:styleId="Zwaar">
    <w:name w:val="Strong"/>
    <w:basedOn w:val="Standaardalinea-lettertype"/>
    <w:uiPriority w:val="99"/>
    <w:qFormat/>
    <w:rsid w:val="00663667"/>
    <w:rPr>
      <w:rFonts w:cs="Times New Roman"/>
      <w:b/>
    </w:rPr>
  </w:style>
  <w:style w:type="character" w:styleId="Nadruk">
    <w:name w:val="Emphasis"/>
    <w:basedOn w:val="Standaardalinea-lettertype"/>
    <w:uiPriority w:val="99"/>
    <w:qFormat/>
    <w:rsid w:val="00663667"/>
    <w:rPr>
      <w:rFonts w:cs="Times New Roman"/>
      <w:caps/>
      <w:color w:val="243F60"/>
      <w:spacing w:val="5"/>
    </w:rPr>
  </w:style>
  <w:style w:type="paragraph" w:styleId="Geenafstand">
    <w:name w:val="No Spacing"/>
    <w:basedOn w:val="Standaard"/>
    <w:link w:val="GeenafstandChar"/>
    <w:uiPriority w:val="99"/>
    <w:qFormat/>
    <w:rsid w:val="00663667"/>
    <w:pPr>
      <w:spacing w:before="0" w:after="0" w:line="240" w:lineRule="auto"/>
    </w:pPr>
  </w:style>
  <w:style w:type="character" w:customStyle="1" w:styleId="GeenafstandChar">
    <w:name w:val="Geen afstand Char"/>
    <w:basedOn w:val="Standaardalinea-lettertype"/>
    <w:link w:val="Geenafstand"/>
    <w:uiPriority w:val="99"/>
    <w:locked/>
    <w:rsid w:val="00663667"/>
    <w:rPr>
      <w:rFonts w:cs="Times New Roman"/>
      <w:sz w:val="20"/>
      <w:szCs w:val="20"/>
    </w:rPr>
  </w:style>
  <w:style w:type="paragraph" w:styleId="Lijstalinea">
    <w:name w:val="List Paragraph"/>
    <w:basedOn w:val="Standaard"/>
    <w:uiPriority w:val="99"/>
    <w:qFormat/>
    <w:rsid w:val="00663667"/>
    <w:pPr>
      <w:ind w:left="720"/>
      <w:contextualSpacing/>
    </w:pPr>
  </w:style>
  <w:style w:type="paragraph" w:styleId="Citaat">
    <w:name w:val="Quote"/>
    <w:basedOn w:val="Standaard"/>
    <w:next w:val="Standaard"/>
    <w:link w:val="CitaatChar"/>
    <w:uiPriority w:val="99"/>
    <w:qFormat/>
    <w:rsid w:val="00663667"/>
    <w:rPr>
      <w:i/>
      <w:iCs/>
    </w:rPr>
  </w:style>
  <w:style w:type="character" w:customStyle="1" w:styleId="CitaatChar">
    <w:name w:val="Citaat Char"/>
    <w:basedOn w:val="Standaardalinea-lettertype"/>
    <w:link w:val="Citaat"/>
    <w:uiPriority w:val="99"/>
    <w:locked/>
    <w:rsid w:val="00663667"/>
    <w:rPr>
      <w:rFonts w:cs="Times New Roman"/>
      <w:i/>
      <w:iCs/>
      <w:sz w:val="20"/>
      <w:szCs w:val="20"/>
    </w:rPr>
  </w:style>
  <w:style w:type="paragraph" w:styleId="Duidelijkcitaat">
    <w:name w:val="Intense Quote"/>
    <w:basedOn w:val="Standaard"/>
    <w:next w:val="Standaard"/>
    <w:link w:val="DuidelijkcitaatChar"/>
    <w:uiPriority w:val="99"/>
    <w:qFormat/>
    <w:rsid w:val="00663667"/>
    <w:pPr>
      <w:pBdr>
        <w:top w:val="single" w:sz="4" w:space="10" w:color="4F81BD"/>
        <w:left w:val="single" w:sz="4" w:space="10" w:color="4F81BD"/>
      </w:pBdr>
      <w:spacing w:after="0"/>
      <w:ind w:left="1296" w:right="1152"/>
      <w:jc w:val="both"/>
    </w:pPr>
    <w:rPr>
      <w:i/>
      <w:iCs/>
      <w:color w:val="4F81BD"/>
    </w:rPr>
  </w:style>
  <w:style w:type="character" w:customStyle="1" w:styleId="DuidelijkcitaatChar">
    <w:name w:val="Duidelijk citaat Char"/>
    <w:basedOn w:val="Standaardalinea-lettertype"/>
    <w:link w:val="Duidelijkcitaat"/>
    <w:uiPriority w:val="99"/>
    <w:locked/>
    <w:rsid w:val="00663667"/>
    <w:rPr>
      <w:rFonts w:cs="Times New Roman"/>
      <w:i/>
      <w:iCs/>
      <w:color w:val="4F81BD"/>
      <w:sz w:val="20"/>
      <w:szCs w:val="20"/>
    </w:rPr>
  </w:style>
  <w:style w:type="character" w:styleId="Subtielebenadrukking">
    <w:name w:val="Subtle Emphasis"/>
    <w:basedOn w:val="Standaardalinea-lettertype"/>
    <w:uiPriority w:val="99"/>
    <w:qFormat/>
    <w:rsid w:val="00663667"/>
    <w:rPr>
      <w:i/>
      <w:color w:val="243F60"/>
    </w:rPr>
  </w:style>
  <w:style w:type="character" w:styleId="Intensievebenadrukking">
    <w:name w:val="Intense Emphasis"/>
    <w:basedOn w:val="Standaardalinea-lettertype"/>
    <w:uiPriority w:val="99"/>
    <w:qFormat/>
    <w:rsid w:val="00663667"/>
    <w:rPr>
      <w:b/>
      <w:caps/>
      <w:color w:val="243F60"/>
      <w:spacing w:val="10"/>
    </w:rPr>
  </w:style>
  <w:style w:type="character" w:styleId="Subtieleverwijzing">
    <w:name w:val="Subtle Reference"/>
    <w:basedOn w:val="Standaardalinea-lettertype"/>
    <w:uiPriority w:val="99"/>
    <w:qFormat/>
    <w:rsid w:val="00663667"/>
    <w:rPr>
      <w:b/>
      <w:color w:val="4F81BD"/>
    </w:rPr>
  </w:style>
  <w:style w:type="character" w:styleId="Intensieveverwijzing">
    <w:name w:val="Intense Reference"/>
    <w:basedOn w:val="Standaardalinea-lettertype"/>
    <w:uiPriority w:val="99"/>
    <w:qFormat/>
    <w:rsid w:val="00663667"/>
    <w:rPr>
      <w:b/>
      <w:i/>
      <w:caps/>
      <w:color w:val="4F81BD"/>
    </w:rPr>
  </w:style>
  <w:style w:type="character" w:styleId="Titelvanboek">
    <w:name w:val="Book Title"/>
    <w:basedOn w:val="Standaardalinea-lettertype"/>
    <w:uiPriority w:val="99"/>
    <w:qFormat/>
    <w:rsid w:val="00663667"/>
    <w:rPr>
      <w:b/>
      <w:i/>
      <w:spacing w:val="9"/>
    </w:rPr>
  </w:style>
  <w:style w:type="paragraph" w:styleId="Kopvaninhoudsopgave">
    <w:name w:val="TOC Heading"/>
    <w:basedOn w:val="Kop1"/>
    <w:next w:val="Standaard"/>
    <w:uiPriority w:val="99"/>
    <w:qFormat/>
    <w:rsid w:val="00663667"/>
    <w:pPr>
      <w:outlineLvl w:val="9"/>
    </w:pPr>
  </w:style>
  <w:style w:type="character" w:customStyle="1" w:styleId="fdnolabel1">
    <w:name w:val="fdnolabel1"/>
    <w:basedOn w:val="Standaardalinea-lettertype"/>
    <w:uiPriority w:val="99"/>
    <w:rsid w:val="00D431A9"/>
    <w:rPr>
      <w:rFonts w:cs="Times New Roman"/>
    </w:rPr>
  </w:style>
  <w:style w:type="paragraph" w:styleId="Ballontekst">
    <w:name w:val="Balloon Text"/>
    <w:basedOn w:val="Standaard"/>
    <w:link w:val="BallontekstChar"/>
    <w:uiPriority w:val="99"/>
    <w:semiHidden/>
    <w:rsid w:val="00D431A9"/>
    <w:pPr>
      <w:spacing w:before="0"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locked/>
    <w:rsid w:val="00D431A9"/>
    <w:rPr>
      <w:rFonts w:ascii="Tahoma" w:hAnsi="Tahoma" w:cs="Tahoma"/>
      <w:sz w:val="16"/>
      <w:szCs w:val="16"/>
    </w:rPr>
  </w:style>
  <w:style w:type="paragraph" w:styleId="Inhopg1">
    <w:name w:val="toc 1"/>
    <w:basedOn w:val="Standaard"/>
    <w:next w:val="Standaard"/>
    <w:autoRedefine/>
    <w:uiPriority w:val="39"/>
    <w:rsid w:val="00A76D1A"/>
    <w:pPr>
      <w:tabs>
        <w:tab w:val="right" w:leader="dot" w:pos="9350"/>
      </w:tabs>
      <w:spacing w:after="100" w:line="240" w:lineRule="auto"/>
    </w:pPr>
  </w:style>
  <w:style w:type="paragraph" w:styleId="Inhopg2">
    <w:name w:val="toc 2"/>
    <w:basedOn w:val="Standaard"/>
    <w:next w:val="Standaard"/>
    <w:autoRedefine/>
    <w:uiPriority w:val="39"/>
    <w:rsid w:val="00D00680"/>
    <w:pPr>
      <w:spacing w:after="100"/>
      <w:ind w:left="200"/>
    </w:pPr>
  </w:style>
  <w:style w:type="character" w:styleId="Hyperlink">
    <w:name w:val="Hyperlink"/>
    <w:basedOn w:val="Standaardalinea-lettertype"/>
    <w:uiPriority w:val="99"/>
    <w:rsid w:val="00D00680"/>
    <w:rPr>
      <w:rFonts w:cs="Times New Roman"/>
      <w:color w:val="0000FF"/>
      <w:u w:val="single"/>
    </w:rPr>
  </w:style>
  <w:style w:type="character" w:customStyle="1" w:styleId="refpreview1">
    <w:name w:val="refpreview1"/>
    <w:basedOn w:val="Standaardalinea-lettertype"/>
    <w:uiPriority w:val="99"/>
    <w:rsid w:val="003C2C9F"/>
    <w:rPr>
      <w:rFonts w:cs="Times New Roman"/>
      <w:vanish/>
      <w:shd w:val="clear" w:color="auto" w:fill="EEEEEE"/>
    </w:rPr>
  </w:style>
  <w:style w:type="paragraph" w:styleId="Koptekst">
    <w:name w:val="header"/>
    <w:basedOn w:val="Standaard"/>
    <w:link w:val="KoptekstChar"/>
    <w:uiPriority w:val="99"/>
    <w:rsid w:val="00F657AB"/>
    <w:pPr>
      <w:tabs>
        <w:tab w:val="center" w:pos="4680"/>
        <w:tab w:val="right" w:pos="9360"/>
      </w:tabs>
      <w:spacing w:before="0" w:after="0" w:line="240" w:lineRule="auto"/>
    </w:pPr>
  </w:style>
  <w:style w:type="character" w:customStyle="1" w:styleId="KoptekstChar">
    <w:name w:val="Koptekst Char"/>
    <w:basedOn w:val="Standaardalinea-lettertype"/>
    <w:link w:val="Koptekst"/>
    <w:uiPriority w:val="99"/>
    <w:locked/>
    <w:rsid w:val="00F657AB"/>
    <w:rPr>
      <w:rFonts w:cs="Times New Roman"/>
      <w:sz w:val="20"/>
      <w:szCs w:val="20"/>
    </w:rPr>
  </w:style>
  <w:style w:type="paragraph" w:styleId="Voettekst">
    <w:name w:val="footer"/>
    <w:basedOn w:val="Standaard"/>
    <w:link w:val="VoettekstChar"/>
    <w:uiPriority w:val="99"/>
    <w:rsid w:val="00F657AB"/>
    <w:pPr>
      <w:tabs>
        <w:tab w:val="center" w:pos="4680"/>
        <w:tab w:val="right" w:pos="9360"/>
      </w:tabs>
      <w:spacing w:before="0" w:after="0" w:line="240" w:lineRule="auto"/>
    </w:pPr>
  </w:style>
  <w:style w:type="character" w:customStyle="1" w:styleId="VoettekstChar">
    <w:name w:val="Voettekst Char"/>
    <w:basedOn w:val="Standaardalinea-lettertype"/>
    <w:link w:val="Voettekst"/>
    <w:uiPriority w:val="99"/>
    <w:locked/>
    <w:rsid w:val="00F657AB"/>
    <w:rPr>
      <w:rFonts w:cs="Times New Roman"/>
      <w:sz w:val="20"/>
      <w:szCs w:val="20"/>
    </w:rPr>
  </w:style>
  <w:style w:type="paragraph" w:styleId="Voetnoottekst">
    <w:name w:val="footnote text"/>
    <w:basedOn w:val="Standaard"/>
    <w:link w:val="VoetnoottekstChar"/>
    <w:uiPriority w:val="99"/>
    <w:semiHidden/>
    <w:rsid w:val="00B04A2E"/>
    <w:pPr>
      <w:spacing w:before="0"/>
    </w:pPr>
    <w:rPr>
      <w:rFonts w:cs="Arial"/>
    </w:rPr>
  </w:style>
  <w:style w:type="character" w:customStyle="1" w:styleId="VoetnoottekstChar">
    <w:name w:val="Voetnoottekst Char"/>
    <w:basedOn w:val="Standaardalinea-lettertype"/>
    <w:link w:val="Voetnoottekst"/>
    <w:uiPriority w:val="99"/>
    <w:semiHidden/>
    <w:locked/>
    <w:rsid w:val="00B04A2E"/>
    <w:rPr>
      <w:rFonts w:ascii="Calibri" w:hAnsi="Calibri" w:cs="Arial"/>
      <w:sz w:val="20"/>
      <w:szCs w:val="20"/>
      <w:lang w:bidi="ar-SA"/>
    </w:rPr>
  </w:style>
  <w:style w:type="character" w:styleId="Voetnootmarkering">
    <w:name w:val="footnote reference"/>
    <w:basedOn w:val="Standaardalinea-lettertype"/>
    <w:uiPriority w:val="99"/>
    <w:semiHidden/>
    <w:rsid w:val="00B04A2E"/>
    <w:rPr>
      <w:rFonts w:cs="Times New Roman"/>
      <w:vertAlign w:val="superscript"/>
    </w:rPr>
  </w:style>
  <w:style w:type="paragraph" w:customStyle="1" w:styleId="Default">
    <w:name w:val="Default"/>
    <w:uiPriority w:val="99"/>
    <w:rsid w:val="00303B19"/>
    <w:pPr>
      <w:autoSpaceDE w:val="0"/>
      <w:autoSpaceDN w:val="0"/>
      <w:adjustRightInd w:val="0"/>
    </w:pPr>
    <w:rPr>
      <w:rFonts w:ascii="Times New Roman" w:hAnsi="Times New Roman"/>
      <w:color w:val="000000"/>
      <w:sz w:val="24"/>
      <w:szCs w:val="24"/>
      <w:lang w:val="en-US" w:eastAsia="en-US"/>
    </w:rPr>
  </w:style>
  <w:style w:type="paragraph" w:customStyle="1" w:styleId="NormalLatinTimesNewRoman">
    <w:name w:val="Normal + (Latin) Times New Roman"/>
    <w:aliases w:val="12 pt"/>
    <w:basedOn w:val="Standaard"/>
    <w:uiPriority w:val="99"/>
    <w:rsid w:val="002F6C29"/>
    <w:pPr>
      <w:spacing w:before="0"/>
    </w:pPr>
    <w:rPr>
      <w:rFonts w:cs="Arial"/>
      <w:sz w:val="24"/>
      <w:szCs w:val="24"/>
    </w:rPr>
  </w:style>
  <w:style w:type="character" w:customStyle="1" w:styleId="fdlabeltxt1">
    <w:name w:val="fdlabeltxt1"/>
    <w:basedOn w:val="Standaardalinea-lettertype"/>
    <w:uiPriority w:val="99"/>
    <w:rsid w:val="00C26DE6"/>
    <w:rPr>
      <w:rFonts w:cs="Times New Roman"/>
      <w:vertAlign w:val="superscript"/>
    </w:rPr>
  </w:style>
  <w:style w:type="character" w:customStyle="1" w:styleId="fdwithlabel1">
    <w:name w:val="fdwithlabel1"/>
    <w:basedOn w:val="Standaardalinea-lettertype"/>
    <w:uiPriority w:val="99"/>
    <w:rsid w:val="00C26DE6"/>
    <w:rPr>
      <w:rFonts w:cs="Times New Roman"/>
    </w:rPr>
  </w:style>
  <w:style w:type="character" w:customStyle="1" w:styleId="hps">
    <w:name w:val="hps"/>
    <w:basedOn w:val="Standaardalinea-lettertype"/>
    <w:uiPriority w:val="99"/>
    <w:rsid w:val="00172EF4"/>
    <w:rPr>
      <w:rFonts w:cs="Times New Roman"/>
    </w:rPr>
  </w:style>
  <w:style w:type="paragraph" w:styleId="Inhopg3">
    <w:name w:val="toc 3"/>
    <w:basedOn w:val="Standaard"/>
    <w:next w:val="Standaard"/>
    <w:autoRedefine/>
    <w:uiPriority w:val="39"/>
    <w:rsid w:val="00FF4949"/>
    <w:pPr>
      <w:spacing w:after="100"/>
      <w:ind w:left="400"/>
    </w:pPr>
  </w:style>
  <w:style w:type="table" w:customStyle="1" w:styleId="LightShading-Accent11">
    <w:name w:val="Light Shading - Accent 11"/>
    <w:uiPriority w:val="99"/>
    <w:rsid w:val="006B5558"/>
    <w:rPr>
      <w:color w:val="365F91"/>
      <w:sz w:val="20"/>
      <w:szCs w:val="20"/>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table" w:styleId="Tabelraster">
    <w:name w:val="Table Grid"/>
    <w:basedOn w:val="Standaardtabel"/>
    <w:uiPriority w:val="99"/>
    <w:rsid w:val="001F79D8"/>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2">
    <w:name w:val="Light Shading - Accent 12"/>
    <w:uiPriority w:val="99"/>
    <w:rsid w:val="00F73E36"/>
    <w:rPr>
      <w:color w:val="365F91"/>
      <w:sz w:val="20"/>
      <w:szCs w:val="20"/>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paragraph" w:styleId="Normaalweb">
    <w:name w:val="Normal (Web)"/>
    <w:basedOn w:val="Standaard"/>
    <w:uiPriority w:val="99"/>
    <w:semiHidden/>
    <w:rsid w:val="00F97DBE"/>
    <w:pPr>
      <w:spacing w:before="100" w:beforeAutospacing="1" w:after="100" w:afterAutospacing="1" w:line="240" w:lineRule="auto"/>
    </w:pPr>
    <w:rPr>
      <w:rFonts w:ascii="Times New Roman" w:hAnsi="Times New Roman"/>
      <w:sz w:val="24"/>
      <w:szCs w:val="24"/>
    </w:rPr>
  </w:style>
  <w:style w:type="table" w:customStyle="1" w:styleId="Lichtearcering-accent11">
    <w:name w:val="Lichte arcering - accent 11"/>
    <w:basedOn w:val="Standaardtabel"/>
    <w:next w:val="Lichtearcering-accent12"/>
    <w:uiPriority w:val="60"/>
    <w:rsid w:val="00187879"/>
    <w:rPr>
      <w:rFonts w:eastAsia="Calibri"/>
      <w:color w:val="365F91"/>
      <w:lang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chtearcering-accent12">
    <w:name w:val="Lichte arcering - accent 12"/>
    <w:basedOn w:val="Standaardtabel"/>
    <w:uiPriority w:val="60"/>
    <w:rsid w:val="00187879"/>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chtearcering-accent120">
    <w:name w:val="Lichte arcering - accent 12"/>
    <w:basedOn w:val="Standaardtabel"/>
    <w:uiPriority w:val="60"/>
    <w:rsid w:val="00826359"/>
    <w:rPr>
      <w:rFonts w:eastAsia="Calibri"/>
      <w:color w:val="365F91"/>
      <w:lang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chtearcering-accent13">
    <w:name w:val="Lichte arcering - accent 13"/>
    <w:basedOn w:val="Standaardtabel"/>
    <w:uiPriority w:val="60"/>
    <w:rsid w:val="00C50742"/>
    <w:rPr>
      <w:rFonts w:eastAsia="Calibri"/>
      <w:color w:val="365F91"/>
      <w:lang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s>
</file>

<file path=word/webSettings.xml><?xml version="1.0" encoding="utf-8"?>
<w:webSettings xmlns:r="http://schemas.openxmlformats.org/officeDocument/2006/relationships" xmlns:w="http://schemas.openxmlformats.org/wordprocessingml/2006/main">
  <w:divs>
    <w:div w:id="82653890">
      <w:marLeft w:val="0"/>
      <w:marRight w:val="0"/>
      <w:marTop w:val="0"/>
      <w:marBottom w:val="0"/>
      <w:divBdr>
        <w:top w:val="none" w:sz="0" w:space="0" w:color="auto"/>
        <w:left w:val="none" w:sz="0" w:space="0" w:color="auto"/>
        <w:bottom w:val="none" w:sz="0" w:space="0" w:color="auto"/>
        <w:right w:val="none" w:sz="0" w:space="0" w:color="auto"/>
      </w:divBdr>
    </w:div>
    <w:div w:id="82653896">
      <w:marLeft w:val="0"/>
      <w:marRight w:val="0"/>
      <w:marTop w:val="0"/>
      <w:marBottom w:val="0"/>
      <w:divBdr>
        <w:top w:val="none" w:sz="0" w:space="0" w:color="auto"/>
        <w:left w:val="none" w:sz="0" w:space="0" w:color="auto"/>
        <w:bottom w:val="none" w:sz="0" w:space="0" w:color="auto"/>
        <w:right w:val="none" w:sz="0" w:space="0" w:color="auto"/>
      </w:divBdr>
    </w:div>
    <w:div w:id="82653897">
      <w:marLeft w:val="0"/>
      <w:marRight w:val="0"/>
      <w:marTop w:val="0"/>
      <w:marBottom w:val="0"/>
      <w:divBdr>
        <w:top w:val="none" w:sz="0" w:space="0" w:color="auto"/>
        <w:left w:val="none" w:sz="0" w:space="0" w:color="auto"/>
        <w:bottom w:val="none" w:sz="0" w:space="0" w:color="auto"/>
        <w:right w:val="none" w:sz="0" w:space="0" w:color="auto"/>
      </w:divBdr>
      <w:divsChild>
        <w:div w:id="82653917">
          <w:marLeft w:val="0"/>
          <w:marRight w:val="0"/>
          <w:marTop w:val="0"/>
          <w:marBottom w:val="0"/>
          <w:divBdr>
            <w:top w:val="none" w:sz="0" w:space="0" w:color="auto"/>
            <w:left w:val="none" w:sz="0" w:space="0" w:color="auto"/>
            <w:bottom w:val="none" w:sz="0" w:space="0" w:color="auto"/>
            <w:right w:val="none" w:sz="0" w:space="0" w:color="auto"/>
          </w:divBdr>
          <w:divsChild>
            <w:div w:id="82653906">
              <w:marLeft w:val="0"/>
              <w:marRight w:val="0"/>
              <w:marTop w:val="0"/>
              <w:marBottom w:val="0"/>
              <w:divBdr>
                <w:top w:val="none" w:sz="0" w:space="0" w:color="auto"/>
                <w:left w:val="none" w:sz="0" w:space="0" w:color="auto"/>
                <w:bottom w:val="none" w:sz="0" w:space="0" w:color="auto"/>
                <w:right w:val="none" w:sz="0" w:space="0" w:color="auto"/>
              </w:divBdr>
              <w:divsChild>
                <w:div w:id="82653903">
                  <w:marLeft w:val="0"/>
                  <w:marRight w:val="0"/>
                  <w:marTop w:val="0"/>
                  <w:marBottom w:val="0"/>
                  <w:divBdr>
                    <w:top w:val="none" w:sz="0" w:space="0" w:color="auto"/>
                    <w:left w:val="none" w:sz="0" w:space="0" w:color="auto"/>
                    <w:bottom w:val="none" w:sz="0" w:space="0" w:color="auto"/>
                    <w:right w:val="none" w:sz="0" w:space="0" w:color="auto"/>
                  </w:divBdr>
                  <w:divsChild>
                    <w:div w:id="82653888">
                      <w:marLeft w:val="0"/>
                      <w:marRight w:val="0"/>
                      <w:marTop w:val="0"/>
                      <w:marBottom w:val="0"/>
                      <w:divBdr>
                        <w:top w:val="single" w:sz="24" w:space="0" w:color="E8E8E8"/>
                        <w:left w:val="none" w:sz="0" w:space="0" w:color="auto"/>
                        <w:bottom w:val="none" w:sz="0" w:space="0" w:color="auto"/>
                        <w:right w:val="none" w:sz="0" w:space="0" w:color="auto"/>
                      </w:divBdr>
                      <w:divsChild>
                        <w:div w:id="82653912">
                          <w:marLeft w:val="0"/>
                          <w:marRight w:val="5359"/>
                          <w:marTop w:val="0"/>
                          <w:marBottom w:val="0"/>
                          <w:divBdr>
                            <w:top w:val="none" w:sz="0" w:space="0" w:color="auto"/>
                            <w:left w:val="none" w:sz="0" w:space="0" w:color="auto"/>
                            <w:bottom w:val="none" w:sz="0" w:space="0" w:color="auto"/>
                            <w:right w:val="none" w:sz="0" w:space="0" w:color="auto"/>
                          </w:divBdr>
                          <w:divsChild>
                            <w:div w:id="82653904">
                              <w:marLeft w:val="0"/>
                              <w:marRight w:val="0"/>
                              <w:marTop w:val="0"/>
                              <w:marBottom w:val="0"/>
                              <w:divBdr>
                                <w:top w:val="none" w:sz="0" w:space="0" w:color="auto"/>
                                <w:left w:val="none" w:sz="0" w:space="0" w:color="auto"/>
                                <w:bottom w:val="none" w:sz="0" w:space="0" w:color="auto"/>
                                <w:right w:val="none" w:sz="0" w:space="0" w:color="auto"/>
                              </w:divBdr>
                              <w:divsChild>
                                <w:div w:id="82653908">
                                  <w:marLeft w:val="0"/>
                                  <w:marRight w:val="0"/>
                                  <w:marTop w:val="0"/>
                                  <w:marBottom w:val="0"/>
                                  <w:divBdr>
                                    <w:top w:val="single" w:sz="6" w:space="0" w:color="FFFFFF"/>
                                    <w:left w:val="none" w:sz="0" w:space="0" w:color="auto"/>
                                    <w:bottom w:val="none" w:sz="0" w:space="0" w:color="auto"/>
                                    <w:right w:val="none" w:sz="0" w:space="0" w:color="auto"/>
                                  </w:divBdr>
                                  <w:divsChild>
                                    <w:div w:id="82653902">
                                      <w:marLeft w:val="0"/>
                                      <w:marRight w:val="0"/>
                                      <w:marTop w:val="0"/>
                                      <w:marBottom w:val="0"/>
                                      <w:divBdr>
                                        <w:top w:val="none" w:sz="0" w:space="0" w:color="auto"/>
                                        <w:left w:val="none" w:sz="0" w:space="0" w:color="auto"/>
                                        <w:bottom w:val="none" w:sz="0" w:space="0" w:color="auto"/>
                                        <w:right w:val="none" w:sz="0" w:space="0" w:color="auto"/>
                                      </w:divBdr>
                                      <w:divsChild>
                                        <w:div w:id="82653889">
                                          <w:marLeft w:val="0"/>
                                          <w:marRight w:val="0"/>
                                          <w:marTop w:val="0"/>
                                          <w:marBottom w:val="0"/>
                                          <w:divBdr>
                                            <w:top w:val="none" w:sz="0" w:space="0" w:color="auto"/>
                                            <w:left w:val="none" w:sz="0" w:space="0" w:color="auto"/>
                                            <w:bottom w:val="none" w:sz="0" w:space="0" w:color="auto"/>
                                            <w:right w:val="none" w:sz="0" w:space="0" w:color="auto"/>
                                          </w:divBdr>
                                          <w:divsChild>
                                            <w:div w:id="82653894">
                                              <w:marLeft w:val="0"/>
                                              <w:marRight w:val="0"/>
                                              <w:marTop w:val="0"/>
                                              <w:marBottom w:val="0"/>
                                              <w:divBdr>
                                                <w:top w:val="none" w:sz="0" w:space="0" w:color="auto"/>
                                                <w:left w:val="none" w:sz="0" w:space="0" w:color="auto"/>
                                                <w:bottom w:val="none" w:sz="0" w:space="0" w:color="auto"/>
                                                <w:right w:val="none" w:sz="0" w:space="0" w:color="auto"/>
                                              </w:divBdr>
                                              <w:divsChild>
                                                <w:div w:id="82653907">
                                                  <w:marLeft w:val="45"/>
                                                  <w:marRight w:val="74"/>
                                                  <w:marTop w:val="0"/>
                                                  <w:marBottom w:val="0"/>
                                                  <w:divBdr>
                                                    <w:top w:val="none" w:sz="0" w:space="0" w:color="auto"/>
                                                    <w:left w:val="none" w:sz="0" w:space="0" w:color="auto"/>
                                                    <w:bottom w:val="none" w:sz="0" w:space="0" w:color="auto"/>
                                                    <w:right w:val="none" w:sz="0" w:space="0" w:color="auto"/>
                                                  </w:divBdr>
                                                  <w:divsChild>
                                                    <w:div w:id="82653918">
                                                      <w:marLeft w:val="0"/>
                                                      <w:marRight w:val="0"/>
                                                      <w:marTop w:val="0"/>
                                                      <w:marBottom w:val="0"/>
                                                      <w:divBdr>
                                                        <w:top w:val="none" w:sz="0" w:space="0" w:color="auto"/>
                                                        <w:left w:val="none" w:sz="0" w:space="0" w:color="auto"/>
                                                        <w:bottom w:val="none" w:sz="0" w:space="0" w:color="auto"/>
                                                        <w:right w:val="none" w:sz="0" w:space="0" w:color="auto"/>
                                                      </w:divBdr>
                                                      <w:divsChild>
                                                        <w:div w:id="82653920">
                                                          <w:marLeft w:val="0"/>
                                                          <w:marRight w:val="-24000"/>
                                                          <w:marTop w:val="0"/>
                                                          <w:marBottom w:val="0"/>
                                                          <w:divBdr>
                                                            <w:top w:val="none" w:sz="0" w:space="0" w:color="auto"/>
                                                            <w:left w:val="none" w:sz="0" w:space="0" w:color="auto"/>
                                                            <w:bottom w:val="none" w:sz="0" w:space="0" w:color="auto"/>
                                                            <w:right w:val="none" w:sz="0" w:space="0" w:color="auto"/>
                                                          </w:divBdr>
                                                          <w:divsChild>
                                                            <w:div w:id="82653892">
                                                              <w:marLeft w:val="0"/>
                                                              <w:marRight w:val="0"/>
                                                              <w:marTop w:val="0"/>
                                                              <w:marBottom w:val="0"/>
                                                              <w:divBdr>
                                                                <w:top w:val="none" w:sz="0" w:space="0" w:color="auto"/>
                                                                <w:left w:val="none" w:sz="0" w:space="0" w:color="auto"/>
                                                                <w:bottom w:val="none" w:sz="0" w:space="0" w:color="auto"/>
                                                                <w:right w:val="none" w:sz="0" w:space="0" w:color="auto"/>
                                                              </w:divBdr>
                                                              <w:divsChild>
                                                                <w:div w:id="82653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82653901">
      <w:marLeft w:val="0"/>
      <w:marRight w:val="0"/>
      <w:marTop w:val="0"/>
      <w:marBottom w:val="0"/>
      <w:divBdr>
        <w:top w:val="none" w:sz="0" w:space="0" w:color="auto"/>
        <w:left w:val="none" w:sz="0" w:space="0" w:color="auto"/>
        <w:bottom w:val="none" w:sz="0" w:space="0" w:color="auto"/>
        <w:right w:val="none" w:sz="0" w:space="0" w:color="auto"/>
      </w:divBdr>
    </w:div>
    <w:div w:id="82653911">
      <w:marLeft w:val="0"/>
      <w:marRight w:val="0"/>
      <w:marTop w:val="0"/>
      <w:marBottom w:val="0"/>
      <w:divBdr>
        <w:top w:val="none" w:sz="0" w:space="0" w:color="auto"/>
        <w:left w:val="none" w:sz="0" w:space="0" w:color="auto"/>
        <w:bottom w:val="none" w:sz="0" w:space="0" w:color="auto"/>
        <w:right w:val="none" w:sz="0" w:space="0" w:color="auto"/>
      </w:divBdr>
    </w:div>
    <w:div w:id="82653913">
      <w:marLeft w:val="-480"/>
      <w:marRight w:val="0"/>
      <w:marTop w:val="0"/>
      <w:marBottom w:val="0"/>
      <w:divBdr>
        <w:top w:val="none" w:sz="0" w:space="0" w:color="auto"/>
        <w:left w:val="none" w:sz="0" w:space="0" w:color="auto"/>
        <w:bottom w:val="none" w:sz="0" w:space="0" w:color="auto"/>
        <w:right w:val="none" w:sz="0" w:space="0" w:color="auto"/>
      </w:divBdr>
      <w:divsChild>
        <w:div w:id="82653910">
          <w:marLeft w:val="0"/>
          <w:marRight w:val="0"/>
          <w:marTop w:val="0"/>
          <w:marBottom w:val="0"/>
          <w:divBdr>
            <w:top w:val="none" w:sz="0" w:space="0" w:color="auto"/>
            <w:left w:val="none" w:sz="0" w:space="0" w:color="auto"/>
            <w:bottom w:val="none" w:sz="0" w:space="0" w:color="auto"/>
            <w:right w:val="none" w:sz="0" w:space="0" w:color="auto"/>
          </w:divBdr>
          <w:divsChild>
            <w:div w:id="82653886">
              <w:marLeft w:val="0"/>
              <w:marRight w:val="0"/>
              <w:marTop w:val="0"/>
              <w:marBottom w:val="0"/>
              <w:divBdr>
                <w:top w:val="none" w:sz="0" w:space="0" w:color="auto"/>
                <w:left w:val="none" w:sz="0" w:space="0" w:color="auto"/>
                <w:bottom w:val="none" w:sz="0" w:space="0" w:color="auto"/>
                <w:right w:val="none" w:sz="0" w:space="0" w:color="auto"/>
              </w:divBdr>
              <w:divsChild>
                <w:div w:id="82653899">
                  <w:marLeft w:val="0"/>
                  <w:marRight w:val="0"/>
                  <w:marTop w:val="0"/>
                  <w:marBottom w:val="240"/>
                  <w:divBdr>
                    <w:top w:val="none" w:sz="0" w:space="0" w:color="auto"/>
                    <w:left w:val="none" w:sz="0" w:space="0" w:color="auto"/>
                    <w:bottom w:val="none" w:sz="0" w:space="0" w:color="auto"/>
                    <w:right w:val="none" w:sz="0" w:space="0" w:color="auto"/>
                  </w:divBdr>
                  <w:divsChild>
                    <w:div w:id="82653885">
                      <w:marLeft w:val="0"/>
                      <w:marRight w:val="0"/>
                      <w:marTop w:val="0"/>
                      <w:marBottom w:val="0"/>
                      <w:divBdr>
                        <w:top w:val="none" w:sz="0" w:space="0" w:color="auto"/>
                        <w:left w:val="none" w:sz="0" w:space="0" w:color="auto"/>
                        <w:bottom w:val="none" w:sz="0" w:space="0" w:color="auto"/>
                        <w:right w:val="none" w:sz="0" w:space="0" w:color="auto"/>
                      </w:divBdr>
                      <w:divsChild>
                        <w:div w:id="82653909">
                          <w:marLeft w:val="0"/>
                          <w:marRight w:val="0"/>
                          <w:marTop w:val="0"/>
                          <w:marBottom w:val="240"/>
                          <w:divBdr>
                            <w:top w:val="none" w:sz="0" w:space="0" w:color="auto"/>
                            <w:left w:val="none" w:sz="0" w:space="0" w:color="auto"/>
                            <w:bottom w:val="none" w:sz="0" w:space="0" w:color="auto"/>
                            <w:right w:val="none" w:sz="0" w:space="0" w:color="auto"/>
                          </w:divBdr>
                          <w:divsChild>
                            <w:div w:id="82653895">
                              <w:marLeft w:val="0"/>
                              <w:marRight w:val="0"/>
                              <w:marTop w:val="0"/>
                              <w:marBottom w:val="0"/>
                              <w:divBdr>
                                <w:top w:val="none" w:sz="0" w:space="0" w:color="auto"/>
                                <w:left w:val="none" w:sz="0" w:space="0" w:color="auto"/>
                                <w:bottom w:val="none" w:sz="0" w:space="0" w:color="auto"/>
                                <w:right w:val="none" w:sz="0" w:space="0" w:color="auto"/>
                              </w:divBdr>
                              <w:divsChild>
                                <w:div w:id="82653905">
                                  <w:marLeft w:val="0"/>
                                  <w:marRight w:val="0"/>
                                  <w:marTop w:val="0"/>
                                  <w:marBottom w:val="0"/>
                                  <w:divBdr>
                                    <w:top w:val="single" w:sz="18" w:space="6" w:color="E1E9EB"/>
                                    <w:left w:val="none" w:sz="0" w:space="0" w:color="auto"/>
                                    <w:bottom w:val="none" w:sz="0" w:space="0" w:color="auto"/>
                                    <w:right w:val="none" w:sz="0" w:space="0" w:color="auto"/>
                                  </w:divBdr>
                                </w:div>
                              </w:divsChild>
                            </w:div>
                          </w:divsChild>
                        </w:div>
                      </w:divsChild>
                    </w:div>
                  </w:divsChild>
                </w:div>
              </w:divsChild>
            </w:div>
          </w:divsChild>
        </w:div>
      </w:divsChild>
    </w:div>
    <w:div w:id="82653914">
      <w:marLeft w:val="-480"/>
      <w:marRight w:val="0"/>
      <w:marTop w:val="0"/>
      <w:marBottom w:val="0"/>
      <w:divBdr>
        <w:top w:val="none" w:sz="0" w:space="0" w:color="auto"/>
        <w:left w:val="none" w:sz="0" w:space="0" w:color="auto"/>
        <w:bottom w:val="none" w:sz="0" w:space="0" w:color="auto"/>
        <w:right w:val="none" w:sz="0" w:space="0" w:color="auto"/>
      </w:divBdr>
      <w:divsChild>
        <w:div w:id="82653884">
          <w:marLeft w:val="0"/>
          <w:marRight w:val="0"/>
          <w:marTop w:val="0"/>
          <w:marBottom w:val="0"/>
          <w:divBdr>
            <w:top w:val="none" w:sz="0" w:space="0" w:color="auto"/>
            <w:left w:val="none" w:sz="0" w:space="0" w:color="auto"/>
            <w:bottom w:val="none" w:sz="0" w:space="0" w:color="auto"/>
            <w:right w:val="none" w:sz="0" w:space="0" w:color="auto"/>
          </w:divBdr>
          <w:divsChild>
            <w:div w:id="82653893">
              <w:marLeft w:val="0"/>
              <w:marRight w:val="0"/>
              <w:marTop w:val="0"/>
              <w:marBottom w:val="0"/>
              <w:divBdr>
                <w:top w:val="none" w:sz="0" w:space="0" w:color="auto"/>
                <w:left w:val="none" w:sz="0" w:space="0" w:color="auto"/>
                <w:bottom w:val="none" w:sz="0" w:space="0" w:color="auto"/>
                <w:right w:val="none" w:sz="0" w:space="0" w:color="auto"/>
              </w:divBdr>
              <w:divsChild>
                <w:div w:id="82653898">
                  <w:marLeft w:val="0"/>
                  <w:marRight w:val="0"/>
                  <w:marTop w:val="0"/>
                  <w:marBottom w:val="240"/>
                  <w:divBdr>
                    <w:top w:val="none" w:sz="0" w:space="0" w:color="auto"/>
                    <w:left w:val="none" w:sz="0" w:space="0" w:color="auto"/>
                    <w:bottom w:val="none" w:sz="0" w:space="0" w:color="auto"/>
                    <w:right w:val="none" w:sz="0" w:space="0" w:color="auto"/>
                  </w:divBdr>
                  <w:divsChild>
                    <w:div w:id="82653891">
                      <w:marLeft w:val="0"/>
                      <w:marRight w:val="0"/>
                      <w:marTop w:val="0"/>
                      <w:marBottom w:val="0"/>
                      <w:divBdr>
                        <w:top w:val="none" w:sz="0" w:space="0" w:color="auto"/>
                        <w:left w:val="none" w:sz="0" w:space="0" w:color="auto"/>
                        <w:bottom w:val="none" w:sz="0" w:space="0" w:color="auto"/>
                        <w:right w:val="none" w:sz="0" w:space="0" w:color="auto"/>
                      </w:divBdr>
                      <w:divsChild>
                        <w:div w:id="82653887">
                          <w:marLeft w:val="0"/>
                          <w:marRight w:val="0"/>
                          <w:marTop w:val="0"/>
                          <w:marBottom w:val="240"/>
                          <w:divBdr>
                            <w:top w:val="none" w:sz="0" w:space="0" w:color="auto"/>
                            <w:left w:val="none" w:sz="0" w:space="0" w:color="auto"/>
                            <w:bottom w:val="none" w:sz="0" w:space="0" w:color="auto"/>
                            <w:right w:val="none" w:sz="0" w:space="0" w:color="auto"/>
                          </w:divBdr>
                          <w:divsChild>
                            <w:div w:id="82653900">
                              <w:marLeft w:val="0"/>
                              <w:marRight w:val="0"/>
                              <w:marTop w:val="0"/>
                              <w:marBottom w:val="0"/>
                              <w:divBdr>
                                <w:top w:val="none" w:sz="0" w:space="0" w:color="auto"/>
                                <w:left w:val="none" w:sz="0" w:space="0" w:color="auto"/>
                                <w:bottom w:val="none" w:sz="0" w:space="0" w:color="auto"/>
                                <w:right w:val="none" w:sz="0" w:space="0" w:color="auto"/>
                              </w:divBdr>
                              <w:divsChild>
                                <w:div w:id="82653915">
                                  <w:marLeft w:val="0"/>
                                  <w:marRight w:val="0"/>
                                  <w:marTop w:val="0"/>
                                  <w:marBottom w:val="0"/>
                                  <w:divBdr>
                                    <w:top w:val="single" w:sz="18" w:space="6" w:color="E1E9EB"/>
                                    <w:left w:val="none" w:sz="0" w:space="0" w:color="auto"/>
                                    <w:bottom w:val="none" w:sz="0" w:space="0" w:color="auto"/>
                                    <w:right w:val="none" w:sz="0" w:space="0" w:color="auto"/>
                                  </w:divBdr>
                                </w:div>
                              </w:divsChild>
                            </w:div>
                          </w:divsChild>
                        </w:div>
                      </w:divsChild>
                    </w:div>
                  </w:divsChild>
                </w:div>
              </w:divsChild>
            </w:div>
          </w:divsChild>
        </w:div>
      </w:divsChild>
    </w:div>
    <w:div w:id="8265391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emf"/><Relationship Id="rId29" Type="http://schemas.openxmlformats.org/officeDocument/2006/relationships/image" Target="media/image17.emf"/><Relationship Id="rId41" Type="http://schemas.openxmlformats.org/officeDocument/2006/relationships/image" Target="media/image29.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image" Target="media/image12.emf"/><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financialnews.com/story/2010-12-15/walker-transparency-regulation-buyout" TargetMode="External"/><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10" Type="http://schemas.openxmlformats.org/officeDocument/2006/relationships/diagramLayout" Target="diagrams/layout1.xml"/><Relationship Id="rId19" Type="http://schemas.openxmlformats.org/officeDocument/2006/relationships/image" Target="media/image7.emf"/><Relationship Id="rId31" Type="http://schemas.openxmlformats.org/officeDocument/2006/relationships/image" Target="media/image19.emf"/><Relationship Id="rId44" Type="http://schemas.openxmlformats.org/officeDocument/2006/relationships/image" Target="media/image32.png"/><Relationship Id="rId52" Type="http://schemas.openxmlformats.org/officeDocument/2006/relationships/image" Target="media/image40.png"/><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image" Target="media/image3.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emf"/><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8" Type="http://schemas.openxmlformats.org/officeDocument/2006/relationships/image" Target="media/image2.emf"/><Relationship Id="rId51" Type="http://schemas.openxmlformats.org/officeDocument/2006/relationships/image" Target="media/image39.png"/><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D4C046C-649D-48D5-90F3-BE7ED9720890}" type="doc">
      <dgm:prSet loTypeId="urn:microsoft.com/office/officeart/2005/8/layout/hierarchy2" loCatId="hierarchy" qsTypeId="urn:microsoft.com/office/officeart/2005/8/quickstyle/simple5" qsCatId="simple" csTypeId="urn:microsoft.com/office/officeart/2005/8/colors/accent1_3" csCatId="accent1" phldr="1"/>
      <dgm:spPr/>
    </dgm:pt>
    <dgm:pt modelId="{BB515541-0AE6-429F-B246-98C753AC6273}">
      <dgm:prSet/>
      <dgm:spPr/>
      <dgm:t>
        <a:bodyPr/>
        <a:lstStyle/>
        <a:p>
          <a:pPr marR="0" algn="l" rtl="0"/>
          <a:r>
            <a:rPr lang="en-US" b="1" baseline="0" smtClean="0">
              <a:latin typeface="Calibri"/>
            </a:rPr>
            <a:t>Content Analysis: Narratives in annual reports</a:t>
          </a:r>
        </a:p>
      </dgm:t>
    </dgm:pt>
    <dgm:pt modelId="{DC80C17D-FFDD-44C5-8AB7-4BD1F893CAC9}" type="parTrans" cxnId="{919114C9-C51A-46D2-919E-57A99DA1F4E8}">
      <dgm:prSet/>
      <dgm:spPr/>
      <dgm:t>
        <a:bodyPr/>
        <a:lstStyle/>
        <a:p>
          <a:endParaRPr lang="en-US"/>
        </a:p>
      </dgm:t>
    </dgm:pt>
    <dgm:pt modelId="{9AA5256C-8C5F-4B74-8774-95EBBA885EEC}" type="sibTrans" cxnId="{919114C9-C51A-46D2-919E-57A99DA1F4E8}">
      <dgm:prSet/>
      <dgm:spPr/>
      <dgm:t>
        <a:bodyPr/>
        <a:lstStyle/>
        <a:p>
          <a:endParaRPr lang="en-US"/>
        </a:p>
      </dgm:t>
    </dgm:pt>
    <dgm:pt modelId="{EF518222-F5EE-4FE5-83DF-01748C4F0AC9}">
      <dgm:prSet/>
      <dgm:spPr/>
      <dgm:t>
        <a:bodyPr/>
        <a:lstStyle/>
        <a:p>
          <a:pPr marR="0" algn="ctr" rtl="0"/>
          <a:r>
            <a:rPr lang="en-US" baseline="0" smtClean="0">
              <a:latin typeface="Calibri"/>
            </a:rPr>
            <a:t>Semi-objective</a:t>
          </a:r>
          <a:endParaRPr lang="en-US" smtClean="0"/>
        </a:p>
      </dgm:t>
    </dgm:pt>
    <dgm:pt modelId="{7D25F81D-2379-4019-B269-48ABE053439F}" type="parTrans" cxnId="{6A500471-0583-4E0D-968A-F45E8B525B4E}">
      <dgm:prSet/>
      <dgm:spPr/>
      <dgm:t>
        <a:bodyPr/>
        <a:lstStyle/>
        <a:p>
          <a:endParaRPr lang="en-US"/>
        </a:p>
      </dgm:t>
    </dgm:pt>
    <dgm:pt modelId="{FD9B2DED-2429-4BA5-B5FD-0E4B4AA704F4}" type="sibTrans" cxnId="{6A500471-0583-4E0D-968A-F45E8B525B4E}">
      <dgm:prSet/>
      <dgm:spPr/>
      <dgm:t>
        <a:bodyPr/>
        <a:lstStyle/>
        <a:p>
          <a:endParaRPr lang="en-US"/>
        </a:p>
      </dgm:t>
    </dgm:pt>
    <dgm:pt modelId="{E230ACFD-09B7-46A3-A370-4671E0816A59}">
      <dgm:prSet/>
      <dgm:spPr/>
      <dgm:t>
        <a:bodyPr/>
        <a:lstStyle/>
        <a:p>
          <a:pPr marR="0" algn="ctr" rtl="0"/>
          <a:r>
            <a:rPr lang="en-US" baseline="0" smtClean="0">
              <a:latin typeface="Calibri"/>
            </a:rPr>
            <a:t>Disclosure Index Studies</a:t>
          </a:r>
          <a:endParaRPr lang="en-US" smtClean="0"/>
        </a:p>
      </dgm:t>
    </dgm:pt>
    <dgm:pt modelId="{6AAC7896-9EFB-40B0-BC79-8F3BB4FD5FFC}" type="parTrans" cxnId="{395A89D4-A8E5-4216-927F-EA5A6BDDA590}">
      <dgm:prSet/>
      <dgm:spPr/>
      <dgm:t>
        <a:bodyPr/>
        <a:lstStyle/>
        <a:p>
          <a:endParaRPr lang="en-US"/>
        </a:p>
      </dgm:t>
    </dgm:pt>
    <dgm:pt modelId="{5ED7E7B9-B5A6-4A44-8117-645071B613DF}" type="sibTrans" cxnId="{395A89D4-A8E5-4216-927F-EA5A6BDDA590}">
      <dgm:prSet/>
      <dgm:spPr/>
      <dgm:t>
        <a:bodyPr/>
        <a:lstStyle/>
        <a:p>
          <a:endParaRPr lang="en-US"/>
        </a:p>
      </dgm:t>
    </dgm:pt>
    <dgm:pt modelId="{8EA00C60-1575-49E0-9E88-ABC0DC26CCA6}">
      <dgm:prSet/>
      <dgm:spPr/>
      <dgm:t>
        <a:bodyPr/>
        <a:lstStyle/>
        <a:p>
          <a:pPr marR="0" algn="ctr" rtl="0"/>
          <a:r>
            <a:rPr lang="en-US" baseline="0" smtClean="0">
              <a:latin typeface="Calibri"/>
            </a:rPr>
            <a:t>Binary/ordinal measurement of items</a:t>
          </a:r>
          <a:endParaRPr lang="en-US" smtClean="0"/>
        </a:p>
      </dgm:t>
    </dgm:pt>
    <dgm:pt modelId="{57ACD2A2-F4A2-4A97-B2EE-9FC0AEDC5563}" type="parTrans" cxnId="{A48C52F3-8567-4B6F-BA58-0C0DB165527E}">
      <dgm:prSet/>
      <dgm:spPr/>
      <dgm:t>
        <a:bodyPr/>
        <a:lstStyle/>
        <a:p>
          <a:endParaRPr lang="en-US"/>
        </a:p>
      </dgm:t>
    </dgm:pt>
    <dgm:pt modelId="{57C06BA0-D0F6-4AB1-8301-AC77460338F5}" type="sibTrans" cxnId="{A48C52F3-8567-4B6F-BA58-0C0DB165527E}">
      <dgm:prSet/>
      <dgm:spPr/>
      <dgm:t>
        <a:bodyPr/>
        <a:lstStyle/>
        <a:p>
          <a:endParaRPr lang="en-US"/>
        </a:p>
      </dgm:t>
    </dgm:pt>
    <dgm:pt modelId="{917B1E67-FE4D-42E0-8EBA-A3422800A8EC}">
      <dgm:prSet/>
      <dgm:spPr/>
      <dgm:t>
        <a:bodyPr/>
        <a:lstStyle/>
        <a:p>
          <a:pPr marR="0" algn="ctr" rtl="0"/>
          <a:r>
            <a:rPr lang="en-US" baseline="0" smtClean="0">
              <a:latin typeface="Calibri"/>
            </a:rPr>
            <a:t>Weighted/unweighted index</a:t>
          </a:r>
          <a:endParaRPr lang="en-US" smtClean="0"/>
        </a:p>
      </dgm:t>
    </dgm:pt>
    <dgm:pt modelId="{4BBEC823-7C7F-4878-9228-10DB890E08CA}" type="parTrans" cxnId="{7D8F6AEF-DA2A-416C-9B21-E7E280643786}">
      <dgm:prSet/>
      <dgm:spPr/>
      <dgm:t>
        <a:bodyPr/>
        <a:lstStyle/>
        <a:p>
          <a:endParaRPr lang="en-US"/>
        </a:p>
      </dgm:t>
    </dgm:pt>
    <dgm:pt modelId="{02D3F5FF-E502-4486-946E-CC2E27F94702}" type="sibTrans" cxnId="{7D8F6AEF-DA2A-416C-9B21-E7E280643786}">
      <dgm:prSet/>
      <dgm:spPr/>
      <dgm:t>
        <a:bodyPr/>
        <a:lstStyle/>
        <a:p>
          <a:endParaRPr lang="en-US"/>
        </a:p>
      </dgm:t>
    </dgm:pt>
    <dgm:pt modelId="{CF576C69-B38E-442B-917F-D5E533137661}">
      <dgm:prSet/>
      <dgm:spPr/>
      <dgm:t>
        <a:bodyPr/>
        <a:lstStyle/>
        <a:p>
          <a:pPr marR="0" algn="ctr" rtl="0"/>
          <a:r>
            <a:rPr lang="en-US" baseline="0" smtClean="0">
              <a:latin typeface="Calibri"/>
            </a:rPr>
            <a:t>Textual Analysis</a:t>
          </a:r>
          <a:endParaRPr lang="en-US" smtClean="0"/>
        </a:p>
      </dgm:t>
    </dgm:pt>
    <dgm:pt modelId="{5383D268-40A8-48BC-B475-53D8BC87EFFB}" type="parTrans" cxnId="{1C449891-B403-49A0-B41F-51CFD89C4A08}">
      <dgm:prSet/>
      <dgm:spPr/>
      <dgm:t>
        <a:bodyPr/>
        <a:lstStyle/>
        <a:p>
          <a:endParaRPr lang="en-US"/>
        </a:p>
      </dgm:t>
    </dgm:pt>
    <dgm:pt modelId="{28D9BE61-444A-4E5A-B90E-D37EC2104BBC}" type="sibTrans" cxnId="{1C449891-B403-49A0-B41F-51CFD89C4A08}">
      <dgm:prSet/>
      <dgm:spPr/>
      <dgm:t>
        <a:bodyPr/>
        <a:lstStyle/>
        <a:p>
          <a:endParaRPr lang="en-US"/>
        </a:p>
      </dgm:t>
    </dgm:pt>
    <dgm:pt modelId="{826EEE8C-AE9B-46E8-8FB5-E850B75989DA}">
      <dgm:prSet/>
      <dgm:spPr/>
      <dgm:t>
        <a:bodyPr/>
        <a:lstStyle/>
        <a:p>
          <a:pPr marR="0" algn="ctr" rtl="0"/>
          <a:r>
            <a:rPr lang="en-US" baseline="0" smtClean="0">
              <a:latin typeface="Calibri"/>
            </a:rPr>
            <a:t>Thematic content analysis</a:t>
          </a:r>
          <a:endParaRPr lang="en-US" smtClean="0"/>
        </a:p>
      </dgm:t>
    </dgm:pt>
    <dgm:pt modelId="{4D680322-FD1E-4D72-A201-425AF70D51B5}" type="parTrans" cxnId="{C18A8D67-FD3D-40BC-849F-79492EC53506}">
      <dgm:prSet/>
      <dgm:spPr/>
      <dgm:t>
        <a:bodyPr/>
        <a:lstStyle/>
        <a:p>
          <a:endParaRPr lang="en-US"/>
        </a:p>
      </dgm:t>
    </dgm:pt>
    <dgm:pt modelId="{FC7FAE8D-FCBA-4646-B13E-3E11027E15EA}" type="sibTrans" cxnId="{C18A8D67-FD3D-40BC-849F-79492EC53506}">
      <dgm:prSet/>
      <dgm:spPr/>
      <dgm:t>
        <a:bodyPr/>
        <a:lstStyle/>
        <a:p>
          <a:endParaRPr lang="en-US"/>
        </a:p>
      </dgm:t>
    </dgm:pt>
    <dgm:pt modelId="{DF21633C-FF3A-48B2-B379-2AA4D0E400F9}">
      <dgm:prSet/>
      <dgm:spPr/>
      <dgm:t>
        <a:bodyPr/>
        <a:lstStyle/>
        <a:p>
          <a:pPr marR="0" algn="ctr" rtl="0"/>
          <a:r>
            <a:rPr lang="en-US" baseline="0" smtClean="0">
              <a:latin typeface="Calibri"/>
            </a:rPr>
            <a:t>Readability studies</a:t>
          </a:r>
          <a:endParaRPr lang="en-US" smtClean="0"/>
        </a:p>
      </dgm:t>
    </dgm:pt>
    <dgm:pt modelId="{B7345C98-2F0E-467D-895D-BAD1209A08C3}" type="parTrans" cxnId="{6D2A9F4F-8634-4511-9910-797C6A563D55}">
      <dgm:prSet/>
      <dgm:spPr/>
      <dgm:t>
        <a:bodyPr/>
        <a:lstStyle/>
        <a:p>
          <a:endParaRPr lang="en-US"/>
        </a:p>
      </dgm:t>
    </dgm:pt>
    <dgm:pt modelId="{82C55D15-EA1B-473C-BF1C-F2A10B738077}" type="sibTrans" cxnId="{6D2A9F4F-8634-4511-9910-797C6A563D55}">
      <dgm:prSet/>
      <dgm:spPr/>
      <dgm:t>
        <a:bodyPr/>
        <a:lstStyle/>
        <a:p>
          <a:endParaRPr lang="en-US"/>
        </a:p>
      </dgm:t>
    </dgm:pt>
    <dgm:pt modelId="{C9693D31-B2A4-4E7E-B826-EE78ECBEFF67}">
      <dgm:prSet/>
      <dgm:spPr/>
      <dgm:t>
        <a:bodyPr/>
        <a:lstStyle/>
        <a:p>
          <a:pPr marR="0" algn="ctr" rtl="0"/>
          <a:r>
            <a:rPr lang="en-US" baseline="0" smtClean="0">
              <a:latin typeface="Calibri"/>
            </a:rPr>
            <a:t>Linguistic analysis</a:t>
          </a:r>
          <a:endParaRPr lang="en-US" smtClean="0"/>
        </a:p>
      </dgm:t>
    </dgm:pt>
    <dgm:pt modelId="{A9A67646-8F6B-4328-BB6D-04B33F6C606C}" type="parTrans" cxnId="{0921DD37-B96C-47AF-9DAC-9F0BE44457E0}">
      <dgm:prSet/>
      <dgm:spPr/>
      <dgm:t>
        <a:bodyPr/>
        <a:lstStyle/>
        <a:p>
          <a:endParaRPr lang="en-US"/>
        </a:p>
      </dgm:t>
    </dgm:pt>
    <dgm:pt modelId="{24396D68-B7FC-4FE6-BF3E-A24419EF0E02}" type="sibTrans" cxnId="{0921DD37-B96C-47AF-9DAC-9F0BE44457E0}">
      <dgm:prSet/>
      <dgm:spPr/>
      <dgm:t>
        <a:bodyPr/>
        <a:lstStyle/>
        <a:p>
          <a:endParaRPr lang="en-US"/>
        </a:p>
      </dgm:t>
    </dgm:pt>
    <dgm:pt modelId="{CE74CD0B-C200-4E15-A859-1240DAE9FC4A}">
      <dgm:prSet/>
      <dgm:spPr/>
      <dgm:t>
        <a:bodyPr/>
        <a:lstStyle/>
        <a:p>
          <a:pPr marR="0" algn="ctr" rtl="0"/>
          <a:r>
            <a:rPr lang="en-US" baseline="0" smtClean="0">
              <a:latin typeface="Calibri"/>
            </a:rPr>
            <a:t>Subjective</a:t>
          </a:r>
          <a:endParaRPr lang="en-US" smtClean="0"/>
        </a:p>
      </dgm:t>
    </dgm:pt>
    <dgm:pt modelId="{BF4C1CD0-86B5-4F69-8134-E9C4B55D720E}" type="sibTrans" cxnId="{72828538-6AB7-4869-AEB5-94478ACDCD37}">
      <dgm:prSet/>
      <dgm:spPr/>
      <dgm:t>
        <a:bodyPr/>
        <a:lstStyle/>
        <a:p>
          <a:endParaRPr lang="en-US"/>
        </a:p>
      </dgm:t>
    </dgm:pt>
    <dgm:pt modelId="{93F607D2-CC9C-453A-8952-B4C6D6E06D57}" type="parTrans" cxnId="{72828538-6AB7-4869-AEB5-94478ACDCD37}">
      <dgm:prSet/>
      <dgm:spPr/>
      <dgm:t>
        <a:bodyPr/>
        <a:lstStyle/>
        <a:p>
          <a:endParaRPr lang="en-US"/>
        </a:p>
      </dgm:t>
    </dgm:pt>
    <dgm:pt modelId="{6DFBA21D-7070-48B9-B931-1A29631AADE4}" type="pres">
      <dgm:prSet presAssocID="{CD4C046C-649D-48D5-90F3-BE7ED9720890}" presName="diagram" presStyleCnt="0">
        <dgm:presLayoutVars>
          <dgm:chPref val="1"/>
          <dgm:dir/>
          <dgm:animOne val="branch"/>
          <dgm:animLvl val="lvl"/>
          <dgm:resizeHandles val="exact"/>
        </dgm:presLayoutVars>
      </dgm:prSet>
      <dgm:spPr/>
    </dgm:pt>
    <dgm:pt modelId="{DA59A69E-8638-458E-9D35-88A44EA2C8FF}" type="pres">
      <dgm:prSet presAssocID="{BB515541-0AE6-429F-B246-98C753AC6273}" presName="root1" presStyleCnt="0"/>
      <dgm:spPr/>
    </dgm:pt>
    <dgm:pt modelId="{187CB8C2-E701-4C1B-9A63-B2B616914F08}" type="pres">
      <dgm:prSet presAssocID="{BB515541-0AE6-429F-B246-98C753AC6273}" presName="LevelOneTextNode" presStyleLbl="node0" presStyleIdx="0" presStyleCnt="1">
        <dgm:presLayoutVars>
          <dgm:chPref val="3"/>
        </dgm:presLayoutVars>
      </dgm:prSet>
      <dgm:spPr/>
      <dgm:t>
        <a:bodyPr/>
        <a:lstStyle/>
        <a:p>
          <a:endParaRPr lang="en-US"/>
        </a:p>
      </dgm:t>
    </dgm:pt>
    <dgm:pt modelId="{AF0CD2F8-5D40-4738-9122-7AA51C964151}" type="pres">
      <dgm:prSet presAssocID="{BB515541-0AE6-429F-B246-98C753AC6273}" presName="level2hierChild" presStyleCnt="0"/>
      <dgm:spPr/>
    </dgm:pt>
    <dgm:pt modelId="{CE13F72F-5AD2-4A6D-993E-E88A608F782A}" type="pres">
      <dgm:prSet presAssocID="{93F607D2-CC9C-453A-8952-B4C6D6E06D57}" presName="conn2-1" presStyleLbl="parChTrans1D2" presStyleIdx="0" presStyleCnt="2"/>
      <dgm:spPr/>
      <dgm:t>
        <a:bodyPr/>
        <a:lstStyle/>
        <a:p>
          <a:endParaRPr lang="en-US"/>
        </a:p>
      </dgm:t>
    </dgm:pt>
    <dgm:pt modelId="{672913D1-BB2C-4577-A857-37652638E440}" type="pres">
      <dgm:prSet presAssocID="{93F607D2-CC9C-453A-8952-B4C6D6E06D57}" presName="connTx" presStyleLbl="parChTrans1D2" presStyleIdx="0" presStyleCnt="2"/>
      <dgm:spPr/>
      <dgm:t>
        <a:bodyPr/>
        <a:lstStyle/>
        <a:p>
          <a:endParaRPr lang="en-US"/>
        </a:p>
      </dgm:t>
    </dgm:pt>
    <dgm:pt modelId="{A618965E-34F7-4D6B-88B5-548AA1497131}" type="pres">
      <dgm:prSet presAssocID="{CE74CD0B-C200-4E15-A859-1240DAE9FC4A}" presName="root2" presStyleCnt="0"/>
      <dgm:spPr/>
    </dgm:pt>
    <dgm:pt modelId="{4A8F9D96-4B8A-48F3-B7AD-C6B062CE10EE}" type="pres">
      <dgm:prSet presAssocID="{CE74CD0B-C200-4E15-A859-1240DAE9FC4A}" presName="LevelTwoTextNode" presStyleLbl="node2" presStyleIdx="0" presStyleCnt="2">
        <dgm:presLayoutVars>
          <dgm:chPref val="3"/>
        </dgm:presLayoutVars>
      </dgm:prSet>
      <dgm:spPr/>
      <dgm:t>
        <a:bodyPr/>
        <a:lstStyle/>
        <a:p>
          <a:endParaRPr lang="en-US"/>
        </a:p>
      </dgm:t>
    </dgm:pt>
    <dgm:pt modelId="{5751D5AD-1025-4692-819C-21EF9215A730}" type="pres">
      <dgm:prSet presAssocID="{CE74CD0B-C200-4E15-A859-1240DAE9FC4A}" presName="level3hierChild" presStyleCnt="0"/>
      <dgm:spPr/>
    </dgm:pt>
    <dgm:pt modelId="{AEEA52BD-76B0-4D14-8A5A-4EFD4529A49C}" type="pres">
      <dgm:prSet presAssocID="{7D25F81D-2379-4019-B269-48ABE053439F}" presName="conn2-1" presStyleLbl="parChTrans1D2" presStyleIdx="1" presStyleCnt="2"/>
      <dgm:spPr/>
      <dgm:t>
        <a:bodyPr/>
        <a:lstStyle/>
        <a:p>
          <a:endParaRPr lang="en-US"/>
        </a:p>
      </dgm:t>
    </dgm:pt>
    <dgm:pt modelId="{13BDFBFD-476E-4712-93FA-CB685D4E81BC}" type="pres">
      <dgm:prSet presAssocID="{7D25F81D-2379-4019-B269-48ABE053439F}" presName="connTx" presStyleLbl="parChTrans1D2" presStyleIdx="1" presStyleCnt="2"/>
      <dgm:spPr/>
      <dgm:t>
        <a:bodyPr/>
        <a:lstStyle/>
        <a:p>
          <a:endParaRPr lang="en-US"/>
        </a:p>
      </dgm:t>
    </dgm:pt>
    <dgm:pt modelId="{0262C2D7-2223-49E6-AF19-0241C4900195}" type="pres">
      <dgm:prSet presAssocID="{EF518222-F5EE-4FE5-83DF-01748C4F0AC9}" presName="root2" presStyleCnt="0"/>
      <dgm:spPr/>
    </dgm:pt>
    <dgm:pt modelId="{048EE125-0427-4D29-B956-FAA1AA3F6028}" type="pres">
      <dgm:prSet presAssocID="{EF518222-F5EE-4FE5-83DF-01748C4F0AC9}" presName="LevelTwoTextNode" presStyleLbl="node2" presStyleIdx="1" presStyleCnt="2">
        <dgm:presLayoutVars>
          <dgm:chPref val="3"/>
        </dgm:presLayoutVars>
      </dgm:prSet>
      <dgm:spPr/>
      <dgm:t>
        <a:bodyPr/>
        <a:lstStyle/>
        <a:p>
          <a:endParaRPr lang="en-US"/>
        </a:p>
      </dgm:t>
    </dgm:pt>
    <dgm:pt modelId="{1AC84BA1-72F1-4568-A5B7-9CCAB8161B15}" type="pres">
      <dgm:prSet presAssocID="{EF518222-F5EE-4FE5-83DF-01748C4F0AC9}" presName="level3hierChild" presStyleCnt="0"/>
      <dgm:spPr/>
    </dgm:pt>
    <dgm:pt modelId="{7DFEC795-EDBD-4870-8A2A-672F2F0D90D0}" type="pres">
      <dgm:prSet presAssocID="{6AAC7896-9EFB-40B0-BC79-8F3BB4FD5FFC}" presName="conn2-1" presStyleLbl="parChTrans1D3" presStyleIdx="0" presStyleCnt="2"/>
      <dgm:spPr/>
      <dgm:t>
        <a:bodyPr/>
        <a:lstStyle/>
        <a:p>
          <a:endParaRPr lang="en-US"/>
        </a:p>
      </dgm:t>
    </dgm:pt>
    <dgm:pt modelId="{7607EE5C-DF19-47D9-AA88-B519157A09D6}" type="pres">
      <dgm:prSet presAssocID="{6AAC7896-9EFB-40B0-BC79-8F3BB4FD5FFC}" presName="connTx" presStyleLbl="parChTrans1D3" presStyleIdx="0" presStyleCnt="2"/>
      <dgm:spPr/>
      <dgm:t>
        <a:bodyPr/>
        <a:lstStyle/>
        <a:p>
          <a:endParaRPr lang="en-US"/>
        </a:p>
      </dgm:t>
    </dgm:pt>
    <dgm:pt modelId="{1A725185-4EDC-47D2-A6D1-974E0148D176}" type="pres">
      <dgm:prSet presAssocID="{E230ACFD-09B7-46A3-A370-4671E0816A59}" presName="root2" presStyleCnt="0"/>
      <dgm:spPr/>
    </dgm:pt>
    <dgm:pt modelId="{33814A5C-B32F-4350-AED2-381EA0F88885}" type="pres">
      <dgm:prSet presAssocID="{E230ACFD-09B7-46A3-A370-4671E0816A59}" presName="LevelTwoTextNode" presStyleLbl="node3" presStyleIdx="0" presStyleCnt="2">
        <dgm:presLayoutVars>
          <dgm:chPref val="3"/>
        </dgm:presLayoutVars>
      </dgm:prSet>
      <dgm:spPr/>
      <dgm:t>
        <a:bodyPr/>
        <a:lstStyle/>
        <a:p>
          <a:endParaRPr lang="en-US"/>
        </a:p>
      </dgm:t>
    </dgm:pt>
    <dgm:pt modelId="{171E8275-9C8F-4582-AD37-50AAE81FEF27}" type="pres">
      <dgm:prSet presAssocID="{E230ACFD-09B7-46A3-A370-4671E0816A59}" presName="level3hierChild" presStyleCnt="0"/>
      <dgm:spPr/>
    </dgm:pt>
    <dgm:pt modelId="{1E889FBB-D869-473D-AE12-A4AFBB709C68}" type="pres">
      <dgm:prSet presAssocID="{57ACD2A2-F4A2-4A97-B2EE-9FC0AEDC5563}" presName="conn2-1" presStyleLbl="parChTrans1D4" presStyleIdx="0" presStyleCnt="5"/>
      <dgm:spPr/>
      <dgm:t>
        <a:bodyPr/>
        <a:lstStyle/>
        <a:p>
          <a:endParaRPr lang="en-US"/>
        </a:p>
      </dgm:t>
    </dgm:pt>
    <dgm:pt modelId="{83AE39C0-082D-48AB-9E66-566496B23101}" type="pres">
      <dgm:prSet presAssocID="{57ACD2A2-F4A2-4A97-B2EE-9FC0AEDC5563}" presName="connTx" presStyleLbl="parChTrans1D4" presStyleIdx="0" presStyleCnt="5"/>
      <dgm:spPr/>
      <dgm:t>
        <a:bodyPr/>
        <a:lstStyle/>
        <a:p>
          <a:endParaRPr lang="en-US"/>
        </a:p>
      </dgm:t>
    </dgm:pt>
    <dgm:pt modelId="{AA70F406-C7D8-45AC-B1D1-CDCFDD02A917}" type="pres">
      <dgm:prSet presAssocID="{8EA00C60-1575-49E0-9E88-ABC0DC26CCA6}" presName="root2" presStyleCnt="0"/>
      <dgm:spPr/>
    </dgm:pt>
    <dgm:pt modelId="{D25069F7-06C3-4B33-A3B7-891339F3AAB3}" type="pres">
      <dgm:prSet presAssocID="{8EA00C60-1575-49E0-9E88-ABC0DC26CCA6}" presName="LevelTwoTextNode" presStyleLbl="node4" presStyleIdx="0" presStyleCnt="5">
        <dgm:presLayoutVars>
          <dgm:chPref val="3"/>
        </dgm:presLayoutVars>
      </dgm:prSet>
      <dgm:spPr/>
      <dgm:t>
        <a:bodyPr/>
        <a:lstStyle/>
        <a:p>
          <a:endParaRPr lang="en-US"/>
        </a:p>
      </dgm:t>
    </dgm:pt>
    <dgm:pt modelId="{992C52AF-C94B-45A9-BBC4-CCFB5753BA24}" type="pres">
      <dgm:prSet presAssocID="{8EA00C60-1575-49E0-9E88-ABC0DC26CCA6}" presName="level3hierChild" presStyleCnt="0"/>
      <dgm:spPr/>
    </dgm:pt>
    <dgm:pt modelId="{4987836E-EF92-441A-B354-2BDE3149905D}" type="pres">
      <dgm:prSet presAssocID="{4BBEC823-7C7F-4878-9228-10DB890E08CA}" presName="conn2-1" presStyleLbl="parChTrans1D4" presStyleIdx="1" presStyleCnt="5"/>
      <dgm:spPr/>
      <dgm:t>
        <a:bodyPr/>
        <a:lstStyle/>
        <a:p>
          <a:endParaRPr lang="en-US"/>
        </a:p>
      </dgm:t>
    </dgm:pt>
    <dgm:pt modelId="{DE810F33-3349-42C6-B32B-F7DA35F53B30}" type="pres">
      <dgm:prSet presAssocID="{4BBEC823-7C7F-4878-9228-10DB890E08CA}" presName="connTx" presStyleLbl="parChTrans1D4" presStyleIdx="1" presStyleCnt="5"/>
      <dgm:spPr/>
      <dgm:t>
        <a:bodyPr/>
        <a:lstStyle/>
        <a:p>
          <a:endParaRPr lang="en-US"/>
        </a:p>
      </dgm:t>
    </dgm:pt>
    <dgm:pt modelId="{8E8DF4A3-5213-4D69-84D7-A8A66D82C75D}" type="pres">
      <dgm:prSet presAssocID="{917B1E67-FE4D-42E0-8EBA-A3422800A8EC}" presName="root2" presStyleCnt="0"/>
      <dgm:spPr/>
    </dgm:pt>
    <dgm:pt modelId="{3C9EB5D1-2452-4F84-B8E3-304E4E918421}" type="pres">
      <dgm:prSet presAssocID="{917B1E67-FE4D-42E0-8EBA-A3422800A8EC}" presName="LevelTwoTextNode" presStyleLbl="node4" presStyleIdx="1" presStyleCnt="5">
        <dgm:presLayoutVars>
          <dgm:chPref val="3"/>
        </dgm:presLayoutVars>
      </dgm:prSet>
      <dgm:spPr/>
      <dgm:t>
        <a:bodyPr/>
        <a:lstStyle/>
        <a:p>
          <a:endParaRPr lang="en-US"/>
        </a:p>
      </dgm:t>
    </dgm:pt>
    <dgm:pt modelId="{B4C930EF-028E-4B4D-97A2-A0965EB7687D}" type="pres">
      <dgm:prSet presAssocID="{917B1E67-FE4D-42E0-8EBA-A3422800A8EC}" presName="level3hierChild" presStyleCnt="0"/>
      <dgm:spPr/>
    </dgm:pt>
    <dgm:pt modelId="{A550213A-8492-4D86-9C2C-59AA797F7B4A}" type="pres">
      <dgm:prSet presAssocID="{5383D268-40A8-48BC-B475-53D8BC87EFFB}" presName="conn2-1" presStyleLbl="parChTrans1D3" presStyleIdx="1" presStyleCnt="2"/>
      <dgm:spPr/>
      <dgm:t>
        <a:bodyPr/>
        <a:lstStyle/>
        <a:p>
          <a:endParaRPr lang="en-US"/>
        </a:p>
      </dgm:t>
    </dgm:pt>
    <dgm:pt modelId="{0EA4BE86-A85B-47AA-B550-F096D9CB1671}" type="pres">
      <dgm:prSet presAssocID="{5383D268-40A8-48BC-B475-53D8BC87EFFB}" presName="connTx" presStyleLbl="parChTrans1D3" presStyleIdx="1" presStyleCnt="2"/>
      <dgm:spPr/>
      <dgm:t>
        <a:bodyPr/>
        <a:lstStyle/>
        <a:p>
          <a:endParaRPr lang="en-US"/>
        </a:p>
      </dgm:t>
    </dgm:pt>
    <dgm:pt modelId="{97CED86E-A486-4B34-9764-E91D9C65985E}" type="pres">
      <dgm:prSet presAssocID="{CF576C69-B38E-442B-917F-D5E533137661}" presName="root2" presStyleCnt="0"/>
      <dgm:spPr/>
    </dgm:pt>
    <dgm:pt modelId="{75B0F54D-5F7B-49EF-9C8E-29479887560A}" type="pres">
      <dgm:prSet presAssocID="{CF576C69-B38E-442B-917F-D5E533137661}" presName="LevelTwoTextNode" presStyleLbl="node3" presStyleIdx="1" presStyleCnt="2">
        <dgm:presLayoutVars>
          <dgm:chPref val="3"/>
        </dgm:presLayoutVars>
      </dgm:prSet>
      <dgm:spPr/>
      <dgm:t>
        <a:bodyPr/>
        <a:lstStyle/>
        <a:p>
          <a:endParaRPr lang="en-US"/>
        </a:p>
      </dgm:t>
    </dgm:pt>
    <dgm:pt modelId="{9D2857F6-EF91-40FC-B804-5EE5775B1E8D}" type="pres">
      <dgm:prSet presAssocID="{CF576C69-B38E-442B-917F-D5E533137661}" presName="level3hierChild" presStyleCnt="0"/>
      <dgm:spPr/>
    </dgm:pt>
    <dgm:pt modelId="{D9600E67-E244-4DC2-84EF-A4B621190471}" type="pres">
      <dgm:prSet presAssocID="{4D680322-FD1E-4D72-A201-425AF70D51B5}" presName="conn2-1" presStyleLbl="parChTrans1D4" presStyleIdx="2" presStyleCnt="5"/>
      <dgm:spPr/>
      <dgm:t>
        <a:bodyPr/>
        <a:lstStyle/>
        <a:p>
          <a:endParaRPr lang="en-US"/>
        </a:p>
      </dgm:t>
    </dgm:pt>
    <dgm:pt modelId="{9507E62D-EDF8-460D-8707-D758D3E9884C}" type="pres">
      <dgm:prSet presAssocID="{4D680322-FD1E-4D72-A201-425AF70D51B5}" presName="connTx" presStyleLbl="parChTrans1D4" presStyleIdx="2" presStyleCnt="5"/>
      <dgm:spPr/>
      <dgm:t>
        <a:bodyPr/>
        <a:lstStyle/>
        <a:p>
          <a:endParaRPr lang="en-US"/>
        </a:p>
      </dgm:t>
    </dgm:pt>
    <dgm:pt modelId="{6D2C7999-761C-4718-A1E7-60F5EEC70CBC}" type="pres">
      <dgm:prSet presAssocID="{826EEE8C-AE9B-46E8-8FB5-E850B75989DA}" presName="root2" presStyleCnt="0"/>
      <dgm:spPr/>
    </dgm:pt>
    <dgm:pt modelId="{F95388B4-4D95-4C61-9CB9-2756DEFDA942}" type="pres">
      <dgm:prSet presAssocID="{826EEE8C-AE9B-46E8-8FB5-E850B75989DA}" presName="LevelTwoTextNode" presStyleLbl="node4" presStyleIdx="2" presStyleCnt="5">
        <dgm:presLayoutVars>
          <dgm:chPref val="3"/>
        </dgm:presLayoutVars>
      </dgm:prSet>
      <dgm:spPr/>
      <dgm:t>
        <a:bodyPr/>
        <a:lstStyle/>
        <a:p>
          <a:endParaRPr lang="en-US"/>
        </a:p>
      </dgm:t>
    </dgm:pt>
    <dgm:pt modelId="{44AF0D7C-69D9-40A2-ABE0-69E85CBCF316}" type="pres">
      <dgm:prSet presAssocID="{826EEE8C-AE9B-46E8-8FB5-E850B75989DA}" presName="level3hierChild" presStyleCnt="0"/>
      <dgm:spPr/>
    </dgm:pt>
    <dgm:pt modelId="{DB8723B6-C714-4525-AAF3-6BA34621CAE1}" type="pres">
      <dgm:prSet presAssocID="{B7345C98-2F0E-467D-895D-BAD1209A08C3}" presName="conn2-1" presStyleLbl="parChTrans1D4" presStyleIdx="3" presStyleCnt="5"/>
      <dgm:spPr/>
      <dgm:t>
        <a:bodyPr/>
        <a:lstStyle/>
        <a:p>
          <a:endParaRPr lang="en-US"/>
        </a:p>
      </dgm:t>
    </dgm:pt>
    <dgm:pt modelId="{32BAF6B1-0DCA-4644-9EB1-97B7C7D11DE7}" type="pres">
      <dgm:prSet presAssocID="{B7345C98-2F0E-467D-895D-BAD1209A08C3}" presName="connTx" presStyleLbl="parChTrans1D4" presStyleIdx="3" presStyleCnt="5"/>
      <dgm:spPr/>
      <dgm:t>
        <a:bodyPr/>
        <a:lstStyle/>
        <a:p>
          <a:endParaRPr lang="en-US"/>
        </a:p>
      </dgm:t>
    </dgm:pt>
    <dgm:pt modelId="{7F70B3BF-1F21-4265-99E0-0A9E12EEDFAA}" type="pres">
      <dgm:prSet presAssocID="{DF21633C-FF3A-48B2-B379-2AA4D0E400F9}" presName="root2" presStyleCnt="0"/>
      <dgm:spPr/>
    </dgm:pt>
    <dgm:pt modelId="{9E03EAD7-0E29-4616-A8C3-350A16CD9AA1}" type="pres">
      <dgm:prSet presAssocID="{DF21633C-FF3A-48B2-B379-2AA4D0E400F9}" presName="LevelTwoTextNode" presStyleLbl="node4" presStyleIdx="3" presStyleCnt="5">
        <dgm:presLayoutVars>
          <dgm:chPref val="3"/>
        </dgm:presLayoutVars>
      </dgm:prSet>
      <dgm:spPr/>
      <dgm:t>
        <a:bodyPr/>
        <a:lstStyle/>
        <a:p>
          <a:endParaRPr lang="en-US"/>
        </a:p>
      </dgm:t>
    </dgm:pt>
    <dgm:pt modelId="{21B75F9D-E474-48ED-9992-5755C0A3C725}" type="pres">
      <dgm:prSet presAssocID="{DF21633C-FF3A-48B2-B379-2AA4D0E400F9}" presName="level3hierChild" presStyleCnt="0"/>
      <dgm:spPr/>
    </dgm:pt>
    <dgm:pt modelId="{F722E3C9-0C48-4BA9-BC71-8478B5B64E1E}" type="pres">
      <dgm:prSet presAssocID="{A9A67646-8F6B-4328-BB6D-04B33F6C606C}" presName="conn2-1" presStyleLbl="parChTrans1D4" presStyleIdx="4" presStyleCnt="5"/>
      <dgm:spPr/>
      <dgm:t>
        <a:bodyPr/>
        <a:lstStyle/>
        <a:p>
          <a:endParaRPr lang="en-US"/>
        </a:p>
      </dgm:t>
    </dgm:pt>
    <dgm:pt modelId="{104478BD-D1D2-4E59-8C97-9DFC7CA92D39}" type="pres">
      <dgm:prSet presAssocID="{A9A67646-8F6B-4328-BB6D-04B33F6C606C}" presName="connTx" presStyleLbl="parChTrans1D4" presStyleIdx="4" presStyleCnt="5"/>
      <dgm:spPr/>
      <dgm:t>
        <a:bodyPr/>
        <a:lstStyle/>
        <a:p>
          <a:endParaRPr lang="en-US"/>
        </a:p>
      </dgm:t>
    </dgm:pt>
    <dgm:pt modelId="{47B86CC2-1C66-4780-8094-785A1E980D42}" type="pres">
      <dgm:prSet presAssocID="{C9693D31-B2A4-4E7E-B826-EE78ECBEFF67}" presName="root2" presStyleCnt="0"/>
      <dgm:spPr/>
    </dgm:pt>
    <dgm:pt modelId="{69FE2B23-B0E9-4753-BAB7-8D31AA381C39}" type="pres">
      <dgm:prSet presAssocID="{C9693D31-B2A4-4E7E-B826-EE78ECBEFF67}" presName="LevelTwoTextNode" presStyleLbl="node4" presStyleIdx="4" presStyleCnt="5">
        <dgm:presLayoutVars>
          <dgm:chPref val="3"/>
        </dgm:presLayoutVars>
      </dgm:prSet>
      <dgm:spPr/>
      <dgm:t>
        <a:bodyPr/>
        <a:lstStyle/>
        <a:p>
          <a:endParaRPr lang="en-US"/>
        </a:p>
      </dgm:t>
    </dgm:pt>
    <dgm:pt modelId="{0EFFDF71-40D7-46D1-82F8-0C4170CB890C}" type="pres">
      <dgm:prSet presAssocID="{C9693D31-B2A4-4E7E-B826-EE78ECBEFF67}" presName="level3hierChild" presStyleCnt="0"/>
      <dgm:spPr/>
    </dgm:pt>
  </dgm:ptLst>
  <dgm:cxnLst>
    <dgm:cxn modelId="{9D87B11E-2A41-4F99-B4BA-2F11A46A1E5E}" type="presOf" srcId="{CE74CD0B-C200-4E15-A859-1240DAE9FC4A}" destId="{4A8F9D96-4B8A-48F3-B7AD-C6B062CE10EE}" srcOrd="0" destOrd="0" presId="urn:microsoft.com/office/officeart/2005/8/layout/hierarchy2"/>
    <dgm:cxn modelId="{0921DD37-B96C-47AF-9DAC-9F0BE44457E0}" srcId="{CF576C69-B38E-442B-917F-D5E533137661}" destId="{C9693D31-B2A4-4E7E-B826-EE78ECBEFF67}" srcOrd="2" destOrd="0" parTransId="{A9A67646-8F6B-4328-BB6D-04B33F6C606C}" sibTransId="{24396D68-B7FC-4FE6-BF3E-A24419EF0E02}"/>
    <dgm:cxn modelId="{5A94E622-533A-4485-852F-E5823797C15D}" type="presOf" srcId="{DF21633C-FF3A-48B2-B379-2AA4D0E400F9}" destId="{9E03EAD7-0E29-4616-A8C3-350A16CD9AA1}" srcOrd="0" destOrd="0" presId="urn:microsoft.com/office/officeart/2005/8/layout/hierarchy2"/>
    <dgm:cxn modelId="{3EC713FB-D92E-45C7-837B-61436C0F0799}" type="presOf" srcId="{4BBEC823-7C7F-4878-9228-10DB890E08CA}" destId="{DE810F33-3349-42C6-B32B-F7DA35F53B30}" srcOrd="1" destOrd="0" presId="urn:microsoft.com/office/officeart/2005/8/layout/hierarchy2"/>
    <dgm:cxn modelId="{B8123B17-1BD4-4272-8451-E05B2D9ADBF1}" type="presOf" srcId="{A9A67646-8F6B-4328-BB6D-04B33F6C606C}" destId="{104478BD-D1D2-4E59-8C97-9DFC7CA92D39}" srcOrd="1" destOrd="0" presId="urn:microsoft.com/office/officeart/2005/8/layout/hierarchy2"/>
    <dgm:cxn modelId="{1C449891-B403-49A0-B41F-51CFD89C4A08}" srcId="{EF518222-F5EE-4FE5-83DF-01748C4F0AC9}" destId="{CF576C69-B38E-442B-917F-D5E533137661}" srcOrd="1" destOrd="0" parTransId="{5383D268-40A8-48BC-B475-53D8BC87EFFB}" sibTransId="{28D9BE61-444A-4E5A-B90E-D37EC2104BBC}"/>
    <dgm:cxn modelId="{6A500471-0583-4E0D-968A-F45E8B525B4E}" srcId="{BB515541-0AE6-429F-B246-98C753AC6273}" destId="{EF518222-F5EE-4FE5-83DF-01748C4F0AC9}" srcOrd="1" destOrd="0" parTransId="{7D25F81D-2379-4019-B269-48ABE053439F}" sibTransId="{FD9B2DED-2429-4BA5-B5FD-0E4B4AA704F4}"/>
    <dgm:cxn modelId="{FEE9FA6F-1814-4021-A20A-3A7D13B8F89D}" type="presOf" srcId="{57ACD2A2-F4A2-4A97-B2EE-9FC0AEDC5563}" destId="{1E889FBB-D869-473D-AE12-A4AFBB709C68}" srcOrd="0" destOrd="0" presId="urn:microsoft.com/office/officeart/2005/8/layout/hierarchy2"/>
    <dgm:cxn modelId="{919114C9-C51A-46D2-919E-57A99DA1F4E8}" srcId="{CD4C046C-649D-48D5-90F3-BE7ED9720890}" destId="{BB515541-0AE6-429F-B246-98C753AC6273}" srcOrd="0" destOrd="0" parTransId="{DC80C17D-FFDD-44C5-8AB7-4BD1F893CAC9}" sibTransId="{9AA5256C-8C5F-4B74-8774-95EBBA885EEC}"/>
    <dgm:cxn modelId="{7567FDC5-CEAE-4481-8A3C-1411216E9213}" type="presOf" srcId="{93F607D2-CC9C-453A-8952-B4C6D6E06D57}" destId="{CE13F72F-5AD2-4A6D-993E-E88A608F782A}" srcOrd="0" destOrd="0" presId="urn:microsoft.com/office/officeart/2005/8/layout/hierarchy2"/>
    <dgm:cxn modelId="{57DC4CF7-DA8E-4C77-90CA-4779FE353662}" type="presOf" srcId="{57ACD2A2-F4A2-4A97-B2EE-9FC0AEDC5563}" destId="{83AE39C0-082D-48AB-9E66-566496B23101}" srcOrd="1" destOrd="0" presId="urn:microsoft.com/office/officeart/2005/8/layout/hierarchy2"/>
    <dgm:cxn modelId="{C1CA2F0D-9A65-44C0-958E-AC0D5ECBDF0D}" type="presOf" srcId="{BB515541-0AE6-429F-B246-98C753AC6273}" destId="{187CB8C2-E701-4C1B-9A63-B2B616914F08}" srcOrd="0" destOrd="0" presId="urn:microsoft.com/office/officeart/2005/8/layout/hierarchy2"/>
    <dgm:cxn modelId="{C3306966-F950-4FC1-B717-D81778753BCD}" type="presOf" srcId="{826EEE8C-AE9B-46E8-8FB5-E850B75989DA}" destId="{F95388B4-4D95-4C61-9CB9-2756DEFDA942}" srcOrd="0" destOrd="0" presId="urn:microsoft.com/office/officeart/2005/8/layout/hierarchy2"/>
    <dgm:cxn modelId="{70CA4D37-37F9-4DBB-A341-BE4B9534E267}" type="presOf" srcId="{7D25F81D-2379-4019-B269-48ABE053439F}" destId="{13BDFBFD-476E-4712-93FA-CB685D4E81BC}" srcOrd="1" destOrd="0" presId="urn:microsoft.com/office/officeart/2005/8/layout/hierarchy2"/>
    <dgm:cxn modelId="{C2E09797-3F50-41DD-B7CD-E51D3CC5D34D}" type="presOf" srcId="{4D680322-FD1E-4D72-A201-425AF70D51B5}" destId="{9507E62D-EDF8-460D-8707-D758D3E9884C}" srcOrd="1" destOrd="0" presId="urn:microsoft.com/office/officeart/2005/8/layout/hierarchy2"/>
    <dgm:cxn modelId="{A48C52F3-8567-4B6F-BA58-0C0DB165527E}" srcId="{E230ACFD-09B7-46A3-A370-4671E0816A59}" destId="{8EA00C60-1575-49E0-9E88-ABC0DC26CCA6}" srcOrd="0" destOrd="0" parTransId="{57ACD2A2-F4A2-4A97-B2EE-9FC0AEDC5563}" sibTransId="{57C06BA0-D0F6-4AB1-8301-AC77460338F5}"/>
    <dgm:cxn modelId="{0AF0B6DF-D298-45F4-BE83-ABBE8BD0361B}" type="presOf" srcId="{4BBEC823-7C7F-4878-9228-10DB890E08CA}" destId="{4987836E-EF92-441A-B354-2BDE3149905D}" srcOrd="0" destOrd="0" presId="urn:microsoft.com/office/officeart/2005/8/layout/hierarchy2"/>
    <dgm:cxn modelId="{72828538-6AB7-4869-AEB5-94478ACDCD37}" srcId="{BB515541-0AE6-429F-B246-98C753AC6273}" destId="{CE74CD0B-C200-4E15-A859-1240DAE9FC4A}" srcOrd="0" destOrd="0" parTransId="{93F607D2-CC9C-453A-8952-B4C6D6E06D57}" sibTransId="{BF4C1CD0-86B5-4F69-8134-E9C4B55D720E}"/>
    <dgm:cxn modelId="{0DB92CE4-0742-4A6F-B727-5A5392C7A314}" type="presOf" srcId="{CD4C046C-649D-48D5-90F3-BE7ED9720890}" destId="{6DFBA21D-7070-48B9-B931-1A29631AADE4}" srcOrd="0" destOrd="0" presId="urn:microsoft.com/office/officeart/2005/8/layout/hierarchy2"/>
    <dgm:cxn modelId="{2968192D-7A64-4A30-804E-5E881584A619}" type="presOf" srcId="{6AAC7896-9EFB-40B0-BC79-8F3BB4FD5FFC}" destId="{7DFEC795-EDBD-4870-8A2A-672F2F0D90D0}" srcOrd="0" destOrd="0" presId="urn:microsoft.com/office/officeart/2005/8/layout/hierarchy2"/>
    <dgm:cxn modelId="{76802937-22A6-423B-955C-7CA5C01ED55A}" type="presOf" srcId="{5383D268-40A8-48BC-B475-53D8BC87EFFB}" destId="{A550213A-8492-4D86-9C2C-59AA797F7B4A}" srcOrd="0" destOrd="0" presId="urn:microsoft.com/office/officeart/2005/8/layout/hierarchy2"/>
    <dgm:cxn modelId="{B9130A59-0DA7-495A-9EB5-6842028BB577}" type="presOf" srcId="{917B1E67-FE4D-42E0-8EBA-A3422800A8EC}" destId="{3C9EB5D1-2452-4F84-B8E3-304E4E918421}" srcOrd="0" destOrd="0" presId="urn:microsoft.com/office/officeart/2005/8/layout/hierarchy2"/>
    <dgm:cxn modelId="{B46B318A-E5CF-4AA6-BF20-04C8E625F387}" type="presOf" srcId="{B7345C98-2F0E-467D-895D-BAD1209A08C3}" destId="{DB8723B6-C714-4525-AAF3-6BA34621CAE1}" srcOrd="0" destOrd="0" presId="urn:microsoft.com/office/officeart/2005/8/layout/hierarchy2"/>
    <dgm:cxn modelId="{C18A8D67-FD3D-40BC-849F-79492EC53506}" srcId="{CF576C69-B38E-442B-917F-D5E533137661}" destId="{826EEE8C-AE9B-46E8-8FB5-E850B75989DA}" srcOrd="0" destOrd="0" parTransId="{4D680322-FD1E-4D72-A201-425AF70D51B5}" sibTransId="{FC7FAE8D-FCBA-4646-B13E-3E11027E15EA}"/>
    <dgm:cxn modelId="{73D2CC6A-ACB2-46F3-930A-5C9D75F1EBD6}" type="presOf" srcId="{4D680322-FD1E-4D72-A201-425AF70D51B5}" destId="{D9600E67-E244-4DC2-84EF-A4B621190471}" srcOrd="0" destOrd="0" presId="urn:microsoft.com/office/officeart/2005/8/layout/hierarchy2"/>
    <dgm:cxn modelId="{97A5389B-0105-4BB7-91F7-441DDAB96CF4}" type="presOf" srcId="{EF518222-F5EE-4FE5-83DF-01748C4F0AC9}" destId="{048EE125-0427-4D29-B956-FAA1AA3F6028}" srcOrd="0" destOrd="0" presId="urn:microsoft.com/office/officeart/2005/8/layout/hierarchy2"/>
    <dgm:cxn modelId="{1D1D3302-C3B5-47B8-846F-578830821159}" type="presOf" srcId="{6AAC7896-9EFB-40B0-BC79-8F3BB4FD5FFC}" destId="{7607EE5C-DF19-47D9-AA88-B519157A09D6}" srcOrd="1" destOrd="0" presId="urn:microsoft.com/office/officeart/2005/8/layout/hierarchy2"/>
    <dgm:cxn modelId="{E12491B0-8BA2-4B1C-ABA8-228D92003A44}" type="presOf" srcId="{7D25F81D-2379-4019-B269-48ABE053439F}" destId="{AEEA52BD-76B0-4D14-8A5A-4EFD4529A49C}" srcOrd="0" destOrd="0" presId="urn:microsoft.com/office/officeart/2005/8/layout/hierarchy2"/>
    <dgm:cxn modelId="{395A89D4-A8E5-4216-927F-EA5A6BDDA590}" srcId="{EF518222-F5EE-4FE5-83DF-01748C4F0AC9}" destId="{E230ACFD-09B7-46A3-A370-4671E0816A59}" srcOrd="0" destOrd="0" parTransId="{6AAC7896-9EFB-40B0-BC79-8F3BB4FD5FFC}" sibTransId="{5ED7E7B9-B5A6-4A44-8117-645071B613DF}"/>
    <dgm:cxn modelId="{C192CDC9-7981-433A-B768-CD72FA473583}" type="presOf" srcId="{5383D268-40A8-48BC-B475-53D8BC87EFFB}" destId="{0EA4BE86-A85B-47AA-B550-F096D9CB1671}" srcOrd="1" destOrd="0" presId="urn:microsoft.com/office/officeart/2005/8/layout/hierarchy2"/>
    <dgm:cxn modelId="{7D8F6AEF-DA2A-416C-9B21-E7E280643786}" srcId="{E230ACFD-09B7-46A3-A370-4671E0816A59}" destId="{917B1E67-FE4D-42E0-8EBA-A3422800A8EC}" srcOrd="1" destOrd="0" parTransId="{4BBEC823-7C7F-4878-9228-10DB890E08CA}" sibTransId="{02D3F5FF-E502-4486-946E-CC2E27F94702}"/>
    <dgm:cxn modelId="{6D2A9F4F-8634-4511-9910-797C6A563D55}" srcId="{CF576C69-B38E-442B-917F-D5E533137661}" destId="{DF21633C-FF3A-48B2-B379-2AA4D0E400F9}" srcOrd="1" destOrd="0" parTransId="{B7345C98-2F0E-467D-895D-BAD1209A08C3}" sibTransId="{82C55D15-EA1B-473C-BF1C-F2A10B738077}"/>
    <dgm:cxn modelId="{F1369813-30F9-4F9B-9051-2E04C7B4A7D2}" type="presOf" srcId="{B7345C98-2F0E-467D-895D-BAD1209A08C3}" destId="{32BAF6B1-0DCA-4644-9EB1-97B7C7D11DE7}" srcOrd="1" destOrd="0" presId="urn:microsoft.com/office/officeart/2005/8/layout/hierarchy2"/>
    <dgm:cxn modelId="{075AAD14-97CE-4B43-8982-B858C9BE8AAD}" type="presOf" srcId="{E230ACFD-09B7-46A3-A370-4671E0816A59}" destId="{33814A5C-B32F-4350-AED2-381EA0F88885}" srcOrd="0" destOrd="0" presId="urn:microsoft.com/office/officeart/2005/8/layout/hierarchy2"/>
    <dgm:cxn modelId="{13C4B86C-02E8-4CFC-8C87-CEA9A8F40C36}" type="presOf" srcId="{A9A67646-8F6B-4328-BB6D-04B33F6C606C}" destId="{F722E3C9-0C48-4BA9-BC71-8478B5B64E1E}" srcOrd="0" destOrd="0" presId="urn:microsoft.com/office/officeart/2005/8/layout/hierarchy2"/>
    <dgm:cxn modelId="{D03494C9-14E3-48EF-ACC7-B5E6A67798AD}" type="presOf" srcId="{C9693D31-B2A4-4E7E-B826-EE78ECBEFF67}" destId="{69FE2B23-B0E9-4753-BAB7-8D31AA381C39}" srcOrd="0" destOrd="0" presId="urn:microsoft.com/office/officeart/2005/8/layout/hierarchy2"/>
    <dgm:cxn modelId="{2F5DE912-D27F-4AC0-97E3-BDD02422AD96}" type="presOf" srcId="{8EA00C60-1575-49E0-9E88-ABC0DC26CCA6}" destId="{D25069F7-06C3-4B33-A3B7-891339F3AAB3}" srcOrd="0" destOrd="0" presId="urn:microsoft.com/office/officeart/2005/8/layout/hierarchy2"/>
    <dgm:cxn modelId="{F68D5ED0-0A76-4AE9-8DA1-CC87EB49764E}" type="presOf" srcId="{CF576C69-B38E-442B-917F-D5E533137661}" destId="{75B0F54D-5F7B-49EF-9C8E-29479887560A}" srcOrd="0" destOrd="0" presId="urn:microsoft.com/office/officeart/2005/8/layout/hierarchy2"/>
    <dgm:cxn modelId="{C0981AAC-9DCF-4D71-A30A-B0D4CA521548}" type="presOf" srcId="{93F607D2-CC9C-453A-8952-B4C6D6E06D57}" destId="{672913D1-BB2C-4577-A857-37652638E440}" srcOrd="1" destOrd="0" presId="urn:microsoft.com/office/officeart/2005/8/layout/hierarchy2"/>
    <dgm:cxn modelId="{12115037-845C-403B-A5A0-915C49474A10}" type="presParOf" srcId="{6DFBA21D-7070-48B9-B931-1A29631AADE4}" destId="{DA59A69E-8638-458E-9D35-88A44EA2C8FF}" srcOrd="0" destOrd="0" presId="urn:microsoft.com/office/officeart/2005/8/layout/hierarchy2"/>
    <dgm:cxn modelId="{BB9A3AA9-A68F-452E-BF71-0F7F530455DC}" type="presParOf" srcId="{DA59A69E-8638-458E-9D35-88A44EA2C8FF}" destId="{187CB8C2-E701-4C1B-9A63-B2B616914F08}" srcOrd="0" destOrd="0" presId="urn:microsoft.com/office/officeart/2005/8/layout/hierarchy2"/>
    <dgm:cxn modelId="{481C8002-DC25-4FE0-93C1-F389D1C19E69}" type="presParOf" srcId="{DA59A69E-8638-458E-9D35-88A44EA2C8FF}" destId="{AF0CD2F8-5D40-4738-9122-7AA51C964151}" srcOrd="1" destOrd="0" presId="urn:microsoft.com/office/officeart/2005/8/layout/hierarchy2"/>
    <dgm:cxn modelId="{1C774DFC-AF34-4DF5-9BB4-E73FFFE02394}" type="presParOf" srcId="{AF0CD2F8-5D40-4738-9122-7AA51C964151}" destId="{CE13F72F-5AD2-4A6D-993E-E88A608F782A}" srcOrd="0" destOrd="0" presId="urn:microsoft.com/office/officeart/2005/8/layout/hierarchy2"/>
    <dgm:cxn modelId="{CE158112-A451-4455-9328-F20712BD8D9A}" type="presParOf" srcId="{CE13F72F-5AD2-4A6D-993E-E88A608F782A}" destId="{672913D1-BB2C-4577-A857-37652638E440}" srcOrd="0" destOrd="0" presId="urn:microsoft.com/office/officeart/2005/8/layout/hierarchy2"/>
    <dgm:cxn modelId="{87476B3D-790B-464E-9FBF-63DDFEC6794B}" type="presParOf" srcId="{AF0CD2F8-5D40-4738-9122-7AA51C964151}" destId="{A618965E-34F7-4D6B-88B5-548AA1497131}" srcOrd="1" destOrd="0" presId="urn:microsoft.com/office/officeart/2005/8/layout/hierarchy2"/>
    <dgm:cxn modelId="{A332D8AE-CFFD-4CB7-8502-B1F06A8A695D}" type="presParOf" srcId="{A618965E-34F7-4D6B-88B5-548AA1497131}" destId="{4A8F9D96-4B8A-48F3-B7AD-C6B062CE10EE}" srcOrd="0" destOrd="0" presId="urn:microsoft.com/office/officeart/2005/8/layout/hierarchy2"/>
    <dgm:cxn modelId="{74438198-D6DC-4126-9DFB-622364DEE5DD}" type="presParOf" srcId="{A618965E-34F7-4D6B-88B5-548AA1497131}" destId="{5751D5AD-1025-4692-819C-21EF9215A730}" srcOrd="1" destOrd="0" presId="urn:microsoft.com/office/officeart/2005/8/layout/hierarchy2"/>
    <dgm:cxn modelId="{3751EA40-D546-425E-9F6E-8BD8DAD9027D}" type="presParOf" srcId="{AF0CD2F8-5D40-4738-9122-7AA51C964151}" destId="{AEEA52BD-76B0-4D14-8A5A-4EFD4529A49C}" srcOrd="2" destOrd="0" presId="urn:microsoft.com/office/officeart/2005/8/layout/hierarchy2"/>
    <dgm:cxn modelId="{FCB685B6-144B-400D-9639-164AF258D440}" type="presParOf" srcId="{AEEA52BD-76B0-4D14-8A5A-4EFD4529A49C}" destId="{13BDFBFD-476E-4712-93FA-CB685D4E81BC}" srcOrd="0" destOrd="0" presId="urn:microsoft.com/office/officeart/2005/8/layout/hierarchy2"/>
    <dgm:cxn modelId="{02E800F9-19C0-4F73-AA00-FEED9E94A1A4}" type="presParOf" srcId="{AF0CD2F8-5D40-4738-9122-7AA51C964151}" destId="{0262C2D7-2223-49E6-AF19-0241C4900195}" srcOrd="3" destOrd="0" presId="urn:microsoft.com/office/officeart/2005/8/layout/hierarchy2"/>
    <dgm:cxn modelId="{9BAD30EC-7ACD-4DDF-B661-68E4D61B033C}" type="presParOf" srcId="{0262C2D7-2223-49E6-AF19-0241C4900195}" destId="{048EE125-0427-4D29-B956-FAA1AA3F6028}" srcOrd="0" destOrd="0" presId="urn:microsoft.com/office/officeart/2005/8/layout/hierarchy2"/>
    <dgm:cxn modelId="{2C1A386E-2302-43DF-9739-AF5CF95630D5}" type="presParOf" srcId="{0262C2D7-2223-49E6-AF19-0241C4900195}" destId="{1AC84BA1-72F1-4568-A5B7-9CCAB8161B15}" srcOrd="1" destOrd="0" presId="urn:microsoft.com/office/officeart/2005/8/layout/hierarchy2"/>
    <dgm:cxn modelId="{9533C4BD-6E70-4A56-99DD-DE0B90239FED}" type="presParOf" srcId="{1AC84BA1-72F1-4568-A5B7-9CCAB8161B15}" destId="{7DFEC795-EDBD-4870-8A2A-672F2F0D90D0}" srcOrd="0" destOrd="0" presId="urn:microsoft.com/office/officeart/2005/8/layout/hierarchy2"/>
    <dgm:cxn modelId="{5178C5B3-F79D-4ED3-9141-69A36A4DD545}" type="presParOf" srcId="{7DFEC795-EDBD-4870-8A2A-672F2F0D90D0}" destId="{7607EE5C-DF19-47D9-AA88-B519157A09D6}" srcOrd="0" destOrd="0" presId="urn:microsoft.com/office/officeart/2005/8/layout/hierarchy2"/>
    <dgm:cxn modelId="{B64392D3-BC40-420A-8A71-273300069773}" type="presParOf" srcId="{1AC84BA1-72F1-4568-A5B7-9CCAB8161B15}" destId="{1A725185-4EDC-47D2-A6D1-974E0148D176}" srcOrd="1" destOrd="0" presId="urn:microsoft.com/office/officeart/2005/8/layout/hierarchy2"/>
    <dgm:cxn modelId="{CB7E9DDF-2A77-4552-8B49-0290903D9964}" type="presParOf" srcId="{1A725185-4EDC-47D2-A6D1-974E0148D176}" destId="{33814A5C-B32F-4350-AED2-381EA0F88885}" srcOrd="0" destOrd="0" presId="urn:microsoft.com/office/officeart/2005/8/layout/hierarchy2"/>
    <dgm:cxn modelId="{A77CB695-1AB6-4EC2-BE36-11B0CAF0997B}" type="presParOf" srcId="{1A725185-4EDC-47D2-A6D1-974E0148D176}" destId="{171E8275-9C8F-4582-AD37-50AAE81FEF27}" srcOrd="1" destOrd="0" presId="urn:microsoft.com/office/officeart/2005/8/layout/hierarchy2"/>
    <dgm:cxn modelId="{453565B3-79B8-42A8-98DC-9E3B9CAB9C95}" type="presParOf" srcId="{171E8275-9C8F-4582-AD37-50AAE81FEF27}" destId="{1E889FBB-D869-473D-AE12-A4AFBB709C68}" srcOrd="0" destOrd="0" presId="urn:microsoft.com/office/officeart/2005/8/layout/hierarchy2"/>
    <dgm:cxn modelId="{5D3D01BC-FF55-4457-9F2E-72D6C2EDF92C}" type="presParOf" srcId="{1E889FBB-D869-473D-AE12-A4AFBB709C68}" destId="{83AE39C0-082D-48AB-9E66-566496B23101}" srcOrd="0" destOrd="0" presId="urn:microsoft.com/office/officeart/2005/8/layout/hierarchy2"/>
    <dgm:cxn modelId="{61EFC64A-A2EA-4CC5-91DA-6616885AEBF5}" type="presParOf" srcId="{171E8275-9C8F-4582-AD37-50AAE81FEF27}" destId="{AA70F406-C7D8-45AC-B1D1-CDCFDD02A917}" srcOrd="1" destOrd="0" presId="urn:microsoft.com/office/officeart/2005/8/layout/hierarchy2"/>
    <dgm:cxn modelId="{2932360B-7E9F-4953-96A6-E8032D670E7B}" type="presParOf" srcId="{AA70F406-C7D8-45AC-B1D1-CDCFDD02A917}" destId="{D25069F7-06C3-4B33-A3B7-891339F3AAB3}" srcOrd="0" destOrd="0" presId="urn:microsoft.com/office/officeart/2005/8/layout/hierarchy2"/>
    <dgm:cxn modelId="{E6DD4EF6-2CC7-4AE6-9323-150D23CFFDF5}" type="presParOf" srcId="{AA70F406-C7D8-45AC-B1D1-CDCFDD02A917}" destId="{992C52AF-C94B-45A9-BBC4-CCFB5753BA24}" srcOrd="1" destOrd="0" presId="urn:microsoft.com/office/officeart/2005/8/layout/hierarchy2"/>
    <dgm:cxn modelId="{B997187B-1174-412F-9712-463DE1DF4F51}" type="presParOf" srcId="{171E8275-9C8F-4582-AD37-50AAE81FEF27}" destId="{4987836E-EF92-441A-B354-2BDE3149905D}" srcOrd="2" destOrd="0" presId="urn:microsoft.com/office/officeart/2005/8/layout/hierarchy2"/>
    <dgm:cxn modelId="{80D11D92-2965-432A-994D-501BAF096BB2}" type="presParOf" srcId="{4987836E-EF92-441A-B354-2BDE3149905D}" destId="{DE810F33-3349-42C6-B32B-F7DA35F53B30}" srcOrd="0" destOrd="0" presId="urn:microsoft.com/office/officeart/2005/8/layout/hierarchy2"/>
    <dgm:cxn modelId="{0EDD8569-62C1-4F38-9F83-0D8EF932DA92}" type="presParOf" srcId="{171E8275-9C8F-4582-AD37-50AAE81FEF27}" destId="{8E8DF4A3-5213-4D69-84D7-A8A66D82C75D}" srcOrd="3" destOrd="0" presId="urn:microsoft.com/office/officeart/2005/8/layout/hierarchy2"/>
    <dgm:cxn modelId="{641A3AC7-2875-4C6C-86FC-013C44440F4C}" type="presParOf" srcId="{8E8DF4A3-5213-4D69-84D7-A8A66D82C75D}" destId="{3C9EB5D1-2452-4F84-B8E3-304E4E918421}" srcOrd="0" destOrd="0" presId="urn:microsoft.com/office/officeart/2005/8/layout/hierarchy2"/>
    <dgm:cxn modelId="{EBDC0FB9-9C49-44C0-9BC5-5D7D3C95A631}" type="presParOf" srcId="{8E8DF4A3-5213-4D69-84D7-A8A66D82C75D}" destId="{B4C930EF-028E-4B4D-97A2-A0965EB7687D}" srcOrd="1" destOrd="0" presId="urn:microsoft.com/office/officeart/2005/8/layout/hierarchy2"/>
    <dgm:cxn modelId="{ECA45274-CBA1-427E-B436-64B59CE0643B}" type="presParOf" srcId="{1AC84BA1-72F1-4568-A5B7-9CCAB8161B15}" destId="{A550213A-8492-4D86-9C2C-59AA797F7B4A}" srcOrd="2" destOrd="0" presId="urn:microsoft.com/office/officeart/2005/8/layout/hierarchy2"/>
    <dgm:cxn modelId="{C8A425F9-E8E4-4CDB-985C-DE0D78464869}" type="presParOf" srcId="{A550213A-8492-4D86-9C2C-59AA797F7B4A}" destId="{0EA4BE86-A85B-47AA-B550-F096D9CB1671}" srcOrd="0" destOrd="0" presId="urn:microsoft.com/office/officeart/2005/8/layout/hierarchy2"/>
    <dgm:cxn modelId="{035BB357-1E07-4148-848B-CCC5026231B2}" type="presParOf" srcId="{1AC84BA1-72F1-4568-A5B7-9CCAB8161B15}" destId="{97CED86E-A486-4B34-9764-E91D9C65985E}" srcOrd="3" destOrd="0" presId="urn:microsoft.com/office/officeart/2005/8/layout/hierarchy2"/>
    <dgm:cxn modelId="{5C5AB0C9-3B45-47FC-A0C1-8D7B308689CF}" type="presParOf" srcId="{97CED86E-A486-4B34-9764-E91D9C65985E}" destId="{75B0F54D-5F7B-49EF-9C8E-29479887560A}" srcOrd="0" destOrd="0" presId="urn:microsoft.com/office/officeart/2005/8/layout/hierarchy2"/>
    <dgm:cxn modelId="{E5AC2DF9-75CB-4AB7-B8EE-4AD96421D2CD}" type="presParOf" srcId="{97CED86E-A486-4B34-9764-E91D9C65985E}" destId="{9D2857F6-EF91-40FC-B804-5EE5775B1E8D}" srcOrd="1" destOrd="0" presId="urn:microsoft.com/office/officeart/2005/8/layout/hierarchy2"/>
    <dgm:cxn modelId="{80970813-F746-45C5-B49E-825381B09417}" type="presParOf" srcId="{9D2857F6-EF91-40FC-B804-5EE5775B1E8D}" destId="{D9600E67-E244-4DC2-84EF-A4B621190471}" srcOrd="0" destOrd="0" presId="urn:microsoft.com/office/officeart/2005/8/layout/hierarchy2"/>
    <dgm:cxn modelId="{912C5D94-C56F-47EF-BE35-E54E44D0C3A5}" type="presParOf" srcId="{D9600E67-E244-4DC2-84EF-A4B621190471}" destId="{9507E62D-EDF8-460D-8707-D758D3E9884C}" srcOrd="0" destOrd="0" presId="urn:microsoft.com/office/officeart/2005/8/layout/hierarchy2"/>
    <dgm:cxn modelId="{2F0B5BA6-7E17-4F04-A0AE-F0D6782CC946}" type="presParOf" srcId="{9D2857F6-EF91-40FC-B804-5EE5775B1E8D}" destId="{6D2C7999-761C-4718-A1E7-60F5EEC70CBC}" srcOrd="1" destOrd="0" presId="urn:microsoft.com/office/officeart/2005/8/layout/hierarchy2"/>
    <dgm:cxn modelId="{73C8CF7A-58AF-48AA-AF9E-D9FBD1FBD4D3}" type="presParOf" srcId="{6D2C7999-761C-4718-A1E7-60F5EEC70CBC}" destId="{F95388B4-4D95-4C61-9CB9-2756DEFDA942}" srcOrd="0" destOrd="0" presId="urn:microsoft.com/office/officeart/2005/8/layout/hierarchy2"/>
    <dgm:cxn modelId="{1A3AC36C-BF9E-40C1-9170-AD8B03C545A1}" type="presParOf" srcId="{6D2C7999-761C-4718-A1E7-60F5EEC70CBC}" destId="{44AF0D7C-69D9-40A2-ABE0-69E85CBCF316}" srcOrd="1" destOrd="0" presId="urn:microsoft.com/office/officeart/2005/8/layout/hierarchy2"/>
    <dgm:cxn modelId="{AF13AE55-83FF-451C-B64B-75E5AAA68285}" type="presParOf" srcId="{9D2857F6-EF91-40FC-B804-5EE5775B1E8D}" destId="{DB8723B6-C714-4525-AAF3-6BA34621CAE1}" srcOrd="2" destOrd="0" presId="urn:microsoft.com/office/officeart/2005/8/layout/hierarchy2"/>
    <dgm:cxn modelId="{FE4BA499-57B3-4E49-B6BB-6B548EB212BA}" type="presParOf" srcId="{DB8723B6-C714-4525-AAF3-6BA34621CAE1}" destId="{32BAF6B1-0DCA-4644-9EB1-97B7C7D11DE7}" srcOrd="0" destOrd="0" presId="urn:microsoft.com/office/officeart/2005/8/layout/hierarchy2"/>
    <dgm:cxn modelId="{8A6913E7-1522-4772-A441-A5D104D724BC}" type="presParOf" srcId="{9D2857F6-EF91-40FC-B804-5EE5775B1E8D}" destId="{7F70B3BF-1F21-4265-99E0-0A9E12EEDFAA}" srcOrd="3" destOrd="0" presId="urn:microsoft.com/office/officeart/2005/8/layout/hierarchy2"/>
    <dgm:cxn modelId="{426C3FE5-8C61-4B0D-A50C-4F581C715FF2}" type="presParOf" srcId="{7F70B3BF-1F21-4265-99E0-0A9E12EEDFAA}" destId="{9E03EAD7-0E29-4616-A8C3-350A16CD9AA1}" srcOrd="0" destOrd="0" presId="urn:microsoft.com/office/officeart/2005/8/layout/hierarchy2"/>
    <dgm:cxn modelId="{3D30ED9E-4857-4B56-864A-9EE6CF75244F}" type="presParOf" srcId="{7F70B3BF-1F21-4265-99E0-0A9E12EEDFAA}" destId="{21B75F9D-E474-48ED-9992-5755C0A3C725}" srcOrd="1" destOrd="0" presId="urn:microsoft.com/office/officeart/2005/8/layout/hierarchy2"/>
    <dgm:cxn modelId="{EC644259-318C-4DFC-9F3C-C9787F6B6C36}" type="presParOf" srcId="{9D2857F6-EF91-40FC-B804-5EE5775B1E8D}" destId="{F722E3C9-0C48-4BA9-BC71-8478B5B64E1E}" srcOrd="4" destOrd="0" presId="urn:microsoft.com/office/officeart/2005/8/layout/hierarchy2"/>
    <dgm:cxn modelId="{19B7FC29-2476-4C5B-81E9-D6E35D3F070E}" type="presParOf" srcId="{F722E3C9-0C48-4BA9-BC71-8478B5B64E1E}" destId="{104478BD-D1D2-4E59-8C97-9DFC7CA92D39}" srcOrd="0" destOrd="0" presId="urn:microsoft.com/office/officeart/2005/8/layout/hierarchy2"/>
    <dgm:cxn modelId="{95A9F539-7540-4B83-990B-157C5AFB5059}" type="presParOf" srcId="{9D2857F6-EF91-40FC-B804-5EE5775B1E8D}" destId="{47B86CC2-1C66-4780-8094-785A1E980D42}" srcOrd="5" destOrd="0" presId="urn:microsoft.com/office/officeart/2005/8/layout/hierarchy2"/>
    <dgm:cxn modelId="{CD5A3134-A579-4D82-917A-0CA2942082C6}" type="presParOf" srcId="{47B86CC2-1C66-4780-8094-785A1E980D42}" destId="{69FE2B23-B0E9-4753-BAB7-8D31AA381C39}" srcOrd="0" destOrd="0" presId="urn:microsoft.com/office/officeart/2005/8/layout/hierarchy2"/>
    <dgm:cxn modelId="{16880DD7-DC81-480E-A720-DC04496FA188}" type="presParOf" srcId="{47B86CC2-1C66-4780-8094-785A1E980D42}" destId="{0EFFDF71-40D7-46D1-82F8-0C4170CB890C}" srcOrd="1" destOrd="0" presId="urn:microsoft.com/office/officeart/2005/8/layout/hierarchy2"/>
  </dgm:cxnLst>
  <dgm:bg/>
  <dgm:whole/>
  <dgm:extLst>
    <a:ext uri="http://schemas.microsoft.com/office/drawing/2008/diagram">
      <dsp:dataModelExt xmlns:dsp="http://schemas.microsoft.com/office/drawing/2008/diagram" xmlns="" relId="rId13"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187CB8C2-E701-4C1B-9A63-B2B616914F08}">
      <dsp:nvSpPr>
        <dsp:cNvPr id="0" name=""/>
        <dsp:cNvSpPr/>
      </dsp:nvSpPr>
      <dsp:spPr>
        <a:xfrm>
          <a:off x="1144" y="1089211"/>
          <a:ext cx="1141094" cy="570547"/>
        </a:xfrm>
        <a:prstGeom prst="roundRect">
          <a:avLst>
            <a:gd name="adj" fmla="val 10000"/>
          </a:avLst>
        </a:prstGeom>
        <a:gradFill rotWithShape="0">
          <a:gsLst>
            <a:gs pos="0">
              <a:schemeClr val="accent1">
                <a:shade val="80000"/>
                <a:hueOff val="0"/>
                <a:satOff val="0"/>
                <a:lumOff val="0"/>
                <a:alphaOff val="0"/>
                <a:shade val="51000"/>
                <a:satMod val="130000"/>
              </a:schemeClr>
            </a:gs>
            <a:gs pos="80000">
              <a:schemeClr val="accent1">
                <a:shade val="80000"/>
                <a:hueOff val="0"/>
                <a:satOff val="0"/>
                <a:lumOff val="0"/>
                <a:alphaOff val="0"/>
                <a:shade val="93000"/>
                <a:satMod val="130000"/>
              </a:schemeClr>
            </a:gs>
            <a:gs pos="100000">
              <a:schemeClr val="accent1">
                <a:shade val="8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R="0" lvl="0" algn="l" defTabSz="400050" rtl="0">
            <a:lnSpc>
              <a:spcPct val="90000"/>
            </a:lnSpc>
            <a:spcBef>
              <a:spcPct val="0"/>
            </a:spcBef>
            <a:spcAft>
              <a:spcPct val="35000"/>
            </a:spcAft>
          </a:pPr>
          <a:r>
            <a:rPr lang="en-US" sz="900" b="1" kern="1200" baseline="0" smtClean="0">
              <a:latin typeface="Calibri"/>
            </a:rPr>
            <a:t>Content Analysis: Narratives in annual reports</a:t>
          </a:r>
        </a:p>
      </dsp:txBody>
      <dsp:txXfrm>
        <a:off x="1144" y="1089211"/>
        <a:ext cx="1141094" cy="570547"/>
      </dsp:txXfrm>
    </dsp:sp>
    <dsp:sp modelId="{CE13F72F-5AD2-4A6D-993E-E88A608F782A}">
      <dsp:nvSpPr>
        <dsp:cNvPr id="0" name=""/>
        <dsp:cNvSpPr/>
      </dsp:nvSpPr>
      <dsp:spPr>
        <a:xfrm rot="19457599">
          <a:off x="1089404" y="1196698"/>
          <a:ext cx="562104" cy="27509"/>
        </a:xfrm>
        <a:custGeom>
          <a:avLst/>
          <a:gdLst/>
          <a:ahLst/>
          <a:cxnLst/>
          <a:rect l="0" t="0" r="0" b="0"/>
          <a:pathLst>
            <a:path>
              <a:moveTo>
                <a:pt x="0" y="13754"/>
              </a:moveTo>
              <a:lnTo>
                <a:pt x="562104" y="13754"/>
              </a:lnTo>
            </a:path>
          </a:pathLst>
        </a:custGeom>
        <a:noFill/>
        <a:ln w="25400" cap="flat" cmpd="sng" algn="ctr">
          <a:solidFill>
            <a:schemeClr val="accent1">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9457599">
        <a:off x="1356404" y="1196400"/>
        <a:ext cx="28105" cy="28105"/>
      </dsp:txXfrm>
    </dsp:sp>
    <dsp:sp modelId="{4A8F9D96-4B8A-48F3-B7AD-C6B062CE10EE}">
      <dsp:nvSpPr>
        <dsp:cNvPr id="0" name=""/>
        <dsp:cNvSpPr/>
      </dsp:nvSpPr>
      <dsp:spPr>
        <a:xfrm>
          <a:off x="1598676" y="761147"/>
          <a:ext cx="1141094" cy="570547"/>
        </a:xfrm>
        <a:prstGeom prst="roundRect">
          <a:avLst>
            <a:gd name="adj" fmla="val 10000"/>
          </a:avLst>
        </a:prstGeom>
        <a:gradFill rotWithShape="0">
          <a:gsLst>
            <a:gs pos="0">
              <a:schemeClr val="accent1">
                <a:tint val="99000"/>
                <a:hueOff val="0"/>
                <a:satOff val="0"/>
                <a:lumOff val="0"/>
                <a:alphaOff val="0"/>
                <a:shade val="51000"/>
                <a:satMod val="130000"/>
              </a:schemeClr>
            </a:gs>
            <a:gs pos="80000">
              <a:schemeClr val="accent1">
                <a:tint val="99000"/>
                <a:hueOff val="0"/>
                <a:satOff val="0"/>
                <a:lumOff val="0"/>
                <a:alphaOff val="0"/>
                <a:shade val="93000"/>
                <a:satMod val="130000"/>
              </a:schemeClr>
            </a:gs>
            <a:gs pos="100000">
              <a:schemeClr val="accent1">
                <a:tint val="99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R="0" lvl="0" algn="ctr" defTabSz="400050" rtl="0">
            <a:lnSpc>
              <a:spcPct val="90000"/>
            </a:lnSpc>
            <a:spcBef>
              <a:spcPct val="0"/>
            </a:spcBef>
            <a:spcAft>
              <a:spcPct val="35000"/>
            </a:spcAft>
          </a:pPr>
          <a:r>
            <a:rPr lang="en-US" sz="900" kern="1200" baseline="0" smtClean="0">
              <a:latin typeface="Calibri"/>
            </a:rPr>
            <a:t>Subjective</a:t>
          </a:r>
          <a:endParaRPr lang="en-US" sz="900" kern="1200" smtClean="0"/>
        </a:p>
      </dsp:txBody>
      <dsp:txXfrm>
        <a:off x="1598676" y="761147"/>
        <a:ext cx="1141094" cy="570547"/>
      </dsp:txXfrm>
    </dsp:sp>
    <dsp:sp modelId="{AEEA52BD-76B0-4D14-8A5A-4EFD4529A49C}">
      <dsp:nvSpPr>
        <dsp:cNvPr id="0" name=""/>
        <dsp:cNvSpPr/>
      </dsp:nvSpPr>
      <dsp:spPr>
        <a:xfrm rot="2142401">
          <a:off x="1089404" y="1524762"/>
          <a:ext cx="562104" cy="27509"/>
        </a:xfrm>
        <a:custGeom>
          <a:avLst/>
          <a:gdLst/>
          <a:ahLst/>
          <a:cxnLst/>
          <a:rect l="0" t="0" r="0" b="0"/>
          <a:pathLst>
            <a:path>
              <a:moveTo>
                <a:pt x="0" y="13754"/>
              </a:moveTo>
              <a:lnTo>
                <a:pt x="562104" y="13754"/>
              </a:lnTo>
            </a:path>
          </a:pathLst>
        </a:custGeom>
        <a:noFill/>
        <a:ln w="25400" cap="flat" cmpd="sng" algn="ctr">
          <a:solidFill>
            <a:schemeClr val="accent1">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2142401">
        <a:off x="1356404" y="1524465"/>
        <a:ext cx="28105" cy="28105"/>
      </dsp:txXfrm>
    </dsp:sp>
    <dsp:sp modelId="{048EE125-0427-4D29-B956-FAA1AA3F6028}">
      <dsp:nvSpPr>
        <dsp:cNvPr id="0" name=""/>
        <dsp:cNvSpPr/>
      </dsp:nvSpPr>
      <dsp:spPr>
        <a:xfrm>
          <a:off x="1598676" y="1417276"/>
          <a:ext cx="1141094" cy="570547"/>
        </a:xfrm>
        <a:prstGeom prst="roundRect">
          <a:avLst>
            <a:gd name="adj" fmla="val 10000"/>
          </a:avLst>
        </a:prstGeom>
        <a:gradFill rotWithShape="0">
          <a:gsLst>
            <a:gs pos="0">
              <a:schemeClr val="accent1">
                <a:tint val="99000"/>
                <a:hueOff val="0"/>
                <a:satOff val="0"/>
                <a:lumOff val="0"/>
                <a:alphaOff val="0"/>
                <a:shade val="51000"/>
                <a:satMod val="130000"/>
              </a:schemeClr>
            </a:gs>
            <a:gs pos="80000">
              <a:schemeClr val="accent1">
                <a:tint val="99000"/>
                <a:hueOff val="0"/>
                <a:satOff val="0"/>
                <a:lumOff val="0"/>
                <a:alphaOff val="0"/>
                <a:shade val="93000"/>
                <a:satMod val="130000"/>
              </a:schemeClr>
            </a:gs>
            <a:gs pos="100000">
              <a:schemeClr val="accent1">
                <a:tint val="99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R="0" lvl="0" algn="ctr" defTabSz="400050" rtl="0">
            <a:lnSpc>
              <a:spcPct val="90000"/>
            </a:lnSpc>
            <a:spcBef>
              <a:spcPct val="0"/>
            </a:spcBef>
            <a:spcAft>
              <a:spcPct val="35000"/>
            </a:spcAft>
          </a:pPr>
          <a:r>
            <a:rPr lang="en-US" sz="900" kern="1200" baseline="0" smtClean="0">
              <a:latin typeface="Calibri"/>
            </a:rPr>
            <a:t>Semi-objective</a:t>
          </a:r>
          <a:endParaRPr lang="en-US" sz="900" kern="1200" smtClean="0"/>
        </a:p>
      </dsp:txBody>
      <dsp:txXfrm>
        <a:off x="1598676" y="1417276"/>
        <a:ext cx="1141094" cy="570547"/>
      </dsp:txXfrm>
    </dsp:sp>
    <dsp:sp modelId="{7DFEC795-EDBD-4870-8A2A-672F2F0D90D0}">
      <dsp:nvSpPr>
        <dsp:cNvPr id="0" name=""/>
        <dsp:cNvSpPr/>
      </dsp:nvSpPr>
      <dsp:spPr>
        <a:xfrm rot="17945813">
          <a:off x="2498681" y="1278714"/>
          <a:ext cx="938616" cy="27509"/>
        </a:xfrm>
        <a:custGeom>
          <a:avLst/>
          <a:gdLst/>
          <a:ahLst/>
          <a:cxnLst/>
          <a:rect l="0" t="0" r="0" b="0"/>
          <a:pathLst>
            <a:path>
              <a:moveTo>
                <a:pt x="0" y="13754"/>
              </a:moveTo>
              <a:lnTo>
                <a:pt x="938616" y="13754"/>
              </a:lnTo>
            </a:path>
          </a:pathLst>
        </a:custGeom>
        <a:noFill/>
        <a:ln w="25400" cap="flat" cmpd="sng" algn="ctr">
          <a:solidFill>
            <a:schemeClr val="accent1">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7945813">
        <a:off x="2944524" y="1269003"/>
        <a:ext cx="46930" cy="46930"/>
      </dsp:txXfrm>
    </dsp:sp>
    <dsp:sp modelId="{33814A5C-B32F-4350-AED2-381EA0F88885}">
      <dsp:nvSpPr>
        <dsp:cNvPr id="0" name=""/>
        <dsp:cNvSpPr/>
      </dsp:nvSpPr>
      <dsp:spPr>
        <a:xfrm>
          <a:off x="3196208" y="597115"/>
          <a:ext cx="1141094" cy="570547"/>
        </a:xfrm>
        <a:prstGeom prst="roundRect">
          <a:avLst>
            <a:gd name="adj" fmla="val 10000"/>
          </a:avLst>
        </a:prstGeom>
        <a:gradFill rotWithShape="0">
          <a:gsLst>
            <a:gs pos="0">
              <a:schemeClr val="accent1">
                <a:tint val="80000"/>
                <a:hueOff val="0"/>
                <a:satOff val="0"/>
                <a:lumOff val="0"/>
                <a:alphaOff val="0"/>
                <a:shade val="51000"/>
                <a:satMod val="130000"/>
              </a:schemeClr>
            </a:gs>
            <a:gs pos="80000">
              <a:schemeClr val="accent1">
                <a:tint val="80000"/>
                <a:hueOff val="0"/>
                <a:satOff val="0"/>
                <a:lumOff val="0"/>
                <a:alphaOff val="0"/>
                <a:shade val="93000"/>
                <a:satMod val="130000"/>
              </a:schemeClr>
            </a:gs>
            <a:gs pos="100000">
              <a:schemeClr val="accent1">
                <a:tint val="8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R="0" lvl="0" algn="ctr" defTabSz="400050" rtl="0">
            <a:lnSpc>
              <a:spcPct val="90000"/>
            </a:lnSpc>
            <a:spcBef>
              <a:spcPct val="0"/>
            </a:spcBef>
            <a:spcAft>
              <a:spcPct val="35000"/>
            </a:spcAft>
          </a:pPr>
          <a:r>
            <a:rPr lang="en-US" sz="900" kern="1200" baseline="0" smtClean="0">
              <a:latin typeface="Calibri"/>
            </a:rPr>
            <a:t>Disclosure Index Studies</a:t>
          </a:r>
          <a:endParaRPr lang="en-US" sz="900" kern="1200" smtClean="0"/>
        </a:p>
      </dsp:txBody>
      <dsp:txXfrm>
        <a:off x="3196208" y="597115"/>
        <a:ext cx="1141094" cy="570547"/>
      </dsp:txXfrm>
    </dsp:sp>
    <dsp:sp modelId="{1E889FBB-D869-473D-AE12-A4AFBB709C68}">
      <dsp:nvSpPr>
        <dsp:cNvPr id="0" name=""/>
        <dsp:cNvSpPr/>
      </dsp:nvSpPr>
      <dsp:spPr>
        <a:xfrm rot="19457599">
          <a:off x="4284469" y="704601"/>
          <a:ext cx="562104" cy="27509"/>
        </a:xfrm>
        <a:custGeom>
          <a:avLst/>
          <a:gdLst/>
          <a:ahLst/>
          <a:cxnLst/>
          <a:rect l="0" t="0" r="0" b="0"/>
          <a:pathLst>
            <a:path>
              <a:moveTo>
                <a:pt x="0" y="13754"/>
              </a:moveTo>
              <a:lnTo>
                <a:pt x="562104" y="13754"/>
              </a:lnTo>
            </a:path>
          </a:pathLst>
        </a:custGeom>
        <a:noFill/>
        <a:ln w="25400" cap="flat" cmpd="sng" algn="ctr">
          <a:solidFill>
            <a:schemeClr val="accent1">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9457599">
        <a:off x="4551469" y="704303"/>
        <a:ext cx="28105" cy="28105"/>
      </dsp:txXfrm>
    </dsp:sp>
    <dsp:sp modelId="{D25069F7-06C3-4B33-A3B7-891339F3AAB3}">
      <dsp:nvSpPr>
        <dsp:cNvPr id="0" name=""/>
        <dsp:cNvSpPr/>
      </dsp:nvSpPr>
      <dsp:spPr>
        <a:xfrm>
          <a:off x="4793740" y="269050"/>
          <a:ext cx="1141094" cy="570547"/>
        </a:xfrm>
        <a:prstGeom prst="roundRect">
          <a:avLst>
            <a:gd name="adj" fmla="val 10000"/>
          </a:avLst>
        </a:prstGeom>
        <a:gradFill rotWithShape="0">
          <a:gsLst>
            <a:gs pos="0">
              <a:schemeClr val="accent1">
                <a:tint val="70000"/>
                <a:hueOff val="0"/>
                <a:satOff val="0"/>
                <a:lumOff val="0"/>
                <a:alphaOff val="0"/>
                <a:shade val="51000"/>
                <a:satMod val="130000"/>
              </a:schemeClr>
            </a:gs>
            <a:gs pos="80000">
              <a:schemeClr val="accent1">
                <a:tint val="70000"/>
                <a:hueOff val="0"/>
                <a:satOff val="0"/>
                <a:lumOff val="0"/>
                <a:alphaOff val="0"/>
                <a:shade val="93000"/>
                <a:satMod val="130000"/>
              </a:schemeClr>
            </a:gs>
            <a:gs pos="100000">
              <a:schemeClr val="accent1">
                <a:tint val="7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R="0" lvl="0" algn="ctr" defTabSz="400050" rtl="0">
            <a:lnSpc>
              <a:spcPct val="90000"/>
            </a:lnSpc>
            <a:spcBef>
              <a:spcPct val="0"/>
            </a:spcBef>
            <a:spcAft>
              <a:spcPct val="35000"/>
            </a:spcAft>
          </a:pPr>
          <a:r>
            <a:rPr lang="en-US" sz="900" kern="1200" baseline="0" smtClean="0">
              <a:latin typeface="Calibri"/>
            </a:rPr>
            <a:t>Binary/ordinal measurement of items</a:t>
          </a:r>
          <a:endParaRPr lang="en-US" sz="900" kern="1200" smtClean="0"/>
        </a:p>
      </dsp:txBody>
      <dsp:txXfrm>
        <a:off x="4793740" y="269050"/>
        <a:ext cx="1141094" cy="570547"/>
      </dsp:txXfrm>
    </dsp:sp>
    <dsp:sp modelId="{4987836E-EF92-441A-B354-2BDE3149905D}">
      <dsp:nvSpPr>
        <dsp:cNvPr id="0" name=""/>
        <dsp:cNvSpPr/>
      </dsp:nvSpPr>
      <dsp:spPr>
        <a:xfrm rot="2142401">
          <a:off x="4284469" y="1032666"/>
          <a:ext cx="562104" cy="27509"/>
        </a:xfrm>
        <a:custGeom>
          <a:avLst/>
          <a:gdLst/>
          <a:ahLst/>
          <a:cxnLst/>
          <a:rect l="0" t="0" r="0" b="0"/>
          <a:pathLst>
            <a:path>
              <a:moveTo>
                <a:pt x="0" y="13754"/>
              </a:moveTo>
              <a:lnTo>
                <a:pt x="562104" y="13754"/>
              </a:lnTo>
            </a:path>
          </a:pathLst>
        </a:custGeom>
        <a:noFill/>
        <a:ln w="25400" cap="flat" cmpd="sng" algn="ctr">
          <a:solidFill>
            <a:schemeClr val="accent1">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2142401">
        <a:off x="4551469" y="1032368"/>
        <a:ext cx="28105" cy="28105"/>
      </dsp:txXfrm>
    </dsp:sp>
    <dsp:sp modelId="{3C9EB5D1-2452-4F84-B8E3-304E4E918421}">
      <dsp:nvSpPr>
        <dsp:cNvPr id="0" name=""/>
        <dsp:cNvSpPr/>
      </dsp:nvSpPr>
      <dsp:spPr>
        <a:xfrm>
          <a:off x="4793740" y="925179"/>
          <a:ext cx="1141094" cy="570547"/>
        </a:xfrm>
        <a:prstGeom prst="roundRect">
          <a:avLst>
            <a:gd name="adj" fmla="val 10000"/>
          </a:avLst>
        </a:prstGeom>
        <a:gradFill rotWithShape="0">
          <a:gsLst>
            <a:gs pos="0">
              <a:schemeClr val="accent1">
                <a:tint val="70000"/>
                <a:hueOff val="0"/>
                <a:satOff val="0"/>
                <a:lumOff val="0"/>
                <a:alphaOff val="0"/>
                <a:shade val="51000"/>
                <a:satMod val="130000"/>
              </a:schemeClr>
            </a:gs>
            <a:gs pos="80000">
              <a:schemeClr val="accent1">
                <a:tint val="70000"/>
                <a:hueOff val="0"/>
                <a:satOff val="0"/>
                <a:lumOff val="0"/>
                <a:alphaOff val="0"/>
                <a:shade val="93000"/>
                <a:satMod val="130000"/>
              </a:schemeClr>
            </a:gs>
            <a:gs pos="100000">
              <a:schemeClr val="accent1">
                <a:tint val="7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R="0" lvl="0" algn="ctr" defTabSz="400050" rtl="0">
            <a:lnSpc>
              <a:spcPct val="90000"/>
            </a:lnSpc>
            <a:spcBef>
              <a:spcPct val="0"/>
            </a:spcBef>
            <a:spcAft>
              <a:spcPct val="35000"/>
            </a:spcAft>
          </a:pPr>
          <a:r>
            <a:rPr lang="en-US" sz="900" kern="1200" baseline="0" smtClean="0">
              <a:latin typeface="Calibri"/>
            </a:rPr>
            <a:t>Weighted/unweighted index</a:t>
          </a:r>
          <a:endParaRPr lang="en-US" sz="900" kern="1200" smtClean="0"/>
        </a:p>
      </dsp:txBody>
      <dsp:txXfrm>
        <a:off x="4793740" y="925179"/>
        <a:ext cx="1141094" cy="570547"/>
      </dsp:txXfrm>
    </dsp:sp>
    <dsp:sp modelId="{A550213A-8492-4D86-9C2C-59AA797F7B4A}">
      <dsp:nvSpPr>
        <dsp:cNvPr id="0" name=""/>
        <dsp:cNvSpPr/>
      </dsp:nvSpPr>
      <dsp:spPr>
        <a:xfrm rot="3654187">
          <a:off x="2498681" y="2098876"/>
          <a:ext cx="938616" cy="27509"/>
        </a:xfrm>
        <a:custGeom>
          <a:avLst/>
          <a:gdLst/>
          <a:ahLst/>
          <a:cxnLst/>
          <a:rect l="0" t="0" r="0" b="0"/>
          <a:pathLst>
            <a:path>
              <a:moveTo>
                <a:pt x="0" y="13754"/>
              </a:moveTo>
              <a:lnTo>
                <a:pt x="938616" y="13754"/>
              </a:lnTo>
            </a:path>
          </a:pathLst>
        </a:custGeom>
        <a:noFill/>
        <a:ln w="25400" cap="flat" cmpd="sng" algn="ctr">
          <a:solidFill>
            <a:schemeClr val="accent1">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3654187">
        <a:off x="2944524" y="2089165"/>
        <a:ext cx="46930" cy="46930"/>
      </dsp:txXfrm>
    </dsp:sp>
    <dsp:sp modelId="{75B0F54D-5F7B-49EF-9C8E-29479887560A}">
      <dsp:nvSpPr>
        <dsp:cNvPr id="0" name=""/>
        <dsp:cNvSpPr/>
      </dsp:nvSpPr>
      <dsp:spPr>
        <a:xfrm>
          <a:off x="3196208" y="2237438"/>
          <a:ext cx="1141094" cy="570547"/>
        </a:xfrm>
        <a:prstGeom prst="roundRect">
          <a:avLst>
            <a:gd name="adj" fmla="val 10000"/>
          </a:avLst>
        </a:prstGeom>
        <a:gradFill rotWithShape="0">
          <a:gsLst>
            <a:gs pos="0">
              <a:schemeClr val="accent1">
                <a:tint val="80000"/>
                <a:hueOff val="0"/>
                <a:satOff val="0"/>
                <a:lumOff val="0"/>
                <a:alphaOff val="0"/>
                <a:shade val="51000"/>
                <a:satMod val="130000"/>
              </a:schemeClr>
            </a:gs>
            <a:gs pos="80000">
              <a:schemeClr val="accent1">
                <a:tint val="80000"/>
                <a:hueOff val="0"/>
                <a:satOff val="0"/>
                <a:lumOff val="0"/>
                <a:alphaOff val="0"/>
                <a:shade val="93000"/>
                <a:satMod val="130000"/>
              </a:schemeClr>
            </a:gs>
            <a:gs pos="100000">
              <a:schemeClr val="accent1">
                <a:tint val="8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R="0" lvl="0" algn="ctr" defTabSz="400050" rtl="0">
            <a:lnSpc>
              <a:spcPct val="90000"/>
            </a:lnSpc>
            <a:spcBef>
              <a:spcPct val="0"/>
            </a:spcBef>
            <a:spcAft>
              <a:spcPct val="35000"/>
            </a:spcAft>
          </a:pPr>
          <a:r>
            <a:rPr lang="en-US" sz="900" kern="1200" baseline="0" smtClean="0">
              <a:latin typeface="Calibri"/>
            </a:rPr>
            <a:t>Textual Analysis</a:t>
          </a:r>
          <a:endParaRPr lang="en-US" sz="900" kern="1200" smtClean="0"/>
        </a:p>
      </dsp:txBody>
      <dsp:txXfrm>
        <a:off x="3196208" y="2237438"/>
        <a:ext cx="1141094" cy="570547"/>
      </dsp:txXfrm>
    </dsp:sp>
    <dsp:sp modelId="{D9600E67-E244-4DC2-84EF-A4B621190471}">
      <dsp:nvSpPr>
        <dsp:cNvPr id="0" name=""/>
        <dsp:cNvSpPr/>
      </dsp:nvSpPr>
      <dsp:spPr>
        <a:xfrm rot="18289469">
          <a:off x="4165883" y="2180892"/>
          <a:ext cx="799275" cy="27509"/>
        </a:xfrm>
        <a:custGeom>
          <a:avLst/>
          <a:gdLst/>
          <a:ahLst/>
          <a:cxnLst/>
          <a:rect l="0" t="0" r="0" b="0"/>
          <a:pathLst>
            <a:path>
              <a:moveTo>
                <a:pt x="0" y="13754"/>
              </a:moveTo>
              <a:lnTo>
                <a:pt x="799275" y="13754"/>
              </a:lnTo>
            </a:path>
          </a:pathLst>
        </a:custGeom>
        <a:noFill/>
        <a:ln w="25400" cap="flat" cmpd="sng" algn="ctr">
          <a:solidFill>
            <a:schemeClr val="accent1">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8289469">
        <a:off x="4545539" y="2174665"/>
        <a:ext cx="39963" cy="39963"/>
      </dsp:txXfrm>
    </dsp:sp>
    <dsp:sp modelId="{F95388B4-4D95-4C61-9CB9-2756DEFDA942}">
      <dsp:nvSpPr>
        <dsp:cNvPr id="0" name=""/>
        <dsp:cNvSpPr/>
      </dsp:nvSpPr>
      <dsp:spPr>
        <a:xfrm>
          <a:off x="4793740" y="1581308"/>
          <a:ext cx="1141094" cy="570547"/>
        </a:xfrm>
        <a:prstGeom prst="roundRect">
          <a:avLst>
            <a:gd name="adj" fmla="val 10000"/>
          </a:avLst>
        </a:prstGeom>
        <a:gradFill rotWithShape="0">
          <a:gsLst>
            <a:gs pos="0">
              <a:schemeClr val="accent1">
                <a:tint val="70000"/>
                <a:hueOff val="0"/>
                <a:satOff val="0"/>
                <a:lumOff val="0"/>
                <a:alphaOff val="0"/>
                <a:shade val="51000"/>
                <a:satMod val="130000"/>
              </a:schemeClr>
            </a:gs>
            <a:gs pos="80000">
              <a:schemeClr val="accent1">
                <a:tint val="70000"/>
                <a:hueOff val="0"/>
                <a:satOff val="0"/>
                <a:lumOff val="0"/>
                <a:alphaOff val="0"/>
                <a:shade val="93000"/>
                <a:satMod val="130000"/>
              </a:schemeClr>
            </a:gs>
            <a:gs pos="100000">
              <a:schemeClr val="accent1">
                <a:tint val="7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R="0" lvl="0" algn="ctr" defTabSz="400050" rtl="0">
            <a:lnSpc>
              <a:spcPct val="90000"/>
            </a:lnSpc>
            <a:spcBef>
              <a:spcPct val="0"/>
            </a:spcBef>
            <a:spcAft>
              <a:spcPct val="35000"/>
            </a:spcAft>
          </a:pPr>
          <a:r>
            <a:rPr lang="en-US" sz="900" kern="1200" baseline="0" smtClean="0">
              <a:latin typeface="Calibri"/>
            </a:rPr>
            <a:t>Thematic content analysis</a:t>
          </a:r>
          <a:endParaRPr lang="en-US" sz="900" kern="1200" smtClean="0"/>
        </a:p>
      </dsp:txBody>
      <dsp:txXfrm>
        <a:off x="4793740" y="1581308"/>
        <a:ext cx="1141094" cy="570547"/>
      </dsp:txXfrm>
    </dsp:sp>
    <dsp:sp modelId="{DB8723B6-C714-4525-AAF3-6BA34621CAE1}">
      <dsp:nvSpPr>
        <dsp:cNvPr id="0" name=""/>
        <dsp:cNvSpPr/>
      </dsp:nvSpPr>
      <dsp:spPr>
        <a:xfrm>
          <a:off x="4337302" y="2508956"/>
          <a:ext cx="456437" cy="27509"/>
        </a:xfrm>
        <a:custGeom>
          <a:avLst/>
          <a:gdLst/>
          <a:ahLst/>
          <a:cxnLst/>
          <a:rect l="0" t="0" r="0" b="0"/>
          <a:pathLst>
            <a:path>
              <a:moveTo>
                <a:pt x="0" y="13754"/>
              </a:moveTo>
              <a:lnTo>
                <a:pt x="456437" y="13754"/>
              </a:lnTo>
            </a:path>
          </a:pathLst>
        </a:custGeom>
        <a:noFill/>
        <a:ln w="25400" cap="flat" cmpd="sng" algn="ctr">
          <a:solidFill>
            <a:schemeClr val="accent1">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54110" y="2511300"/>
        <a:ext cx="22821" cy="22821"/>
      </dsp:txXfrm>
    </dsp:sp>
    <dsp:sp modelId="{9E03EAD7-0E29-4616-A8C3-350A16CD9AA1}">
      <dsp:nvSpPr>
        <dsp:cNvPr id="0" name=""/>
        <dsp:cNvSpPr/>
      </dsp:nvSpPr>
      <dsp:spPr>
        <a:xfrm>
          <a:off x="4793740" y="2237438"/>
          <a:ext cx="1141094" cy="570547"/>
        </a:xfrm>
        <a:prstGeom prst="roundRect">
          <a:avLst>
            <a:gd name="adj" fmla="val 10000"/>
          </a:avLst>
        </a:prstGeom>
        <a:gradFill rotWithShape="0">
          <a:gsLst>
            <a:gs pos="0">
              <a:schemeClr val="accent1">
                <a:tint val="70000"/>
                <a:hueOff val="0"/>
                <a:satOff val="0"/>
                <a:lumOff val="0"/>
                <a:alphaOff val="0"/>
                <a:shade val="51000"/>
                <a:satMod val="130000"/>
              </a:schemeClr>
            </a:gs>
            <a:gs pos="80000">
              <a:schemeClr val="accent1">
                <a:tint val="70000"/>
                <a:hueOff val="0"/>
                <a:satOff val="0"/>
                <a:lumOff val="0"/>
                <a:alphaOff val="0"/>
                <a:shade val="93000"/>
                <a:satMod val="130000"/>
              </a:schemeClr>
            </a:gs>
            <a:gs pos="100000">
              <a:schemeClr val="accent1">
                <a:tint val="7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R="0" lvl="0" algn="ctr" defTabSz="400050" rtl="0">
            <a:lnSpc>
              <a:spcPct val="90000"/>
            </a:lnSpc>
            <a:spcBef>
              <a:spcPct val="0"/>
            </a:spcBef>
            <a:spcAft>
              <a:spcPct val="35000"/>
            </a:spcAft>
          </a:pPr>
          <a:r>
            <a:rPr lang="en-US" sz="900" kern="1200" baseline="0" smtClean="0">
              <a:latin typeface="Calibri"/>
            </a:rPr>
            <a:t>Readability studies</a:t>
          </a:r>
          <a:endParaRPr lang="en-US" sz="900" kern="1200" smtClean="0"/>
        </a:p>
      </dsp:txBody>
      <dsp:txXfrm>
        <a:off x="4793740" y="2237438"/>
        <a:ext cx="1141094" cy="570547"/>
      </dsp:txXfrm>
    </dsp:sp>
    <dsp:sp modelId="{F722E3C9-0C48-4BA9-BC71-8478B5B64E1E}">
      <dsp:nvSpPr>
        <dsp:cNvPr id="0" name=""/>
        <dsp:cNvSpPr/>
      </dsp:nvSpPr>
      <dsp:spPr>
        <a:xfrm rot="3310531">
          <a:off x="4165883" y="2837021"/>
          <a:ext cx="799275" cy="27509"/>
        </a:xfrm>
        <a:custGeom>
          <a:avLst/>
          <a:gdLst/>
          <a:ahLst/>
          <a:cxnLst/>
          <a:rect l="0" t="0" r="0" b="0"/>
          <a:pathLst>
            <a:path>
              <a:moveTo>
                <a:pt x="0" y="13754"/>
              </a:moveTo>
              <a:lnTo>
                <a:pt x="799275" y="13754"/>
              </a:lnTo>
            </a:path>
          </a:pathLst>
        </a:custGeom>
        <a:noFill/>
        <a:ln w="25400" cap="flat" cmpd="sng" algn="ctr">
          <a:solidFill>
            <a:schemeClr val="accent1">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3310531">
        <a:off x="4545539" y="2830794"/>
        <a:ext cx="39963" cy="39963"/>
      </dsp:txXfrm>
    </dsp:sp>
    <dsp:sp modelId="{69FE2B23-B0E9-4753-BAB7-8D31AA381C39}">
      <dsp:nvSpPr>
        <dsp:cNvPr id="0" name=""/>
        <dsp:cNvSpPr/>
      </dsp:nvSpPr>
      <dsp:spPr>
        <a:xfrm>
          <a:off x="4793740" y="2893567"/>
          <a:ext cx="1141094" cy="570547"/>
        </a:xfrm>
        <a:prstGeom prst="roundRect">
          <a:avLst>
            <a:gd name="adj" fmla="val 10000"/>
          </a:avLst>
        </a:prstGeom>
        <a:gradFill rotWithShape="0">
          <a:gsLst>
            <a:gs pos="0">
              <a:schemeClr val="accent1">
                <a:tint val="70000"/>
                <a:hueOff val="0"/>
                <a:satOff val="0"/>
                <a:lumOff val="0"/>
                <a:alphaOff val="0"/>
                <a:shade val="51000"/>
                <a:satMod val="130000"/>
              </a:schemeClr>
            </a:gs>
            <a:gs pos="80000">
              <a:schemeClr val="accent1">
                <a:tint val="70000"/>
                <a:hueOff val="0"/>
                <a:satOff val="0"/>
                <a:lumOff val="0"/>
                <a:alphaOff val="0"/>
                <a:shade val="93000"/>
                <a:satMod val="130000"/>
              </a:schemeClr>
            </a:gs>
            <a:gs pos="100000">
              <a:schemeClr val="accent1">
                <a:tint val="7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R="0" lvl="0" algn="ctr" defTabSz="400050" rtl="0">
            <a:lnSpc>
              <a:spcPct val="90000"/>
            </a:lnSpc>
            <a:spcBef>
              <a:spcPct val="0"/>
            </a:spcBef>
            <a:spcAft>
              <a:spcPct val="35000"/>
            </a:spcAft>
          </a:pPr>
          <a:r>
            <a:rPr lang="en-US" sz="900" kern="1200" baseline="0" smtClean="0">
              <a:latin typeface="Calibri"/>
            </a:rPr>
            <a:t>Linguistic analysis</a:t>
          </a:r>
          <a:endParaRPr lang="en-US" sz="900" kern="1200" smtClean="0"/>
        </a:p>
      </dsp:txBody>
      <dsp:txXfrm>
        <a:off x="4793740" y="2893567"/>
        <a:ext cx="1141094" cy="57054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851434-DB88-40E7-8BEB-593AA13F9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97</Pages>
  <Words>30430</Words>
  <Characters>167369</Characters>
  <Application>Microsoft Office Word</Application>
  <DocSecurity>0</DocSecurity>
  <Lines>1394</Lines>
  <Paragraphs>394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relation between ownership structure and voluntary disclosures</vt:lpstr>
      <vt:lpstr>The relation between ownership structure and voluntary disclosures</vt:lpstr>
    </vt:vector>
  </TitlesOfParts>
  <Company>Erasmus University Rotterdam</Company>
  <LinksUpToDate>false</LinksUpToDate>
  <CharactersWithSpaces>197405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relation between ownership structure and voluntary disclosures</dc:title>
  <dc:subject>Masther Thesis</dc:subject>
  <dc:creator>Sofie Elmans</dc:creator>
  <cp:lastModifiedBy>sofie 2010</cp:lastModifiedBy>
  <cp:revision>2</cp:revision>
  <cp:lastPrinted>2011-07-26T15:54:00Z</cp:lastPrinted>
  <dcterms:created xsi:type="dcterms:W3CDTF">2012-03-24T14:36:00Z</dcterms:created>
  <dcterms:modified xsi:type="dcterms:W3CDTF">2012-03-24T14:36:00Z</dcterms:modified>
</cp:coreProperties>
</file>