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CB4672" w14:textId="77777777" w:rsidR="0050327C" w:rsidRDefault="0050327C" w:rsidP="00062D85">
      <w:pPr>
        <w:tabs>
          <w:tab w:val="left" w:pos="709"/>
          <w:tab w:val="left" w:pos="7797"/>
        </w:tabs>
        <w:jc w:val="both"/>
        <w:rPr>
          <w:b/>
          <w:sz w:val="32"/>
          <w:szCs w:val="32"/>
        </w:rPr>
      </w:pPr>
    </w:p>
    <w:p w14:paraId="2A3B61B3" w14:textId="77777777" w:rsidR="00F54CA8" w:rsidRDefault="00F54CA8" w:rsidP="0050327C">
      <w:pPr>
        <w:pStyle w:val="Header"/>
        <w:jc w:val="center"/>
        <w:rPr>
          <w:b/>
          <w:sz w:val="32"/>
          <w:szCs w:val="32"/>
        </w:rPr>
      </w:pPr>
    </w:p>
    <w:p w14:paraId="431FCC1F" w14:textId="77777777" w:rsidR="00F54CA8" w:rsidRDefault="00F54CA8" w:rsidP="0050327C">
      <w:pPr>
        <w:pStyle w:val="Header"/>
        <w:jc w:val="center"/>
        <w:rPr>
          <w:b/>
          <w:sz w:val="32"/>
          <w:szCs w:val="32"/>
        </w:rPr>
      </w:pPr>
    </w:p>
    <w:p w14:paraId="35E68EAA" w14:textId="77777777" w:rsidR="00F54CA8" w:rsidRDefault="00F54CA8" w:rsidP="0050327C">
      <w:pPr>
        <w:pStyle w:val="Header"/>
        <w:jc w:val="center"/>
        <w:rPr>
          <w:b/>
          <w:sz w:val="32"/>
          <w:szCs w:val="32"/>
        </w:rPr>
      </w:pPr>
    </w:p>
    <w:p w14:paraId="68FBDB95" w14:textId="77777777" w:rsidR="00F54CA8" w:rsidRDefault="00F54CA8" w:rsidP="0050327C">
      <w:pPr>
        <w:pStyle w:val="Header"/>
        <w:jc w:val="center"/>
        <w:rPr>
          <w:b/>
          <w:sz w:val="32"/>
          <w:szCs w:val="32"/>
        </w:rPr>
      </w:pPr>
    </w:p>
    <w:p w14:paraId="2123DC71" w14:textId="77777777" w:rsidR="00F54CA8" w:rsidRDefault="00F54CA8" w:rsidP="0050327C">
      <w:pPr>
        <w:pStyle w:val="Header"/>
        <w:jc w:val="center"/>
        <w:rPr>
          <w:b/>
          <w:sz w:val="32"/>
          <w:szCs w:val="32"/>
        </w:rPr>
      </w:pPr>
    </w:p>
    <w:p w14:paraId="77CC9172" w14:textId="77777777" w:rsidR="00F54CA8" w:rsidRDefault="00F54CA8" w:rsidP="0050327C">
      <w:pPr>
        <w:pStyle w:val="Header"/>
        <w:jc w:val="center"/>
        <w:rPr>
          <w:b/>
          <w:sz w:val="32"/>
          <w:szCs w:val="32"/>
        </w:rPr>
      </w:pPr>
    </w:p>
    <w:p w14:paraId="7DF4BDAB" w14:textId="77777777" w:rsidR="00F54CA8" w:rsidRDefault="00F54CA8" w:rsidP="0050327C">
      <w:pPr>
        <w:pStyle w:val="Header"/>
        <w:jc w:val="center"/>
        <w:rPr>
          <w:b/>
          <w:sz w:val="32"/>
          <w:szCs w:val="32"/>
        </w:rPr>
      </w:pPr>
    </w:p>
    <w:p w14:paraId="311D41AF" w14:textId="77777777" w:rsidR="00F54CA8" w:rsidRDefault="00F54CA8" w:rsidP="0050327C">
      <w:pPr>
        <w:pStyle w:val="Header"/>
        <w:jc w:val="center"/>
        <w:rPr>
          <w:b/>
          <w:sz w:val="32"/>
          <w:szCs w:val="32"/>
        </w:rPr>
      </w:pPr>
    </w:p>
    <w:p w14:paraId="4A6D9417" w14:textId="77777777" w:rsidR="00F54CA8" w:rsidRDefault="00F54CA8" w:rsidP="0050327C">
      <w:pPr>
        <w:pStyle w:val="Header"/>
        <w:jc w:val="center"/>
        <w:rPr>
          <w:b/>
          <w:sz w:val="32"/>
          <w:szCs w:val="32"/>
        </w:rPr>
      </w:pPr>
    </w:p>
    <w:p w14:paraId="68D71510" w14:textId="77777777" w:rsidR="00F54CA8" w:rsidRDefault="00F54CA8" w:rsidP="0050327C">
      <w:pPr>
        <w:pStyle w:val="Header"/>
        <w:jc w:val="center"/>
        <w:rPr>
          <w:b/>
          <w:sz w:val="32"/>
          <w:szCs w:val="32"/>
        </w:rPr>
      </w:pPr>
    </w:p>
    <w:p w14:paraId="1E4FF76F" w14:textId="77777777" w:rsidR="00F54CA8" w:rsidRDefault="00F54CA8" w:rsidP="0050327C">
      <w:pPr>
        <w:pStyle w:val="Header"/>
        <w:jc w:val="center"/>
        <w:rPr>
          <w:b/>
          <w:sz w:val="32"/>
          <w:szCs w:val="32"/>
        </w:rPr>
      </w:pPr>
    </w:p>
    <w:p w14:paraId="7CD41105" w14:textId="77777777" w:rsidR="00F54CA8" w:rsidRDefault="00F54CA8" w:rsidP="0050327C">
      <w:pPr>
        <w:pStyle w:val="Header"/>
        <w:jc w:val="center"/>
        <w:rPr>
          <w:b/>
          <w:sz w:val="32"/>
          <w:szCs w:val="32"/>
        </w:rPr>
      </w:pPr>
    </w:p>
    <w:p w14:paraId="50DB26CA" w14:textId="77777777" w:rsidR="0050327C" w:rsidRDefault="0050327C" w:rsidP="0050327C">
      <w:pPr>
        <w:pStyle w:val="Header"/>
        <w:jc w:val="center"/>
        <w:rPr>
          <w:b/>
          <w:i/>
          <w:sz w:val="32"/>
          <w:szCs w:val="32"/>
        </w:rPr>
      </w:pPr>
      <w:r w:rsidRPr="0050327C">
        <w:rPr>
          <w:b/>
          <w:sz w:val="32"/>
          <w:szCs w:val="32"/>
        </w:rPr>
        <w:t>How Can The International Problem of Taxing E-commerce Best be Solved</w:t>
      </w:r>
      <w:r w:rsidRPr="0050327C">
        <w:rPr>
          <w:b/>
          <w:i/>
          <w:sz w:val="32"/>
          <w:szCs w:val="32"/>
        </w:rPr>
        <w:t>?</w:t>
      </w:r>
    </w:p>
    <w:p w14:paraId="6E9DF9C1" w14:textId="77777777" w:rsidR="00F54CA8" w:rsidRDefault="00F54CA8" w:rsidP="0050327C">
      <w:pPr>
        <w:pStyle w:val="Header"/>
        <w:rPr>
          <w:b/>
          <w:sz w:val="32"/>
          <w:szCs w:val="32"/>
        </w:rPr>
      </w:pPr>
    </w:p>
    <w:p w14:paraId="3D835494" w14:textId="77777777" w:rsidR="00F54CA8" w:rsidRDefault="00F54CA8" w:rsidP="0050327C">
      <w:pPr>
        <w:pStyle w:val="Header"/>
        <w:rPr>
          <w:b/>
          <w:sz w:val="32"/>
          <w:szCs w:val="32"/>
        </w:rPr>
      </w:pPr>
    </w:p>
    <w:p w14:paraId="72508828" w14:textId="77777777" w:rsidR="00F54CA8" w:rsidRDefault="00F54CA8" w:rsidP="0050327C">
      <w:pPr>
        <w:pStyle w:val="Header"/>
        <w:rPr>
          <w:b/>
          <w:sz w:val="32"/>
          <w:szCs w:val="32"/>
        </w:rPr>
      </w:pPr>
    </w:p>
    <w:p w14:paraId="168450EF" w14:textId="77777777" w:rsidR="00F54CA8" w:rsidRDefault="00F54CA8" w:rsidP="0050327C">
      <w:pPr>
        <w:pStyle w:val="Header"/>
        <w:rPr>
          <w:b/>
          <w:sz w:val="32"/>
          <w:szCs w:val="32"/>
        </w:rPr>
      </w:pPr>
    </w:p>
    <w:p w14:paraId="6D21919A" w14:textId="77777777" w:rsidR="00F54CA8" w:rsidRDefault="00F54CA8" w:rsidP="0050327C">
      <w:pPr>
        <w:pStyle w:val="Header"/>
        <w:rPr>
          <w:b/>
          <w:sz w:val="32"/>
          <w:szCs w:val="32"/>
        </w:rPr>
      </w:pPr>
    </w:p>
    <w:p w14:paraId="3BDBA44D" w14:textId="77777777" w:rsidR="00F54CA8" w:rsidRDefault="00F54CA8" w:rsidP="0050327C">
      <w:pPr>
        <w:pStyle w:val="Header"/>
        <w:rPr>
          <w:b/>
          <w:sz w:val="32"/>
          <w:szCs w:val="32"/>
        </w:rPr>
      </w:pPr>
    </w:p>
    <w:p w14:paraId="743AF26A" w14:textId="77777777" w:rsidR="00F54CA8" w:rsidRDefault="00F54CA8" w:rsidP="0050327C">
      <w:pPr>
        <w:pStyle w:val="Header"/>
        <w:rPr>
          <w:b/>
          <w:sz w:val="32"/>
          <w:szCs w:val="32"/>
        </w:rPr>
      </w:pPr>
    </w:p>
    <w:p w14:paraId="1472C18C" w14:textId="77777777" w:rsidR="00F54CA8" w:rsidRDefault="00F54CA8" w:rsidP="0050327C">
      <w:pPr>
        <w:pStyle w:val="Header"/>
        <w:rPr>
          <w:b/>
          <w:sz w:val="32"/>
          <w:szCs w:val="32"/>
        </w:rPr>
      </w:pPr>
    </w:p>
    <w:p w14:paraId="1177E736" w14:textId="77777777" w:rsidR="00F54CA8" w:rsidRDefault="00F54CA8" w:rsidP="0050327C">
      <w:pPr>
        <w:pStyle w:val="Header"/>
        <w:rPr>
          <w:b/>
          <w:sz w:val="32"/>
          <w:szCs w:val="32"/>
        </w:rPr>
      </w:pPr>
    </w:p>
    <w:p w14:paraId="3FEDC3CE" w14:textId="77777777" w:rsidR="00F54CA8" w:rsidRDefault="00F54CA8" w:rsidP="0050327C">
      <w:pPr>
        <w:pStyle w:val="Header"/>
        <w:rPr>
          <w:b/>
          <w:sz w:val="32"/>
          <w:szCs w:val="32"/>
        </w:rPr>
      </w:pPr>
    </w:p>
    <w:p w14:paraId="1F7D90BA" w14:textId="77777777" w:rsidR="00F54CA8" w:rsidRDefault="00F54CA8" w:rsidP="0050327C">
      <w:pPr>
        <w:pStyle w:val="Header"/>
        <w:rPr>
          <w:b/>
          <w:sz w:val="32"/>
          <w:szCs w:val="32"/>
        </w:rPr>
      </w:pPr>
    </w:p>
    <w:p w14:paraId="2F25EFB6" w14:textId="77777777" w:rsidR="00F54CA8" w:rsidRDefault="00F54CA8" w:rsidP="0050327C">
      <w:pPr>
        <w:pStyle w:val="Header"/>
        <w:rPr>
          <w:b/>
          <w:sz w:val="32"/>
          <w:szCs w:val="32"/>
        </w:rPr>
      </w:pPr>
    </w:p>
    <w:p w14:paraId="5D69DF2C" w14:textId="77777777" w:rsidR="00F54CA8" w:rsidRDefault="00F54CA8" w:rsidP="0050327C">
      <w:pPr>
        <w:pStyle w:val="Header"/>
        <w:rPr>
          <w:b/>
          <w:sz w:val="32"/>
          <w:szCs w:val="32"/>
        </w:rPr>
      </w:pPr>
    </w:p>
    <w:p w14:paraId="41A394D1" w14:textId="77777777" w:rsidR="00F54CA8" w:rsidRDefault="00F54CA8" w:rsidP="0050327C">
      <w:pPr>
        <w:pStyle w:val="Header"/>
        <w:rPr>
          <w:b/>
          <w:sz w:val="32"/>
          <w:szCs w:val="32"/>
        </w:rPr>
      </w:pPr>
    </w:p>
    <w:p w14:paraId="3B90FD1A" w14:textId="77777777" w:rsidR="00F54CA8" w:rsidRDefault="00F54CA8" w:rsidP="0050327C">
      <w:pPr>
        <w:pStyle w:val="Header"/>
        <w:rPr>
          <w:b/>
          <w:sz w:val="32"/>
          <w:szCs w:val="32"/>
        </w:rPr>
      </w:pPr>
    </w:p>
    <w:p w14:paraId="444AACDB" w14:textId="77777777" w:rsidR="00F54CA8" w:rsidRDefault="00F54CA8" w:rsidP="0050327C">
      <w:pPr>
        <w:pStyle w:val="Header"/>
        <w:rPr>
          <w:b/>
          <w:sz w:val="32"/>
          <w:szCs w:val="32"/>
        </w:rPr>
      </w:pPr>
    </w:p>
    <w:p w14:paraId="7FD6224D" w14:textId="77777777" w:rsidR="00F54CA8" w:rsidRDefault="00F54CA8" w:rsidP="0050327C">
      <w:pPr>
        <w:pStyle w:val="Header"/>
        <w:rPr>
          <w:b/>
          <w:sz w:val="32"/>
          <w:szCs w:val="32"/>
        </w:rPr>
      </w:pPr>
    </w:p>
    <w:p w14:paraId="54EECE85" w14:textId="77777777" w:rsidR="00F54CA8" w:rsidRDefault="00F54CA8" w:rsidP="0050327C">
      <w:pPr>
        <w:pStyle w:val="Header"/>
        <w:rPr>
          <w:b/>
          <w:sz w:val="32"/>
          <w:szCs w:val="32"/>
        </w:rPr>
      </w:pPr>
    </w:p>
    <w:p w14:paraId="6875A98B" w14:textId="77777777" w:rsidR="00F54CA8" w:rsidRDefault="00F54CA8" w:rsidP="0050327C">
      <w:pPr>
        <w:pStyle w:val="Header"/>
        <w:rPr>
          <w:b/>
          <w:sz w:val="32"/>
          <w:szCs w:val="32"/>
        </w:rPr>
      </w:pPr>
    </w:p>
    <w:p w14:paraId="04F6228D" w14:textId="77777777" w:rsidR="00F54CA8" w:rsidRDefault="00F54CA8" w:rsidP="0050327C">
      <w:pPr>
        <w:pStyle w:val="Header"/>
        <w:rPr>
          <w:b/>
          <w:sz w:val="32"/>
          <w:szCs w:val="32"/>
        </w:rPr>
      </w:pPr>
    </w:p>
    <w:p w14:paraId="719821A8" w14:textId="77777777" w:rsidR="00F54CA8" w:rsidRDefault="00F54CA8" w:rsidP="0050327C">
      <w:pPr>
        <w:pStyle w:val="Header"/>
        <w:rPr>
          <w:b/>
          <w:sz w:val="32"/>
          <w:szCs w:val="32"/>
        </w:rPr>
      </w:pPr>
    </w:p>
    <w:p w14:paraId="74503133" w14:textId="77777777" w:rsidR="00F54CA8" w:rsidRDefault="00F54CA8" w:rsidP="0050327C">
      <w:pPr>
        <w:pStyle w:val="Header"/>
        <w:rPr>
          <w:b/>
          <w:sz w:val="32"/>
          <w:szCs w:val="32"/>
        </w:rPr>
      </w:pPr>
    </w:p>
    <w:p w14:paraId="43D233E2" w14:textId="77777777" w:rsidR="00B7552B" w:rsidRDefault="0050327C" w:rsidP="00F54CA8">
      <w:pPr>
        <w:pStyle w:val="Header"/>
        <w:spacing w:line="360" w:lineRule="auto"/>
        <w:rPr>
          <w:b/>
          <w:sz w:val="32"/>
          <w:szCs w:val="32"/>
        </w:rPr>
      </w:pPr>
      <w:r w:rsidRPr="00F54CA8">
        <w:rPr>
          <w:b/>
          <w:sz w:val="32"/>
          <w:szCs w:val="32"/>
        </w:rPr>
        <w:lastRenderedPageBreak/>
        <w:t>Index</w:t>
      </w:r>
    </w:p>
    <w:p w14:paraId="673087F6" w14:textId="721D2F6D" w:rsidR="00B7552B" w:rsidRPr="00467D11" w:rsidRDefault="00467D11" w:rsidP="00F54CA8">
      <w:pPr>
        <w:pStyle w:val="Header"/>
        <w:spacing w:line="360" w:lineRule="auto"/>
      </w:pPr>
      <w:r>
        <w:rPr>
          <w:b/>
          <w:sz w:val="32"/>
          <w:szCs w:val="32"/>
        </w:rPr>
        <w:tab/>
      </w:r>
      <w:r>
        <w:rPr>
          <w:b/>
          <w:sz w:val="32"/>
          <w:szCs w:val="32"/>
        </w:rPr>
        <w:tab/>
      </w:r>
      <w:r>
        <w:rPr>
          <w:b/>
          <w:sz w:val="32"/>
          <w:szCs w:val="32"/>
        </w:rPr>
        <w:tab/>
      </w:r>
    </w:p>
    <w:p w14:paraId="000823CE" w14:textId="2237700C" w:rsidR="0050327C" w:rsidRDefault="00467D11" w:rsidP="00F54CA8">
      <w:pPr>
        <w:pStyle w:val="Header"/>
        <w:spacing w:line="360" w:lineRule="auto"/>
        <w:rPr>
          <w:b/>
        </w:rPr>
      </w:pPr>
      <w:r>
        <w:rPr>
          <w:b/>
        </w:rPr>
        <w:t>1    Introduction</w:t>
      </w:r>
      <w:r>
        <w:rPr>
          <w:b/>
        </w:rPr>
        <w:tab/>
      </w:r>
      <w:r>
        <w:rPr>
          <w:b/>
        </w:rPr>
        <w:tab/>
      </w:r>
      <w:r>
        <w:rPr>
          <w:b/>
        </w:rPr>
        <w:tab/>
      </w:r>
      <w:r>
        <w:rPr>
          <w:b/>
        </w:rPr>
        <w:tab/>
      </w:r>
      <w:r>
        <w:rPr>
          <w:b/>
        </w:rPr>
        <w:tab/>
      </w:r>
      <w:r>
        <w:rPr>
          <w:b/>
        </w:rPr>
        <w:tab/>
      </w:r>
      <w:r>
        <w:rPr>
          <w:b/>
        </w:rPr>
        <w:tab/>
      </w:r>
      <w:r>
        <w:rPr>
          <w:b/>
        </w:rPr>
        <w:tab/>
      </w:r>
      <w:r>
        <w:rPr>
          <w:b/>
        </w:rPr>
        <w:tab/>
      </w:r>
      <w:r>
        <w:rPr>
          <w:b/>
        </w:rPr>
        <w:tab/>
      </w:r>
      <w:r>
        <w:rPr>
          <w:b/>
        </w:rPr>
        <w:tab/>
      </w:r>
      <w:r>
        <w:rPr>
          <w:b/>
        </w:rPr>
        <w:tab/>
      </w:r>
    </w:p>
    <w:p w14:paraId="4C43225C" w14:textId="37D7AD07" w:rsidR="00467D11" w:rsidRDefault="00467D11" w:rsidP="00467D11">
      <w:pPr>
        <w:pStyle w:val="Header"/>
        <w:numPr>
          <w:ilvl w:val="1"/>
          <w:numId w:val="8"/>
        </w:numPr>
        <w:spacing w:line="360" w:lineRule="auto"/>
      </w:pPr>
      <w:r>
        <w:t>Objective</w:t>
      </w:r>
      <w:r w:rsidR="00B7552B">
        <w:tab/>
        <w:t xml:space="preserve">                                                                                                                     </w:t>
      </w:r>
    </w:p>
    <w:p w14:paraId="0E230329" w14:textId="77777777" w:rsidR="00B7552B" w:rsidRDefault="00467D11" w:rsidP="00B7552B">
      <w:pPr>
        <w:pStyle w:val="Header"/>
        <w:numPr>
          <w:ilvl w:val="1"/>
          <w:numId w:val="8"/>
        </w:numPr>
        <w:spacing w:line="360" w:lineRule="auto"/>
      </w:pPr>
      <w:r>
        <w:t>Approach</w:t>
      </w:r>
      <w:r w:rsidR="00B7552B">
        <w:tab/>
        <w:t xml:space="preserve">                                                                                                   </w:t>
      </w:r>
    </w:p>
    <w:p w14:paraId="2F1E91ED" w14:textId="703D071F" w:rsidR="00467D11" w:rsidRDefault="00467D11" w:rsidP="00B7552B">
      <w:pPr>
        <w:pStyle w:val="Header"/>
        <w:spacing w:line="360" w:lineRule="auto"/>
        <w:ind w:left="740"/>
      </w:pPr>
      <w:r>
        <w:t xml:space="preserve">1.2.1 </w:t>
      </w:r>
      <w:r w:rsidRPr="00467D11">
        <w:t>On the possibility and desirability of taxation</w:t>
      </w:r>
      <w:r w:rsidR="00B7552B">
        <w:t xml:space="preserve">                                      </w:t>
      </w:r>
      <w:r w:rsidR="00B7552B">
        <w:tab/>
      </w:r>
    </w:p>
    <w:p w14:paraId="4F9855FE" w14:textId="57D08360" w:rsidR="00467D11" w:rsidRDefault="00467D11" w:rsidP="00467D11">
      <w:pPr>
        <w:pStyle w:val="Header"/>
        <w:spacing w:line="360" w:lineRule="auto"/>
        <w:ind w:left="740"/>
      </w:pPr>
      <w:r>
        <w:t xml:space="preserve">1.2.2 </w:t>
      </w:r>
      <w:r w:rsidRPr="00467D11">
        <w:t>Progress on and feasibility of International framework</w:t>
      </w:r>
      <w:r w:rsidR="00B7552B">
        <w:t xml:space="preserve">                    </w:t>
      </w:r>
      <w:r w:rsidR="00B7552B">
        <w:tab/>
      </w:r>
      <w:r w:rsidR="00B7552B">
        <w:tab/>
      </w:r>
      <w:r>
        <w:tab/>
      </w:r>
    </w:p>
    <w:p w14:paraId="4B8CA3C6" w14:textId="77777777" w:rsidR="00467D11" w:rsidRPr="00467D11" w:rsidRDefault="00467D11" w:rsidP="00467D11">
      <w:pPr>
        <w:pStyle w:val="Header"/>
        <w:spacing w:line="360" w:lineRule="auto"/>
        <w:ind w:left="740"/>
      </w:pPr>
    </w:p>
    <w:p w14:paraId="5E1D5AED" w14:textId="7D21F143" w:rsidR="0050327C" w:rsidRPr="00F54CA8" w:rsidRDefault="00467D11" w:rsidP="00F54CA8">
      <w:pPr>
        <w:tabs>
          <w:tab w:val="left" w:pos="709"/>
          <w:tab w:val="left" w:pos="7797"/>
        </w:tabs>
        <w:spacing w:line="360" w:lineRule="auto"/>
        <w:jc w:val="both"/>
        <w:rPr>
          <w:b/>
        </w:rPr>
      </w:pPr>
      <w:r>
        <w:rPr>
          <w:b/>
        </w:rPr>
        <w:t>2    E-commerce and its Taxation</w:t>
      </w:r>
      <w:r w:rsidR="00B7552B">
        <w:rPr>
          <w:b/>
        </w:rPr>
        <w:tab/>
      </w:r>
      <w:r w:rsidR="00B7552B">
        <w:rPr>
          <w:b/>
        </w:rPr>
        <w:tab/>
        <w:t xml:space="preserve">        </w:t>
      </w:r>
    </w:p>
    <w:p w14:paraId="635B55D6" w14:textId="622C47EF" w:rsidR="0050327C" w:rsidRPr="00F54CA8" w:rsidRDefault="00467D11" w:rsidP="00F54CA8">
      <w:pPr>
        <w:spacing w:line="360" w:lineRule="auto"/>
        <w:jc w:val="both"/>
      </w:pPr>
      <w:r>
        <w:t>2</w:t>
      </w:r>
      <w:r w:rsidR="0050327C" w:rsidRPr="00F54CA8">
        <w:t xml:space="preserve">.1 </w:t>
      </w:r>
      <w:r w:rsidR="00F54CA8" w:rsidRPr="00F54CA8">
        <w:tab/>
      </w:r>
      <w:r w:rsidR="0050327C" w:rsidRPr="00F54CA8">
        <w:t xml:space="preserve">Basics of E-commerce </w:t>
      </w:r>
      <w:r w:rsidR="00B7552B">
        <w:tab/>
      </w:r>
      <w:r w:rsidR="00B7552B">
        <w:tab/>
      </w:r>
      <w:r w:rsidR="00B7552B">
        <w:tab/>
      </w:r>
      <w:r w:rsidR="00B7552B">
        <w:tab/>
      </w:r>
      <w:r w:rsidR="00B7552B">
        <w:tab/>
      </w:r>
      <w:r w:rsidR="00B7552B">
        <w:tab/>
        <w:t xml:space="preserve">             </w:t>
      </w:r>
    </w:p>
    <w:p w14:paraId="41F8DC2B" w14:textId="772F50AD" w:rsidR="0050327C" w:rsidRPr="00F54CA8" w:rsidRDefault="00467D11" w:rsidP="00F54CA8">
      <w:pPr>
        <w:spacing w:line="360" w:lineRule="auto"/>
        <w:jc w:val="both"/>
        <w:rPr>
          <w:rFonts w:asciiTheme="minorHAnsi" w:eastAsiaTheme="minorEastAsia" w:hAnsiTheme="minorHAnsi"/>
          <w:lang w:val="en-US"/>
        </w:rPr>
      </w:pPr>
      <w:r>
        <w:rPr>
          <w:rFonts w:asciiTheme="minorHAnsi" w:eastAsiaTheme="minorEastAsia" w:hAnsiTheme="minorHAnsi"/>
          <w:lang w:val="en-US"/>
        </w:rPr>
        <w:t>2</w:t>
      </w:r>
      <w:r w:rsidR="0050327C" w:rsidRPr="00F54CA8">
        <w:rPr>
          <w:rFonts w:asciiTheme="minorHAnsi" w:eastAsiaTheme="minorEastAsia" w:hAnsiTheme="minorHAnsi"/>
          <w:lang w:val="en-US"/>
        </w:rPr>
        <w:t xml:space="preserve">.2 </w:t>
      </w:r>
      <w:r w:rsidR="00F54CA8" w:rsidRPr="00F54CA8">
        <w:rPr>
          <w:rFonts w:asciiTheme="minorHAnsi" w:eastAsiaTheme="minorEastAsia" w:hAnsiTheme="minorHAnsi"/>
          <w:lang w:val="en-US"/>
        </w:rPr>
        <w:tab/>
      </w:r>
      <w:r w:rsidR="0050327C" w:rsidRPr="00F54CA8">
        <w:rPr>
          <w:rFonts w:asciiTheme="minorHAnsi" w:eastAsiaTheme="minorEastAsia" w:hAnsiTheme="minorHAnsi"/>
          <w:lang w:val="en-US"/>
        </w:rPr>
        <w:t>The issue of taxing E-commerce</w:t>
      </w:r>
      <w:r w:rsidR="00B7552B">
        <w:rPr>
          <w:rFonts w:asciiTheme="minorHAnsi" w:eastAsiaTheme="minorEastAsia" w:hAnsiTheme="minorHAnsi"/>
          <w:lang w:val="en-US"/>
        </w:rPr>
        <w:tab/>
      </w:r>
      <w:r w:rsidR="00B7552B">
        <w:rPr>
          <w:rFonts w:asciiTheme="minorHAnsi" w:eastAsiaTheme="minorEastAsia" w:hAnsiTheme="minorHAnsi"/>
          <w:lang w:val="en-US"/>
        </w:rPr>
        <w:tab/>
      </w:r>
      <w:r w:rsidR="00B7552B">
        <w:rPr>
          <w:rFonts w:asciiTheme="minorHAnsi" w:eastAsiaTheme="minorEastAsia" w:hAnsiTheme="minorHAnsi"/>
          <w:lang w:val="en-US"/>
        </w:rPr>
        <w:tab/>
      </w:r>
      <w:r w:rsidR="00B7552B">
        <w:rPr>
          <w:rFonts w:asciiTheme="minorHAnsi" w:eastAsiaTheme="minorEastAsia" w:hAnsiTheme="minorHAnsi"/>
          <w:lang w:val="en-US"/>
        </w:rPr>
        <w:tab/>
      </w:r>
    </w:p>
    <w:p w14:paraId="31F2E837" w14:textId="77777777" w:rsidR="00F54CA8" w:rsidRPr="00F54CA8" w:rsidRDefault="00F54CA8" w:rsidP="00F54CA8">
      <w:pPr>
        <w:spacing w:line="360" w:lineRule="auto"/>
        <w:jc w:val="both"/>
      </w:pPr>
    </w:p>
    <w:p w14:paraId="56446754" w14:textId="4533D8AA" w:rsidR="00F54CA8" w:rsidRPr="00F54CA8" w:rsidRDefault="0050327C" w:rsidP="00F54CA8">
      <w:pPr>
        <w:pStyle w:val="ListParagraph"/>
        <w:numPr>
          <w:ilvl w:val="0"/>
          <w:numId w:val="5"/>
        </w:numPr>
        <w:spacing w:line="360" w:lineRule="auto"/>
        <w:jc w:val="both"/>
        <w:rPr>
          <w:b/>
        </w:rPr>
      </w:pPr>
      <w:r w:rsidRPr="00F54CA8">
        <w:rPr>
          <w:b/>
        </w:rPr>
        <w:t xml:space="preserve">The Taxability of E-commerce </w:t>
      </w:r>
      <w:r w:rsidR="00B7552B">
        <w:rPr>
          <w:b/>
        </w:rPr>
        <w:tab/>
      </w:r>
    </w:p>
    <w:p w14:paraId="47EBF9BB" w14:textId="710BBBA2" w:rsidR="0050327C" w:rsidRPr="00F54CA8" w:rsidRDefault="00F54CA8" w:rsidP="00F54CA8">
      <w:pPr>
        <w:pStyle w:val="ListParagraph"/>
        <w:numPr>
          <w:ilvl w:val="1"/>
          <w:numId w:val="5"/>
        </w:numPr>
        <w:spacing w:line="360" w:lineRule="auto"/>
        <w:jc w:val="both"/>
      </w:pPr>
      <w:r>
        <w:t xml:space="preserve">       </w:t>
      </w:r>
      <w:r w:rsidR="0050327C" w:rsidRPr="00F54CA8">
        <w:t xml:space="preserve">Principles of Taxation relevant to E-Commerce </w:t>
      </w:r>
      <w:r w:rsidR="00B7552B">
        <w:tab/>
      </w:r>
      <w:r w:rsidR="00B7552B">
        <w:tab/>
      </w:r>
      <w:r w:rsidR="00B7552B">
        <w:tab/>
      </w:r>
      <w:r w:rsidR="00B7552B">
        <w:tab/>
      </w:r>
    </w:p>
    <w:p w14:paraId="27D0DE35" w14:textId="1192BC6B" w:rsidR="0050327C" w:rsidRPr="00F54CA8" w:rsidRDefault="0050327C" w:rsidP="00F54CA8">
      <w:pPr>
        <w:spacing w:line="360" w:lineRule="auto"/>
      </w:pPr>
      <w:r w:rsidRPr="00F54CA8">
        <w:t xml:space="preserve">3.2      </w:t>
      </w:r>
      <w:r w:rsidR="00F54CA8">
        <w:t xml:space="preserve"> </w:t>
      </w:r>
      <w:r w:rsidRPr="00F54CA8">
        <w:t xml:space="preserve"> Issues When Taxing E-Commerce </w:t>
      </w:r>
    </w:p>
    <w:p w14:paraId="12E96B41" w14:textId="77777777" w:rsidR="0050327C" w:rsidRPr="00F54CA8" w:rsidRDefault="0050327C" w:rsidP="00F54CA8">
      <w:pPr>
        <w:spacing w:line="360" w:lineRule="auto"/>
        <w:ind w:firstLine="720"/>
        <w:jc w:val="both"/>
      </w:pPr>
      <w:r w:rsidRPr="00F54CA8">
        <w:t>3.2.1 Digitalized Goods</w:t>
      </w:r>
    </w:p>
    <w:p w14:paraId="1FC4587C" w14:textId="77777777" w:rsidR="0050327C" w:rsidRPr="00F54CA8" w:rsidRDefault="0050327C" w:rsidP="00F54CA8">
      <w:pPr>
        <w:spacing w:line="360" w:lineRule="auto"/>
        <w:ind w:firstLine="720"/>
        <w:jc w:val="both"/>
      </w:pPr>
      <w:r w:rsidRPr="00F54CA8">
        <w:t>3.2.2 Physical Goods</w:t>
      </w:r>
    </w:p>
    <w:p w14:paraId="4A83458B" w14:textId="7E74267E" w:rsidR="0050327C" w:rsidRDefault="0050327C" w:rsidP="00F54CA8">
      <w:pPr>
        <w:spacing w:line="360" w:lineRule="auto"/>
        <w:jc w:val="both"/>
      </w:pPr>
      <w:r w:rsidRPr="00F54CA8">
        <w:t xml:space="preserve">3.3 </w:t>
      </w:r>
      <w:r w:rsidR="00F54CA8">
        <w:tab/>
      </w:r>
      <w:r w:rsidRPr="00F54CA8">
        <w:t>Proposals for Taxation of E-Commerce</w:t>
      </w:r>
    </w:p>
    <w:p w14:paraId="4EC343DF" w14:textId="77777777" w:rsidR="00F54CA8" w:rsidRPr="00F54CA8" w:rsidRDefault="00F54CA8" w:rsidP="00F54CA8">
      <w:pPr>
        <w:spacing w:line="360" w:lineRule="auto"/>
        <w:jc w:val="both"/>
      </w:pPr>
    </w:p>
    <w:p w14:paraId="5BECDAC2" w14:textId="36373692" w:rsidR="0050327C" w:rsidRPr="00F54CA8" w:rsidRDefault="0050327C" w:rsidP="00F54CA8">
      <w:pPr>
        <w:pStyle w:val="ListParagraph"/>
        <w:numPr>
          <w:ilvl w:val="0"/>
          <w:numId w:val="5"/>
        </w:numPr>
        <w:spacing w:line="360" w:lineRule="auto"/>
        <w:jc w:val="both"/>
        <w:rPr>
          <w:b/>
        </w:rPr>
      </w:pPr>
      <w:r w:rsidRPr="00F54CA8">
        <w:rPr>
          <w:b/>
        </w:rPr>
        <w:t>Is Taxing E-commerce a Good Idea?</w:t>
      </w:r>
    </w:p>
    <w:p w14:paraId="28912BCE" w14:textId="2D8D89AB" w:rsidR="0050327C" w:rsidRPr="00F54CA8" w:rsidRDefault="00F54CA8" w:rsidP="00F54CA8">
      <w:pPr>
        <w:pStyle w:val="ListParagraph"/>
        <w:numPr>
          <w:ilvl w:val="1"/>
          <w:numId w:val="5"/>
        </w:numPr>
        <w:spacing w:line="360" w:lineRule="auto"/>
        <w:jc w:val="both"/>
      </w:pPr>
      <w:r>
        <w:t xml:space="preserve">      </w:t>
      </w:r>
      <w:r w:rsidR="000B53B3">
        <w:t>The Revenue Loss Argument</w:t>
      </w:r>
    </w:p>
    <w:p w14:paraId="644A43D1" w14:textId="1D21EC96" w:rsidR="0050327C" w:rsidRPr="00F54CA8" w:rsidRDefault="00F54CA8" w:rsidP="00F54CA8">
      <w:pPr>
        <w:spacing w:line="360" w:lineRule="auto"/>
        <w:ind w:firstLine="360"/>
        <w:jc w:val="both"/>
      </w:pPr>
      <w:r>
        <w:t xml:space="preserve">      </w:t>
      </w:r>
      <w:r w:rsidR="0050327C" w:rsidRPr="00F54CA8">
        <w:t>4.1.1. The United States</w:t>
      </w:r>
    </w:p>
    <w:p w14:paraId="10189BCB" w14:textId="397DF356" w:rsidR="0050327C" w:rsidRPr="00F54CA8" w:rsidRDefault="00F54CA8" w:rsidP="00F54CA8">
      <w:pPr>
        <w:spacing w:line="360" w:lineRule="auto"/>
        <w:ind w:firstLine="360"/>
        <w:jc w:val="both"/>
      </w:pPr>
      <w:r>
        <w:t xml:space="preserve">      </w:t>
      </w:r>
      <w:r w:rsidR="0050327C" w:rsidRPr="00F54CA8">
        <w:t>4.1.2. The European Union</w:t>
      </w:r>
    </w:p>
    <w:p w14:paraId="1B1D7FAF" w14:textId="2FECF09A" w:rsidR="0050327C" w:rsidRDefault="00F54CA8" w:rsidP="00F54CA8">
      <w:pPr>
        <w:pStyle w:val="ListParagraph"/>
        <w:numPr>
          <w:ilvl w:val="1"/>
          <w:numId w:val="5"/>
        </w:numPr>
        <w:spacing w:line="360" w:lineRule="auto"/>
        <w:jc w:val="both"/>
      </w:pPr>
      <w:r>
        <w:t xml:space="preserve">      </w:t>
      </w:r>
      <w:r w:rsidR="0050327C" w:rsidRPr="00F54CA8">
        <w:t xml:space="preserve">Other Arguments </w:t>
      </w:r>
    </w:p>
    <w:p w14:paraId="340F9D33" w14:textId="77777777" w:rsidR="00F54CA8" w:rsidRPr="00F54CA8" w:rsidRDefault="00F54CA8" w:rsidP="00F54CA8">
      <w:pPr>
        <w:pStyle w:val="ListParagraph"/>
        <w:spacing w:line="360" w:lineRule="auto"/>
        <w:ind w:left="360"/>
        <w:jc w:val="both"/>
      </w:pPr>
    </w:p>
    <w:p w14:paraId="55B8143F" w14:textId="77777777" w:rsidR="0050327C" w:rsidRPr="00F54CA8" w:rsidRDefault="0050327C" w:rsidP="00F54CA8">
      <w:pPr>
        <w:spacing w:line="360" w:lineRule="auto"/>
        <w:jc w:val="both"/>
        <w:rPr>
          <w:b/>
        </w:rPr>
      </w:pPr>
      <w:r w:rsidRPr="00F54CA8">
        <w:rPr>
          <w:b/>
        </w:rPr>
        <w:t>5. Towards an International Framework</w:t>
      </w:r>
    </w:p>
    <w:p w14:paraId="11ED8D28" w14:textId="455319CE" w:rsidR="0050327C" w:rsidRPr="00F54CA8" w:rsidRDefault="0050327C" w:rsidP="00F54CA8">
      <w:pPr>
        <w:spacing w:line="360" w:lineRule="auto"/>
        <w:jc w:val="both"/>
      </w:pPr>
      <w:r w:rsidRPr="00F54CA8">
        <w:t xml:space="preserve">5.1 </w:t>
      </w:r>
      <w:r w:rsidR="00F54CA8">
        <w:tab/>
      </w:r>
      <w:r w:rsidRPr="00F54CA8">
        <w:t>International progress on handling e-commerce taxation</w:t>
      </w:r>
    </w:p>
    <w:p w14:paraId="614CE9F5" w14:textId="2011D1E0" w:rsidR="0050327C" w:rsidRPr="00F54CA8" w:rsidRDefault="0050327C" w:rsidP="00F54CA8">
      <w:pPr>
        <w:spacing w:line="360" w:lineRule="auto"/>
        <w:jc w:val="both"/>
      </w:pPr>
      <w:r w:rsidRPr="00F54CA8">
        <w:t xml:space="preserve">5.2 </w:t>
      </w:r>
      <w:r w:rsidR="00F54CA8">
        <w:tab/>
      </w:r>
      <w:r w:rsidRPr="00F54CA8">
        <w:t>Reactions by National Governments</w:t>
      </w:r>
    </w:p>
    <w:p w14:paraId="0B4DE725" w14:textId="77777777" w:rsidR="0050327C" w:rsidRPr="00F54CA8" w:rsidRDefault="0050327C" w:rsidP="00F54CA8">
      <w:pPr>
        <w:pStyle w:val="Header"/>
        <w:spacing w:line="360" w:lineRule="auto"/>
      </w:pPr>
    </w:p>
    <w:p w14:paraId="654BF6F0" w14:textId="6AE60D74" w:rsidR="0050327C" w:rsidRPr="00F54CA8" w:rsidRDefault="002622FB" w:rsidP="00F54CA8">
      <w:pPr>
        <w:pStyle w:val="Header"/>
        <w:spacing w:line="360" w:lineRule="auto"/>
        <w:rPr>
          <w:b/>
        </w:rPr>
      </w:pPr>
      <w:r w:rsidRPr="00F54CA8">
        <w:rPr>
          <w:b/>
        </w:rPr>
        <w:t>6. Conclusion</w:t>
      </w:r>
    </w:p>
    <w:p w14:paraId="4DA232DF" w14:textId="77777777" w:rsidR="0050327C" w:rsidRDefault="0050327C" w:rsidP="00F54CA8">
      <w:pPr>
        <w:tabs>
          <w:tab w:val="left" w:pos="709"/>
          <w:tab w:val="left" w:pos="7797"/>
        </w:tabs>
        <w:spacing w:line="360" w:lineRule="auto"/>
        <w:jc w:val="both"/>
        <w:rPr>
          <w:b/>
          <w:sz w:val="32"/>
          <w:szCs w:val="32"/>
        </w:rPr>
      </w:pPr>
    </w:p>
    <w:p w14:paraId="6E126CC3" w14:textId="7A8E3FE3" w:rsidR="00B7552B" w:rsidRDefault="00F54CA8" w:rsidP="00B7552B">
      <w:pPr>
        <w:tabs>
          <w:tab w:val="left" w:pos="709"/>
          <w:tab w:val="left" w:pos="7797"/>
        </w:tabs>
        <w:spacing w:line="360" w:lineRule="auto"/>
        <w:jc w:val="both"/>
        <w:rPr>
          <w:b/>
        </w:rPr>
      </w:pPr>
      <w:r>
        <w:rPr>
          <w:b/>
        </w:rPr>
        <w:t xml:space="preserve">7. </w:t>
      </w:r>
      <w:r w:rsidR="003F07A7">
        <w:rPr>
          <w:b/>
        </w:rPr>
        <w:t>Sources</w:t>
      </w:r>
    </w:p>
    <w:p w14:paraId="7FF83F7D" w14:textId="53E3550C" w:rsidR="001F1AB9" w:rsidRPr="007B12FC" w:rsidRDefault="004D4103" w:rsidP="00B7552B">
      <w:pPr>
        <w:tabs>
          <w:tab w:val="left" w:pos="709"/>
          <w:tab w:val="left" w:pos="7797"/>
        </w:tabs>
        <w:spacing w:line="360" w:lineRule="auto"/>
        <w:jc w:val="both"/>
        <w:rPr>
          <w:b/>
        </w:rPr>
      </w:pPr>
      <w:r>
        <w:rPr>
          <w:b/>
          <w:sz w:val="32"/>
          <w:szCs w:val="32"/>
        </w:rPr>
        <w:t xml:space="preserve">1. </w:t>
      </w:r>
      <w:r w:rsidR="001F1AB9" w:rsidRPr="007B12FC">
        <w:rPr>
          <w:b/>
          <w:sz w:val="32"/>
          <w:szCs w:val="32"/>
        </w:rPr>
        <w:t>Introduction</w:t>
      </w:r>
    </w:p>
    <w:p w14:paraId="71A8AC79" w14:textId="77777777" w:rsidR="007B12FC" w:rsidRDefault="007B12FC" w:rsidP="00062D85">
      <w:pPr>
        <w:spacing w:line="360" w:lineRule="auto"/>
        <w:jc w:val="both"/>
        <w:rPr>
          <w:b/>
        </w:rPr>
      </w:pPr>
    </w:p>
    <w:p w14:paraId="57C4EC83" w14:textId="3F2E225F" w:rsidR="00305895" w:rsidRPr="00305895" w:rsidRDefault="00305895" w:rsidP="00062D85">
      <w:pPr>
        <w:spacing w:line="360" w:lineRule="auto"/>
        <w:jc w:val="both"/>
        <w:rPr>
          <w:b/>
        </w:rPr>
      </w:pPr>
      <w:r>
        <w:rPr>
          <w:b/>
        </w:rPr>
        <w:t>1.1 Objective</w:t>
      </w:r>
    </w:p>
    <w:p w14:paraId="0F7B8344" w14:textId="3B96F233" w:rsidR="00402298" w:rsidRDefault="00B972E5" w:rsidP="00402298">
      <w:pPr>
        <w:spacing w:line="360" w:lineRule="auto"/>
        <w:jc w:val="both"/>
      </w:pPr>
      <w:r>
        <w:rPr>
          <w:rFonts w:asciiTheme="minorHAnsi" w:eastAsiaTheme="minorEastAsia" w:hAnsiTheme="minorHAnsi"/>
          <w:lang w:val="en-US"/>
        </w:rPr>
        <w:t xml:space="preserve">As we shall see in the first chapter of this research, taxing international e-commerce </w:t>
      </w:r>
      <w:r w:rsidR="00305895">
        <w:rPr>
          <w:rFonts w:asciiTheme="minorHAnsi" w:eastAsiaTheme="minorEastAsia" w:hAnsiTheme="minorHAnsi"/>
          <w:lang w:val="en-US"/>
        </w:rPr>
        <w:t>is not a straightforward job</w:t>
      </w:r>
      <w:r>
        <w:rPr>
          <w:rFonts w:asciiTheme="minorHAnsi" w:eastAsiaTheme="minorEastAsia" w:hAnsiTheme="minorHAnsi"/>
          <w:lang w:val="en-US"/>
        </w:rPr>
        <w:t>. There are some key differences between regular tra</w:t>
      </w:r>
      <w:r w:rsidR="00305895">
        <w:rPr>
          <w:rFonts w:asciiTheme="minorHAnsi" w:eastAsiaTheme="minorEastAsia" w:hAnsiTheme="minorHAnsi"/>
          <w:lang w:val="en-US"/>
        </w:rPr>
        <w:t>de and cross-border trade through e-commerce that make taxing it a difficult job. Therefor, in this research I would like to find out;</w:t>
      </w:r>
      <w:r>
        <w:rPr>
          <w:rFonts w:asciiTheme="minorHAnsi" w:eastAsiaTheme="minorEastAsia" w:hAnsiTheme="minorHAnsi"/>
          <w:lang w:val="en-US"/>
        </w:rPr>
        <w:t xml:space="preserve"> </w:t>
      </w:r>
      <w:r w:rsidR="00B7552B" w:rsidRPr="00402298">
        <w:t>how</w:t>
      </w:r>
      <w:r w:rsidR="00402298" w:rsidRPr="00402298">
        <w:t xml:space="preserve"> can the international problem of taxing E-commerce best be solved?</w:t>
      </w:r>
      <w:r w:rsidR="00402298" w:rsidRPr="00402298">
        <w:rPr>
          <w:b/>
        </w:rPr>
        <w:t xml:space="preserve"> </w:t>
      </w:r>
      <w:r w:rsidR="00402298">
        <w:t>But how do we define “best”? Besides referring to a so</w:t>
      </w:r>
      <w:r w:rsidR="009D34BB">
        <w:t>lution that is economically</w:t>
      </w:r>
      <w:r w:rsidR="00402298">
        <w:t xml:space="preserve"> efficient, we are looking for an outcome that is also feasible and that can be agreed on by the international community. So what we are looking for is a mix of economic efficiency, feasibility and </w:t>
      </w:r>
      <w:r w:rsidR="009D34BB">
        <w:t xml:space="preserve">international consensus. </w:t>
      </w:r>
    </w:p>
    <w:p w14:paraId="27C60B7B" w14:textId="77777777" w:rsidR="00305895" w:rsidRDefault="00305895" w:rsidP="00402298">
      <w:pPr>
        <w:spacing w:line="360" w:lineRule="auto"/>
        <w:jc w:val="both"/>
      </w:pPr>
    </w:p>
    <w:p w14:paraId="2493B775" w14:textId="67E97B07" w:rsidR="00452BB3" w:rsidRDefault="00305895" w:rsidP="00402298">
      <w:pPr>
        <w:spacing w:line="360" w:lineRule="auto"/>
        <w:jc w:val="both"/>
        <w:rPr>
          <w:b/>
        </w:rPr>
      </w:pPr>
      <w:r>
        <w:rPr>
          <w:b/>
        </w:rPr>
        <w:t>1.2 Approach</w:t>
      </w:r>
    </w:p>
    <w:p w14:paraId="1C74BC4B" w14:textId="4F694347" w:rsidR="00305895" w:rsidRDefault="00305895" w:rsidP="00402298">
      <w:pPr>
        <w:spacing w:line="360" w:lineRule="auto"/>
        <w:jc w:val="both"/>
      </w:pPr>
      <w:r>
        <w:t>How will we find our way towards the solution to this problem? We shall start of with a chapter covering the basics of international e-commerce and the main issues that arise when discussing the taxation of it. This so we can get a clear idea of what kind of market we are dealing with. As further elaborated on below, we shall then first discuss the possibility and desirability of taxing international e-commerce and continue to examine how an international framework might be formed or is already forming.</w:t>
      </w:r>
    </w:p>
    <w:p w14:paraId="5B2BFCF6" w14:textId="77777777" w:rsidR="00467D11" w:rsidRPr="00305895" w:rsidRDefault="00467D11" w:rsidP="00402298">
      <w:pPr>
        <w:spacing w:line="360" w:lineRule="auto"/>
        <w:jc w:val="both"/>
      </w:pPr>
    </w:p>
    <w:p w14:paraId="4577D9A4" w14:textId="03219BE8" w:rsidR="00452BB3" w:rsidRPr="00452BB3" w:rsidRDefault="00305895" w:rsidP="00402298">
      <w:pPr>
        <w:spacing w:line="360" w:lineRule="auto"/>
        <w:jc w:val="both"/>
        <w:rPr>
          <w:b/>
        </w:rPr>
      </w:pPr>
      <w:r>
        <w:rPr>
          <w:b/>
        </w:rPr>
        <w:t>1.</w:t>
      </w:r>
      <w:r w:rsidR="00452BB3">
        <w:rPr>
          <w:b/>
        </w:rPr>
        <w:t>2.1 On the possibility and desirability of taxation</w:t>
      </w:r>
    </w:p>
    <w:p w14:paraId="4C1D3794" w14:textId="0DB597AF" w:rsidR="00EC4000" w:rsidRDefault="00452BB3" w:rsidP="00286581">
      <w:pPr>
        <w:spacing w:line="360" w:lineRule="auto"/>
        <w:jc w:val="both"/>
      </w:pPr>
      <w:r>
        <w:t xml:space="preserve">Before looking at how to develop an international framework for the taxation of e-commerce we want to go back to the economic basics. These consist of two parts; the desirability to tax e-commerce on the one hand </w:t>
      </w:r>
      <w:r w:rsidR="001663A2">
        <w:t>and the possibility to do so on the other.</w:t>
      </w:r>
      <w:r w:rsidR="00EC4000">
        <w:t xml:space="preserve"> </w:t>
      </w:r>
      <w:r w:rsidR="00EE245B">
        <w:t>We will start by assessing how feasible it i</w:t>
      </w:r>
      <w:r w:rsidR="00D52D1B">
        <w:t xml:space="preserve">s to actually tax e-commerce in order to find out if it would we possible to tax if we desired to do so. </w:t>
      </w:r>
      <w:r w:rsidR="00467D11">
        <w:t>T</w:t>
      </w:r>
      <w:r w:rsidR="00EC4000">
        <w:t>here are some key differences between the e-commerce market and the regular “brick and mortar” markets that provide us with some</w:t>
      </w:r>
      <w:r w:rsidR="00F73ADB">
        <w:t xml:space="preserve"> issues regarding the set up of a taxation system. To assess the possibility of taxing e-commerce we will first discuss the underlying principles of taxation</w:t>
      </w:r>
      <w:r w:rsidR="00751674">
        <w:t>. We will t</w:t>
      </w:r>
      <w:r w:rsidR="00F73ADB">
        <w:t xml:space="preserve">hen </w:t>
      </w:r>
      <w:r w:rsidR="00751674">
        <w:t>use</w:t>
      </w:r>
      <w:r w:rsidR="00F73ADB">
        <w:t xml:space="preserve"> those</w:t>
      </w:r>
      <w:r w:rsidR="00751674">
        <w:t xml:space="preserve"> principles</w:t>
      </w:r>
      <w:r w:rsidR="00F73ADB">
        <w:t xml:space="preserve"> to</w:t>
      </w:r>
      <w:r w:rsidR="00751674">
        <w:t xml:space="preserve"> evaluate</w:t>
      </w:r>
      <w:r w:rsidR="00F73ADB">
        <w:t xml:space="preserve"> </w:t>
      </w:r>
      <w:r w:rsidR="00751674">
        <w:t xml:space="preserve">the possibilities to tax the e-commerce market. A distinction between the physical and digitalized goods market will be made here as different issues arise in these different e-commerce markets. </w:t>
      </w:r>
      <w:r w:rsidR="00C16541">
        <w:t xml:space="preserve">Two specifically innovative proposed solutions </w:t>
      </w:r>
      <w:r w:rsidR="00751674">
        <w:t xml:space="preserve">will also be evaluated on both their feasibility and economic efficiency. Then we will have created a clear picture of what possibilities we have to tax e-commerce and the </w:t>
      </w:r>
      <w:r w:rsidR="000065A6">
        <w:t>pros</w:t>
      </w:r>
      <w:r w:rsidR="00751674">
        <w:t xml:space="preserve"> and </w:t>
      </w:r>
      <w:r w:rsidR="000065A6">
        <w:t>cons</w:t>
      </w:r>
      <w:r w:rsidR="00751674">
        <w:t xml:space="preserve"> to such options. </w:t>
      </w:r>
    </w:p>
    <w:p w14:paraId="7456C81A" w14:textId="5D25974A" w:rsidR="00EE245B" w:rsidRDefault="00D52D1B" w:rsidP="00286581">
      <w:pPr>
        <w:spacing w:line="360" w:lineRule="auto"/>
        <w:jc w:val="both"/>
      </w:pPr>
      <w:r>
        <w:t>To determine the desirability of taxing e-commerce w</w:t>
      </w:r>
      <w:r w:rsidR="00EE245B">
        <w:t>e will start by determining the main</w:t>
      </w:r>
      <w:r>
        <w:t xml:space="preserve"> economic arguments in favour</w:t>
      </w:r>
      <w:r w:rsidR="00EE245B">
        <w:t>. The main argument in favour being the possible substantial loss of tax revenues for governments. We will separately discuss the EU and the US case, as there are some key differences there. Then we will determine why it might be economically desirable to provide tax preferences to the e-commerce market.  Here we will discuss the infant industry, externalities and optimal taxation arguments and determine their individual relevance to this discussion.  Afterwards we will be able to determine if it is economically efficient to tax in some form or if it might be better to not tax at all.</w:t>
      </w:r>
    </w:p>
    <w:p w14:paraId="7AFD726D" w14:textId="77777777" w:rsidR="000065A6" w:rsidRDefault="000065A6" w:rsidP="00286581">
      <w:pPr>
        <w:spacing w:line="360" w:lineRule="auto"/>
        <w:jc w:val="both"/>
      </w:pPr>
    </w:p>
    <w:p w14:paraId="60710B14" w14:textId="3B66B706" w:rsidR="00286581" w:rsidRDefault="00305895" w:rsidP="00286581">
      <w:pPr>
        <w:spacing w:line="360" w:lineRule="auto"/>
        <w:jc w:val="both"/>
        <w:rPr>
          <w:b/>
        </w:rPr>
      </w:pPr>
      <w:r>
        <w:rPr>
          <w:b/>
        </w:rPr>
        <w:t>1.</w:t>
      </w:r>
      <w:r w:rsidR="00286581">
        <w:rPr>
          <w:b/>
        </w:rPr>
        <w:t xml:space="preserve">2.2 Progress on and feasibility of International framework </w:t>
      </w:r>
    </w:p>
    <w:p w14:paraId="74C4F96F" w14:textId="0D64B109" w:rsidR="000B12D1" w:rsidRDefault="00286581" w:rsidP="00286581">
      <w:pPr>
        <w:spacing w:line="360" w:lineRule="auto"/>
        <w:jc w:val="both"/>
      </w:pPr>
      <w:r>
        <w:t>After we have formed an accurate view on the desirability and possibility to tax e-commerce it is a logical step to afterwards research what has so far been done by</w:t>
      </w:r>
      <w:r w:rsidR="000B12D1">
        <w:t xml:space="preserve"> countries to solve this issue.</w:t>
      </w:r>
      <w:r w:rsidR="00945FB1">
        <w:t xml:space="preserve">  </w:t>
      </w:r>
      <w:r w:rsidR="009839D4">
        <w:t>We will first review what role the OECD has played in this matter and how it has dealt with certain issues regarding the alteration of the OECD model tax treaty or its Commentary. As the OECD is often a guiding institution for overall tax guidelines it seems logical to review the national responses to the taxation of e-commerce whilst comparing it to what the OECD has put forward. We will then review</w:t>
      </w:r>
      <w:r w:rsidR="00945FB1">
        <w:t xml:space="preserve"> the national efforts</w:t>
      </w:r>
      <w:r w:rsidR="009839D4">
        <w:t xml:space="preserve"> so far and afterwards</w:t>
      </w:r>
      <w:r w:rsidR="00945FB1">
        <w:t xml:space="preserve"> we will dis</w:t>
      </w:r>
      <w:r w:rsidR="009839D4">
        <w:t xml:space="preserve">cuss the European Union efforts. </w:t>
      </w:r>
      <w:r w:rsidR="00945FB1">
        <w:t>Then we conclude on the general trends present, if there are any, and evaluate the effectiveness of the proposed/introduced measures.</w:t>
      </w:r>
      <w:r w:rsidR="000B12D1">
        <w:t xml:space="preserve"> </w:t>
      </w:r>
      <w:r w:rsidR="00945FB1">
        <w:t>This is useful</w:t>
      </w:r>
      <w:r w:rsidR="000B12D1">
        <w:t xml:space="preserve"> so we can afterwards form an educated recommendation on how to move forward from here whilst keeping the </w:t>
      </w:r>
      <w:r w:rsidR="00945FB1">
        <w:t xml:space="preserve">initial </w:t>
      </w:r>
      <w:r w:rsidR="000B12D1">
        <w:t>reactions by all countries in mind.</w:t>
      </w:r>
    </w:p>
    <w:p w14:paraId="78EC7ADA" w14:textId="111D71C6" w:rsidR="00E443EC" w:rsidRDefault="00E443EC" w:rsidP="00286581">
      <w:pPr>
        <w:spacing w:line="360" w:lineRule="auto"/>
        <w:jc w:val="both"/>
      </w:pPr>
      <w:r>
        <w:t xml:space="preserve">The successes and failures of the OECD efforts so far will then be assessed </w:t>
      </w:r>
      <w:r w:rsidR="00F80521">
        <w:t>and we</w:t>
      </w:r>
      <w:r>
        <w:t xml:space="preserve"> will try to find suggestions for im</w:t>
      </w:r>
      <w:r w:rsidR="00F80521">
        <w:t>provement of their role. We</w:t>
      </w:r>
      <w:r>
        <w:t xml:space="preserve"> will</w:t>
      </w:r>
      <w:r w:rsidR="00F80521">
        <w:t xml:space="preserve"> also</w:t>
      </w:r>
      <w:r>
        <w:t xml:space="preserve"> consider what other possibilities might exist for international institutions to guide or force certain tax legislations in order to convert the international taxation into a smooth operation. </w:t>
      </w:r>
      <w:r w:rsidR="00F80521">
        <w:t>A comparison between formal and informal organisations will be made and we will draw our conclusions as to what the ideal international tax organisation would look like. The focus in this discussion will lie on the OECD as the institution to do so as it has taken that role in the past. We will not however overlook other possibilities and assess the OECD critically on both their efforts so far and its suitability for the job at hand.</w:t>
      </w:r>
    </w:p>
    <w:p w14:paraId="0A2D90EC" w14:textId="53E91481" w:rsidR="00F80521" w:rsidRDefault="00F80521" w:rsidP="00286581">
      <w:pPr>
        <w:spacing w:line="360" w:lineRule="auto"/>
        <w:jc w:val="both"/>
      </w:pPr>
      <w:r>
        <w:t xml:space="preserve">Hopefully we will in the end be able to answer </w:t>
      </w:r>
      <w:r w:rsidR="005812D4">
        <w:t xml:space="preserve">our main question; </w:t>
      </w:r>
      <w:r w:rsidR="005812D4" w:rsidRPr="00402298">
        <w:t>how can the international problem of taxing E-commerce best be solved</w:t>
      </w:r>
      <w:r w:rsidR="005812D4">
        <w:t>? We will thus built up to answering this main question by answering the various sub-</w:t>
      </w:r>
      <w:r>
        <w:t xml:space="preserve">questions </w:t>
      </w:r>
      <w:r w:rsidR="005812D4">
        <w:t xml:space="preserve">just described </w:t>
      </w:r>
      <w:r>
        <w:t>such as: Is taxing e-commerce a sensible idea? If this were the case, what sort of taxation tools would we ideally use? Has the way the taxation of e-commerce has been handled so far by countries been effective? What could be improved in their approach? If we want one, what kind of international tax organisation would be ideal?</w:t>
      </w:r>
      <w:r w:rsidRPr="00F80521">
        <w:t xml:space="preserve"> </w:t>
      </w:r>
      <w:r>
        <w:t xml:space="preserve">Is the OECD a good starting point as an international tax organisation? </w:t>
      </w:r>
    </w:p>
    <w:p w14:paraId="7497392D" w14:textId="77777777" w:rsidR="00467D11" w:rsidRDefault="00467D11" w:rsidP="00286581">
      <w:pPr>
        <w:spacing w:line="360" w:lineRule="auto"/>
        <w:jc w:val="both"/>
      </w:pPr>
    </w:p>
    <w:p w14:paraId="14DD0AC9" w14:textId="77777777" w:rsidR="00467D11" w:rsidRDefault="00467D11" w:rsidP="00286581">
      <w:pPr>
        <w:spacing w:line="360" w:lineRule="auto"/>
        <w:jc w:val="both"/>
      </w:pPr>
    </w:p>
    <w:p w14:paraId="7EF379A9" w14:textId="603337F1" w:rsidR="00467D11" w:rsidRPr="00467D11" w:rsidRDefault="00467D11" w:rsidP="00286581">
      <w:pPr>
        <w:spacing w:line="360" w:lineRule="auto"/>
        <w:jc w:val="both"/>
        <w:rPr>
          <w:sz w:val="32"/>
          <w:szCs w:val="32"/>
        </w:rPr>
      </w:pPr>
      <w:r w:rsidRPr="00467D11">
        <w:rPr>
          <w:b/>
          <w:sz w:val="32"/>
          <w:szCs w:val="32"/>
        </w:rPr>
        <w:t>2. E-commerce and its Taxation</w:t>
      </w:r>
    </w:p>
    <w:p w14:paraId="687969CF" w14:textId="77777777" w:rsidR="00467D11" w:rsidRDefault="00467D11" w:rsidP="00286581">
      <w:pPr>
        <w:spacing w:line="360" w:lineRule="auto"/>
        <w:jc w:val="both"/>
      </w:pPr>
    </w:p>
    <w:p w14:paraId="65068C32" w14:textId="77777777" w:rsidR="00467D11" w:rsidRPr="007B12FC" w:rsidRDefault="00467D11" w:rsidP="00467D11">
      <w:pPr>
        <w:spacing w:line="360" w:lineRule="auto"/>
        <w:jc w:val="both"/>
        <w:rPr>
          <w:b/>
        </w:rPr>
      </w:pPr>
      <w:r>
        <w:rPr>
          <w:b/>
        </w:rPr>
        <w:t xml:space="preserve">2.1 Basics of E-commerce </w:t>
      </w:r>
    </w:p>
    <w:p w14:paraId="473D5845" w14:textId="77777777" w:rsidR="00467D11" w:rsidRDefault="00467D11" w:rsidP="00467D11">
      <w:pPr>
        <w:spacing w:line="360" w:lineRule="auto"/>
        <w:jc w:val="both"/>
      </w:pPr>
      <w:r>
        <w:t>In 1969 the United States Department of Defence Advanced Research Projects Agency created a network system that would later become know as “the Internet”. After the benefits of such a system were quickly recognized by the academic community in the 1980’s, the dramatic improvements in telecommunication technology and the emergence of the “World Wide Web” led to the first recognition of commercial usage of the new Internet technology in the 1990’s.  This rapid technological development has enabled the Internet to basically handle any kind of digitalized information. This means the commercial sector now has the ability to reach millions of people from all around the globe. Along with this, the share of commerce being conducted electronically has experienced an astounding growth over the last decade.</w:t>
      </w:r>
    </w:p>
    <w:p w14:paraId="17701D72" w14:textId="6F6E150A" w:rsidR="00B7552B" w:rsidRDefault="00467D11" w:rsidP="00467D11">
      <w:pPr>
        <w:spacing w:line="360" w:lineRule="auto"/>
        <w:jc w:val="both"/>
      </w:pPr>
      <w:r>
        <w:t>Where in 1998 the global market for e-commerce sales was estimated at $26 billion by the OECD (1998)</w:t>
      </w:r>
      <w:r w:rsidR="00B7552B">
        <w:rPr>
          <w:rStyle w:val="FootnoteReference"/>
        </w:rPr>
        <w:footnoteReference w:id="1"/>
      </w:r>
      <w:r w:rsidR="00B7552B">
        <w:t>, by 2010 this had become $572,5 billion and the predictions indicate it to grow to $963 billion by 2013 at a compounded annual rate of 19,4% from 2010 to 2013. The US, Europe and Asia are currently responsible for most of the e-commerce conducted, about 85%. Especially in Asia the e-commerce retail market is currently exploding. Where in 2010 it was estimated at  $155,7 billion, forecasts indicate it to have more than doubled by 2013 to $323.1 billion; this is an annual growth rate of 27,5% as found by Goldman Sachs (2011)</w:t>
      </w:r>
      <w:r w:rsidR="00B7552B">
        <w:rPr>
          <w:rStyle w:val="FootnoteReference"/>
        </w:rPr>
        <w:footnoteReference w:id="2"/>
      </w:r>
      <w:r w:rsidR="00B7552B">
        <w:t xml:space="preserve">. </w:t>
      </w:r>
    </w:p>
    <w:p w14:paraId="432651BD" w14:textId="77777777" w:rsidR="00B7552B" w:rsidRDefault="00B7552B" w:rsidP="00467D11">
      <w:pPr>
        <w:spacing w:line="360" w:lineRule="auto"/>
        <w:jc w:val="both"/>
        <w:rPr>
          <w:rFonts w:asciiTheme="minorHAnsi" w:eastAsiaTheme="minorEastAsia" w:hAnsiTheme="minorHAnsi"/>
          <w:lang w:val="en-US"/>
        </w:rPr>
      </w:pPr>
      <w:r>
        <w:t xml:space="preserve">Before looking further into this matter it might be useful to define what we mean exactly when using the term “e-commerce”. The official OECD statistical definition states the following: </w:t>
      </w:r>
      <w:r>
        <w:rPr>
          <w:rFonts w:asciiTheme="minorHAnsi" w:hAnsiTheme="minorHAnsi"/>
        </w:rPr>
        <w:t>“</w:t>
      </w:r>
      <w:r>
        <w:rPr>
          <w:rFonts w:asciiTheme="minorHAnsi" w:eastAsiaTheme="minorEastAsia" w:hAnsiTheme="minorHAnsi"/>
          <w:lang w:val="en-US"/>
        </w:rPr>
        <w:t>E</w:t>
      </w:r>
      <w:r w:rsidRPr="002D0BF1">
        <w:rPr>
          <w:rFonts w:asciiTheme="minorHAnsi" w:eastAsiaTheme="minorEastAsia" w:hAnsiTheme="minorHAnsi"/>
          <w:lang w:val="en-US"/>
        </w:rPr>
        <w:t>lectronic commerce refers to commercial transactions occurring over open networks, such as the Internet. Both business-to-business and business-to-consumer transactions are included.</w:t>
      </w:r>
      <w:r>
        <w:rPr>
          <w:rFonts w:asciiTheme="minorHAnsi" w:eastAsiaTheme="minorEastAsia" w:hAnsiTheme="minorHAnsi"/>
          <w:lang w:val="en-US"/>
        </w:rPr>
        <w:t>”</w:t>
      </w:r>
      <w:r>
        <w:rPr>
          <w:rStyle w:val="FootnoteReference"/>
          <w:rFonts w:asciiTheme="minorHAnsi" w:eastAsiaTheme="minorEastAsia" w:hAnsiTheme="minorHAnsi"/>
          <w:lang w:val="en-US"/>
        </w:rPr>
        <w:footnoteReference w:id="3"/>
      </w:r>
      <w:r>
        <w:rPr>
          <w:rFonts w:asciiTheme="minorHAnsi" w:eastAsiaTheme="minorEastAsia" w:hAnsiTheme="minorHAnsi"/>
          <w:lang w:val="en-US"/>
        </w:rPr>
        <w:t xml:space="preserve"> These transactions named can include electronic data interchange (EDI), online retail and electronic financial services. The World Trade organization (WTO) has not given a formal definition of the term yet but says it is generally understood to refer to any kind of transaction where electronic information gets sent over the Internet/other means of telecommunications. As there are many different forms of e-commerce, the main following distinction is often made when discussing a certain transaction:</w:t>
      </w:r>
    </w:p>
    <w:p w14:paraId="301AA9C3" w14:textId="77777777" w:rsidR="00B7552B" w:rsidRDefault="00B7552B" w:rsidP="00467D11">
      <w:pPr>
        <w:pStyle w:val="ListParagraph"/>
        <w:numPr>
          <w:ilvl w:val="0"/>
          <w:numId w:val="2"/>
        </w:numPr>
        <w:spacing w:line="360" w:lineRule="auto"/>
        <w:jc w:val="both"/>
        <w:rPr>
          <w:rFonts w:asciiTheme="minorHAnsi" w:eastAsiaTheme="minorEastAsia" w:hAnsiTheme="minorHAnsi"/>
          <w:lang w:val="en-US"/>
        </w:rPr>
      </w:pPr>
      <w:r w:rsidRPr="002819A2">
        <w:rPr>
          <w:rFonts w:asciiTheme="minorHAnsi" w:eastAsiaTheme="minorEastAsia" w:hAnsiTheme="minorHAnsi"/>
          <w:lang w:val="en-US"/>
        </w:rPr>
        <w:t xml:space="preserve">Business to business (B2B), a transaction between two companies. </w:t>
      </w:r>
    </w:p>
    <w:p w14:paraId="09EF591D" w14:textId="77777777" w:rsidR="00B7552B" w:rsidRPr="002819A2" w:rsidRDefault="00B7552B" w:rsidP="00467D11">
      <w:pPr>
        <w:pStyle w:val="ListParagraph"/>
        <w:numPr>
          <w:ilvl w:val="0"/>
          <w:numId w:val="2"/>
        </w:numPr>
        <w:spacing w:line="360" w:lineRule="auto"/>
        <w:jc w:val="both"/>
        <w:rPr>
          <w:rFonts w:asciiTheme="minorHAnsi" w:eastAsiaTheme="minorEastAsia" w:hAnsiTheme="minorHAnsi"/>
          <w:lang w:val="en-US"/>
        </w:rPr>
      </w:pPr>
      <w:r w:rsidRPr="002819A2">
        <w:rPr>
          <w:rFonts w:asciiTheme="minorHAnsi" w:eastAsiaTheme="minorEastAsia" w:hAnsiTheme="minorHAnsi"/>
          <w:lang w:val="en-US"/>
        </w:rPr>
        <w:t xml:space="preserve">Business to consumer (B2C), a transaction between a company and a consumer. </w:t>
      </w:r>
    </w:p>
    <w:p w14:paraId="3E3A54A6" w14:textId="77777777" w:rsidR="00B7552B" w:rsidRDefault="00B7552B" w:rsidP="00467D11">
      <w:pPr>
        <w:pStyle w:val="ListParagraph"/>
        <w:numPr>
          <w:ilvl w:val="0"/>
          <w:numId w:val="2"/>
        </w:numPr>
        <w:spacing w:line="360" w:lineRule="auto"/>
        <w:jc w:val="both"/>
        <w:rPr>
          <w:rFonts w:asciiTheme="minorHAnsi" w:eastAsiaTheme="minorEastAsia" w:hAnsiTheme="minorHAnsi"/>
          <w:lang w:val="en-US"/>
        </w:rPr>
      </w:pPr>
      <w:r>
        <w:rPr>
          <w:rFonts w:asciiTheme="minorHAnsi" w:eastAsiaTheme="minorEastAsia" w:hAnsiTheme="minorHAnsi"/>
          <w:lang w:val="en-US"/>
        </w:rPr>
        <w:t>Consumer to consumer (C2C), a transaction between two consumers.</w:t>
      </w:r>
    </w:p>
    <w:p w14:paraId="5ECE3719" w14:textId="77777777" w:rsidR="00B7552B" w:rsidRDefault="00B7552B" w:rsidP="00467D11">
      <w:pPr>
        <w:spacing w:line="360" w:lineRule="auto"/>
        <w:jc w:val="both"/>
        <w:rPr>
          <w:rFonts w:asciiTheme="minorHAnsi" w:eastAsiaTheme="minorEastAsia" w:hAnsiTheme="minorHAnsi"/>
          <w:lang w:val="en-US"/>
        </w:rPr>
      </w:pPr>
      <w:r>
        <w:rPr>
          <w:rFonts w:asciiTheme="minorHAnsi" w:eastAsiaTheme="minorEastAsia" w:hAnsiTheme="minorHAnsi"/>
          <w:lang w:val="en-US"/>
        </w:rPr>
        <w:t>Even though there are many more such categories (think of all possible relations between companies, employees, citizens, governments etc.), these three are currently covering the largest chunk of all e-commerce being conducted.</w:t>
      </w:r>
    </w:p>
    <w:p w14:paraId="2824AF46" w14:textId="77777777" w:rsidR="00B7552B" w:rsidRDefault="00B7552B" w:rsidP="00467D11">
      <w:pPr>
        <w:spacing w:line="360" w:lineRule="auto"/>
        <w:jc w:val="both"/>
        <w:rPr>
          <w:rFonts w:asciiTheme="minorHAnsi" w:eastAsiaTheme="minorEastAsia" w:hAnsiTheme="minorHAnsi"/>
          <w:lang w:val="en-US"/>
        </w:rPr>
      </w:pPr>
    </w:p>
    <w:p w14:paraId="2264C734" w14:textId="77777777" w:rsidR="00B7552B" w:rsidRDefault="00B7552B" w:rsidP="00467D11">
      <w:pPr>
        <w:spacing w:line="360" w:lineRule="auto"/>
        <w:jc w:val="both"/>
        <w:rPr>
          <w:rFonts w:asciiTheme="minorHAnsi" w:eastAsiaTheme="minorEastAsia" w:hAnsiTheme="minorHAnsi"/>
          <w:b/>
          <w:lang w:val="en-US"/>
        </w:rPr>
      </w:pPr>
      <w:r>
        <w:rPr>
          <w:rFonts w:asciiTheme="minorHAnsi" w:eastAsiaTheme="minorEastAsia" w:hAnsiTheme="minorHAnsi"/>
          <w:b/>
          <w:lang w:val="en-US"/>
        </w:rPr>
        <w:t>2.2 The issue of taxing E-commerce</w:t>
      </w:r>
    </w:p>
    <w:p w14:paraId="0F3AE744" w14:textId="77777777" w:rsidR="00B7552B" w:rsidRDefault="00B7552B" w:rsidP="00467D11">
      <w:pPr>
        <w:spacing w:line="360" w:lineRule="auto"/>
        <w:jc w:val="both"/>
        <w:rPr>
          <w:rFonts w:asciiTheme="minorHAnsi" w:eastAsiaTheme="minorEastAsia" w:hAnsiTheme="minorHAnsi"/>
          <w:lang w:val="en-US"/>
        </w:rPr>
      </w:pPr>
      <w:r>
        <w:rPr>
          <w:rFonts w:asciiTheme="minorHAnsi" w:eastAsiaTheme="minorEastAsia" w:hAnsiTheme="minorHAnsi"/>
          <w:lang w:val="en-US"/>
        </w:rPr>
        <w:t>Along with the rapid growth of this completely new market segment came various challenges. One prominent issue that arose was the one of taxation. This because business being conducted over the Internet is completely different from any other form of business that previously existed. Businesses now have servers (locations) all over the world and sell (digital) products all over the world. The first discussion was on the desirability to tax e-commerce. It has been argued by for instance Goolsby &amp; Zittrain (1999)</w:t>
      </w:r>
      <w:r>
        <w:rPr>
          <w:rStyle w:val="FootnoteReference"/>
          <w:rFonts w:asciiTheme="minorHAnsi" w:eastAsiaTheme="minorEastAsia" w:hAnsiTheme="minorHAnsi"/>
          <w:lang w:val="en-US"/>
        </w:rPr>
        <w:footnoteReference w:id="4"/>
      </w:r>
      <w:r>
        <w:rPr>
          <w:rFonts w:asciiTheme="minorHAnsi" w:eastAsiaTheme="minorEastAsia" w:hAnsiTheme="minorHAnsi"/>
          <w:lang w:val="en-US"/>
        </w:rPr>
        <w:t xml:space="preserve"> that since the Internet is still an emerging industry, taxing it could have harmful effects on its development. There also seems to be an argument for giving tax preferences to e-commerce because of its alleged positive network externalities. This last effect is highly controversial however and has been called neglectable by both Zodrow (2003)</w:t>
      </w:r>
      <w:r>
        <w:rPr>
          <w:rStyle w:val="FootnoteReference"/>
          <w:rFonts w:asciiTheme="minorHAnsi" w:eastAsiaTheme="minorEastAsia" w:hAnsiTheme="minorHAnsi"/>
          <w:lang w:val="en-US"/>
        </w:rPr>
        <w:footnoteReference w:id="5"/>
      </w:r>
      <w:r>
        <w:rPr>
          <w:rFonts w:asciiTheme="minorHAnsi" w:eastAsiaTheme="minorEastAsia" w:hAnsiTheme="minorHAnsi"/>
          <w:lang w:val="en-US"/>
        </w:rPr>
        <w:t xml:space="preserve"> and Varian (2001)</w:t>
      </w:r>
      <w:r>
        <w:rPr>
          <w:rStyle w:val="FootnoteReference"/>
          <w:rFonts w:asciiTheme="minorHAnsi" w:eastAsiaTheme="minorEastAsia" w:hAnsiTheme="minorHAnsi"/>
          <w:lang w:val="en-US"/>
        </w:rPr>
        <w:footnoteReference w:id="6"/>
      </w:r>
      <w:r>
        <w:rPr>
          <w:rFonts w:asciiTheme="minorHAnsi" w:eastAsiaTheme="minorEastAsia" w:hAnsiTheme="minorHAnsi"/>
          <w:lang w:val="en-US"/>
        </w:rPr>
        <w:t xml:space="preserve">. </w:t>
      </w:r>
    </w:p>
    <w:p w14:paraId="61C6D938" w14:textId="77777777" w:rsidR="00B7552B" w:rsidRDefault="00B7552B" w:rsidP="00467D11">
      <w:pPr>
        <w:spacing w:line="360" w:lineRule="auto"/>
        <w:jc w:val="both"/>
        <w:rPr>
          <w:rFonts w:asciiTheme="minorHAnsi" w:eastAsiaTheme="minorEastAsia" w:hAnsiTheme="minorHAnsi"/>
          <w:lang w:val="en-US"/>
        </w:rPr>
      </w:pPr>
      <w:r>
        <w:rPr>
          <w:rFonts w:asciiTheme="minorHAnsi" w:eastAsiaTheme="minorEastAsia" w:hAnsiTheme="minorHAnsi"/>
          <w:lang w:val="en-US"/>
        </w:rPr>
        <w:t xml:space="preserve">On the other hand governments argued that not taxing or granting tax preferences to this industry could greatly harm the tax revenue received by the state. This view is also more in line with the tax neutrality principle. But if we want to tax e-commerce, how do we set up a tax system that actually works efficiently? This might sound a bit strange as for centuries we have been able to levy taxes on just about anything.  The taxing of e-commerce is a thorny subject though. As e-commerce usually involves transactions transcending national borders it is interesting to question which tax jurisdiction to apply. Also, which tax principle does one apply; is it more efficient to use the origin principle when taxing e-commerce? Or might the destination principle be more economically efficient? The choice that is made between these two principles has great effects on how to best set up the administrative procedures required when taxing e-commerce.  </w:t>
      </w:r>
    </w:p>
    <w:p w14:paraId="2488180E" w14:textId="77777777" w:rsidR="00B7552B" w:rsidRDefault="00B7552B" w:rsidP="00467D11">
      <w:pPr>
        <w:spacing w:line="360" w:lineRule="auto"/>
        <w:jc w:val="both"/>
        <w:rPr>
          <w:rFonts w:asciiTheme="minorHAnsi" w:eastAsiaTheme="minorEastAsia" w:hAnsiTheme="minorHAnsi"/>
          <w:lang w:val="en-US"/>
        </w:rPr>
      </w:pPr>
      <w:r>
        <w:rPr>
          <w:rFonts w:asciiTheme="minorHAnsi" w:eastAsiaTheme="minorEastAsia" w:hAnsiTheme="minorHAnsi"/>
          <w:lang w:val="en-US"/>
        </w:rPr>
        <w:t xml:space="preserve">Right when this issue became apparent, different solutions were proposed. There was the “Bit Tax” proposing to apply a steady tax rate to all bits of digital information being traded on the Internet. The European Union came up with the e-commerce VAT proposal, which says that banks should keep track of all online sales, and withhold the tax from the sale and allocate it to the appropriate government. The Clinton Administration came up with a variant on the European proposal. This proposal requires consumers to buy e-cards to make online sales and allows governments to immediately collect their tax revenue from the sellers of these cards. </w:t>
      </w:r>
    </w:p>
    <w:p w14:paraId="140F9B58" w14:textId="77777777" w:rsidR="00B7552B" w:rsidRDefault="00B7552B" w:rsidP="00467D11">
      <w:pPr>
        <w:spacing w:line="360" w:lineRule="auto"/>
        <w:jc w:val="both"/>
        <w:rPr>
          <w:rFonts w:asciiTheme="minorHAnsi" w:eastAsiaTheme="minorEastAsia" w:hAnsiTheme="minorHAnsi"/>
          <w:lang w:val="en-US"/>
        </w:rPr>
      </w:pPr>
      <w:r>
        <w:rPr>
          <w:rFonts w:asciiTheme="minorHAnsi" w:eastAsiaTheme="minorEastAsia" w:hAnsiTheme="minorHAnsi"/>
          <w:lang w:val="en-US"/>
        </w:rPr>
        <w:t>As it became clear that e-commerce was a truly international matter, the OECD’s CFA (Committee on Fiscal Affairs) started to try and develop a framework of conditions for the governments to sign. In 1998 the governments adopted the so-called “Ottowa Taxation Framework Conditions”. These conditions, in 2001, lead to the CFA endorsing the “Guidelines on the Definition of the Place of Consumption in the Context of E-Commerce” and later, in 2003, the “Consumption Tax Guidance Series”.  These were useful but later it became clear that there might be a need to lay down some common rules agreed on by all countries. The CFA is currently working on this to really make an effort to eliminate all the difficulties that still arise within the area of cross-border e-commerce taxation.  But is it desirable to have such an organization laying down the rules for the entire international community? Might it be in some countries their best interest not to participate in this framework and continue their own effort regarding how to handle the taxation of e-commerce? How should the OECD’s CFA proceed from here?</w:t>
      </w:r>
    </w:p>
    <w:p w14:paraId="35C732AC" w14:textId="77777777" w:rsidR="00B7552B" w:rsidRDefault="00B7552B" w:rsidP="00467D11"/>
    <w:p w14:paraId="6EE868BA" w14:textId="77777777" w:rsidR="00B7552B" w:rsidRDefault="00B7552B" w:rsidP="00286581">
      <w:pPr>
        <w:spacing w:line="360" w:lineRule="auto"/>
        <w:jc w:val="both"/>
      </w:pPr>
    </w:p>
    <w:p w14:paraId="4D834742" w14:textId="77777777" w:rsidR="00B7552B" w:rsidRDefault="00B7552B" w:rsidP="00286581">
      <w:pPr>
        <w:spacing w:line="360" w:lineRule="auto"/>
        <w:jc w:val="both"/>
      </w:pPr>
    </w:p>
    <w:p w14:paraId="40519CE6" w14:textId="57D987FE" w:rsidR="00B7552B" w:rsidRPr="005A7907" w:rsidRDefault="00B7552B" w:rsidP="005A7907">
      <w:pPr>
        <w:spacing w:line="360" w:lineRule="auto"/>
        <w:jc w:val="both"/>
        <w:rPr>
          <w:b/>
          <w:sz w:val="32"/>
          <w:szCs w:val="32"/>
        </w:rPr>
      </w:pPr>
      <w:r>
        <w:rPr>
          <w:b/>
          <w:sz w:val="32"/>
          <w:szCs w:val="32"/>
        </w:rPr>
        <w:t xml:space="preserve">3. </w:t>
      </w:r>
      <w:r w:rsidRPr="005A7907">
        <w:rPr>
          <w:b/>
          <w:sz w:val="32"/>
          <w:szCs w:val="32"/>
        </w:rPr>
        <w:t xml:space="preserve">The Taxability of E-commerce </w:t>
      </w:r>
    </w:p>
    <w:p w14:paraId="4ECF2606" w14:textId="77777777" w:rsidR="00B7552B" w:rsidRDefault="00B7552B" w:rsidP="00D52D1B">
      <w:pPr>
        <w:spacing w:line="360" w:lineRule="auto"/>
        <w:jc w:val="both"/>
        <w:rPr>
          <w:b/>
        </w:rPr>
      </w:pPr>
    </w:p>
    <w:p w14:paraId="6F5F5161" w14:textId="75018F4F" w:rsidR="00B7552B" w:rsidRPr="002622FB" w:rsidRDefault="00B7552B" w:rsidP="002622FB">
      <w:pPr>
        <w:pStyle w:val="ListParagraph"/>
        <w:numPr>
          <w:ilvl w:val="1"/>
          <w:numId w:val="2"/>
        </w:numPr>
        <w:spacing w:line="360" w:lineRule="auto"/>
        <w:jc w:val="both"/>
        <w:rPr>
          <w:b/>
        </w:rPr>
      </w:pPr>
      <w:r w:rsidRPr="002622FB">
        <w:rPr>
          <w:b/>
        </w:rPr>
        <w:t xml:space="preserve">Principles of Taxation relevant to E-Commerce </w:t>
      </w:r>
    </w:p>
    <w:p w14:paraId="3CC2013C" w14:textId="36BD8F44" w:rsidR="00B7552B" w:rsidRDefault="00B7552B" w:rsidP="003B0836">
      <w:pPr>
        <w:spacing w:line="360" w:lineRule="auto"/>
        <w:jc w:val="both"/>
      </w:pPr>
      <w:r>
        <w:t>Before we start looking in to the actual taxability of e-commerce it seems useful to first discuss some tax principle that are relevant to e-commerce. This way we will be able to understand certain issues better.</w:t>
      </w:r>
    </w:p>
    <w:p w14:paraId="4D6BAC4B" w14:textId="52805C83" w:rsidR="00B7552B" w:rsidRDefault="00B7552B" w:rsidP="003B0836">
      <w:pPr>
        <w:spacing w:line="360" w:lineRule="auto"/>
        <w:jc w:val="both"/>
      </w:pPr>
      <w:r>
        <w:t>“Tax Neutrality” is the first principle we shall discuss. It basically requires an equitable tax system to tax the same economic income equally</w:t>
      </w:r>
      <w:r>
        <w:rPr>
          <w:rStyle w:val="FootnoteReference"/>
        </w:rPr>
        <w:footnoteReference w:id="7"/>
      </w:r>
      <w:r>
        <w:t>. If applied to e-commerce, this would mean that income earned through activities concerning electronic trade would have to be taxed in the same way as any other form of income. Taxing e-commerce differently could give either e-commerce or on the other side any other form of commerce a competitive advantage</w:t>
      </w:r>
      <w:r>
        <w:rPr>
          <w:rStyle w:val="FootnoteReference"/>
        </w:rPr>
        <w:footnoteReference w:id="8"/>
      </w:r>
      <w:r>
        <w:t>. Thus to maintain an equitable tax system, no “new” types of taxes should be levied on e-commerce</w:t>
      </w:r>
      <w:r>
        <w:rPr>
          <w:rStyle w:val="FootnoteReference"/>
        </w:rPr>
        <w:footnoteReference w:id="9"/>
      </w:r>
      <w:r>
        <w:t xml:space="preserve"> as it is just new mode of distribution or marketing. </w:t>
      </w:r>
    </w:p>
    <w:p w14:paraId="46E6A982" w14:textId="4B2F0058" w:rsidR="00B7552B" w:rsidRDefault="00B7552B" w:rsidP="003B0836">
      <w:pPr>
        <w:spacing w:line="360" w:lineRule="auto"/>
        <w:jc w:val="both"/>
      </w:pPr>
      <w:r>
        <w:t>Most tax systems use the “Permanent Establishment” principle to determine where a firm is located in order to be able to tax the company’s income</w:t>
      </w:r>
      <w:r>
        <w:rPr>
          <w:rStyle w:val="FootnoteReference"/>
        </w:rPr>
        <w:footnoteReference w:id="10"/>
      </w:r>
      <w:r>
        <w:t>. It is therefore relevant to know that permanent establishment actually refers to, especially when researching the case of e-commerce where the term “establishment” gets very debatable. The OECD Model Income Tax Convention states that permanent establishment may be attained by a company within a country through the existence of a broker or an agent there</w:t>
      </w:r>
      <w:r>
        <w:rPr>
          <w:rStyle w:val="FootnoteReference"/>
        </w:rPr>
        <w:footnoteReference w:id="11"/>
      </w:r>
      <w:r>
        <w:t xml:space="preserve">. </w:t>
      </w:r>
    </w:p>
    <w:p w14:paraId="652D0DA1" w14:textId="2E1DD83B" w:rsidR="00B7552B" w:rsidRDefault="00B7552B" w:rsidP="003B0836">
      <w:pPr>
        <w:spacing w:line="360" w:lineRule="auto"/>
        <w:jc w:val="both"/>
      </w:pPr>
      <w:r>
        <w:t>The last principles we shall discuss are the so-called “Destination” and “Origin” principles for commodity taxation as described by Frenkel et al. (1991)</w:t>
      </w:r>
      <w:r>
        <w:rPr>
          <w:rStyle w:val="FootnoteReference"/>
        </w:rPr>
        <w:footnoteReference w:id="12"/>
      </w:r>
      <w:r>
        <w:t>. On the bases of both of these principles countries tax companies. The destination principle says that the destination of the good’s final consumption determines the tax rate in order to level the rate for all consumption within a given tax jurisdiction. Meaning that whilst exports remain untaxed, whilst products sold and produced domestically and imports are taxed at the same rate. The opposite holds for the origin principle. Goods are taxed based on where they are produced; the location (or origin) of the producer thus determines the tax rate, irrespective of the destination of the products. Thus here, exports and products made and sold domestically are taxed at the same rate whilst imports remain untaxed. In the case of a transaction where both parties belong to the same tax jurisdiction, the tax principle used will not matter. In the next paragraph we shall see why these two principles are so important.</w:t>
      </w:r>
    </w:p>
    <w:p w14:paraId="3020B50A" w14:textId="77777777" w:rsidR="00B7552B" w:rsidRDefault="00B7552B" w:rsidP="003B0836">
      <w:pPr>
        <w:spacing w:line="360" w:lineRule="auto"/>
        <w:jc w:val="both"/>
      </w:pPr>
    </w:p>
    <w:p w14:paraId="45F3F1E3" w14:textId="10C06D1F" w:rsidR="00B7552B" w:rsidRDefault="00B7552B" w:rsidP="002622FB">
      <w:pPr>
        <w:pStyle w:val="ListParagraph"/>
        <w:numPr>
          <w:ilvl w:val="1"/>
          <w:numId w:val="2"/>
        </w:numPr>
        <w:spacing w:line="360" w:lineRule="auto"/>
        <w:jc w:val="both"/>
        <w:rPr>
          <w:b/>
        </w:rPr>
      </w:pPr>
      <w:r>
        <w:rPr>
          <w:b/>
        </w:rPr>
        <w:t xml:space="preserve"> Issues When Taxing E-Commerce </w:t>
      </w:r>
    </w:p>
    <w:p w14:paraId="2169FF8F" w14:textId="09F2CCA6" w:rsidR="00B7552B" w:rsidRDefault="00B7552B" w:rsidP="00510DAB">
      <w:pPr>
        <w:spacing w:line="360" w:lineRule="auto"/>
        <w:jc w:val="both"/>
      </w:pPr>
      <w:r>
        <w:t>When trying to tax any transaction taking place it is imperative that it is legally verifiable that the transaction has actually taken place. This thus requires certain administrative systems to ensure there is verification of each economic transaction. This verification can direct or indirect. Direct verification means that the tax authorities observe each transaction whilst indirect usually implies that the parties involved in the transaction are being audited. Since individually observing each transaction is highly costly, auditing or indirect verification is mostly used in tax systems nowadays. This can either be done through auditing households or auditing firms. Whilst auditing of households for income tax purposes is effective, it is ineffective in determining how much of a certain good is consumed. Research by Varian (2001)</w:t>
      </w:r>
      <w:r>
        <w:rPr>
          <w:rStyle w:val="FootnoteReference"/>
        </w:rPr>
        <w:footnoteReference w:id="13"/>
      </w:r>
      <w:r>
        <w:t xml:space="preserve"> shows that compliance rates for use taxes in households are indeed very low, especially in the US. Auditing of firms is usually done already for other purposes than validating transactions for commodity taxation. The marginal cost of acquiring the needed information in order to levy commodity tax is thus very small. It thus seems efficient to raise the commodity tax revenue through the auditing of firms.  For some products however verification is sometimes necessary through registration of buyer anyway.  How these two different administrative procedures work out depends for a great deal on whether it concerns digitalized or physical goods. We will discuss the differences later in this paragraph.</w:t>
      </w:r>
    </w:p>
    <w:p w14:paraId="7C86A538" w14:textId="6C69B63D" w:rsidR="00B7552B" w:rsidRDefault="00B7552B" w:rsidP="00510DAB">
      <w:pPr>
        <w:spacing w:line="360" w:lineRule="auto"/>
        <w:jc w:val="both"/>
      </w:pPr>
      <w:r>
        <w:t>As e-commerce is known for often transcending national borders and thus having parties involved in the transaction that belong to different taxation jurisdictions. It must then be determined which tax principle to apply, the origin or the destination principle. This choice influences the administrative procedures required to verify transactions. We shall now discuss these verification (and thus taxation) issues separately for digitalized and physical goods. We shall use the work of Bo Sandemann Rasmussen (2004) as guidance to discuss these issues as he has provided a clear analysis in his paper.</w:t>
      </w:r>
      <w:r>
        <w:rPr>
          <w:rStyle w:val="FootnoteReference"/>
        </w:rPr>
        <w:footnoteReference w:id="14"/>
      </w:r>
    </w:p>
    <w:p w14:paraId="5D14BE9C" w14:textId="77777777" w:rsidR="00B7552B" w:rsidRDefault="00B7552B" w:rsidP="00510DAB">
      <w:pPr>
        <w:spacing w:line="360" w:lineRule="auto"/>
        <w:jc w:val="both"/>
      </w:pPr>
    </w:p>
    <w:p w14:paraId="7FE152CA" w14:textId="023213B6" w:rsidR="00B7552B" w:rsidRDefault="00B7552B" w:rsidP="00510DAB">
      <w:pPr>
        <w:spacing w:line="360" w:lineRule="auto"/>
        <w:jc w:val="both"/>
        <w:rPr>
          <w:b/>
        </w:rPr>
      </w:pPr>
      <w:r>
        <w:rPr>
          <w:b/>
        </w:rPr>
        <w:t>3.2.1 Digitalized Goods</w:t>
      </w:r>
    </w:p>
    <w:p w14:paraId="6FE8DF77" w14:textId="412F4024" w:rsidR="00B7552B" w:rsidRDefault="00B7552B" w:rsidP="00510DAB">
      <w:pPr>
        <w:spacing w:line="360" w:lineRule="auto"/>
        <w:jc w:val="both"/>
      </w:pPr>
      <w:r>
        <w:t>The problem with e-commerce generated by sales of digitalized goods</w:t>
      </w:r>
      <w:r>
        <w:rPr>
          <w:rStyle w:val="FootnoteReference"/>
        </w:rPr>
        <w:footnoteReference w:id="15"/>
      </w:r>
      <w:r>
        <w:t xml:space="preserve"> lies in two things. First, the Internet provides anonymity making it impossible to identify the buyer. Second, digitilized goods are non-rival goods meaning that they can be sold without reducing the possibility to sell it again to another consumer. If the origin principle would apply (or both parties would be in the same tax jurisdiction) the required verification could be acquired through the auditing of the selling firms. But the usual accounting of the cost side of the firm would not suffice as the tax authorities need to make sure which number of transactions has taken place. They would thus have to go through all the payments made by buyers into the company’s accounts to get the verification. Although this is not impossible it could be regarded as an excessively costly process. One might thus assume that e-commerce taxation revenues based on the origin principle are low for digitalized goods. This because firms anticipate on the tax authorities to not be willing to effectively audit the firms as it is simply too costly for them.</w:t>
      </w:r>
      <w:r>
        <w:rPr>
          <w:rStyle w:val="FootnoteReference"/>
        </w:rPr>
        <w:footnoteReference w:id="16"/>
      </w:r>
    </w:p>
    <w:p w14:paraId="34508419" w14:textId="1D692721" w:rsidR="00B7552B" w:rsidRDefault="00B7552B" w:rsidP="00510DAB">
      <w:pPr>
        <w:spacing w:line="360" w:lineRule="auto"/>
        <w:jc w:val="both"/>
      </w:pPr>
      <w:r>
        <w:t>With the destination principle in force, tax authorities would have to verify transactions through the monitoring of the buyers. This verification can basically take place in two different manors; verify the transaction of the digitalized good from one computer to another, or verify that the payment for the purchase of the digitalized good has taken place. Highly skilled computer forensics are now able to retrieve all history from a computer even if the user tried to erase all his actions. But as this is very expensive the cost of this verification method can be classified as prohibitively high and thus not viable.  The other option is for the tax authorities to get the information they need from the credit card firms. This however will undoubtedly trigger the use of more anonymous payment methods and thus make this option ineffective.</w:t>
      </w:r>
      <w:r>
        <w:rPr>
          <w:rStyle w:val="FootnoteReference"/>
        </w:rPr>
        <w:footnoteReference w:id="17"/>
      </w:r>
    </w:p>
    <w:p w14:paraId="1FF5B401" w14:textId="56248172" w:rsidR="00B7552B" w:rsidRDefault="00B7552B" w:rsidP="00510DAB">
      <w:pPr>
        <w:spacing w:line="360" w:lineRule="auto"/>
        <w:jc w:val="both"/>
      </w:pPr>
      <w:r>
        <w:t xml:space="preserve">We might thus say that when a transaction concerns a fully digitalized good it is not likely to provide a state with much tax revenue, regardless of which tax principle is in force. </w:t>
      </w:r>
    </w:p>
    <w:p w14:paraId="14845F93" w14:textId="77777777" w:rsidR="00B7552B" w:rsidRDefault="00B7552B" w:rsidP="00510DAB">
      <w:pPr>
        <w:spacing w:line="360" w:lineRule="auto"/>
        <w:jc w:val="both"/>
      </w:pPr>
    </w:p>
    <w:p w14:paraId="3553399C" w14:textId="71FF665B" w:rsidR="00B7552B" w:rsidRDefault="00B7552B" w:rsidP="00510DAB">
      <w:pPr>
        <w:spacing w:line="360" w:lineRule="auto"/>
        <w:jc w:val="both"/>
        <w:rPr>
          <w:b/>
        </w:rPr>
      </w:pPr>
      <w:r>
        <w:rPr>
          <w:b/>
        </w:rPr>
        <w:t>3.2.2 Physical Goods</w:t>
      </w:r>
    </w:p>
    <w:p w14:paraId="399A5D70" w14:textId="59F6DF0F" w:rsidR="00B7552B" w:rsidRDefault="00B7552B" w:rsidP="00510DAB">
      <w:pPr>
        <w:spacing w:line="360" w:lineRule="auto"/>
        <w:jc w:val="both"/>
      </w:pPr>
      <w:r>
        <w:t>The difference between e-commerce and conventional retail, when it comes to transactions involving physical goods, is that with e-commerce, the parties involved are often from different tax jurisdictions. As opposed to retail trade, for e-commerce, the choice of tax principle thus becomes important again. If origin taxation is used for e-commerce in physical goods it is basically the same as conventional trade. The permanent establishment principle does become important, as it needs to be defined where the seller is based.</w:t>
      </w:r>
      <w:r>
        <w:rPr>
          <w:rStyle w:val="FootnoteReference"/>
        </w:rPr>
        <w:footnoteReference w:id="18"/>
      </w:r>
      <w:r>
        <w:t xml:space="preserve"> This can be done by identifying the location of the servers, storage or shipping facilities. The verification then takes place through effective auditing of the cost side of the firm, this is possible for physical goods as they are rival, contrary to digitalized goods. The manor in which the good is delivered to the buyer does not matter for the verification; the tax collection will be handled by the selling firm.</w:t>
      </w:r>
      <w:r>
        <w:rPr>
          <w:rStyle w:val="FootnoteReference"/>
        </w:rPr>
        <w:footnoteReference w:id="19"/>
      </w:r>
    </w:p>
    <w:p w14:paraId="040BA369" w14:textId="27A8BB2B" w:rsidR="00B7552B" w:rsidRDefault="00B7552B" w:rsidP="00510DAB">
      <w:pPr>
        <w:spacing w:line="360" w:lineRule="auto"/>
        <w:jc w:val="both"/>
      </w:pPr>
      <w:r>
        <w:t>The destination principle would require the tax authorities to verify transactions by identifying the buyer of the physical good. The advantage physical goods have over digitalized goods in this respect is that they have to be physically delivered to the buyer, creating an obvious opportunity for verification by tax authorities. If customs control is present in the tax jurisdiction of the buyer, verification takes place when the good enters the jurisdiction. If this is not the case, verification is still possible but has to be done by auditing the firm that provides the couriers that physically deliver the good. It is thus possible to tax e-commerce using the destination principle.</w:t>
      </w:r>
      <w:r>
        <w:rPr>
          <w:rStyle w:val="FootnoteReference"/>
        </w:rPr>
        <w:footnoteReference w:id="20"/>
      </w:r>
      <w:r>
        <w:t xml:space="preserve"> </w:t>
      </w:r>
    </w:p>
    <w:p w14:paraId="42057A25" w14:textId="12AB0970" w:rsidR="00B7552B" w:rsidRDefault="00B7552B" w:rsidP="00510DAB">
      <w:pPr>
        <w:spacing w:line="360" w:lineRule="auto"/>
        <w:jc w:val="both"/>
      </w:pPr>
      <w:r>
        <w:t xml:space="preserve">Some practical issues, regarding the administrative systems responsible for levying the right amount of tax on a certain transaction, need to be considered as different systems provide different economic incentives for both households and firms. Obliging firms to take care of the tax collection poses a significant administrative burden on them, thus presenting them with additional costs if they join the e-commerce market. For households however, the choice of administrative procedure influences the extent to which trading with foreign unknown firms in uncertain, implying that if more uncertainty is created by the procedure, households will most likely participate less in the e-commerce market. There are basically three options to deal with this issue; the selling firm handles the tax calculation and collection, selling firm calculates whilst courier firm collects taxes or the courier firm handles all tax matters. All of these options have their up- and downsides. If the sellers are obliged to handle the tax administration it is likely that fewer firms will operate on the e-commerce market as this a great administrative burden and thus cost. Fewer firms will lead to less competition in the e-commerce market leading to higher prices for the consumers.  If the delivery firms handle the tax administration, it will lead to more uncertainty amongst consumers on the final price of the good. This might then lead to reduced consumer demand for goods on the e-commerce market. </w:t>
      </w:r>
    </w:p>
    <w:p w14:paraId="0DBBC446" w14:textId="6DD464EC" w:rsidR="00B7552B" w:rsidRDefault="00B7552B" w:rsidP="00510DAB">
      <w:pPr>
        <w:spacing w:line="360" w:lineRule="auto"/>
        <w:jc w:val="both"/>
      </w:pPr>
      <w:r>
        <w:t>We might thus conclude that it is formally perfectly possible to use both the origin and the destination principle to tax physical goods in the e-commerce markets. It could however be argued, based on the analysis presented above, that setting up administrative procedures to do so will be more straightforward under the origin principle than under the destination principle.</w:t>
      </w:r>
      <w:r>
        <w:rPr>
          <w:rStyle w:val="FootnoteReference"/>
        </w:rPr>
        <w:footnoteReference w:id="21"/>
      </w:r>
      <w:r>
        <w:t xml:space="preserve"> </w:t>
      </w:r>
    </w:p>
    <w:p w14:paraId="5EA8901A" w14:textId="5B8C8AA5" w:rsidR="00B7552B" w:rsidRPr="00863CB4" w:rsidRDefault="00B7552B" w:rsidP="00510DAB">
      <w:pPr>
        <w:spacing w:line="360" w:lineRule="auto"/>
        <w:jc w:val="both"/>
      </w:pPr>
      <w:r>
        <w:t>The destination principle is however the principle preferred by the OECD</w:t>
      </w:r>
      <w:r>
        <w:rPr>
          <w:rStyle w:val="FootnoteReference"/>
        </w:rPr>
        <w:footnoteReference w:id="22"/>
      </w:r>
      <w:r>
        <w:t xml:space="preserve"> as it is considered to be more economically efficient according to both Frenkel et al. (1991)</w:t>
      </w:r>
      <w:r>
        <w:rPr>
          <w:rStyle w:val="FootnoteReference"/>
        </w:rPr>
        <w:footnoteReference w:id="23"/>
      </w:r>
      <w:r>
        <w:t xml:space="preserve"> and Diamond-Mirrlees (1971)</w:t>
      </w:r>
      <w:r>
        <w:rPr>
          <w:rStyle w:val="FootnoteReference"/>
        </w:rPr>
        <w:footnoteReference w:id="24"/>
      </w:r>
      <w:r>
        <w:t xml:space="preserve">. In determining which principle to finally use the efficiency benefits of the destination principle should thus be weighed against the administrative benefit the origin principle seems to offer. </w:t>
      </w:r>
    </w:p>
    <w:p w14:paraId="7E0D0D86" w14:textId="77777777" w:rsidR="00B7552B" w:rsidRPr="00110700" w:rsidRDefault="00B7552B" w:rsidP="00110700">
      <w:pPr>
        <w:spacing w:line="360" w:lineRule="auto"/>
        <w:jc w:val="both"/>
        <w:rPr>
          <w:b/>
        </w:rPr>
      </w:pPr>
    </w:p>
    <w:p w14:paraId="49514311" w14:textId="6695707C" w:rsidR="00B7552B" w:rsidRDefault="00B7552B" w:rsidP="002622FB">
      <w:pPr>
        <w:pStyle w:val="ListParagraph"/>
        <w:numPr>
          <w:ilvl w:val="1"/>
          <w:numId w:val="2"/>
        </w:numPr>
        <w:spacing w:line="360" w:lineRule="auto"/>
        <w:jc w:val="both"/>
        <w:rPr>
          <w:b/>
        </w:rPr>
      </w:pPr>
      <w:r>
        <w:rPr>
          <w:b/>
        </w:rPr>
        <w:t xml:space="preserve"> Proposals for Taxation of E-Commerce</w:t>
      </w:r>
    </w:p>
    <w:p w14:paraId="0E09452D" w14:textId="32C59EE5" w:rsidR="00B7552B" w:rsidRDefault="00B7552B" w:rsidP="00F45220">
      <w:pPr>
        <w:spacing w:line="360" w:lineRule="auto"/>
        <w:jc w:val="both"/>
      </w:pPr>
      <w:r>
        <w:t>No that we have an idea of what issues arise when trying to tax e-commerce it is time to take a look at three proposed solutions to tackle these issues.  Later on in this paper we shall discuss what countries have actually done so far in this respect.</w:t>
      </w:r>
    </w:p>
    <w:p w14:paraId="21BB4F19" w14:textId="477F72CA" w:rsidR="00B7552B" w:rsidRDefault="00B7552B" w:rsidP="00F45220">
      <w:pPr>
        <w:spacing w:line="360" w:lineRule="auto"/>
        <w:jc w:val="both"/>
      </w:pPr>
      <w:r>
        <w:t>One of the first concrete ideas that was presented to tackle the international e-commerce taxation issue was the “Bit Tax” as proposed by Arthur J. Cordell (1997)</w:t>
      </w:r>
      <w:r>
        <w:rPr>
          <w:rStyle w:val="FootnoteReference"/>
        </w:rPr>
        <w:footnoteReference w:id="25"/>
      </w:r>
      <w:r>
        <w:t>. He proposes a tax that applies to “bits” of electronic information being transferred via telecommunication. A specified tax rate would be levied on certain volumes of data and would be collected by the telecommunications carrier companies. This however leads to issues such which flows of data to tax and then to possibly over- or understating the taxes leading to violation of the tax neutrality principle. The complete burden of taxation would also be on the carrier companies who would have to compensate for the expenses made to do so. There would also have to be an international agency overseeing that all tax collection and distributing to the governments concerned goes according to the rules.  Chances of governments accepting such grave regulation of their telecommunication companies seems unlikely. It is therefor not considered to be a viable option.</w:t>
      </w:r>
      <w:r>
        <w:rPr>
          <w:rStyle w:val="FootnoteReference"/>
        </w:rPr>
        <w:footnoteReference w:id="26"/>
      </w:r>
    </w:p>
    <w:p w14:paraId="3CDC6064" w14:textId="490B09B0" w:rsidR="00B7552B" w:rsidRDefault="00B7552B" w:rsidP="00F45220">
      <w:pPr>
        <w:spacing w:line="360" w:lineRule="auto"/>
        <w:jc w:val="both"/>
      </w:pPr>
      <w:r>
        <w:t>Another interesting option for the international taxation problem was presented by the Clinton administration back in 1996; it was called the “Clinton E-card Proposal”.</w:t>
      </w:r>
      <w:r>
        <w:rPr>
          <w:rStyle w:val="FootnoteReference"/>
        </w:rPr>
        <w:footnoteReference w:id="27"/>
      </w:r>
      <w:r>
        <w:t xml:space="preserve"> It is the cyber-alternative to the Value Added Tax as we know it. Consumers can buy cash cards (E-cards) in physical retail stores to spend digitally via the Internet. The place of consumption can thus be identified and VAT can be calculated based on in which tax jurisdiction the card is bought and the tax revenue can afterwards be distributed to the correct government via an escrow agent. This proposal had several advantages; it satisfied the tax neutrality principle, preserved consumer’s privacy and kept developing countries happy as it rewarded their governments if residents purchased online goods from abroad. The main disadvantages were the concerns over the functionality of the cards and if the inconvenience of having to buy an e-card would harm the growth of the still developing e-commerce market. There were also concerns over the possibility to hack the cards and other forms of possible fraud.</w:t>
      </w:r>
      <w:r>
        <w:rPr>
          <w:rStyle w:val="FootnoteReference"/>
        </w:rPr>
        <w:footnoteReference w:id="28"/>
      </w:r>
      <w:r>
        <w:t xml:space="preserve"> This proposal was being taken very seriously back then but has somehow never been able to fully develop and does not belong to the possible solution currently being debated. We will discuss those in a later paragraph.</w:t>
      </w:r>
    </w:p>
    <w:p w14:paraId="476D4EA3" w14:textId="77777777" w:rsidR="00B7552B" w:rsidRDefault="00B7552B" w:rsidP="00F45220">
      <w:pPr>
        <w:spacing w:line="360" w:lineRule="auto"/>
        <w:jc w:val="both"/>
      </w:pPr>
    </w:p>
    <w:p w14:paraId="00BA2B34" w14:textId="77777777" w:rsidR="00B7552B" w:rsidRPr="003B0836" w:rsidRDefault="00B7552B" w:rsidP="003B0836">
      <w:pPr>
        <w:spacing w:line="360" w:lineRule="auto"/>
        <w:jc w:val="both"/>
      </w:pPr>
    </w:p>
    <w:p w14:paraId="3AC8B931" w14:textId="3C2AF15B" w:rsidR="00B7552B" w:rsidRPr="00D52D1B" w:rsidRDefault="00B7552B" w:rsidP="002622FB">
      <w:pPr>
        <w:pStyle w:val="ListParagraph"/>
        <w:numPr>
          <w:ilvl w:val="0"/>
          <w:numId w:val="2"/>
        </w:numPr>
        <w:spacing w:line="360" w:lineRule="auto"/>
        <w:jc w:val="both"/>
        <w:rPr>
          <w:b/>
          <w:sz w:val="32"/>
          <w:szCs w:val="32"/>
        </w:rPr>
      </w:pPr>
      <w:r w:rsidRPr="00D52D1B">
        <w:rPr>
          <w:b/>
          <w:sz w:val="32"/>
          <w:szCs w:val="32"/>
        </w:rPr>
        <w:t>Is Taxing E-commerce a Good Idea?</w:t>
      </w:r>
    </w:p>
    <w:p w14:paraId="4CAF611F" w14:textId="77777777" w:rsidR="00B7552B" w:rsidRDefault="00B7552B" w:rsidP="005812D4">
      <w:pPr>
        <w:spacing w:line="360" w:lineRule="auto"/>
        <w:jc w:val="both"/>
        <w:rPr>
          <w:b/>
        </w:rPr>
      </w:pPr>
    </w:p>
    <w:p w14:paraId="1D35C20D" w14:textId="2928939C" w:rsidR="00B7552B" w:rsidRDefault="000B53B3" w:rsidP="002622FB">
      <w:pPr>
        <w:pStyle w:val="ListParagraph"/>
        <w:numPr>
          <w:ilvl w:val="1"/>
          <w:numId w:val="2"/>
        </w:numPr>
        <w:spacing w:line="360" w:lineRule="auto"/>
        <w:jc w:val="both"/>
        <w:rPr>
          <w:b/>
        </w:rPr>
      </w:pPr>
      <w:r>
        <w:rPr>
          <w:b/>
        </w:rPr>
        <w:t>The Revenue Loss Argument</w:t>
      </w:r>
    </w:p>
    <w:p w14:paraId="4FFE48DE" w14:textId="46A77A09" w:rsidR="00B7552B" w:rsidRDefault="00B7552B" w:rsidP="00C52609">
      <w:pPr>
        <w:spacing w:line="360" w:lineRule="auto"/>
        <w:jc w:val="both"/>
      </w:pPr>
      <w:r>
        <w:t>Due to the issues previously described there has so far not been any serious taxation of e-commerce. This whilst, as we have seen in the</w:t>
      </w:r>
      <w:r w:rsidR="000B53B3">
        <w:t xml:space="preserve"> first chapter</w:t>
      </w:r>
      <w:r>
        <w:t>, online sales keep growing at a very fast pace. An obvious concern for many governments is if this migration from trade from regular channels to the online community is harming their tax revenues. We have then also immediately arrived at the main argument for taxing e-commerce. This tax revenue loss for governments consists of; sales and use taxes on goods traded via the Internet that can actually be taxed (fully digitalized goods are thus excluded) and it only goes for goods traded via e-commerce that are substitutes for goods that were taxable to begin with. To get a clearer view on how big of a problem this is we will consider the risks of tax revenue losses for the two biggest players in the e-commerce market, the US and the EU. They will be discussed separately as their markets and tax systems differ substantially.</w:t>
      </w:r>
    </w:p>
    <w:p w14:paraId="4DC390C6" w14:textId="77777777" w:rsidR="00B7552B" w:rsidRDefault="00B7552B" w:rsidP="00C52609">
      <w:pPr>
        <w:spacing w:line="360" w:lineRule="auto"/>
        <w:jc w:val="both"/>
      </w:pPr>
    </w:p>
    <w:p w14:paraId="07DAC1C2" w14:textId="6E47EB31" w:rsidR="00B7552B" w:rsidRDefault="00B7552B" w:rsidP="00C52609">
      <w:pPr>
        <w:spacing w:line="360" w:lineRule="auto"/>
        <w:jc w:val="both"/>
        <w:rPr>
          <w:b/>
        </w:rPr>
      </w:pPr>
      <w:r>
        <w:rPr>
          <w:b/>
        </w:rPr>
        <w:t>4.1.1. The United States</w:t>
      </w:r>
    </w:p>
    <w:p w14:paraId="5816AE16" w14:textId="3144C001" w:rsidR="00B7552B" w:rsidRDefault="00B7552B" w:rsidP="00C52609">
      <w:pPr>
        <w:spacing w:line="360" w:lineRule="auto"/>
        <w:jc w:val="both"/>
      </w:pPr>
      <w:r>
        <w:t>The taxation of goods in the US is quite complicated as the system is a mix of both local and state taxes. It gets more complex as each individual state has its own tax base and rate for commodity taxation and five states do not use commodity taxation. The destination principle is used in the US meaning that with within state transactions the seller whilst for interstate trade the tax is collected at the buyer collects the tax. Companies must have nexus (physical presence) in the state the buyer is located in to be able to collect the tax, otherwise it is thus up to the buyer to report their purchase.</w:t>
      </w:r>
      <w:r>
        <w:rPr>
          <w:rStyle w:val="FootnoteReference"/>
        </w:rPr>
        <w:footnoteReference w:id="29"/>
      </w:r>
      <w:r>
        <w:t xml:space="preserve"> Varian (2001)</w:t>
      </w:r>
      <w:r>
        <w:rPr>
          <w:rStyle w:val="FootnoteReference"/>
        </w:rPr>
        <w:footnoteReference w:id="30"/>
      </w:r>
      <w:r>
        <w:t xml:space="preserve"> has found out that the compliance rate for these use taxes by buyers are extremely small and can be neglected. As this use tax is no new kind of tax, buyers are required, also under the Internet Tax Freedom Act (2003)</w:t>
      </w:r>
      <w:r>
        <w:rPr>
          <w:rStyle w:val="FootnoteReference"/>
        </w:rPr>
        <w:footnoteReference w:id="31"/>
      </w:r>
      <w:r>
        <w:t>, to pay these taxes and by not doing so are essentially guilty of tax evasion. As not all of the total revenue from use and sales taxes come from the B2C market in the US, there is also an important share of sales tax revenue coming from the B2B market. But as companies are usually carefully audited it seems unlikely for them to have a low compliance rate and no losses in sales and use tax revenue should be expected to arise there.</w:t>
      </w:r>
      <w:r>
        <w:rPr>
          <w:rStyle w:val="FootnoteReference"/>
        </w:rPr>
        <w:footnoteReference w:id="32"/>
      </w:r>
      <w:r>
        <w:t xml:space="preserve">  Bruce (2004)</w:t>
      </w:r>
      <w:r>
        <w:rPr>
          <w:rStyle w:val="FootnoteReference"/>
        </w:rPr>
        <w:footnoteReference w:id="33"/>
      </w:r>
      <w:r>
        <w:t xml:space="preserve"> found however that compliance rates for B2B sales on the US e-commerce market were nowhere near to perfect and he estimated them to be around 70%. This thus implies that revenue losses are also present in that market.</w:t>
      </w:r>
    </w:p>
    <w:p w14:paraId="1A9F65EB" w14:textId="1C0FB742" w:rsidR="00B7552B" w:rsidRDefault="00B7552B" w:rsidP="00C52609">
      <w:pPr>
        <w:spacing w:line="360" w:lineRule="auto"/>
        <w:jc w:val="both"/>
      </w:pPr>
      <w:r>
        <w:t>The Supreme Court decided in 1992 in the so-called “Quill-act” that firms operating in the e-commerce market need not to collect use and sales tax in states they do not have nexus. Local governments and states have lobbied heavily to revise this act in order to have online retailers collect taxes in all the states they have customers. In this discussion the amount of revenue being “lost” due to this act is central. The estimated revenue loss presented by these parties come from the much-cited Bruce et al. (2009)</w:t>
      </w:r>
      <w:r>
        <w:rPr>
          <w:rStyle w:val="FootnoteReference"/>
        </w:rPr>
        <w:footnoteReference w:id="34"/>
      </w:r>
      <w:r>
        <w:t xml:space="preserve"> study and amount to $7.7 billion in 2008 rising to $12,7 by 2012 (about 2.5% of total local and state sales tax revenue). These estimates were judged to be to high by Eisenach and Litan (2010) as they said the other study greatly overestimated the growth of the e-commerce market and underestimated the tax collection efforts of small companies. They estimated the total uncollected (or lost) sales and use tax on e-commerce to be $3.9 billion in 2008 against a forecast of $4.8 billion by 2012. They also claim that as a percentage of the total state and local sales tax revenue the missed revenue due to e-commerce is actually declining rather than rising rapidly as Bruce et al. claimed. The actual amount of revenues being lost thus remains a widely debated topic.</w:t>
      </w:r>
    </w:p>
    <w:p w14:paraId="2F02DE1C" w14:textId="77777777" w:rsidR="00B7552B" w:rsidRDefault="00B7552B" w:rsidP="00C52609">
      <w:pPr>
        <w:spacing w:line="360" w:lineRule="auto"/>
        <w:jc w:val="both"/>
      </w:pPr>
    </w:p>
    <w:p w14:paraId="21F625B6" w14:textId="339EBC21" w:rsidR="00B7552B" w:rsidRDefault="00B7552B" w:rsidP="00C52609">
      <w:pPr>
        <w:spacing w:line="360" w:lineRule="auto"/>
        <w:jc w:val="both"/>
        <w:rPr>
          <w:b/>
        </w:rPr>
      </w:pPr>
      <w:r>
        <w:rPr>
          <w:b/>
        </w:rPr>
        <w:t>4.1.2. The European Union</w:t>
      </w:r>
    </w:p>
    <w:p w14:paraId="48D2A4C4" w14:textId="685538D8" w:rsidR="00B7552B" w:rsidRDefault="00B7552B" w:rsidP="00C52609">
      <w:pPr>
        <w:spacing w:line="360" w:lineRule="auto"/>
        <w:jc w:val="both"/>
      </w:pPr>
      <w:r>
        <w:t>The EU in practice uses a Value Added Tax system with a mix of the destination and origin principle for intra-EU trade of physical goods. The destination principle is generally used and implies that the VAT rate of the country of the buyer is used to determine the tax. EU companies thus need to register in all other EU countries they do business with. If the total yearly sales to a country fall below a certain level (between €35.000 and €100.000 depending on the size of the other country</w:t>
      </w:r>
      <w:r>
        <w:rPr>
          <w:rStyle w:val="FootnoteReference"/>
        </w:rPr>
        <w:footnoteReference w:id="35"/>
      </w:r>
      <w:r>
        <w:t xml:space="preserve">) the origin principle is applied. These rules sound clear but the there is no clear system for enforcement. Companies that are established in low VAT countries (VAT in the EU varies from 15% to 25%) might thus be inclined to apply the local tax even after the level to which it should switch to the destination principle has been reached. The seller’s country tax authority has no incentive to monitor this and it is thus left to the buyer’s country tax authority to do so. This is hard for them though as intra-EU trade encounters no custom control. Firms could also easily create subsidiaries in order to spread their sales revenue and thus not exceed the threshold set by the EU. Given these circumstances it is likely that a larger, than would officially be expected, share of the intra-EU trade will be taxed according to the origin principle. The EU does in this way not “miss” any sales tax revenue but might experience a revenue redistribution from relatively high VAT countries to countries where the VAT is lower. The trade in physical goods with companies from outside the EU is taxed according to the destination principle and is handled through the customs control and collected by the delivery company. This provides EU consumers with more uncertainty regarding the final price of the goods they are buying from abroad but lightens the administrative burden on foreign firms exporting to the EU as they do not have to register in each EU country. No tax revenue loss should thus be expected from this sort of e-commerce. </w:t>
      </w:r>
    </w:p>
    <w:p w14:paraId="73D490E4" w14:textId="73E436FF" w:rsidR="00B7552B" w:rsidRDefault="00B7552B" w:rsidP="00C52609">
      <w:pPr>
        <w:spacing w:line="360" w:lineRule="auto"/>
        <w:jc w:val="both"/>
      </w:pPr>
      <w:r>
        <w:t>As of 2003, the EU introduced a new directive on the taxation of digitalized goods</w:t>
      </w:r>
      <w:r>
        <w:rPr>
          <w:rStyle w:val="FootnoteReference"/>
        </w:rPr>
        <w:footnoteReference w:id="36"/>
      </w:r>
      <w:r>
        <w:t>.  This directive requires all firms located in countries outside the EU to pay the VAT the country they export their digitalized goods to uses. EU firms exporting to outside the EU will not pay any taxes whilst intra-EU trade of digitalized goods is taxed according to VAT reining in the country the company is located in. In order for this to indeed bring in additional tax revenue on sales from countries that are not part of the EU it relies on foreign firms reporting their sales to the tax authority of the country the buyer is located in. Given the costs this would generate, given the present technology available, to verify these sales, it is highly unlikely that foreign firm will actually do this. The new directive makes this into tax evasion but it does not bring in additional sales tax revenues from e-commerce in digitalized goods.</w:t>
      </w:r>
      <w:r>
        <w:rPr>
          <w:rStyle w:val="FootnoteReference"/>
        </w:rPr>
        <w:footnoteReference w:id="37"/>
      </w:r>
    </w:p>
    <w:p w14:paraId="65AAD000" w14:textId="599AB607" w:rsidR="00B7552B" w:rsidRDefault="00B7552B" w:rsidP="00C52609">
      <w:pPr>
        <w:spacing w:line="360" w:lineRule="auto"/>
        <w:jc w:val="both"/>
      </w:pPr>
      <w:r>
        <w:t xml:space="preserve">We might thus conclude that the EU does not lose too much sales tax revenue from the e-commerce transactions regarding physical goods. It might however have to deal with the redistribution issue as countries with high VAT’s compared to other EU countries will not like this. For digitalized goods the EU has taken on the new directive but still it is likely that most of the goods belonging to this group will not be taxed as evasion is simply too easy. </w:t>
      </w:r>
    </w:p>
    <w:p w14:paraId="75F881DB" w14:textId="77777777" w:rsidR="00B7552B" w:rsidRDefault="00B7552B" w:rsidP="00C52609">
      <w:pPr>
        <w:spacing w:line="360" w:lineRule="auto"/>
        <w:jc w:val="both"/>
      </w:pPr>
    </w:p>
    <w:p w14:paraId="1F4613F8" w14:textId="08BF0BB1" w:rsidR="00B7552B" w:rsidRPr="00AD5D84" w:rsidRDefault="00B7552B" w:rsidP="002622FB">
      <w:pPr>
        <w:pStyle w:val="ListParagraph"/>
        <w:numPr>
          <w:ilvl w:val="1"/>
          <w:numId w:val="2"/>
        </w:numPr>
        <w:spacing w:line="360" w:lineRule="auto"/>
        <w:jc w:val="both"/>
        <w:rPr>
          <w:b/>
        </w:rPr>
      </w:pPr>
      <w:r w:rsidRPr="00AD5D84">
        <w:rPr>
          <w:b/>
        </w:rPr>
        <w:t xml:space="preserve">Other Arguments </w:t>
      </w:r>
    </w:p>
    <w:p w14:paraId="75FC483F" w14:textId="33220D89" w:rsidR="00B7552B" w:rsidRDefault="00B7552B" w:rsidP="00AD5D84">
      <w:pPr>
        <w:spacing w:line="360" w:lineRule="auto"/>
        <w:jc w:val="both"/>
      </w:pPr>
      <w:r>
        <w:t xml:space="preserve">Besides governments fearing that their sales tax base is being eroded, there are more arguments to consider. We shall first consider an argument made that, just as the tax revenue argument, supports taxation of e-commerce. Afterwards we shall consider arguments that can be used against taxation of e-commerce or for the cause of providing a tax preference to e-commerce. </w:t>
      </w:r>
    </w:p>
    <w:p w14:paraId="3681F85E" w14:textId="277B79F4" w:rsidR="00B7552B" w:rsidRDefault="00B7552B" w:rsidP="00AD5D84">
      <w:pPr>
        <w:spacing w:line="360" w:lineRule="auto"/>
        <w:jc w:val="both"/>
      </w:pPr>
      <w:r>
        <w:t>Especially “brick and mortar” retailers are eager to equalize taxation of e-commerce with the traditional retailers. The main arguments here are the “tax neutrality” principle and the functioning of the free market. Basu (2007)</w:t>
      </w:r>
      <w:r>
        <w:rPr>
          <w:rStyle w:val="FootnoteReference"/>
        </w:rPr>
        <w:footnoteReference w:id="38"/>
      </w:r>
      <w:r>
        <w:t xml:space="preserve"> argued that tax equality is at the basis of the free market and not taxing e-commerce and traditional retail equally will result in unfair competitive advantages for the e-commerce market. Many US retail firms have united through the organisation “e-fairness” to fight the in their eyes unfair difference in taxation between traditional retail and online retail. Rasmussen (2004)</w:t>
      </w:r>
      <w:r>
        <w:rPr>
          <w:rStyle w:val="FootnoteReference"/>
        </w:rPr>
        <w:footnoteReference w:id="39"/>
      </w:r>
      <w:r>
        <w:t xml:space="preserve"> counter argued this as most likely being firms that fear increased competition with online firms. Others have also stated that it could lead to conventional retailers migrating to the Internet and that if government would really fear revenue losses they should consider adjusting tax rates downward for retailers instead of thinking of new taxes for e-commerce.</w:t>
      </w:r>
      <w:r>
        <w:rPr>
          <w:rStyle w:val="FootnoteReference"/>
        </w:rPr>
        <w:footnoteReference w:id="40"/>
      </w:r>
    </w:p>
    <w:p w14:paraId="51900BE9" w14:textId="6522D0CB" w:rsidR="00B7552B" w:rsidRDefault="00B7552B" w:rsidP="00AD5D84">
      <w:pPr>
        <w:spacing w:line="360" w:lineRule="auto"/>
        <w:jc w:val="both"/>
      </w:pPr>
      <w:r>
        <w:t>In the early days of e-commerce, in the 90’s, it was often argued that the industry needed to be protected, as it was a so-called “infant industry” that needed to be protected from taxation in order for it to develop properly.</w:t>
      </w:r>
      <w:r>
        <w:rPr>
          <w:rStyle w:val="FootnoteReference"/>
        </w:rPr>
        <w:footnoteReference w:id="41"/>
      </w:r>
      <w:r>
        <w:t xml:space="preserve"> Goolsbee (2000)</w:t>
      </w:r>
      <w:r>
        <w:rPr>
          <w:rStyle w:val="FootnoteReference"/>
        </w:rPr>
        <w:footnoteReference w:id="42"/>
      </w:r>
      <w:r>
        <w:t xml:space="preserve"> studied the effects of introducing sales and use taxation on e-commerce in the US and found that it would dramatically decrease the e-commerce market and thus might hurt its development. The growth of the e-commerce market has however exploded since then and can now hardly be considered to be an infant industry (approaching the one trillion mark in revenue) and in the beginning it has also been argued that providing the e-commerce infant industry with special treatments keeps it from maturing and thus would actually negatively influence it.</w:t>
      </w:r>
      <w:r>
        <w:rPr>
          <w:rStyle w:val="FootnoteReference"/>
        </w:rPr>
        <w:footnoteReference w:id="43"/>
      </w:r>
    </w:p>
    <w:p w14:paraId="03B0D7D6" w14:textId="261B3F08" w:rsidR="00B7552B" w:rsidRDefault="00B7552B" w:rsidP="00AD5D84">
      <w:pPr>
        <w:spacing w:line="360" w:lineRule="auto"/>
        <w:jc w:val="both"/>
      </w:pPr>
      <w:r>
        <w:t>Subsidies and taxes are often used if certain externalities arise from a market. If the consumption of a good provides negative externalities for other agents it will most likely be the case that, in market equilibrium, the goods is too abundant from a general welfare point of view. The other way around, for positive externalities, off course works as well. Thus if enough positive externalities would arise from e-commerce it could justify the non-taxation or tax preferences for the market. Zodrow (2003)</w:t>
      </w:r>
      <w:r>
        <w:rPr>
          <w:rStyle w:val="FootnoteReference"/>
        </w:rPr>
        <w:footnoteReference w:id="44"/>
      </w:r>
      <w:r>
        <w:t xml:space="preserve"> presented his research stating that positive network externalities could arise as the more people join a network such as the Internet the more valuable it becomes for everybody already involved. Rasmussen (2004)</w:t>
      </w:r>
      <w:r>
        <w:rPr>
          <w:rStyle w:val="FootnoteReference"/>
        </w:rPr>
        <w:footnoteReference w:id="45"/>
      </w:r>
      <w:r>
        <w:t xml:space="preserve"> has argued however that this argument does not hold. He states that as the biggest users will most likely be connected to the Internet first, as they have the largest private benefit regardless of the size of the network, the marginal benefit of the positive externality of more people joining will most likely decline from the point where the network has grown to a certain size. He argues that there might be logic in providing a subsidy to users joining before this “critical mass” is reached but that afterwards the costs will outweigh the benefits and it is thus not an efficient measure. </w:t>
      </w:r>
    </w:p>
    <w:p w14:paraId="11DF68E5" w14:textId="77777777" w:rsidR="00B7552B" w:rsidRDefault="00B7552B" w:rsidP="00AD5D84">
      <w:pPr>
        <w:spacing w:line="360" w:lineRule="auto"/>
        <w:jc w:val="both"/>
      </w:pPr>
    </w:p>
    <w:p w14:paraId="06204C81" w14:textId="77777777" w:rsidR="00B7552B" w:rsidRDefault="00B7552B" w:rsidP="00AD5D84">
      <w:pPr>
        <w:spacing w:line="360" w:lineRule="auto"/>
        <w:jc w:val="both"/>
      </w:pPr>
    </w:p>
    <w:p w14:paraId="58B3FAFA" w14:textId="0BB02908" w:rsidR="00B7552B" w:rsidRDefault="00B7552B" w:rsidP="00AD5D84">
      <w:pPr>
        <w:spacing w:line="360" w:lineRule="auto"/>
        <w:jc w:val="both"/>
        <w:rPr>
          <w:b/>
        </w:rPr>
      </w:pPr>
      <w:r>
        <w:rPr>
          <w:b/>
          <w:sz w:val="32"/>
          <w:szCs w:val="32"/>
        </w:rPr>
        <w:t>5. Towards an International Framework</w:t>
      </w:r>
    </w:p>
    <w:p w14:paraId="0022D414" w14:textId="77777777" w:rsidR="00B7552B" w:rsidRDefault="00B7552B" w:rsidP="00AD5D84">
      <w:pPr>
        <w:spacing w:line="360" w:lineRule="auto"/>
        <w:jc w:val="both"/>
        <w:rPr>
          <w:b/>
        </w:rPr>
      </w:pPr>
    </w:p>
    <w:p w14:paraId="43733655" w14:textId="6A02711E" w:rsidR="00B7552B" w:rsidRPr="00E21608" w:rsidRDefault="00B7552B" w:rsidP="00AD5D84">
      <w:pPr>
        <w:spacing w:line="360" w:lineRule="auto"/>
        <w:jc w:val="both"/>
      </w:pPr>
      <w:r>
        <w:t>As we have discovered in the previous chapters, taxing e-commerce is possible and desirable. These findings themselves however, do not solve the international problem of the taxation of e-commerce. We will try to find out in this chapter how an international taxation system should ideally take shape. The progress made by international institutions will first be assessed and afterwards we shall take a look at how national governments have acted so far. Based on these findings we shall evaluate the international efforts so far and try to formulate what an international taxation system should look like in the future.</w:t>
      </w:r>
    </w:p>
    <w:p w14:paraId="45F0A48F" w14:textId="77777777" w:rsidR="00B7552B" w:rsidRDefault="00B7552B" w:rsidP="00AD5D84">
      <w:pPr>
        <w:spacing w:line="360" w:lineRule="auto"/>
        <w:jc w:val="both"/>
        <w:rPr>
          <w:b/>
        </w:rPr>
      </w:pPr>
    </w:p>
    <w:p w14:paraId="11976668" w14:textId="1D8A3C8D" w:rsidR="00B7552B" w:rsidRDefault="00B7552B" w:rsidP="00AD5D84">
      <w:pPr>
        <w:spacing w:line="360" w:lineRule="auto"/>
        <w:jc w:val="both"/>
        <w:rPr>
          <w:b/>
        </w:rPr>
      </w:pPr>
      <w:r>
        <w:rPr>
          <w:b/>
        </w:rPr>
        <w:t>5.1 International progress on handling e-commerce taxation</w:t>
      </w:r>
    </w:p>
    <w:p w14:paraId="6131F806" w14:textId="01277493" w:rsidR="00B7552B" w:rsidRDefault="00B7552B" w:rsidP="00AD5D84">
      <w:pPr>
        <w:spacing w:line="360" w:lineRule="auto"/>
        <w:jc w:val="both"/>
      </w:pPr>
      <w:r>
        <w:t>Many global institutions such as the United Nations, the World Bank, the International Monetary fund and the World Trade Organisation have all in some way contributed to shaping international tax agreements. The most influential organisation however is the OECD as its model tax treaty</w:t>
      </w:r>
      <w:r>
        <w:rPr>
          <w:rStyle w:val="FootnoteReference"/>
        </w:rPr>
        <w:footnoteReference w:id="46"/>
      </w:r>
      <w:r>
        <w:t xml:space="preserve"> is used by both its member countries as non-OCD nations for interpreting, negotiating and applying tax treaties that are bilateral. The OECD employs a Committee on Fiscal Affairs that is the main force behind tax reforms on an international level. Their main document guiding the taxation of e-commerce is the Ottowa Taxation Framework</w:t>
      </w:r>
      <w:r>
        <w:rPr>
          <w:rStyle w:val="FootnoteReference"/>
        </w:rPr>
        <w:footnoteReference w:id="47"/>
      </w:r>
      <w:r>
        <w:t xml:space="preserve"> that was established in 1998. It is a set of principles guiding the international taxation reform efforts by the OECD regarding e-commerce. The main guiding principles coming from the Ottowa Taxation Framework were; already existing tax principles for international trade should be unchanged towards e-commerce, tax neutrality between traditional trade and trade through e-commerce, the compliance costs/administrative burden for taxpayers/taxation authorities, reducing tax evasion and it stated that due to fast technological change the international tax rules needed to be flexible. </w:t>
      </w:r>
    </w:p>
    <w:p w14:paraId="7ABA7D90" w14:textId="610260C6" w:rsidR="00B7552B" w:rsidRDefault="00B7552B" w:rsidP="00AD5D84">
      <w:pPr>
        <w:spacing w:line="360" w:lineRule="auto"/>
        <w:jc w:val="both"/>
      </w:pPr>
      <w:r>
        <w:t>The OECD has also changed and is still changing the model tax treaty according to the principles set in Ottowa to adapt to the rise of e-commerce. These changes concern defining permanent establishment (including server locations), characterization of income and across border service income. The model treaty is recognized by most national courts as a source of authority when interpreting certain treaties and is considered to be highly influential as was also confirmed by Landau et al. (2002)</w:t>
      </w:r>
      <w:r>
        <w:rPr>
          <w:rStyle w:val="FootnoteReference"/>
        </w:rPr>
        <w:footnoteReference w:id="48"/>
      </w:r>
      <w:r>
        <w:t xml:space="preserve">. </w:t>
      </w:r>
    </w:p>
    <w:p w14:paraId="334777FA" w14:textId="30E5477B" w:rsidR="00B7552B" w:rsidRDefault="00B7552B" w:rsidP="00AD5D84">
      <w:pPr>
        <w:spacing w:line="360" w:lineRule="auto"/>
        <w:jc w:val="both"/>
      </w:pPr>
      <w:r>
        <w:t>More importantly the OECD has also tried to develop a policy in an area that was previously not covered by any kind of international agreement; Value Added Taxes and other forms of consumption taxes. In the Ottowa Framework countries agreed on considering reforms regarding VAT’s, this due to the appearance of e-commerce. An important reform was on applying the correct tax jurisdiction for VAT purposes to across border trade. The OECD has agreed on the following; for B2C international trade taxation the country of consumption should be the jurisdiction is which the consumer usually resides whilst for B2B trade taxation the jurisdiction in which the receiving business has its business presence is used. The destination principle is thus now used and the recent European Union taxation reforms on cross-border trade we discussed can thus be justified by these agreements. The OECD now also publishes “The Consumption Tax Guidance Series” which contains guidelines for the taxation of internationals purchases on which VAT must be levied. The goal of these reports is to stimulate international consensus on this subject.</w:t>
      </w:r>
    </w:p>
    <w:p w14:paraId="4251C97E" w14:textId="77777777" w:rsidR="00B7552B" w:rsidRDefault="00B7552B" w:rsidP="00AD5D84">
      <w:pPr>
        <w:spacing w:line="360" w:lineRule="auto"/>
        <w:jc w:val="both"/>
      </w:pPr>
    </w:p>
    <w:p w14:paraId="56ABCB2D" w14:textId="2471D342" w:rsidR="00B7552B" w:rsidRDefault="00B7552B" w:rsidP="00AD5D84">
      <w:pPr>
        <w:spacing w:line="360" w:lineRule="auto"/>
        <w:jc w:val="both"/>
        <w:rPr>
          <w:b/>
        </w:rPr>
      </w:pPr>
      <w:r>
        <w:rPr>
          <w:b/>
        </w:rPr>
        <w:t>5.2 Reactions by National Governments</w:t>
      </w:r>
    </w:p>
    <w:p w14:paraId="67400199" w14:textId="440A5DD7" w:rsidR="00B7552B" w:rsidRDefault="00B7552B" w:rsidP="00AD5D84">
      <w:pPr>
        <w:spacing w:line="360" w:lineRule="auto"/>
        <w:jc w:val="both"/>
      </w:pPr>
      <w:r>
        <w:t>Whilst on an international level a lot seems to have been set in motion, the national governments seem to take it easy. A survey done by Cockfield (2006)</w:t>
      </w:r>
      <w:r>
        <w:rPr>
          <w:rStyle w:val="FootnoteReference"/>
        </w:rPr>
        <w:footnoteReference w:id="49"/>
      </w:r>
      <w:r>
        <w:t xml:space="preserve"> suggests that, since the challenges posed by international e-commerce became apparent in the early 90’s, only two tax laws and seventeen administrative documents have been passed by national governments regarding the international taxation issues of e-commerce. The rest of their actions on this subject consisted of agreeing to or disagreeing with positions taken by the OECD. </w:t>
      </w:r>
    </w:p>
    <w:p w14:paraId="701B9F09" w14:textId="07077B8C" w:rsidR="00B7552B" w:rsidRDefault="00B7552B" w:rsidP="00AD5D84">
      <w:pPr>
        <w:spacing w:line="360" w:lineRule="auto"/>
        <w:jc w:val="both"/>
      </w:pPr>
      <w:r>
        <w:t xml:space="preserve">Even nations deeply involved in the Internet such as the US, which has taken several measures at a the local and state level regarding sales and use taxes, has taken no action yet at the federal level regarding international e-commerce taxation.  The European Union however has introduced new legislation in the form of the EU directive introduced in 2003. We have described this directive in paragraph 4.2.1. and can say that it is the most (only) progressive action, not undertaken by the OECD, towards the international e-commerce taxation problem we have seen in the world. </w:t>
      </w:r>
    </w:p>
    <w:p w14:paraId="451B4E6D" w14:textId="2AD163EC" w:rsidR="00B7552B" w:rsidRDefault="00B7552B" w:rsidP="00AD5D84">
      <w:pPr>
        <w:spacing w:line="360" w:lineRule="auto"/>
        <w:jc w:val="both"/>
      </w:pPr>
      <w:r>
        <w:t xml:space="preserve">We might thus be able to conclude that national governments are reluctant towards implementing new taxation. Why is this the case? There are two reasons. First, as there are very few to none empirical estimates on how much revenue governments actually stand to lose from this international e-commerce, they are not very likely to take action on those grounds. Except for tax revenue losses estimates at the local and state level in the US there are no empirical studies supporting how much there is being lost, if this would be the case. Governments are thus likely to focus on different policy area’s where the earnings might be higher/more tangible. Second, many countries already have tax regulation regarding intangible products such as software, which can be used as a framework to solve certain taxation issues regarding e-commerce. It seems logical to use these already existing rules for traditional trade in e-commerce as well as it follows the tax neutrality principle stated in the Ottowa Framework. </w:t>
      </w:r>
    </w:p>
    <w:p w14:paraId="2A29E431" w14:textId="77777777" w:rsidR="00B7552B" w:rsidRDefault="00B7552B" w:rsidP="00AD5D84">
      <w:pPr>
        <w:spacing w:line="360" w:lineRule="auto"/>
        <w:jc w:val="both"/>
      </w:pPr>
    </w:p>
    <w:p w14:paraId="5ED85E9A" w14:textId="281D449C" w:rsidR="00B7552B" w:rsidRDefault="00B7552B" w:rsidP="00AD5D84">
      <w:pPr>
        <w:spacing w:line="360" w:lineRule="auto"/>
        <w:jc w:val="both"/>
        <w:rPr>
          <w:b/>
        </w:rPr>
      </w:pPr>
      <w:r>
        <w:rPr>
          <w:b/>
        </w:rPr>
        <w:t>5.3 Evaluating the Past and Looking at the Future</w:t>
      </w:r>
    </w:p>
    <w:p w14:paraId="05DDDD82" w14:textId="640C5349" w:rsidR="00B7552B" w:rsidRDefault="00B7552B" w:rsidP="00AD5D84">
      <w:pPr>
        <w:spacing w:line="360" w:lineRule="auto"/>
        <w:jc w:val="both"/>
      </w:pPr>
      <w:r>
        <w:t>In the previous paragraphs we have determined that the OECD took the lead when it came to developing solutions to the international taxation of e-commerce problem. The OECD however can be described as a so-called “soft institution” as the reforms made in the treaties are not binding for the tax authorities of member countries</w:t>
      </w:r>
      <w:r>
        <w:rPr>
          <w:rStyle w:val="FootnoteReference"/>
        </w:rPr>
        <w:footnoteReference w:id="50"/>
      </w:r>
      <w:r>
        <w:t>. What the OECD does is making discussions possible, doing research and introduce reforms that are not binding. It thus enables many forms of informal contact between nations in order to come to a consensus and advance towards solutions. This approach tries to act in the best interest of the member countries of the OECD by enhancing international relations with the setting of ground rules for taxation, whilst also letting countries keep as much sovereignty. There is also criticism towards this approach as it does not create certainty of tax policies chosen by countries and thus still allows for discrepancies between international taxation policy of e-commerce.</w:t>
      </w:r>
    </w:p>
    <w:p w14:paraId="1D3BD558" w14:textId="720313B3" w:rsidR="00B7552B" w:rsidRDefault="00B7552B" w:rsidP="00AD5D84">
      <w:pPr>
        <w:spacing w:line="360" w:lineRule="auto"/>
        <w:jc w:val="both"/>
      </w:pPr>
      <w:r>
        <w:t>The opposite of this approach would be the introduction of a formal “World Tax Organisation” that could enforce legally binding tax rules on all the countries participating. This would eliminate international tax competition and could theoretically avoid a race to the bottom in tax rates, as all countries would have to comply with fixed taxation rules.</w:t>
      </w:r>
      <w:r>
        <w:rPr>
          <w:rStyle w:val="FootnoteReference"/>
        </w:rPr>
        <w:footnoteReference w:id="51"/>
      </w:r>
      <w:r>
        <w:t xml:space="preserve"> This would however rob the national governments of much of their sovereignty and also they still consider tax policies and laws an important tool in setting out national policy. It is thus reasonable to assume that most nations would not agree to this, at lest not in the foreseeable future</w:t>
      </w:r>
      <w:r>
        <w:rPr>
          <w:rStyle w:val="FootnoteReference"/>
        </w:rPr>
        <w:footnoteReference w:id="52"/>
      </w:r>
      <w:r>
        <w:t xml:space="preserve">. </w:t>
      </w:r>
    </w:p>
    <w:p w14:paraId="29DA91DC" w14:textId="0B55C5E9" w:rsidR="00B7552B" w:rsidRDefault="00B7552B" w:rsidP="00AD5D84">
      <w:pPr>
        <w:spacing w:line="360" w:lineRule="auto"/>
        <w:jc w:val="both"/>
      </w:pPr>
      <w:r>
        <w:t>The OECD approach thus seems like a logical step in the right direction. The OECD also packs some enforcement power since 2005. As of then the member countries have agreed on retaliation being possible against countries still pursuing taxation practices that harms other members.</w:t>
      </w:r>
      <w:r>
        <w:rPr>
          <w:rStyle w:val="FootnoteReference"/>
        </w:rPr>
        <w:footnoteReference w:id="53"/>
      </w:r>
      <w:r>
        <w:t xml:space="preserve"> </w:t>
      </w:r>
    </w:p>
    <w:p w14:paraId="33F13278" w14:textId="09E1A8D9" w:rsidR="00E3744C" w:rsidRDefault="00B7552B" w:rsidP="00AD5D84">
      <w:pPr>
        <w:spacing w:line="360" w:lineRule="auto"/>
        <w:jc w:val="both"/>
      </w:pPr>
      <w:r>
        <w:t>In order for the OECD to remain the main global tax organisation it should also include non-members in the discussion on international taxation issues. As the members of the OECD are mainly rich developed industrial countries it thus also represents their wishes and the views of for instance developing countries to a lesser degree. It is however this limited amount of members and the relative uniformity of their views that makes the OECD effective in creating consensus. Allowing more countries with different economical interest to also join the OECD is not likely to happen any time soon as it will greatly damage the OECD’s capability to reach consensus. The OECD is however planning on involving the less developed countries more and more in the international tax discussion. It has already set up the International Tax Dialogue in which those countries can participate and set out their views and exchange information on best practises</w:t>
      </w:r>
      <w:r>
        <w:rPr>
          <w:rStyle w:val="FootnoteReference"/>
        </w:rPr>
        <w:footnoteReference w:id="54"/>
      </w:r>
      <w:r>
        <w:t>.</w:t>
      </w:r>
      <w:r w:rsidR="00C754DE">
        <w:t xml:space="preserve"> </w:t>
      </w:r>
    </w:p>
    <w:p w14:paraId="3ACA9C79" w14:textId="77777777" w:rsidR="00C754DE" w:rsidRDefault="00C754DE" w:rsidP="00AD5D84">
      <w:pPr>
        <w:spacing w:line="360" w:lineRule="auto"/>
        <w:jc w:val="both"/>
      </w:pPr>
    </w:p>
    <w:p w14:paraId="0BA633A3" w14:textId="77777777" w:rsidR="00083799" w:rsidRDefault="00083799" w:rsidP="00AD5D84">
      <w:pPr>
        <w:spacing w:line="360" w:lineRule="auto"/>
        <w:jc w:val="both"/>
      </w:pPr>
    </w:p>
    <w:p w14:paraId="0217B16F" w14:textId="61FEB229" w:rsidR="00083799" w:rsidRDefault="00083799" w:rsidP="00AD5D84">
      <w:pPr>
        <w:spacing w:line="360" w:lineRule="auto"/>
        <w:jc w:val="both"/>
        <w:rPr>
          <w:b/>
        </w:rPr>
      </w:pPr>
      <w:r>
        <w:rPr>
          <w:b/>
          <w:sz w:val="32"/>
          <w:szCs w:val="32"/>
        </w:rPr>
        <w:t>6. Conclusion</w:t>
      </w:r>
    </w:p>
    <w:p w14:paraId="0305A9A4" w14:textId="77777777" w:rsidR="00083799" w:rsidRDefault="00083799" w:rsidP="00AD5D84">
      <w:pPr>
        <w:spacing w:line="360" w:lineRule="auto"/>
        <w:jc w:val="both"/>
        <w:rPr>
          <w:b/>
        </w:rPr>
      </w:pPr>
    </w:p>
    <w:p w14:paraId="53A3F23C" w14:textId="36E7D09B" w:rsidR="00083799" w:rsidRPr="00C16541" w:rsidRDefault="00810893" w:rsidP="00083799">
      <w:pPr>
        <w:spacing w:line="360" w:lineRule="auto"/>
        <w:jc w:val="both"/>
      </w:pPr>
      <w:r>
        <w:t>We started off by trying to find out if e-commerce is taxable in the first place. To do so, we</w:t>
      </w:r>
      <w:r w:rsidR="00083799">
        <w:t xml:space="preserve"> identified the major tax principles relevant to e-commerce and discussed what issues arise when trying to tax e-commerce. We have discovered that taxing digitalized goods is still difficult with the current state of technology and provides little tax revenue.  We found that taxing transactions regarding physical goods in the e-commerce market is fully possible though. Great attention however must be given to whether, the OECD preferred, destination principle is used or, the administratively more feasible, origin principle is used when setting up an international functioning taxation system. </w:t>
      </w:r>
    </w:p>
    <w:p w14:paraId="49E8E55D" w14:textId="3F64BF68" w:rsidR="00083799" w:rsidRDefault="00810893" w:rsidP="00083799">
      <w:pPr>
        <w:spacing w:line="360" w:lineRule="auto"/>
        <w:jc w:val="both"/>
      </w:pPr>
      <w:r>
        <w:t>Afterwards we went to find out if</w:t>
      </w:r>
      <w:r w:rsidR="00845C2D">
        <w:t>,</w:t>
      </w:r>
      <w:r>
        <w:t xml:space="preserve"> now that we knew taxing international e-commerce </w:t>
      </w:r>
      <w:r w:rsidR="00845C2D">
        <w:t xml:space="preserve">was possible, it was desirable. </w:t>
      </w:r>
      <w:r w:rsidR="00083799">
        <w:t xml:space="preserve">We found out that for the US the sales tax revenue losses were highly debatable but never amounted to more than 1-2% of the total sales tax revenue. For the EU it was clear that it was not really a case of revenue loss but more one of sales tax revenue distribution. For both the EU and US it was at least clear that an accurate view on the possible revenue losses/redistributions is missing at this point in time. This is due to the highly unpredictable future of digitalized goods sales and the hard to predict development of connectivity to the Internet around the world. We have also found out that the arguments for providing tax preferences to the e-commerce market were quite weak. Both the infant industry and the positive externality argument seemed to be out-dated, and reflected views that might be valid in the 90’s but are not so much anymore with a highly developed e-commerce market and Internet network in general. The most important argument might however be the one based on the principle of “tax neutrality”. As it might falsify competition, makes governments miss some tax revenues and has no clear counter argumentation, it seems logical to not provide any tax preferences to goods traded via e-commerce when designing a tax system.  </w:t>
      </w:r>
    </w:p>
    <w:p w14:paraId="739663E0" w14:textId="6030AFC1" w:rsidR="00083799" w:rsidRDefault="00845C2D" w:rsidP="00083799">
      <w:pPr>
        <w:spacing w:line="360" w:lineRule="auto"/>
        <w:jc w:val="both"/>
      </w:pPr>
      <w:r>
        <w:t xml:space="preserve">After </w:t>
      </w:r>
      <w:r w:rsidR="00083799">
        <w:t xml:space="preserve">reviewing the progress on the international taxation of e-commerce on both the national and the international level we can conclude that most of the work has been done so far on the international level. The OECD has taken the lead in developing certain tax principles all member countries can agree on. Although it might be argued that the current enforcement mechanisms of the OECD are too soft, the alternative will not be feasible in the near future as countries are not likely to give up that much of their sovereignty. To partly solve the enforcement problem, countries have agreed on retaliation as a tool to keep members in check. The current path of involving less developed countries more and more in the treaty adaptation process is also </w:t>
      </w:r>
      <w:r>
        <w:t>constructive,</w:t>
      </w:r>
      <w:r w:rsidR="00083799">
        <w:t xml:space="preserve"> as it will help to keep the OECD a legitimate international tax organisation.</w:t>
      </w:r>
    </w:p>
    <w:p w14:paraId="46D3786C" w14:textId="37DEFE37" w:rsidR="00845C2D" w:rsidRDefault="00845C2D" w:rsidP="00083799">
      <w:pPr>
        <w:spacing w:line="360" w:lineRule="auto"/>
        <w:jc w:val="both"/>
      </w:pPr>
      <w:r>
        <w:t>To conclude overall we can thus now formulate the answer to our initial question; How can the international problem of taxing e-commerce best be solved? Although there is no instant solution to the problem we have defined some grips for further progress towards solving the problem. We have defined that the taxation of international e-commerce is fully possible and most likely also desirable. More research needs to be done however to get a clear picture of the actual tax revenue losses/redistributions due to the rise of e-commerce</w:t>
      </w:r>
      <w:r w:rsidR="00161604">
        <w:t>. This is importa</w:t>
      </w:r>
      <w:r w:rsidR="005037CF">
        <w:t xml:space="preserve">nt as many nations use this argument to justify certain tax rules without knowing the exact figures. Also we found that the OECD at this point in time seems to be the ideal candidate for further development as a global taxation institution. This due to its non-intrusive nature, consensus building and willingness to involve less developed countries where possible. </w:t>
      </w:r>
      <w:r w:rsidR="0050327C">
        <w:t>As we found that the principles the OECD uses for guidance are sane, t</w:t>
      </w:r>
      <w:r w:rsidR="005037CF">
        <w:t>he solution to the international e-commerce taxation issue thus lies in further developing the OECD as an international</w:t>
      </w:r>
      <w:r w:rsidR="0050327C">
        <w:t xml:space="preserve"> tax organisation and making sure enough countries participate in order for it to keep its global legitimacy.  </w:t>
      </w:r>
    </w:p>
    <w:p w14:paraId="7213905E" w14:textId="77777777" w:rsidR="00083799" w:rsidRDefault="00083799" w:rsidP="00083799">
      <w:pPr>
        <w:spacing w:line="360" w:lineRule="auto"/>
        <w:jc w:val="both"/>
      </w:pPr>
    </w:p>
    <w:p w14:paraId="5390B8A5" w14:textId="77777777" w:rsidR="00083799" w:rsidRDefault="00083799" w:rsidP="00747D00">
      <w:pPr>
        <w:spacing w:line="276" w:lineRule="auto"/>
        <w:jc w:val="both"/>
      </w:pPr>
    </w:p>
    <w:p w14:paraId="0B499B6C" w14:textId="45A12F64" w:rsidR="00083799" w:rsidRPr="00083799" w:rsidRDefault="00083799" w:rsidP="00747D00">
      <w:pPr>
        <w:spacing w:line="276" w:lineRule="auto"/>
        <w:jc w:val="both"/>
        <w:rPr>
          <w:b/>
        </w:rPr>
      </w:pPr>
    </w:p>
    <w:p w14:paraId="0C6E98AA" w14:textId="38BBE656" w:rsidR="00E40384" w:rsidRPr="00EB3657" w:rsidRDefault="00E40384" w:rsidP="00747D00">
      <w:pPr>
        <w:spacing w:line="276" w:lineRule="auto"/>
        <w:jc w:val="both"/>
      </w:pPr>
    </w:p>
    <w:p w14:paraId="2423EA98" w14:textId="77777777" w:rsidR="00F2328B" w:rsidRPr="005102FD" w:rsidRDefault="00F2328B" w:rsidP="00747D00">
      <w:pPr>
        <w:spacing w:line="276" w:lineRule="auto"/>
        <w:jc w:val="both"/>
      </w:pPr>
    </w:p>
    <w:p w14:paraId="0CF00CE3" w14:textId="32D4D603" w:rsidR="00747D00" w:rsidRPr="00747D00" w:rsidRDefault="00B7552B" w:rsidP="00747D00">
      <w:pPr>
        <w:spacing w:line="276" w:lineRule="auto"/>
        <w:jc w:val="both"/>
        <w:rPr>
          <w:b/>
          <w:sz w:val="32"/>
          <w:szCs w:val="32"/>
        </w:rPr>
      </w:pPr>
      <w:r>
        <w:rPr>
          <w:b/>
          <w:sz w:val="32"/>
          <w:szCs w:val="32"/>
        </w:rPr>
        <w:t xml:space="preserve">7. </w:t>
      </w:r>
      <w:r w:rsidR="003F07A7">
        <w:rPr>
          <w:b/>
          <w:sz w:val="32"/>
          <w:szCs w:val="32"/>
        </w:rPr>
        <w:t>Sources</w:t>
      </w:r>
      <w:bookmarkStart w:id="0" w:name="_GoBack"/>
      <w:bookmarkEnd w:id="0"/>
    </w:p>
    <w:p w14:paraId="45DA8A88" w14:textId="77777777" w:rsidR="00747D00" w:rsidRPr="00747D00" w:rsidRDefault="00747D00" w:rsidP="00747D00">
      <w:pPr>
        <w:spacing w:line="276" w:lineRule="auto"/>
        <w:jc w:val="both"/>
        <w:rPr>
          <w:sz w:val="20"/>
          <w:szCs w:val="20"/>
        </w:rPr>
      </w:pPr>
    </w:p>
    <w:p w14:paraId="6C016F87" w14:textId="77777777" w:rsidR="00747D00" w:rsidRPr="00747D00" w:rsidRDefault="00747D00" w:rsidP="00747D00">
      <w:pPr>
        <w:pStyle w:val="EndnoteText"/>
        <w:spacing w:line="276" w:lineRule="auto"/>
        <w:rPr>
          <w:rFonts w:asciiTheme="minorHAnsi" w:eastAsiaTheme="minorEastAsia" w:hAnsiTheme="minorHAnsi" w:cs="Times"/>
          <w:color w:val="000000"/>
          <w:sz w:val="20"/>
          <w:szCs w:val="20"/>
          <w:lang w:val="en-US"/>
        </w:rPr>
      </w:pPr>
      <w:r w:rsidRPr="00747D00">
        <w:rPr>
          <w:rFonts w:asciiTheme="minorHAnsi" w:eastAsiaTheme="minorEastAsia" w:hAnsiTheme="minorHAnsi" w:cs="Times"/>
          <w:color w:val="000000"/>
          <w:sz w:val="20"/>
          <w:szCs w:val="20"/>
          <w:lang w:val="en-US"/>
        </w:rPr>
        <w:t xml:space="preserve">Advisory Commission on Electronic Commerce. </w:t>
      </w:r>
      <w:hyperlink r:id="rId8" w:history="1">
        <w:r w:rsidRPr="00747D00">
          <w:rPr>
            <w:rStyle w:val="Hyperlink"/>
            <w:rFonts w:asciiTheme="minorHAnsi" w:eastAsiaTheme="minorEastAsia" w:hAnsiTheme="minorHAnsi" w:cs="Times"/>
            <w:sz w:val="20"/>
            <w:szCs w:val="20"/>
            <w:lang w:val="en-US"/>
          </w:rPr>
          <w:t>http://lobby.la.psu.edu/043_3%25_Excise_Tax/Organizational_Statements/Americans_for_Tax_Reform/ATR_Gov_%20James_Gilmore's_No_Internet_Tax_Plan.htm</w:t>
        </w:r>
      </w:hyperlink>
      <w:r w:rsidRPr="00747D00">
        <w:rPr>
          <w:rFonts w:asciiTheme="minorHAnsi" w:eastAsiaTheme="minorEastAsia" w:hAnsiTheme="minorHAnsi" w:cs="Times"/>
          <w:color w:val="000000"/>
          <w:sz w:val="20"/>
          <w:szCs w:val="20"/>
          <w:lang w:val="en-US"/>
        </w:rPr>
        <w:t xml:space="preserve"> </w:t>
      </w:r>
    </w:p>
    <w:p w14:paraId="18340486" w14:textId="77777777" w:rsidR="00747D00" w:rsidRPr="00747D00" w:rsidRDefault="00747D00" w:rsidP="00747D00">
      <w:pPr>
        <w:pStyle w:val="EndnoteText"/>
        <w:spacing w:line="276" w:lineRule="auto"/>
        <w:rPr>
          <w:rFonts w:asciiTheme="minorHAnsi" w:hAnsiTheme="minorHAnsi"/>
          <w:sz w:val="20"/>
          <w:szCs w:val="20"/>
          <w:lang w:val="nl-NL"/>
        </w:rPr>
      </w:pPr>
    </w:p>
    <w:p w14:paraId="0E206C02" w14:textId="77777777" w:rsidR="00747D00" w:rsidRPr="00747D00" w:rsidRDefault="00747D00" w:rsidP="00747D00">
      <w:pPr>
        <w:pStyle w:val="EndnoteText"/>
        <w:spacing w:line="276" w:lineRule="auto"/>
        <w:rPr>
          <w:rFonts w:asciiTheme="minorHAnsi" w:eastAsiaTheme="minorEastAsia" w:hAnsiTheme="minorHAnsi"/>
          <w:sz w:val="20"/>
          <w:szCs w:val="20"/>
          <w:lang w:val="en-US"/>
        </w:rPr>
      </w:pPr>
      <w:r w:rsidRPr="00747D00">
        <w:rPr>
          <w:rFonts w:asciiTheme="minorHAnsi" w:eastAsiaTheme="minorEastAsia" w:hAnsiTheme="minorHAnsi"/>
          <w:sz w:val="20"/>
          <w:szCs w:val="20"/>
          <w:lang w:val="en-US"/>
        </w:rPr>
        <w:t xml:space="preserve">Basu, S., 2007, Global Perspectives on E-Commerce Taxation Law, Hampshire, Ashgate Publishing Limited.  </w:t>
      </w:r>
    </w:p>
    <w:p w14:paraId="1E9E5063" w14:textId="77777777" w:rsidR="00747D00" w:rsidRPr="00747D00" w:rsidRDefault="00747D00" w:rsidP="00747D00">
      <w:pPr>
        <w:pStyle w:val="EndnoteText"/>
        <w:spacing w:line="276" w:lineRule="auto"/>
        <w:rPr>
          <w:rFonts w:asciiTheme="minorHAnsi" w:hAnsiTheme="minorHAnsi"/>
          <w:sz w:val="20"/>
          <w:szCs w:val="20"/>
          <w:lang w:val="nl-NL"/>
        </w:rPr>
      </w:pPr>
    </w:p>
    <w:p w14:paraId="76BC770B" w14:textId="77777777" w:rsidR="00747D00" w:rsidRPr="00747D00" w:rsidRDefault="00747D00" w:rsidP="00747D00">
      <w:pPr>
        <w:pStyle w:val="EndnoteText"/>
        <w:spacing w:line="276" w:lineRule="auto"/>
        <w:rPr>
          <w:rFonts w:asciiTheme="minorHAnsi" w:eastAsiaTheme="minorEastAsia" w:hAnsiTheme="minorHAnsi" w:cs="Verdana"/>
          <w:sz w:val="20"/>
          <w:szCs w:val="20"/>
          <w:lang w:val="en-US"/>
        </w:rPr>
      </w:pPr>
      <w:r w:rsidRPr="00747D00">
        <w:rPr>
          <w:sz w:val="20"/>
          <w:szCs w:val="20"/>
        </w:rPr>
        <w:t xml:space="preserve">Bruce, D., Fox, W.F., 2004, </w:t>
      </w:r>
      <w:r w:rsidRPr="00747D00">
        <w:rPr>
          <w:rFonts w:asciiTheme="minorHAnsi" w:eastAsiaTheme="minorEastAsia" w:hAnsiTheme="minorHAnsi"/>
          <w:sz w:val="20"/>
          <w:szCs w:val="20"/>
          <w:lang w:val="en-US"/>
        </w:rPr>
        <w:t xml:space="preserve">State and local sales tax revenue losses from </w:t>
      </w:r>
      <w:r w:rsidRPr="00747D00">
        <w:rPr>
          <w:rFonts w:asciiTheme="minorHAnsi" w:eastAsiaTheme="minorEastAsia" w:hAnsiTheme="minorHAnsi"/>
          <w:bCs/>
          <w:sz w:val="20"/>
          <w:szCs w:val="20"/>
          <w:lang w:val="en-US"/>
        </w:rPr>
        <w:t>e</w:t>
      </w:r>
      <w:r w:rsidRPr="00747D00">
        <w:rPr>
          <w:rFonts w:asciiTheme="minorHAnsi" w:eastAsiaTheme="minorEastAsia" w:hAnsiTheme="minorHAnsi"/>
          <w:sz w:val="20"/>
          <w:szCs w:val="20"/>
          <w:lang w:val="en-US"/>
        </w:rPr>
        <w:t>-</w:t>
      </w:r>
      <w:r w:rsidRPr="00747D00">
        <w:rPr>
          <w:rFonts w:asciiTheme="minorHAnsi" w:eastAsiaTheme="minorEastAsia" w:hAnsiTheme="minorHAnsi"/>
          <w:bCs/>
          <w:sz w:val="20"/>
          <w:szCs w:val="20"/>
          <w:lang w:val="en-US"/>
        </w:rPr>
        <w:t>commerce</w:t>
      </w:r>
      <w:r w:rsidRPr="00747D00">
        <w:rPr>
          <w:rFonts w:asciiTheme="minorHAnsi" w:eastAsiaTheme="minorEastAsia" w:hAnsiTheme="minorHAnsi"/>
          <w:sz w:val="20"/>
          <w:szCs w:val="20"/>
          <w:lang w:val="en-US"/>
        </w:rPr>
        <w:t xml:space="preserve">: Estimates as of July </w:t>
      </w:r>
      <w:r w:rsidRPr="00747D00">
        <w:rPr>
          <w:rFonts w:asciiTheme="minorHAnsi" w:eastAsiaTheme="minorEastAsia" w:hAnsiTheme="minorHAnsi"/>
          <w:bCs/>
          <w:sz w:val="20"/>
          <w:szCs w:val="20"/>
          <w:lang w:val="en-US"/>
        </w:rPr>
        <w:t xml:space="preserve">2004, </w:t>
      </w:r>
      <w:r w:rsidRPr="00747D00">
        <w:rPr>
          <w:rFonts w:asciiTheme="minorHAnsi" w:eastAsiaTheme="minorEastAsia" w:hAnsiTheme="minorHAnsi" w:cs="Verdana"/>
          <w:iCs/>
          <w:sz w:val="20"/>
          <w:szCs w:val="20"/>
          <w:lang w:val="en-US"/>
        </w:rPr>
        <w:t>State Tax Notes</w:t>
      </w:r>
      <w:r w:rsidRPr="00747D00">
        <w:rPr>
          <w:rFonts w:asciiTheme="minorHAnsi" w:eastAsiaTheme="minorEastAsia" w:hAnsiTheme="minorHAnsi" w:cs="Verdana"/>
          <w:sz w:val="20"/>
          <w:szCs w:val="20"/>
          <w:lang w:val="en-US"/>
        </w:rPr>
        <w:t xml:space="preserve"> 33(7): 511-518.</w:t>
      </w:r>
    </w:p>
    <w:p w14:paraId="3A7EB949" w14:textId="77777777" w:rsidR="00747D00" w:rsidRPr="00747D00" w:rsidRDefault="00747D00" w:rsidP="00747D00">
      <w:pPr>
        <w:pStyle w:val="EndnoteText"/>
        <w:spacing w:line="276" w:lineRule="auto"/>
        <w:rPr>
          <w:rFonts w:asciiTheme="minorHAnsi" w:hAnsiTheme="minorHAnsi"/>
          <w:sz w:val="20"/>
          <w:szCs w:val="20"/>
          <w:lang w:val="nl-NL"/>
        </w:rPr>
      </w:pPr>
    </w:p>
    <w:p w14:paraId="372FE1F3" w14:textId="77777777" w:rsidR="00747D00" w:rsidRPr="00747D00" w:rsidRDefault="00747D00" w:rsidP="00747D00">
      <w:pPr>
        <w:pStyle w:val="EndnoteText"/>
        <w:spacing w:line="276" w:lineRule="auto"/>
        <w:rPr>
          <w:rFonts w:asciiTheme="minorHAnsi" w:eastAsiaTheme="minorEastAsia" w:hAnsiTheme="minorHAnsi" w:cs="Verdana"/>
          <w:sz w:val="20"/>
          <w:szCs w:val="20"/>
          <w:lang w:val="en-US"/>
        </w:rPr>
      </w:pPr>
      <w:r w:rsidRPr="00747D00">
        <w:rPr>
          <w:rFonts w:asciiTheme="minorHAnsi" w:hAnsiTheme="minorHAnsi"/>
          <w:sz w:val="20"/>
          <w:szCs w:val="20"/>
        </w:rPr>
        <w:t xml:space="preserve">Bruce, D., Fox, W.F., Luna, L., 2009, </w:t>
      </w:r>
      <w:r w:rsidRPr="00747D00">
        <w:rPr>
          <w:rFonts w:asciiTheme="minorHAnsi" w:eastAsiaTheme="minorEastAsia" w:hAnsiTheme="minorHAnsi" w:cs="Verdana"/>
          <w:bCs/>
          <w:color w:val="262626"/>
          <w:sz w:val="20"/>
          <w:szCs w:val="20"/>
          <w:lang w:val="en-US"/>
        </w:rPr>
        <w:t xml:space="preserve">State and Local Government Sales Tax Revenue Losses from Electronic Commerce, </w:t>
      </w:r>
      <w:r w:rsidRPr="00747D00">
        <w:rPr>
          <w:rFonts w:asciiTheme="minorHAnsi" w:eastAsiaTheme="minorEastAsia" w:hAnsiTheme="minorHAnsi" w:cs="Verdana"/>
          <w:iCs/>
          <w:sz w:val="20"/>
          <w:szCs w:val="20"/>
          <w:lang w:val="en-US"/>
        </w:rPr>
        <w:t>State Tax Notes</w:t>
      </w:r>
      <w:r w:rsidRPr="00747D00">
        <w:rPr>
          <w:rFonts w:asciiTheme="minorHAnsi" w:eastAsiaTheme="minorEastAsia" w:hAnsiTheme="minorHAnsi" w:cs="Verdana"/>
          <w:sz w:val="20"/>
          <w:szCs w:val="20"/>
          <w:lang w:val="en-US"/>
        </w:rPr>
        <w:t xml:space="preserve"> 52(7): 537-558, May 18.</w:t>
      </w:r>
    </w:p>
    <w:p w14:paraId="2A96FEC3" w14:textId="77777777" w:rsidR="00747D00" w:rsidRPr="00747D00" w:rsidRDefault="00747D00" w:rsidP="00747D00">
      <w:pPr>
        <w:pStyle w:val="EndnoteText"/>
        <w:spacing w:line="276" w:lineRule="auto"/>
        <w:rPr>
          <w:rFonts w:asciiTheme="minorHAnsi" w:hAnsiTheme="minorHAnsi"/>
          <w:sz w:val="20"/>
          <w:szCs w:val="20"/>
          <w:lang w:val="nl-NL"/>
        </w:rPr>
      </w:pPr>
    </w:p>
    <w:p w14:paraId="42FBF1FB" w14:textId="77777777" w:rsidR="00747D00" w:rsidRPr="00747D00" w:rsidRDefault="00747D00" w:rsidP="00747D00">
      <w:pPr>
        <w:pStyle w:val="EndnoteText"/>
        <w:spacing w:line="276" w:lineRule="auto"/>
        <w:rPr>
          <w:rFonts w:asciiTheme="minorHAnsi" w:eastAsiaTheme="minorEastAsia" w:hAnsiTheme="minorHAnsi"/>
          <w:sz w:val="20"/>
          <w:szCs w:val="20"/>
          <w:lang w:val="en-US"/>
        </w:rPr>
      </w:pPr>
      <w:r w:rsidRPr="00747D00">
        <w:rPr>
          <w:sz w:val="20"/>
          <w:szCs w:val="20"/>
        </w:rPr>
        <w:t>Chan, C.W., 2000, Taxation of Global E-Commerce on the Internet: The Underlying Issues and Proposed Plans</w:t>
      </w:r>
      <w:r w:rsidRPr="00747D00">
        <w:rPr>
          <w:rFonts w:asciiTheme="minorHAnsi" w:hAnsiTheme="minorHAnsi"/>
          <w:sz w:val="20"/>
          <w:szCs w:val="20"/>
        </w:rPr>
        <w:t xml:space="preserve">, </w:t>
      </w:r>
      <w:r w:rsidRPr="00747D00">
        <w:rPr>
          <w:rFonts w:asciiTheme="minorHAnsi" w:eastAsiaTheme="minorEastAsia" w:hAnsiTheme="minorHAnsi"/>
          <w:sz w:val="20"/>
          <w:szCs w:val="20"/>
          <w:lang w:val="en-US"/>
        </w:rPr>
        <w:t>9 Minn. J. Global Trade 233.</w:t>
      </w:r>
    </w:p>
    <w:p w14:paraId="7DB83F20" w14:textId="77777777" w:rsidR="00747D00" w:rsidRPr="00747D00" w:rsidRDefault="00747D00" w:rsidP="00747D00">
      <w:pPr>
        <w:pStyle w:val="EndnoteText"/>
        <w:spacing w:line="276" w:lineRule="auto"/>
        <w:rPr>
          <w:sz w:val="20"/>
          <w:szCs w:val="20"/>
          <w:lang w:val="nl-NL"/>
        </w:rPr>
      </w:pPr>
    </w:p>
    <w:p w14:paraId="567F07B1" w14:textId="77777777" w:rsidR="00747D00" w:rsidRDefault="00747D00" w:rsidP="00747D00">
      <w:pPr>
        <w:pStyle w:val="EndnoteText"/>
        <w:spacing w:line="276" w:lineRule="auto"/>
        <w:rPr>
          <w:sz w:val="20"/>
          <w:szCs w:val="20"/>
        </w:rPr>
      </w:pPr>
      <w:r w:rsidRPr="00747D00">
        <w:rPr>
          <w:sz w:val="20"/>
          <w:szCs w:val="20"/>
        </w:rPr>
        <w:t>Cigler, J.D., Stinnet, S.E., 1997, Treasury seeks Cybertax Answers With Electronic Commerce Discussion Paper, 8 Journal of International Taxation 56, 58.</w:t>
      </w:r>
    </w:p>
    <w:p w14:paraId="205AA8FC" w14:textId="77777777" w:rsidR="00747D00" w:rsidRPr="00747D00" w:rsidRDefault="00747D00" w:rsidP="00747D00">
      <w:pPr>
        <w:pStyle w:val="EndnoteText"/>
        <w:spacing w:line="276" w:lineRule="auto"/>
        <w:rPr>
          <w:sz w:val="20"/>
          <w:szCs w:val="20"/>
          <w:lang w:val="nl-NL"/>
        </w:rPr>
      </w:pPr>
    </w:p>
    <w:p w14:paraId="62570583" w14:textId="77777777" w:rsidR="00747D00" w:rsidRDefault="00747D00" w:rsidP="00747D00">
      <w:pPr>
        <w:pStyle w:val="EndnoteText"/>
        <w:spacing w:line="276" w:lineRule="auto"/>
        <w:rPr>
          <w:rFonts w:asciiTheme="minorHAnsi" w:eastAsiaTheme="minorEastAsia" w:hAnsiTheme="minorHAnsi"/>
          <w:sz w:val="20"/>
          <w:szCs w:val="20"/>
          <w:lang w:val="en-US"/>
        </w:rPr>
      </w:pPr>
      <w:r w:rsidRPr="00747D00">
        <w:rPr>
          <w:sz w:val="20"/>
          <w:szCs w:val="20"/>
          <w:lang w:val="nl-NL"/>
        </w:rPr>
        <w:t>Cockfield, A.J., 2006, The Rise of the OECD as Informal “World Tax Organisation” Through National Responses to E-Commerce Tax Challenges</w:t>
      </w:r>
      <w:r w:rsidRPr="00747D00">
        <w:rPr>
          <w:rFonts w:asciiTheme="minorHAnsi" w:hAnsiTheme="minorHAnsi"/>
          <w:sz w:val="20"/>
          <w:szCs w:val="20"/>
          <w:lang w:val="nl-NL"/>
        </w:rPr>
        <w:t xml:space="preserve">, </w:t>
      </w:r>
      <w:r w:rsidRPr="00747D00">
        <w:rPr>
          <w:rFonts w:asciiTheme="minorHAnsi" w:eastAsiaTheme="minorEastAsia" w:hAnsiTheme="minorHAnsi"/>
          <w:sz w:val="20"/>
          <w:szCs w:val="20"/>
          <w:lang w:val="en-US"/>
        </w:rPr>
        <w:t xml:space="preserve">8 Yale J.L. &amp; Tech. 136. </w:t>
      </w:r>
    </w:p>
    <w:p w14:paraId="511196D9" w14:textId="77777777" w:rsidR="00747D00" w:rsidRPr="00747D00" w:rsidRDefault="00747D00" w:rsidP="00747D00">
      <w:pPr>
        <w:pStyle w:val="EndnoteText"/>
        <w:spacing w:line="276" w:lineRule="auto"/>
        <w:rPr>
          <w:rFonts w:asciiTheme="minorHAnsi" w:hAnsiTheme="minorHAnsi"/>
          <w:sz w:val="20"/>
          <w:szCs w:val="20"/>
          <w:lang w:val="nl-NL"/>
        </w:rPr>
      </w:pPr>
    </w:p>
    <w:p w14:paraId="3F7B683A" w14:textId="77777777" w:rsidR="00747D00" w:rsidRDefault="00747D00" w:rsidP="00747D00">
      <w:pPr>
        <w:pStyle w:val="EndnoteText"/>
        <w:spacing w:line="276" w:lineRule="auto"/>
        <w:rPr>
          <w:rFonts w:asciiTheme="minorHAnsi" w:eastAsiaTheme="minorEastAsia" w:hAnsiTheme="minorHAnsi" w:cs="Times"/>
          <w:sz w:val="20"/>
          <w:szCs w:val="20"/>
          <w:lang w:val="en-US"/>
        </w:rPr>
      </w:pPr>
      <w:r w:rsidRPr="00747D00">
        <w:rPr>
          <w:rFonts w:asciiTheme="minorHAnsi" w:eastAsiaTheme="minorEastAsia" w:hAnsiTheme="minorHAnsi" w:cs="Times"/>
          <w:sz w:val="20"/>
          <w:szCs w:val="20"/>
          <w:lang w:val="en-US"/>
        </w:rPr>
        <w:t xml:space="preserve">Cordell, A.J., 1995, New Taxes for a New Economy, </w:t>
      </w:r>
      <w:r w:rsidRPr="00747D00">
        <w:rPr>
          <w:rFonts w:asciiTheme="minorHAnsi" w:eastAsiaTheme="minorEastAsia" w:hAnsiTheme="minorHAnsi" w:cs="Times"/>
          <w:i/>
          <w:iCs/>
          <w:sz w:val="20"/>
          <w:szCs w:val="20"/>
          <w:lang w:val="en-US"/>
        </w:rPr>
        <w:t>Government Information in Canada</w:t>
      </w:r>
      <w:r w:rsidRPr="00747D00">
        <w:rPr>
          <w:rFonts w:asciiTheme="minorHAnsi" w:eastAsiaTheme="minorEastAsia" w:hAnsiTheme="minorHAnsi" w:cs="Times"/>
          <w:sz w:val="20"/>
          <w:szCs w:val="20"/>
          <w:lang w:val="en-US"/>
        </w:rPr>
        <w:t>, Vol. 2, No. 4.2</w:t>
      </w:r>
    </w:p>
    <w:p w14:paraId="2AD4F1BA" w14:textId="77777777" w:rsidR="00747D00" w:rsidRPr="00747D00" w:rsidRDefault="00747D00" w:rsidP="00747D00">
      <w:pPr>
        <w:pStyle w:val="EndnoteText"/>
        <w:spacing w:line="276" w:lineRule="auto"/>
        <w:rPr>
          <w:sz w:val="20"/>
          <w:szCs w:val="20"/>
          <w:lang w:val="nl-NL"/>
        </w:rPr>
      </w:pPr>
    </w:p>
    <w:p w14:paraId="7C5A59A6" w14:textId="77777777" w:rsidR="00747D00" w:rsidRDefault="00747D00" w:rsidP="00747D00">
      <w:pPr>
        <w:pStyle w:val="EndnoteText"/>
        <w:spacing w:line="276" w:lineRule="auto"/>
        <w:rPr>
          <w:sz w:val="20"/>
          <w:szCs w:val="20"/>
          <w:lang w:val="nl-NL"/>
        </w:rPr>
      </w:pPr>
      <w:r w:rsidRPr="00747D00">
        <w:rPr>
          <w:sz w:val="20"/>
          <w:szCs w:val="20"/>
          <w:lang w:val="nl-NL"/>
        </w:rPr>
        <w:t xml:space="preserve">Department of the Treasury, 1996, Selected Tax Policy Implications of Global Electronic Commerce, Paragraph 8.4. </w:t>
      </w:r>
      <w:hyperlink r:id="rId9" w:history="1">
        <w:r w:rsidRPr="00747D00">
          <w:rPr>
            <w:rStyle w:val="Hyperlink"/>
            <w:sz w:val="20"/>
            <w:szCs w:val="20"/>
            <w:lang w:val="nl-NL"/>
          </w:rPr>
          <w:t>http://www.caltax.org/!treas-ec.html</w:t>
        </w:r>
      </w:hyperlink>
      <w:r w:rsidRPr="00747D00">
        <w:rPr>
          <w:sz w:val="20"/>
          <w:szCs w:val="20"/>
          <w:lang w:val="nl-NL"/>
        </w:rPr>
        <w:t xml:space="preserve"> </w:t>
      </w:r>
    </w:p>
    <w:p w14:paraId="464A3FD1" w14:textId="77777777" w:rsidR="00747D00" w:rsidRPr="00747D00" w:rsidRDefault="00747D00" w:rsidP="00747D00">
      <w:pPr>
        <w:pStyle w:val="EndnoteText"/>
        <w:spacing w:line="276" w:lineRule="auto"/>
        <w:rPr>
          <w:sz w:val="20"/>
          <w:szCs w:val="20"/>
          <w:lang w:val="nl-NL"/>
        </w:rPr>
      </w:pPr>
    </w:p>
    <w:p w14:paraId="312E3AAE" w14:textId="77777777" w:rsidR="00747D00" w:rsidRDefault="00747D00" w:rsidP="00747D00">
      <w:pPr>
        <w:pStyle w:val="EndnoteText"/>
        <w:spacing w:line="276" w:lineRule="auto"/>
        <w:rPr>
          <w:rFonts w:asciiTheme="minorHAnsi" w:eastAsiaTheme="minorEastAsia" w:hAnsiTheme="minorHAnsi"/>
          <w:sz w:val="20"/>
          <w:szCs w:val="20"/>
          <w:lang w:val="en-US"/>
        </w:rPr>
      </w:pPr>
      <w:r w:rsidRPr="00747D00">
        <w:rPr>
          <w:rFonts w:asciiTheme="minorHAnsi" w:eastAsiaTheme="minorEastAsia" w:hAnsiTheme="minorHAnsi"/>
          <w:iCs/>
          <w:sz w:val="20"/>
          <w:szCs w:val="20"/>
          <w:lang w:val="en-US"/>
        </w:rPr>
        <w:t xml:space="preserve">Diamond, P.A., Mirrlees, J.A., 1971, </w:t>
      </w:r>
      <w:r w:rsidRPr="00747D00">
        <w:rPr>
          <w:rFonts w:asciiTheme="minorHAnsi" w:eastAsiaTheme="minorEastAsia" w:hAnsiTheme="minorHAnsi"/>
          <w:bCs/>
          <w:sz w:val="20"/>
          <w:szCs w:val="20"/>
          <w:lang w:val="en-US"/>
        </w:rPr>
        <w:t>Optimal Taxation and Public Production I: Production Efficiency,</w:t>
      </w:r>
      <w:r w:rsidRPr="00747D00">
        <w:rPr>
          <w:rFonts w:asciiTheme="minorHAnsi" w:eastAsiaTheme="minorEastAsia" w:hAnsiTheme="minorHAnsi"/>
          <w:iCs/>
          <w:sz w:val="20"/>
          <w:szCs w:val="20"/>
          <w:lang w:val="en-US"/>
        </w:rPr>
        <w:t xml:space="preserve"> The American Economic Review</w:t>
      </w:r>
      <w:r w:rsidRPr="00747D00">
        <w:rPr>
          <w:rFonts w:asciiTheme="minorHAnsi" w:eastAsiaTheme="minorEastAsia" w:hAnsiTheme="minorHAnsi"/>
          <w:sz w:val="20"/>
          <w:szCs w:val="20"/>
          <w:lang w:val="en-US"/>
        </w:rPr>
        <w:t>, Vol. 61, No. 1 (Mar., 1971), pp. 8-27</w:t>
      </w:r>
    </w:p>
    <w:p w14:paraId="297F0733" w14:textId="77777777" w:rsidR="00747D00" w:rsidRPr="00747D00" w:rsidRDefault="00747D00" w:rsidP="00747D00">
      <w:pPr>
        <w:pStyle w:val="EndnoteText"/>
        <w:spacing w:line="276" w:lineRule="auto"/>
        <w:rPr>
          <w:sz w:val="20"/>
          <w:szCs w:val="20"/>
          <w:lang w:val="nl-NL"/>
        </w:rPr>
      </w:pPr>
    </w:p>
    <w:p w14:paraId="558DE4F9" w14:textId="77777777" w:rsidR="00747D00" w:rsidRDefault="00747D00" w:rsidP="00747D00">
      <w:pPr>
        <w:pStyle w:val="EndnoteText"/>
        <w:spacing w:line="276" w:lineRule="auto"/>
        <w:rPr>
          <w:sz w:val="20"/>
          <w:szCs w:val="20"/>
          <w:lang w:val="nl-NL"/>
        </w:rPr>
      </w:pPr>
      <w:r w:rsidRPr="00747D00">
        <w:rPr>
          <w:sz w:val="20"/>
          <w:szCs w:val="20"/>
          <w:lang w:val="nl-NL"/>
        </w:rPr>
        <w:t xml:space="preserve">European Union, VAT Directive, 2006, Article 34. </w:t>
      </w:r>
      <w:hyperlink r:id="rId10" w:history="1">
        <w:r w:rsidRPr="00747D00">
          <w:rPr>
            <w:rStyle w:val="Hyperlink"/>
            <w:sz w:val="20"/>
            <w:szCs w:val="20"/>
            <w:lang w:val="nl-NL"/>
          </w:rPr>
          <w:t>http://eur-lex.europa.eu/LexUriServ/LexUriServ.do?uri=CONSLEG:2006L0112:20110101:EN:PDF</w:t>
        </w:r>
      </w:hyperlink>
      <w:r w:rsidRPr="00747D00">
        <w:rPr>
          <w:sz w:val="20"/>
          <w:szCs w:val="20"/>
          <w:lang w:val="nl-NL"/>
        </w:rPr>
        <w:t xml:space="preserve"> </w:t>
      </w:r>
    </w:p>
    <w:p w14:paraId="0943F3F1" w14:textId="77777777" w:rsidR="00747D00" w:rsidRPr="00747D00" w:rsidRDefault="00747D00" w:rsidP="00747D00">
      <w:pPr>
        <w:pStyle w:val="EndnoteText"/>
        <w:spacing w:line="276" w:lineRule="auto"/>
        <w:rPr>
          <w:sz w:val="20"/>
          <w:szCs w:val="20"/>
          <w:lang w:val="nl-NL"/>
        </w:rPr>
      </w:pPr>
    </w:p>
    <w:p w14:paraId="3F961466" w14:textId="77777777" w:rsidR="00747D00" w:rsidRPr="00747D00" w:rsidRDefault="00747D00" w:rsidP="00747D00">
      <w:pPr>
        <w:pStyle w:val="EndnoteText"/>
        <w:spacing w:line="276" w:lineRule="auto"/>
        <w:rPr>
          <w:sz w:val="20"/>
          <w:szCs w:val="20"/>
          <w:lang w:val="nl-NL"/>
        </w:rPr>
      </w:pPr>
      <w:r w:rsidRPr="00747D00">
        <w:rPr>
          <w:sz w:val="20"/>
          <w:szCs w:val="20"/>
        </w:rPr>
        <w:t xml:space="preserve">European Union, VAT on Electronic Services Regulation, 2003. </w:t>
      </w:r>
      <w:hyperlink r:id="rId11" w:history="1">
        <w:r w:rsidRPr="00747D00">
          <w:rPr>
            <w:rStyle w:val="Hyperlink"/>
            <w:sz w:val="20"/>
            <w:szCs w:val="20"/>
          </w:rPr>
          <w:t>http://eur-lex.europa.eu/LexUriServ/LexUriServ.do?uri=OJ:L:2003:264:0001:0011:EN:PDF</w:t>
        </w:r>
      </w:hyperlink>
      <w:r w:rsidRPr="00747D00">
        <w:rPr>
          <w:sz w:val="20"/>
          <w:szCs w:val="20"/>
        </w:rPr>
        <w:t xml:space="preserve"> </w:t>
      </w:r>
    </w:p>
    <w:p w14:paraId="7B997520" w14:textId="77777777" w:rsidR="00747D00" w:rsidRPr="00747D00" w:rsidRDefault="00747D00" w:rsidP="00747D00">
      <w:pPr>
        <w:pStyle w:val="EndnoteText"/>
        <w:spacing w:line="276" w:lineRule="auto"/>
        <w:rPr>
          <w:sz w:val="20"/>
          <w:szCs w:val="20"/>
          <w:lang w:val="nl-NL"/>
        </w:rPr>
      </w:pPr>
      <w:r w:rsidRPr="00747D00">
        <w:rPr>
          <w:rFonts w:asciiTheme="minorHAnsi" w:eastAsiaTheme="minorEastAsia" w:hAnsiTheme="minorHAnsi"/>
          <w:color w:val="262626"/>
          <w:sz w:val="20"/>
          <w:szCs w:val="20"/>
          <w:lang w:val="en-US"/>
        </w:rPr>
        <w:t xml:space="preserve">Frenkel, J.A., Razin, A., Sadka, E., 1991, International Taxation in an Integrated World, Cambridge, MA: MIT Press. </w:t>
      </w:r>
    </w:p>
    <w:p w14:paraId="0EF211D0" w14:textId="77777777" w:rsidR="00747D00" w:rsidRDefault="00747D00" w:rsidP="00747D00">
      <w:pPr>
        <w:pStyle w:val="EndnoteText"/>
        <w:spacing w:line="276" w:lineRule="auto"/>
        <w:rPr>
          <w:rFonts w:asciiTheme="minorHAnsi" w:eastAsiaTheme="minorEastAsia" w:hAnsiTheme="minorHAnsi"/>
          <w:color w:val="262626"/>
          <w:sz w:val="20"/>
          <w:szCs w:val="20"/>
          <w:lang w:val="en-US"/>
        </w:rPr>
      </w:pPr>
    </w:p>
    <w:p w14:paraId="037E6485" w14:textId="2B0B6CF2" w:rsidR="000B53B3" w:rsidRDefault="000B53B3" w:rsidP="00747D00">
      <w:pPr>
        <w:pStyle w:val="EndnoteText"/>
        <w:spacing w:line="276" w:lineRule="auto"/>
        <w:rPr>
          <w:rStyle w:val="Hyperlink"/>
          <w:rFonts w:asciiTheme="minorHAnsi" w:eastAsiaTheme="minorEastAsia" w:hAnsiTheme="minorHAnsi" w:cs="Times"/>
          <w:sz w:val="20"/>
          <w:szCs w:val="20"/>
          <w:lang w:val="en-US"/>
        </w:rPr>
      </w:pPr>
      <w:r w:rsidRPr="009A23E0">
        <w:rPr>
          <w:rFonts w:asciiTheme="minorHAnsi" w:eastAsiaTheme="minorEastAsia" w:hAnsiTheme="minorHAnsi" w:cs="Times"/>
          <w:color w:val="000000"/>
          <w:sz w:val="20"/>
          <w:szCs w:val="20"/>
          <w:lang w:val="en-US"/>
        </w:rPr>
        <w:t xml:space="preserve">Gilmore, J.S., 1999, No Internet Tax, A Proposal Submitted to the ‘Policies &amp; Options’ Paper Of the Advisory Commission on Electronic Commerce. </w:t>
      </w:r>
      <w:hyperlink r:id="rId12" w:history="1">
        <w:r w:rsidRPr="009A23E0">
          <w:rPr>
            <w:rStyle w:val="Hyperlink"/>
            <w:rFonts w:asciiTheme="minorHAnsi" w:eastAsiaTheme="minorEastAsia" w:hAnsiTheme="minorHAnsi" w:cs="Times"/>
            <w:sz w:val="20"/>
            <w:szCs w:val="20"/>
            <w:lang w:val="en-US"/>
          </w:rPr>
          <w:t>http://lobby.la.psu.edu/043_3%25_Excise_Tax/Organizational_Statements/Americans_for_Tax_Reform/ATR_Gov_%20James_Gilmore's_No_Internet_Tax_Plan.htm</w:t>
        </w:r>
      </w:hyperlink>
    </w:p>
    <w:p w14:paraId="705F491E" w14:textId="77777777" w:rsidR="000B53B3" w:rsidRDefault="000B53B3" w:rsidP="00747D00">
      <w:pPr>
        <w:pStyle w:val="EndnoteText"/>
        <w:spacing w:line="276" w:lineRule="auto"/>
        <w:rPr>
          <w:sz w:val="20"/>
          <w:szCs w:val="20"/>
          <w:lang w:val="nl-NL"/>
        </w:rPr>
      </w:pPr>
    </w:p>
    <w:p w14:paraId="15F1AC9A" w14:textId="77777777" w:rsidR="00747D00" w:rsidRDefault="00747D00" w:rsidP="00747D00">
      <w:pPr>
        <w:pStyle w:val="EndnoteText"/>
        <w:spacing w:line="276" w:lineRule="auto"/>
        <w:rPr>
          <w:sz w:val="20"/>
          <w:szCs w:val="20"/>
          <w:lang w:val="nl-NL"/>
        </w:rPr>
      </w:pPr>
      <w:r w:rsidRPr="00747D00">
        <w:rPr>
          <w:sz w:val="20"/>
          <w:szCs w:val="20"/>
          <w:lang w:val="nl-NL"/>
        </w:rPr>
        <w:t>Goolsbee, A., 2000, In a World without Borders: The Impact of Taxes on Internet Taxes, Quarterly Journal of Economics, 115 (May), 561, 576.</w:t>
      </w:r>
    </w:p>
    <w:p w14:paraId="1284EF80" w14:textId="77777777" w:rsidR="000B53B3" w:rsidRPr="00747D00" w:rsidRDefault="000B53B3" w:rsidP="00747D00">
      <w:pPr>
        <w:pStyle w:val="EndnoteText"/>
        <w:spacing w:line="276" w:lineRule="auto"/>
        <w:rPr>
          <w:sz w:val="20"/>
          <w:szCs w:val="20"/>
          <w:lang w:val="nl-NL"/>
        </w:rPr>
      </w:pPr>
    </w:p>
    <w:p w14:paraId="73774AC3" w14:textId="77777777" w:rsidR="00747D00" w:rsidRPr="00747D00" w:rsidRDefault="00747D00" w:rsidP="00747D00">
      <w:pPr>
        <w:pStyle w:val="EndnoteText"/>
        <w:spacing w:line="276" w:lineRule="auto"/>
        <w:rPr>
          <w:sz w:val="20"/>
          <w:szCs w:val="20"/>
          <w:lang w:val="nl-NL"/>
        </w:rPr>
      </w:pPr>
      <w:r w:rsidRPr="00747D00">
        <w:rPr>
          <w:sz w:val="20"/>
          <w:szCs w:val="20"/>
        </w:rPr>
        <w:t>Goolsbee, A., Zittrain, J., 1999, Evaluating the Costs and Benefits of Taxing Internet Commerce, Harvard Law School, Research Publication No. 1999-03-05/1999</w:t>
      </w:r>
    </w:p>
    <w:p w14:paraId="427C0B3C" w14:textId="77777777" w:rsidR="00747D00" w:rsidRDefault="00747D00" w:rsidP="00747D00">
      <w:pPr>
        <w:pStyle w:val="EndnoteText"/>
        <w:spacing w:line="276" w:lineRule="auto"/>
        <w:rPr>
          <w:sz w:val="20"/>
          <w:szCs w:val="20"/>
          <w:lang w:val="nl-NL"/>
        </w:rPr>
      </w:pPr>
      <w:r w:rsidRPr="00747D00">
        <w:rPr>
          <w:sz w:val="20"/>
          <w:szCs w:val="20"/>
          <w:lang w:val="nl-NL"/>
        </w:rPr>
        <w:t>Hellerstein, W., 2003, Jurisdiction to Tax Income and Consumption in the New Economy: A Theoretical and Comparative Perspective, 38 Georgia Law Review 1, 45.</w:t>
      </w:r>
    </w:p>
    <w:p w14:paraId="10E4AEAF" w14:textId="77777777" w:rsidR="000B53B3" w:rsidRPr="00747D00" w:rsidRDefault="000B53B3" w:rsidP="00747D00">
      <w:pPr>
        <w:pStyle w:val="EndnoteText"/>
        <w:spacing w:line="276" w:lineRule="auto"/>
        <w:rPr>
          <w:sz w:val="20"/>
          <w:szCs w:val="20"/>
          <w:lang w:val="nl-NL"/>
        </w:rPr>
      </w:pPr>
    </w:p>
    <w:p w14:paraId="2BC7C1F5" w14:textId="77777777" w:rsidR="00747D00" w:rsidRDefault="00747D00" w:rsidP="00747D00">
      <w:pPr>
        <w:pStyle w:val="EndnoteText"/>
        <w:spacing w:line="276" w:lineRule="auto"/>
        <w:rPr>
          <w:sz w:val="20"/>
          <w:szCs w:val="20"/>
          <w:lang w:val="nl-NL"/>
        </w:rPr>
      </w:pPr>
      <w:r w:rsidRPr="00747D00">
        <w:rPr>
          <w:sz w:val="20"/>
          <w:szCs w:val="20"/>
          <w:lang w:val="nl-NL"/>
        </w:rPr>
        <w:t xml:space="preserve">International Tax Freedom Act (ITFA), 1998, </w:t>
      </w:r>
      <w:hyperlink r:id="rId13" w:history="1">
        <w:r w:rsidRPr="00747D00">
          <w:rPr>
            <w:rStyle w:val="Hyperlink"/>
            <w:sz w:val="20"/>
            <w:szCs w:val="20"/>
            <w:lang w:val="nl-NL"/>
          </w:rPr>
          <w:t>http://www.opencongress.org/bill/110-h3678/show</w:t>
        </w:r>
      </w:hyperlink>
      <w:r w:rsidRPr="00747D00">
        <w:rPr>
          <w:sz w:val="20"/>
          <w:szCs w:val="20"/>
          <w:lang w:val="nl-NL"/>
        </w:rPr>
        <w:t xml:space="preserve"> </w:t>
      </w:r>
    </w:p>
    <w:p w14:paraId="300E375B" w14:textId="77777777" w:rsidR="000B53B3" w:rsidRPr="00747D00" w:rsidRDefault="000B53B3" w:rsidP="00747D00">
      <w:pPr>
        <w:pStyle w:val="EndnoteText"/>
        <w:spacing w:line="276" w:lineRule="auto"/>
        <w:rPr>
          <w:sz w:val="20"/>
          <w:szCs w:val="20"/>
          <w:lang w:val="nl-NL"/>
        </w:rPr>
      </w:pPr>
    </w:p>
    <w:p w14:paraId="2968A095" w14:textId="77777777" w:rsidR="00747D00" w:rsidRDefault="00747D00" w:rsidP="00747D00">
      <w:pPr>
        <w:pStyle w:val="EndnoteText"/>
        <w:spacing w:line="276" w:lineRule="auto"/>
        <w:rPr>
          <w:rFonts w:asciiTheme="minorHAnsi" w:eastAsiaTheme="minorEastAsia" w:hAnsiTheme="minorHAnsi"/>
          <w:sz w:val="20"/>
          <w:szCs w:val="20"/>
          <w:lang w:val="en-US"/>
        </w:rPr>
      </w:pPr>
      <w:r w:rsidRPr="00747D00">
        <w:rPr>
          <w:rFonts w:asciiTheme="minorHAnsi" w:eastAsiaTheme="minorEastAsia" w:hAnsiTheme="minorHAnsi"/>
          <w:sz w:val="20"/>
          <w:szCs w:val="20"/>
          <w:lang w:val="en-US"/>
        </w:rPr>
        <w:t>Landau, T.M., Doornbosch, H., Del Castillo, N., 2002, How to minimize the global PE risk, 13 Int'l Tax Rev. 50.</w:t>
      </w:r>
    </w:p>
    <w:p w14:paraId="2C6E7859" w14:textId="77777777" w:rsidR="000B53B3" w:rsidRPr="00747D00" w:rsidRDefault="000B53B3" w:rsidP="00747D00">
      <w:pPr>
        <w:pStyle w:val="EndnoteText"/>
        <w:spacing w:line="276" w:lineRule="auto"/>
        <w:rPr>
          <w:sz w:val="20"/>
          <w:szCs w:val="20"/>
          <w:lang w:val="nl-NL"/>
        </w:rPr>
      </w:pPr>
    </w:p>
    <w:p w14:paraId="2DE54008" w14:textId="77777777" w:rsidR="00747D00" w:rsidRDefault="00747D00" w:rsidP="00747D00">
      <w:pPr>
        <w:pStyle w:val="EndnoteText"/>
        <w:spacing w:line="276" w:lineRule="auto"/>
        <w:rPr>
          <w:rFonts w:asciiTheme="minorHAnsi" w:eastAsiaTheme="minorEastAsia" w:hAnsiTheme="minorHAnsi"/>
          <w:sz w:val="20"/>
          <w:szCs w:val="20"/>
          <w:u w:color="0004C4"/>
          <w:lang w:val="en-US"/>
        </w:rPr>
      </w:pPr>
      <w:r w:rsidRPr="00747D00">
        <w:rPr>
          <w:rFonts w:asciiTheme="minorHAnsi" w:hAnsiTheme="minorHAnsi"/>
          <w:sz w:val="20"/>
          <w:szCs w:val="20"/>
          <w:lang w:val="nl-NL"/>
        </w:rPr>
        <w:t xml:space="preserve">Lukas, A., 1999, </w:t>
      </w:r>
      <w:r w:rsidRPr="00747D00">
        <w:rPr>
          <w:rFonts w:asciiTheme="minorHAnsi" w:eastAsiaTheme="minorEastAsia" w:hAnsiTheme="minorHAnsi"/>
          <w:sz w:val="20"/>
          <w:szCs w:val="20"/>
          <w:u w:color="0004C4"/>
          <w:lang w:val="en-US"/>
        </w:rPr>
        <w:t>Tax Bytes: A Primer on the Taxation of Electronic Commerce, Trade Policy Analysis, Issue 9.</w:t>
      </w:r>
    </w:p>
    <w:p w14:paraId="250BC374" w14:textId="77777777" w:rsidR="000B53B3" w:rsidRPr="00747D00" w:rsidRDefault="000B53B3" w:rsidP="00747D00">
      <w:pPr>
        <w:pStyle w:val="EndnoteText"/>
        <w:spacing w:line="276" w:lineRule="auto"/>
        <w:rPr>
          <w:sz w:val="20"/>
          <w:szCs w:val="20"/>
          <w:lang w:val="nl-NL"/>
        </w:rPr>
      </w:pPr>
    </w:p>
    <w:p w14:paraId="4ED64CD2" w14:textId="77777777" w:rsidR="00747D00" w:rsidRDefault="00747D00" w:rsidP="00747D00">
      <w:pPr>
        <w:widowControl w:val="0"/>
        <w:autoSpaceDE w:val="0"/>
        <w:autoSpaceDN w:val="0"/>
        <w:adjustRightInd w:val="0"/>
        <w:spacing w:line="276" w:lineRule="auto"/>
        <w:rPr>
          <w:rFonts w:asciiTheme="minorHAnsi" w:eastAsiaTheme="minorEastAsia" w:hAnsiTheme="minorHAnsi" w:cs="Trebuchet MS"/>
          <w:sz w:val="20"/>
          <w:szCs w:val="20"/>
          <w:lang w:val="en-US"/>
        </w:rPr>
      </w:pPr>
      <w:r w:rsidRPr="00747D00">
        <w:rPr>
          <w:sz w:val="20"/>
          <w:szCs w:val="20"/>
          <w:lang w:val="nl-NL"/>
        </w:rPr>
        <w:t xml:space="preserve">McLure, C.E., 1999, </w:t>
      </w:r>
      <w:r w:rsidRPr="00747D00">
        <w:rPr>
          <w:rFonts w:asciiTheme="minorHAnsi" w:eastAsiaTheme="minorEastAsia" w:hAnsiTheme="minorHAnsi"/>
          <w:sz w:val="20"/>
          <w:szCs w:val="20"/>
          <w:u w:color="0004C4"/>
          <w:lang w:val="en-US"/>
        </w:rPr>
        <w:t xml:space="preserve">Electronic commerce and the state retail sales tax: a challenge to American federalism, </w:t>
      </w:r>
      <w:r w:rsidRPr="00747D00">
        <w:rPr>
          <w:rFonts w:asciiTheme="minorHAnsi" w:eastAsiaTheme="minorEastAsia" w:hAnsiTheme="minorHAnsi" w:cs="Trebuchet MS"/>
          <w:sz w:val="20"/>
          <w:szCs w:val="20"/>
          <w:lang w:val="en-US"/>
        </w:rPr>
        <w:t>International Tax and Public Finance,</w:t>
      </w:r>
      <w:hyperlink r:id="rId14" w:history="1">
        <w:r w:rsidRPr="00747D00">
          <w:rPr>
            <w:rFonts w:asciiTheme="minorHAnsi" w:eastAsiaTheme="minorEastAsia" w:hAnsiTheme="minorHAnsi" w:cs="Trebuchet MS"/>
            <w:sz w:val="20"/>
            <w:szCs w:val="20"/>
            <w:lang w:val="en-US"/>
          </w:rPr>
          <w:t>Volume 6, Number 2</w:t>
        </w:r>
      </w:hyperlink>
      <w:r w:rsidRPr="00747D00">
        <w:rPr>
          <w:rFonts w:asciiTheme="minorHAnsi" w:eastAsiaTheme="minorEastAsia" w:hAnsiTheme="minorHAnsi" w:cs="Trebuchet MS"/>
          <w:sz w:val="20"/>
          <w:szCs w:val="20"/>
          <w:lang w:val="en-US"/>
        </w:rPr>
        <w:t xml:space="preserve"> (1999), 193-224</w:t>
      </w:r>
    </w:p>
    <w:p w14:paraId="305D244F" w14:textId="77777777" w:rsidR="000B53B3" w:rsidRPr="00747D00" w:rsidRDefault="000B53B3" w:rsidP="00747D00">
      <w:pPr>
        <w:widowControl w:val="0"/>
        <w:autoSpaceDE w:val="0"/>
        <w:autoSpaceDN w:val="0"/>
        <w:adjustRightInd w:val="0"/>
        <w:spacing w:line="276" w:lineRule="auto"/>
        <w:rPr>
          <w:rFonts w:asciiTheme="minorHAnsi" w:eastAsiaTheme="minorEastAsia" w:hAnsiTheme="minorHAnsi" w:cs="Trebuchet MS"/>
          <w:sz w:val="20"/>
          <w:szCs w:val="20"/>
          <w:lang w:val="en-US"/>
        </w:rPr>
      </w:pPr>
    </w:p>
    <w:p w14:paraId="0E4DECEF" w14:textId="77777777" w:rsidR="00747D00" w:rsidRPr="00747D00" w:rsidRDefault="00747D00" w:rsidP="00747D00">
      <w:pPr>
        <w:spacing w:line="276" w:lineRule="auto"/>
        <w:jc w:val="both"/>
        <w:rPr>
          <w:b/>
          <w:sz w:val="20"/>
          <w:szCs w:val="20"/>
        </w:rPr>
      </w:pPr>
      <w:r w:rsidRPr="00747D00">
        <w:rPr>
          <w:sz w:val="20"/>
          <w:szCs w:val="20"/>
        </w:rPr>
        <w:t xml:space="preserve">OECD Committee on Fiscal Affairs, 2010, OECD Model Tax Convention on Income and on Capital. </w:t>
      </w:r>
      <w:hyperlink r:id="rId15" w:history="1">
        <w:r w:rsidRPr="00747D00">
          <w:rPr>
            <w:rStyle w:val="Hyperlink"/>
            <w:sz w:val="20"/>
            <w:szCs w:val="20"/>
          </w:rPr>
          <w:t>http://www.oecd.org/dataoecd/52/35/1914475.pdf</w:t>
        </w:r>
      </w:hyperlink>
    </w:p>
    <w:p w14:paraId="0046C7B0" w14:textId="77777777" w:rsidR="000B53B3" w:rsidRDefault="000B53B3" w:rsidP="00747D00">
      <w:pPr>
        <w:pStyle w:val="EndnoteText"/>
        <w:spacing w:line="276" w:lineRule="auto"/>
        <w:rPr>
          <w:sz w:val="20"/>
          <w:szCs w:val="20"/>
        </w:rPr>
      </w:pPr>
    </w:p>
    <w:p w14:paraId="5E873BBA" w14:textId="77777777" w:rsidR="00747D00" w:rsidRPr="00747D00" w:rsidRDefault="00747D00" w:rsidP="00747D00">
      <w:pPr>
        <w:pStyle w:val="EndnoteText"/>
        <w:spacing w:line="276" w:lineRule="auto"/>
        <w:rPr>
          <w:sz w:val="20"/>
          <w:szCs w:val="20"/>
          <w:lang w:val="nl-NL"/>
        </w:rPr>
      </w:pPr>
      <w:r w:rsidRPr="00747D00">
        <w:rPr>
          <w:sz w:val="20"/>
          <w:szCs w:val="20"/>
        </w:rPr>
        <w:t xml:space="preserve">OECD, 1992, Model Income Tax Convention on Income and Capital, Article 5. </w:t>
      </w:r>
    </w:p>
    <w:p w14:paraId="050B438A" w14:textId="4F55F9CE" w:rsidR="00747D00" w:rsidRPr="00747D00" w:rsidRDefault="00747D00" w:rsidP="00747D00">
      <w:pPr>
        <w:pStyle w:val="EndnoteText"/>
        <w:spacing w:line="276" w:lineRule="auto"/>
        <w:rPr>
          <w:sz w:val="20"/>
          <w:szCs w:val="20"/>
          <w:lang w:val="nl-NL"/>
        </w:rPr>
      </w:pPr>
    </w:p>
    <w:p w14:paraId="1C2AA701" w14:textId="77777777" w:rsidR="00747D00" w:rsidRPr="00747D00" w:rsidRDefault="00747D00" w:rsidP="00747D00">
      <w:pPr>
        <w:pStyle w:val="EndnoteText"/>
        <w:spacing w:line="276" w:lineRule="auto"/>
        <w:rPr>
          <w:sz w:val="20"/>
          <w:szCs w:val="20"/>
          <w:lang w:val="nl-NL"/>
        </w:rPr>
      </w:pPr>
      <w:r w:rsidRPr="00747D00">
        <w:rPr>
          <w:sz w:val="20"/>
          <w:szCs w:val="20"/>
          <w:lang w:val="nl-NL"/>
        </w:rPr>
        <w:t xml:space="preserve">OECD, 1998, Ottowa Taxation Framework Conditions. </w:t>
      </w:r>
      <w:hyperlink r:id="rId16" w:history="1">
        <w:r w:rsidRPr="00747D00">
          <w:rPr>
            <w:rStyle w:val="Hyperlink"/>
            <w:sz w:val="20"/>
            <w:szCs w:val="20"/>
            <w:lang w:val="nl-NL"/>
          </w:rPr>
          <w:t>http://www.oecd.org/dataoecd/46/3/1923256.pdf</w:t>
        </w:r>
      </w:hyperlink>
    </w:p>
    <w:p w14:paraId="36676E60" w14:textId="77777777" w:rsidR="000B53B3" w:rsidRDefault="000B53B3" w:rsidP="00747D00">
      <w:pPr>
        <w:pStyle w:val="EndnoteText"/>
        <w:spacing w:line="276" w:lineRule="auto"/>
        <w:rPr>
          <w:rFonts w:asciiTheme="minorHAnsi" w:hAnsiTheme="minorHAnsi"/>
          <w:sz w:val="20"/>
          <w:szCs w:val="20"/>
          <w:lang w:val="nl-NL"/>
        </w:rPr>
      </w:pPr>
    </w:p>
    <w:p w14:paraId="0B6B770E" w14:textId="77777777" w:rsidR="00747D00" w:rsidRPr="00747D00" w:rsidRDefault="00747D00" w:rsidP="00747D00">
      <w:pPr>
        <w:pStyle w:val="EndnoteText"/>
        <w:spacing w:line="276" w:lineRule="auto"/>
        <w:rPr>
          <w:sz w:val="20"/>
          <w:szCs w:val="20"/>
          <w:lang w:val="nl-NL"/>
        </w:rPr>
      </w:pPr>
      <w:r w:rsidRPr="00747D00">
        <w:rPr>
          <w:sz w:val="20"/>
          <w:szCs w:val="20"/>
        </w:rPr>
        <w:t xml:space="preserve">OECD, 2002, Glossary of Statistical Terms: Electronic Commerce [Online] Available at: &lt; </w:t>
      </w:r>
      <w:hyperlink r:id="rId17" w:history="1">
        <w:r w:rsidRPr="00747D00">
          <w:rPr>
            <w:rStyle w:val="Hyperlink"/>
            <w:sz w:val="20"/>
            <w:szCs w:val="20"/>
          </w:rPr>
          <w:t>http://stats.oecd.org/glossary/detail.asp?ID=4721</w:t>
        </w:r>
      </w:hyperlink>
      <w:r w:rsidRPr="00747D00">
        <w:rPr>
          <w:sz w:val="20"/>
          <w:szCs w:val="20"/>
        </w:rPr>
        <w:t>&gt; (Accessed 19 June 2012).</w:t>
      </w:r>
    </w:p>
    <w:p w14:paraId="39021EA3" w14:textId="77777777" w:rsidR="000B53B3" w:rsidRDefault="000B53B3" w:rsidP="00747D00">
      <w:pPr>
        <w:pStyle w:val="EndnoteText"/>
        <w:spacing w:line="276" w:lineRule="auto"/>
        <w:rPr>
          <w:rFonts w:asciiTheme="minorHAnsi" w:hAnsiTheme="minorHAnsi"/>
          <w:sz w:val="20"/>
          <w:szCs w:val="20"/>
          <w:lang w:val="nl-NL"/>
        </w:rPr>
      </w:pPr>
    </w:p>
    <w:p w14:paraId="34C316FF" w14:textId="77777777" w:rsidR="00747D00" w:rsidRPr="00747D00" w:rsidRDefault="00747D00" w:rsidP="00747D00">
      <w:pPr>
        <w:pStyle w:val="EndnoteText"/>
        <w:spacing w:line="276" w:lineRule="auto"/>
        <w:rPr>
          <w:rFonts w:asciiTheme="minorHAnsi" w:hAnsiTheme="minorHAnsi"/>
          <w:sz w:val="20"/>
          <w:szCs w:val="20"/>
          <w:lang w:val="nl-NL"/>
        </w:rPr>
      </w:pPr>
      <w:r w:rsidRPr="00747D00">
        <w:rPr>
          <w:rFonts w:asciiTheme="minorHAnsi" w:hAnsiTheme="minorHAnsi"/>
          <w:sz w:val="20"/>
          <w:szCs w:val="20"/>
          <w:lang w:val="nl-NL"/>
        </w:rPr>
        <w:t xml:space="preserve">OECD, 2010 (latest update), Model Tax Treaty. </w:t>
      </w:r>
      <w:hyperlink r:id="rId18" w:history="1">
        <w:r w:rsidRPr="00747D00">
          <w:rPr>
            <w:rStyle w:val="Hyperlink"/>
            <w:rFonts w:asciiTheme="minorHAnsi" w:hAnsiTheme="minorHAnsi"/>
            <w:sz w:val="20"/>
            <w:szCs w:val="20"/>
            <w:lang w:val="nl-NL"/>
          </w:rPr>
          <w:t>http://www.keepeek.com/Digital-Asset-Management/oecd/taxation/model-tax-convention-on-income-and-on-capital-condensed-version-2010_mtc_cond-2010-en</w:t>
        </w:r>
      </w:hyperlink>
      <w:r w:rsidRPr="00747D00">
        <w:rPr>
          <w:rFonts w:asciiTheme="minorHAnsi" w:hAnsiTheme="minorHAnsi"/>
          <w:sz w:val="20"/>
          <w:szCs w:val="20"/>
          <w:lang w:val="nl-NL"/>
        </w:rPr>
        <w:t xml:space="preserve"> </w:t>
      </w:r>
    </w:p>
    <w:p w14:paraId="31F98608" w14:textId="77777777" w:rsidR="000B53B3" w:rsidRDefault="000B53B3" w:rsidP="00747D00">
      <w:pPr>
        <w:pStyle w:val="EndnoteText"/>
        <w:spacing w:line="276" w:lineRule="auto"/>
        <w:rPr>
          <w:sz w:val="20"/>
          <w:szCs w:val="20"/>
        </w:rPr>
      </w:pPr>
    </w:p>
    <w:p w14:paraId="3B561658" w14:textId="77777777" w:rsidR="00747D00" w:rsidRPr="00747D00" w:rsidRDefault="00747D00" w:rsidP="00747D00">
      <w:pPr>
        <w:pStyle w:val="EndnoteText"/>
        <w:spacing w:line="276" w:lineRule="auto"/>
        <w:rPr>
          <w:sz w:val="20"/>
          <w:szCs w:val="20"/>
          <w:lang w:val="nl-NL"/>
        </w:rPr>
      </w:pPr>
      <w:r w:rsidRPr="00747D00">
        <w:rPr>
          <w:sz w:val="20"/>
          <w:szCs w:val="20"/>
        </w:rPr>
        <w:t xml:space="preserve">Owen, S., 1998, State Sales and Use Tax on Internet Transactions, </w:t>
      </w:r>
      <w:r w:rsidRPr="00747D00">
        <w:rPr>
          <w:rFonts w:asciiTheme="minorHAnsi" w:eastAsiaTheme="minorEastAsia" w:hAnsiTheme="minorHAnsi"/>
          <w:sz w:val="20"/>
          <w:szCs w:val="20"/>
          <w:lang w:val="en-US"/>
        </w:rPr>
        <w:t>51 Fed. Comm. L.J. 245 (1998-1999)</w:t>
      </w:r>
    </w:p>
    <w:p w14:paraId="215E1933" w14:textId="77777777" w:rsidR="000B53B3" w:rsidRDefault="000B53B3" w:rsidP="00747D00">
      <w:pPr>
        <w:pStyle w:val="EndnoteText"/>
        <w:spacing w:line="276" w:lineRule="auto"/>
        <w:rPr>
          <w:sz w:val="20"/>
          <w:szCs w:val="20"/>
        </w:rPr>
      </w:pPr>
    </w:p>
    <w:p w14:paraId="5EFD6B2E" w14:textId="77777777" w:rsidR="00747D00" w:rsidRDefault="00747D00" w:rsidP="00747D00">
      <w:pPr>
        <w:pStyle w:val="EndnoteText"/>
        <w:spacing w:line="276" w:lineRule="auto"/>
        <w:rPr>
          <w:sz w:val="20"/>
          <w:szCs w:val="20"/>
          <w:lang w:val="nl-NL"/>
        </w:rPr>
      </w:pPr>
      <w:r w:rsidRPr="00747D00">
        <w:rPr>
          <w:sz w:val="20"/>
          <w:szCs w:val="20"/>
          <w:lang w:val="nl-NL"/>
        </w:rPr>
        <w:t>Owens, J., 1997, Emerging Issues in Tax Reform: The Perspective of an International Bureaucrat, 97 TNI, 245-23.</w:t>
      </w:r>
    </w:p>
    <w:p w14:paraId="4C97A5D7" w14:textId="77777777" w:rsidR="000B53B3" w:rsidRPr="00747D00" w:rsidRDefault="000B53B3" w:rsidP="00747D00">
      <w:pPr>
        <w:pStyle w:val="EndnoteText"/>
        <w:spacing w:line="276" w:lineRule="auto"/>
        <w:rPr>
          <w:sz w:val="20"/>
          <w:szCs w:val="20"/>
          <w:lang w:val="nl-NL"/>
        </w:rPr>
      </w:pPr>
    </w:p>
    <w:p w14:paraId="3B05B96D" w14:textId="77777777" w:rsidR="00747D00" w:rsidRDefault="00747D00" w:rsidP="00747D00">
      <w:pPr>
        <w:pStyle w:val="EndnoteText"/>
        <w:spacing w:line="276" w:lineRule="auto"/>
        <w:rPr>
          <w:sz w:val="20"/>
          <w:szCs w:val="20"/>
        </w:rPr>
      </w:pPr>
      <w:r w:rsidRPr="00747D00">
        <w:rPr>
          <w:sz w:val="20"/>
          <w:szCs w:val="20"/>
        </w:rPr>
        <w:t>Rasmussen, B.S., 2004, On the Possibility and Desirability of Taxing E-Commerce, University of Aarhus, Working Paper No. 2004-08.</w:t>
      </w:r>
    </w:p>
    <w:p w14:paraId="70C20723" w14:textId="77777777" w:rsidR="000B53B3" w:rsidRPr="00747D00" w:rsidRDefault="000B53B3" w:rsidP="00747D00">
      <w:pPr>
        <w:pStyle w:val="EndnoteText"/>
        <w:spacing w:line="276" w:lineRule="auto"/>
        <w:rPr>
          <w:sz w:val="20"/>
          <w:szCs w:val="20"/>
          <w:lang w:val="nl-NL"/>
        </w:rPr>
      </w:pPr>
    </w:p>
    <w:p w14:paraId="0FCA347A" w14:textId="77777777" w:rsidR="00747D00" w:rsidRDefault="00747D00" w:rsidP="00747D00">
      <w:pPr>
        <w:pStyle w:val="EndnoteText"/>
        <w:spacing w:line="276" w:lineRule="auto"/>
        <w:rPr>
          <w:rFonts w:eastAsiaTheme="minorEastAsia"/>
          <w:color w:val="1A1A1A"/>
          <w:sz w:val="20"/>
          <w:szCs w:val="20"/>
          <w:lang w:val="en-US"/>
        </w:rPr>
      </w:pPr>
      <w:r w:rsidRPr="00747D00">
        <w:rPr>
          <w:rFonts w:eastAsiaTheme="minorEastAsia"/>
          <w:color w:val="1A1A1A"/>
          <w:sz w:val="20"/>
          <w:szCs w:val="20"/>
          <w:lang w:val="en-US"/>
        </w:rPr>
        <w:t xml:space="preserve">Scoffield, H., </w:t>
      </w:r>
      <w:r w:rsidRPr="00747D00">
        <w:rPr>
          <w:rFonts w:eastAsiaTheme="minorEastAsia"/>
          <w:bCs/>
          <w:sz w:val="20"/>
          <w:szCs w:val="20"/>
          <w:lang w:val="en-US"/>
        </w:rPr>
        <w:t>E</w:t>
      </w:r>
      <w:r w:rsidRPr="00747D00">
        <w:rPr>
          <w:rFonts w:eastAsiaTheme="minorEastAsia"/>
          <w:color w:val="1A1A1A"/>
          <w:sz w:val="20"/>
          <w:szCs w:val="20"/>
          <w:lang w:val="en-US"/>
        </w:rPr>
        <w:t>-</w:t>
      </w:r>
      <w:r w:rsidRPr="00747D00">
        <w:rPr>
          <w:rFonts w:eastAsiaTheme="minorEastAsia"/>
          <w:bCs/>
          <w:sz w:val="20"/>
          <w:szCs w:val="20"/>
          <w:lang w:val="en-US"/>
        </w:rPr>
        <w:t>commerce Expected</w:t>
      </w:r>
      <w:r w:rsidRPr="00747D00">
        <w:rPr>
          <w:rFonts w:eastAsiaTheme="minorEastAsia"/>
          <w:color w:val="1A1A1A"/>
          <w:sz w:val="20"/>
          <w:szCs w:val="20"/>
          <w:lang w:val="en-US"/>
        </w:rPr>
        <w:t xml:space="preserve"> to </w:t>
      </w:r>
      <w:r w:rsidRPr="00747D00">
        <w:rPr>
          <w:rFonts w:eastAsiaTheme="minorEastAsia"/>
          <w:bCs/>
          <w:sz w:val="20"/>
          <w:szCs w:val="20"/>
          <w:lang w:val="en-US"/>
        </w:rPr>
        <w:t>Explode</w:t>
      </w:r>
      <w:r w:rsidRPr="00747D00">
        <w:rPr>
          <w:rFonts w:eastAsiaTheme="minorEastAsia"/>
          <w:color w:val="1A1A1A"/>
          <w:sz w:val="20"/>
          <w:szCs w:val="20"/>
          <w:lang w:val="en-US"/>
        </w:rPr>
        <w:t xml:space="preserve">, </w:t>
      </w:r>
      <w:r w:rsidRPr="00747D00">
        <w:rPr>
          <w:rFonts w:eastAsiaTheme="minorEastAsia"/>
          <w:bCs/>
          <w:sz w:val="20"/>
          <w:szCs w:val="20"/>
          <w:lang w:val="en-US"/>
        </w:rPr>
        <w:t>OECD</w:t>
      </w:r>
      <w:r w:rsidRPr="00747D00">
        <w:rPr>
          <w:rFonts w:eastAsiaTheme="minorEastAsia"/>
          <w:color w:val="1A1A1A"/>
          <w:sz w:val="20"/>
          <w:szCs w:val="20"/>
          <w:lang w:val="en-US"/>
        </w:rPr>
        <w:t xml:space="preserve"> </w:t>
      </w:r>
      <w:r w:rsidRPr="00747D00">
        <w:rPr>
          <w:rFonts w:eastAsiaTheme="minorEastAsia"/>
          <w:bCs/>
          <w:sz w:val="20"/>
          <w:szCs w:val="20"/>
          <w:lang w:val="en-US"/>
        </w:rPr>
        <w:t>Says</w:t>
      </w:r>
      <w:r w:rsidRPr="00747D00">
        <w:rPr>
          <w:rFonts w:eastAsiaTheme="minorEastAsia"/>
          <w:color w:val="1A1A1A"/>
          <w:sz w:val="20"/>
          <w:szCs w:val="20"/>
          <w:lang w:val="en-US"/>
        </w:rPr>
        <w:t>, Globe &amp; Mail, Sept. 29, 1998</w:t>
      </w:r>
    </w:p>
    <w:p w14:paraId="5E98C858" w14:textId="77777777" w:rsidR="000B53B3" w:rsidRPr="00747D00" w:rsidRDefault="000B53B3" w:rsidP="00747D00">
      <w:pPr>
        <w:pStyle w:val="EndnoteText"/>
        <w:spacing w:line="276" w:lineRule="auto"/>
        <w:rPr>
          <w:sz w:val="20"/>
          <w:szCs w:val="20"/>
          <w:lang w:val="nl-NL"/>
        </w:rPr>
      </w:pPr>
    </w:p>
    <w:p w14:paraId="5B4BE45E" w14:textId="77777777" w:rsidR="00747D00" w:rsidRDefault="00747D00" w:rsidP="00747D00">
      <w:pPr>
        <w:pStyle w:val="EndnoteText"/>
        <w:spacing w:line="276" w:lineRule="auto"/>
        <w:rPr>
          <w:sz w:val="20"/>
          <w:szCs w:val="20"/>
          <w:lang w:val="nl-NL"/>
        </w:rPr>
      </w:pPr>
      <w:r w:rsidRPr="00747D00">
        <w:rPr>
          <w:sz w:val="20"/>
          <w:szCs w:val="20"/>
          <w:lang w:val="nl-NL"/>
        </w:rPr>
        <w:t xml:space="preserve">Slaughter, A.M., 2004, A new World Order, Oxford University Press. </w:t>
      </w:r>
    </w:p>
    <w:p w14:paraId="264AB0E9" w14:textId="77777777" w:rsidR="000B53B3" w:rsidRPr="00747D00" w:rsidRDefault="000B53B3" w:rsidP="00747D00">
      <w:pPr>
        <w:pStyle w:val="EndnoteText"/>
        <w:spacing w:line="276" w:lineRule="auto"/>
        <w:rPr>
          <w:sz w:val="20"/>
          <w:szCs w:val="20"/>
          <w:lang w:val="nl-NL"/>
        </w:rPr>
      </w:pPr>
    </w:p>
    <w:p w14:paraId="0984BEE5" w14:textId="77777777" w:rsidR="00747D00" w:rsidRDefault="00747D00" w:rsidP="00747D00">
      <w:pPr>
        <w:pStyle w:val="EndnoteText"/>
        <w:spacing w:line="276" w:lineRule="auto"/>
        <w:rPr>
          <w:sz w:val="20"/>
          <w:szCs w:val="20"/>
          <w:lang w:val="nl-NL"/>
        </w:rPr>
      </w:pPr>
      <w:r w:rsidRPr="00747D00">
        <w:rPr>
          <w:sz w:val="20"/>
          <w:szCs w:val="20"/>
          <w:lang w:val="nl-NL"/>
        </w:rPr>
        <w:t xml:space="preserve">Sullivan, M.A., 2004, Economic Analysis: Latest IRS Data Show Jump in Tax Haven Profits, Tax Notes 151. </w:t>
      </w:r>
    </w:p>
    <w:p w14:paraId="1A71A56D" w14:textId="77777777" w:rsidR="000B53B3" w:rsidRPr="00747D00" w:rsidRDefault="000B53B3" w:rsidP="00747D00">
      <w:pPr>
        <w:pStyle w:val="EndnoteText"/>
        <w:spacing w:line="276" w:lineRule="auto"/>
        <w:rPr>
          <w:sz w:val="20"/>
          <w:szCs w:val="20"/>
          <w:lang w:val="nl-NL"/>
        </w:rPr>
      </w:pPr>
    </w:p>
    <w:p w14:paraId="449C1B60" w14:textId="77777777" w:rsidR="00747D00" w:rsidRDefault="00747D00" w:rsidP="00747D00">
      <w:pPr>
        <w:pStyle w:val="EndnoteText"/>
        <w:spacing w:line="276" w:lineRule="auto"/>
        <w:rPr>
          <w:sz w:val="20"/>
          <w:szCs w:val="20"/>
        </w:rPr>
      </w:pPr>
      <w:r w:rsidRPr="00747D00">
        <w:rPr>
          <w:sz w:val="20"/>
          <w:szCs w:val="20"/>
        </w:rPr>
        <w:t xml:space="preserve">Tax Foundation, 1992, Quill Case </w:t>
      </w:r>
      <w:hyperlink r:id="rId19" w:history="1">
        <w:r w:rsidRPr="00747D00">
          <w:rPr>
            <w:rStyle w:val="Hyperlink"/>
            <w:sz w:val="20"/>
            <w:szCs w:val="20"/>
          </w:rPr>
          <w:t>http://taxfoundation.org/blog/important-tax-cases-quill-corp-v-north-dakota-and-physical-presence-rule-sales-tax-collection</w:t>
        </w:r>
      </w:hyperlink>
      <w:r w:rsidRPr="00747D00">
        <w:rPr>
          <w:sz w:val="20"/>
          <w:szCs w:val="20"/>
        </w:rPr>
        <w:t xml:space="preserve"> </w:t>
      </w:r>
    </w:p>
    <w:p w14:paraId="14E404B7" w14:textId="77777777" w:rsidR="000B53B3" w:rsidRPr="00747D00" w:rsidRDefault="000B53B3" w:rsidP="00747D00">
      <w:pPr>
        <w:pStyle w:val="EndnoteText"/>
        <w:spacing w:line="276" w:lineRule="auto"/>
        <w:rPr>
          <w:sz w:val="20"/>
          <w:szCs w:val="20"/>
          <w:lang w:val="nl-NL"/>
        </w:rPr>
      </w:pPr>
    </w:p>
    <w:p w14:paraId="33D316F4" w14:textId="77777777" w:rsidR="00747D00" w:rsidRPr="00747D00" w:rsidRDefault="00747D00" w:rsidP="00747D00">
      <w:pPr>
        <w:pStyle w:val="EndnoteText"/>
        <w:spacing w:line="276" w:lineRule="auto"/>
        <w:rPr>
          <w:sz w:val="20"/>
          <w:szCs w:val="20"/>
          <w:lang w:val="nl-NL"/>
        </w:rPr>
      </w:pPr>
      <w:r w:rsidRPr="00747D00">
        <w:rPr>
          <w:sz w:val="20"/>
          <w:szCs w:val="20"/>
        </w:rPr>
        <w:t>Techcrunch, 2011, JP Morgan: E-commerce revenue to grow by 19 percent in 2011 to $680B [Online] Available at: &lt;</w:t>
      </w:r>
      <w:hyperlink r:id="rId20" w:history="1">
        <w:r w:rsidRPr="00747D00">
          <w:rPr>
            <w:rStyle w:val="Hyperlink"/>
            <w:sz w:val="20"/>
            <w:szCs w:val="20"/>
          </w:rPr>
          <w:t>http://techcrunch.com/2011/01/03/j-p-morgan-global-e-commerce-revenue-to-grow-by-19-percent-in-2011-to-680b/</w:t>
        </w:r>
      </w:hyperlink>
      <w:r w:rsidRPr="00747D00">
        <w:rPr>
          <w:sz w:val="20"/>
          <w:szCs w:val="20"/>
        </w:rPr>
        <w:t xml:space="preserve">&gt; </w:t>
      </w:r>
      <w:r w:rsidRPr="00747D00">
        <w:rPr>
          <w:iCs/>
          <w:sz w:val="20"/>
          <w:szCs w:val="20"/>
          <w:lang w:val="en-US"/>
        </w:rPr>
        <w:t>(Accessed 19 June 2012).</w:t>
      </w:r>
    </w:p>
    <w:p w14:paraId="2AAFA945" w14:textId="77777777" w:rsidR="000B53B3" w:rsidRDefault="000B53B3" w:rsidP="00747D00">
      <w:pPr>
        <w:pStyle w:val="EndnoteText"/>
        <w:spacing w:line="276" w:lineRule="auto"/>
        <w:rPr>
          <w:sz w:val="20"/>
          <w:szCs w:val="20"/>
        </w:rPr>
      </w:pPr>
    </w:p>
    <w:p w14:paraId="442469C1" w14:textId="77777777" w:rsidR="00747D00" w:rsidRPr="00747D00" w:rsidRDefault="00747D00" w:rsidP="00747D00">
      <w:pPr>
        <w:pStyle w:val="EndnoteText"/>
        <w:spacing w:line="276" w:lineRule="auto"/>
        <w:rPr>
          <w:sz w:val="20"/>
          <w:szCs w:val="20"/>
          <w:lang w:val="nl-NL"/>
        </w:rPr>
      </w:pPr>
      <w:r w:rsidRPr="00747D00">
        <w:rPr>
          <w:sz w:val="20"/>
          <w:szCs w:val="20"/>
        </w:rPr>
        <w:t xml:space="preserve">Varian, H.R., 2001, Economics of Information Technology, </w:t>
      </w:r>
      <w:r w:rsidRPr="00747D00">
        <w:rPr>
          <w:rFonts w:asciiTheme="minorHAnsi" w:eastAsiaTheme="minorEastAsia" w:hAnsiTheme="minorHAnsi" w:cs="Times"/>
          <w:color w:val="000000"/>
          <w:sz w:val="20"/>
          <w:szCs w:val="20"/>
          <w:lang w:val="en-US"/>
        </w:rPr>
        <w:t xml:space="preserve">Working Paper University of California at Berkeley. </w:t>
      </w:r>
      <w:hyperlink r:id="rId21" w:history="1">
        <w:r w:rsidRPr="00747D00">
          <w:rPr>
            <w:rStyle w:val="Hyperlink"/>
            <w:rFonts w:asciiTheme="minorHAnsi" w:eastAsiaTheme="minorEastAsia" w:hAnsiTheme="minorHAnsi" w:cs="Times"/>
            <w:sz w:val="20"/>
            <w:szCs w:val="20"/>
            <w:lang w:val="en-US"/>
          </w:rPr>
          <w:t>http://www.sims.berkeley.edu/~hal/people/hal/papers.html</w:t>
        </w:r>
      </w:hyperlink>
      <w:r w:rsidRPr="00747D00">
        <w:rPr>
          <w:rFonts w:asciiTheme="minorHAnsi" w:eastAsiaTheme="minorEastAsia" w:hAnsiTheme="minorHAnsi" w:cs="Times"/>
          <w:color w:val="000000"/>
          <w:sz w:val="20"/>
          <w:szCs w:val="20"/>
          <w:lang w:val="en-US"/>
        </w:rPr>
        <w:t xml:space="preserve"> </w:t>
      </w:r>
    </w:p>
    <w:p w14:paraId="0A95AA37" w14:textId="77777777" w:rsidR="000B53B3" w:rsidRDefault="000B53B3" w:rsidP="00747D00">
      <w:pPr>
        <w:pStyle w:val="EndnoteText"/>
        <w:spacing w:line="276" w:lineRule="auto"/>
        <w:rPr>
          <w:sz w:val="20"/>
          <w:szCs w:val="20"/>
        </w:rPr>
      </w:pPr>
    </w:p>
    <w:p w14:paraId="35F5B173" w14:textId="77777777" w:rsidR="00747D00" w:rsidRPr="00747D00" w:rsidRDefault="00747D00" w:rsidP="00747D00">
      <w:pPr>
        <w:pStyle w:val="EndnoteText"/>
        <w:spacing w:line="276" w:lineRule="auto"/>
        <w:rPr>
          <w:sz w:val="20"/>
          <w:szCs w:val="20"/>
          <w:lang w:val="nl-NL"/>
        </w:rPr>
      </w:pPr>
      <w:r w:rsidRPr="00747D00">
        <w:rPr>
          <w:sz w:val="20"/>
          <w:szCs w:val="20"/>
        </w:rPr>
        <w:t>Z</w:t>
      </w:r>
      <w:r w:rsidRPr="00747D00">
        <w:rPr>
          <w:rFonts w:eastAsiaTheme="minorEastAsia" w:cs="Lucida Grande"/>
          <w:sz w:val="20"/>
          <w:szCs w:val="20"/>
          <w:lang w:val="en-US"/>
        </w:rPr>
        <w:t xml:space="preserve">odrow, G.R., 2003, </w:t>
      </w:r>
      <w:hyperlink r:id="rId22" w:history="1">
        <w:r w:rsidRPr="00747D00">
          <w:rPr>
            <w:rFonts w:eastAsiaTheme="minorEastAsia" w:cs="Lucida Grande"/>
            <w:bCs/>
            <w:sz w:val="20"/>
            <w:szCs w:val="20"/>
            <w:lang w:val="en-US"/>
          </w:rPr>
          <w:t>Network Externalities and Indirect Tax Preferences for Electronic Commerce</w:t>
        </w:r>
      </w:hyperlink>
      <w:r w:rsidRPr="00747D00">
        <w:rPr>
          <w:rFonts w:eastAsiaTheme="minorEastAsia" w:cs="Lucida Grande"/>
          <w:sz w:val="20"/>
          <w:szCs w:val="20"/>
          <w:lang w:val="en-US"/>
        </w:rPr>
        <w:t xml:space="preserve">, </w:t>
      </w:r>
      <w:hyperlink r:id="rId23" w:history="1">
        <w:r w:rsidRPr="00747D00">
          <w:rPr>
            <w:rFonts w:eastAsiaTheme="minorEastAsia" w:cs="Lucida Grande"/>
            <w:sz w:val="20"/>
            <w:szCs w:val="20"/>
            <w:lang w:val="en-US"/>
          </w:rPr>
          <w:t>International Tax and Public Finance</w:t>
        </w:r>
      </w:hyperlink>
      <w:r w:rsidRPr="00747D00">
        <w:rPr>
          <w:rFonts w:eastAsiaTheme="minorEastAsia" w:cs="Lucida Grande"/>
          <w:sz w:val="20"/>
          <w:szCs w:val="20"/>
          <w:lang w:val="en-US"/>
        </w:rPr>
        <w:t>, Springer, vol. 10(1), pages 79-97, January.</w:t>
      </w:r>
    </w:p>
    <w:p w14:paraId="1ED93B6B" w14:textId="77777777" w:rsidR="00B7552B" w:rsidRPr="00B7552B" w:rsidRDefault="00B7552B" w:rsidP="00AD5D84">
      <w:pPr>
        <w:spacing w:line="360" w:lineRule="auto"/>
        <w:jc w:val="both"/>
        <w:rPr>
          <w:b/>
          <w:sz w:val="32"/>
          <w:szCs w:val="32"/>
        </w:rPr>
      </w:pPr>
    </w:p>
    <w:p w14:paraId="79D1C8BD" w14:textId="77777777" w:rsidR="008746EC" w:rsidRPr="008746EC" w:rsidRDefault="008746EC" w:rsidP="00AD5D84">
      <w:pPr>
        <w:spacing w:line="360" w:lineRule="auto"/>
        <w:jc w:val="both"/>
        <w:rPr>
          <w:b/>
        </w:rPr>
      </w:pPr>
    </w:p>
    <w:p w14:paraId="42C7CD6B" w14:textId="77777777" w:rsidR="008746EC" w:rsidRDefault="008746EC" w:rsidP="00AD5D84">
      <w:pPr>
        <w:spacing w:line="360" w:lineRule="auto"/>
        <w:jc w:val="both"/>
      </w:pPr>
    </w:p>
    <w:p w14:paraId="4E3E91F0" w14:textId="77777777" w:rsidR="00657129" w:rsidRDefault="00657129" w:rsidP="00AD5D84">
      <w:pPr>
        <w:spacing w:line="360" w:lineRule="auto"/>
        <w:jc w:val="both"/>
      </w:pPr>
    </w:p>
    <w:p w14:paraId="517172C9" w14:textId="77777777" w:rsidR="00657129" w:rsidRDefault="00657129" w:rsidP="00AD5D84">
      <w:pPr>
        <w:spacing w:line="360" w:lineRule="auto"/>
        <w:jc w:val="both"/>
      </w:pPr>
    </w:p>
    <w:p w14:paraId="2F3348F4" w14:textId="77777777" w:rsidR="00D937AF" w:rsidRDefault="00D937AF" w:rsidP="00AD5D84">
      <w:pPr>
        <w:spacing w:line="360" w:lineRule="auto"/>
        <w:jc w:val="both"/>
      </w:pPr>
    </w:p>
    <w:p w14:paraId="5D827DCC" w14:textId="77777777" w:rsidR="00D937AF" w:rsidRDefault="00D937AF" w:rsidP="00AD5D84">
      <w:pPr>
        <w:spacing w:line="360" w:lineRule="auto"/>
        <w:jc w:val="both"/>
      </w:pPr>
    </w:p>
    <w:p w14:paraId="45ECBFC6" w14:textId="77777777" w:rsidR="008C32EF" w:rsidRDefault="008C32EF" w:rsidP="00AD5D84">
      <w:pPr>
        <w:spacing w:line="360" w:lineRule="auto"/>
        <w:jc w:val="both"/>
      </w:pPr>
    </w:p>
    <w:p w14:paraId="65C15779" w14:textId="77777777" w:rsidR="00EB3C7F" w:rsidRDefault="00EB3C7F" w:rsidP="00AD5D84">
      <w:pPr>
        <w:spacing w:line="360" w:lineRule="auto"/>
        <w:jc w:val="both"/>
      </w:pPr>
    </w:p>
    <w:p w14:paraId="019D57BD" w14:textId="77777777" w:rsidR="00EB3C7F" w:rsidRPr="00AD5D84" w:rsidRDefault="00EB3C7F" w:rsidP="00AD5D84">
      <w:pPr>
        <w:spacing w:line="360" w:lineRule="auto"/>
        <w:jc w:val="both"/>
      </w:pPr>
    </w:p>
    <w:p w14:paraId="3A478AEA" w14:textId="77777777" w:rsidR="007251AE" w:rsidRDefault="007251AE" w:rsidP="00C52609">
      <w:pPr>
        <w:spacing w:line="360" w:lineRule="auto"/>
        <w:jc w:val="both"/>
      </w:pPr>
    </w:p>
    <w:p w14:paraId="3070896F" w14:textId="77777777" w:rsidR="00E546C5" w:rsidRPr="00C6088A" w:rsidRDefault="00E546C5" w:rsidP="00C52609">
      <w:pPr>
        <w:spacing w:line="360" w:lineRule="auto"/>
        <w:jc w:val="both"/>
      </w:pPr>
    </w:p>
    <w:p w14:paraId="68E4FBDA" w14:textId="77777777" w:rsidR="005E3219" w:rsidRPr="005E3219" w:rsidRDefault="005E3219" w:rsidP="00C52609">
      <w:pPr>
        <w:spacing w:line="360" w:lineRule="auto"/>
        <w:jc w:val="both"/>
        <w:rPr>
          <w:b/>
        </w:rPr>
      </w:pPr>
    </w:p>
    <w:p w14:paraId="17A8711D" w14:textId="77777777" w:rsidR="00C80B41" w:rsidRPr="009529CE" w:rsidRDefault="00C80B41" w:rsidP="00C52609">
      <w:pPr>
        <w:spacing w:line="360" w:lineRule="auto"/>
        <w:jc w:val="both"/>
      </w:pPr>
    </w:p>
    <w:p w14:paraId="37B3EA24" w14:textId="170FC5BC" w:rsidR="00550653" w:rsidRPr="00845C2D" w:rsidRDefault="003E6499" w:rsidP="007F2071">
      <w:pPr>
        <w:spacing w:line="360" w:lineRule="auto"/>
        <w:jc w:val="both"/>
      </w:pPr>
      <w:r>
        <w:t xml:space="preserve"> </w:t>
      </w:r>
    </w:p>
    <w:sectPr w:rsidR="00550653" w:rsidRPr="00845C2D" w:rsidSect="00F54CA8">
      <w:headerReference w:type="default" r:id="rId24"/>
      <w:footerReference w:type="even" r:id="rId25"/>
      <w:footerReference w:type="default" r:id="rId26"/>
      <w:headerReference w:type="first" r:id="rId27"/>
      <w:pgSz w:w="11900" w:h="16840"/>
      <w:pgMar w:top="1440" w:right="1800" w:bottom="1440" w:left="1800" w:header="708" w:footer="708"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91955F0" w14:textId="77777777" w:rsidR="000B53B3" w:rsidRDefault="000B53B3" w:rsidP="00C4192F">
      <w:r>
        <w:separator/>
      </w:r>
    </w:p>
  </w:endnote>
  <w:endnote w:type="continuationSeparator" w:id="0">
    <w:p w14:paraId="51C1A231" w14:textId="77777777" w:rsidR="000B53B3" w:rsidRDefault="000B53B3" w:rsidP="00C419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MS ??">
    <w:panose1 w:val="00000000000000000000"/>
    <w:charset w:val="80"/>
    <w:family w:val="auto"/>
    <w:notTrueType/>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0000019F" w:csb1="00000000"/>
  </w:font>
  <w:font w:name="Trebuchet MS">
    <w:panose1 w:val="020B0603020202020204"/>
    <w:charset w:val="00"/>
    <w:family w:val="auto"/>
    <w:pitch w:val="variable"/>
    <w:sig w:usb0="00000287" w:usb1="00000000" w:usb2="00000000" w:usb3="00000000" w:csb0="000000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3FCCD0" w14:textId="77777777" w:rsidR="000B53B3" w:rsidRDefault="000B53B3" w:rsidP="00F54CA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DD3891C" w14:textId="77777777" w:rsidR="000B53B3" w:rsidRDefault="000B53B3" w:rsidP="00F54CA8">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83DD0C" w14:textId="77777777" w:rsidR="000B53B3" w:rsidRDefault="000B53B3" w:rsidP="00F54CA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F07A7">
      <w:rPr>
        <w:rStyle w:val="PageNumber"/>
        <w:noProof/>
      </w:rPr>
      <w:t>27</w:t>
    </w:r>
    <w:r>
      <w:rPr>
        <w:rStyle w:val="PageNumber"/>
      </w:rPr>
      <w:fldChar w:fldCharType="end"/>
    </w:r>
  </w:p>
  <w:p w14:paraId="7514B580" w14:textId="77777777" w:rsidR="000B53B3" w:rsidRDefault="000B53B3" w:rsidP="00F54CA8">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C2A4A23" w14:textId="77777777" w:rsidR="000B53B3" w:rsidRDefault="000B53B3" w:rsidP="00C4192F">
      <w:r>
        <w:separator/>
      </w:r>
    </w:p>
  </w:footnote>
  <w:footnote w:type="continuationSeparator" w:id="0">
    <w:p w14:paraId="1718E4F1" w14:textId="77777777" w:rsidR="000B53B3" w:rsidRDefault="000B53B3" w:rsidP="00C4192F">
      <w:r>
        <w:continuationSeparator/>
      </w:r>
    </w:p>
  </w:footnote>
  <w:footnote w:id="1">
    <w:p w14:paraId="35EFB0B3" w14:textId="77777777" w:rsidR="000B53B3" w:rsidRPr="00AD6801" w:rsidRDefault="000B53B3" w:rsidP="00467D11">
      <w:pPr>
        <w:pStyle w:val="FootnoteText"/>
        <w:rPr>
          <w:sz w:val="20"/>
          <w:szCs w:val="20"/>
          <w:lang w:val="nl-NL"/>
        </w:rPr>
      </w:pPr>
      <w:r w:rsidRPr="00AD6801">
        <w:rPr>
          <w:rStyle w:val="FootnoteReference"/>
          <w:sz w:val="20"/>
          <w:szCs w:val="20"/>
        </w:rPr>
        <w:footnoteRef/>
      </w:r>
      <w:r w:rsidRPr="00AD6801">
        <w:rPr>
          <w:sz w:val="20"/>
          <w:szCs w:val="20"/>
        </w:rPr>
        <w:t xml:space="preserve"> </w:t>
      </w:r>
      <w:r w:rsidRPr="00AD6801">
        <w:rPr>
          <w:rFonts w:eastAsiaTheme="minorEastAsia"/>
          <w:color w:val="1A1A1A"/>
          <w:sz w:val="20"/>
          <w:szCs w:val="20"/>
          <w:lang w:val="en-US"/>
        </w:rPr>
        <w:t xml:space="preserve">Scoffield, H., </w:t>
      </w:r>
      <w:r w:rsidRPr="00AD6801">
        <w:rPr>
          <w:rFonts w:eastAsiaTheme="minorEastAsia"/>
          <w:bCs/>
          <w:sz w:val="20"/>
          <w:szCs w:val="20"/>
          <w:lang w:val="en-US"/>
        </w:rPr>
        <w:t>E</w:t>
      </w:r>
      <w:r w:rsidRPr="00AD6801">
        <w:rPr>
          <w:rFonts w:eastAsiaTheme="minorEastAsia"/>
          <w:color w:val="1A1A1A"/>
          <w:sz w:val="20"/>
          <w:szCs w:val="20"/>
          <w:lang w:val="en-US"/>
        </w:rPr>
        <w:t>-</w:t>
      </w:r>
      <w:r w:rsidRPr="00AD6801">
        <w:rPr>
          <w:rFonts w:eastAsiaTheme="minorEastAsia"/>
          <w:bCs/>
          <w:sz w:val="20"/>
          <w:szCs w:val="20"/>
          <w:lang w:val="en-US"/>
        </w:rPr>
        <w:t>commerce Expected</w:t>
      </w:r>
      <w:r w:rsidRPr="00AD6801">
        <w:rPr>
          <w:rFonts w:eastAsiaTheme="minorEastAsia"/>
          <w:color w:val="1A1A1A"/>
          <w:sz w:val="20"/>
          <w:szCs w:val="20"/>
          <w:lang w:val="en-US"/>
        </w:rPr>
        <w:t xml:space="preserve"> to </w:t>
      </w:r>
      <w:r w:rsidRPr="00AD6801">
        <w:rPr>
          <w:rFonts w:eastAsiaTheme="minorEastAsia"/>
          <w:bCs/>
          <w:sz w:val="20"/>
          <w:szCs w:val="20"/>
          <w:lang w:val="en-US"/>
        </w:rPr>
        <w:t>Explode</w:t>
      </w:r>
      <w:r w:rsidRPr="00AD6801">
        <w:rPr>
          <w:rFonts w:eastAsiaTheme="minorEastAsia"/>
          <w:color w:val="1A1A1A"/>
          <w:sz w:val="20"/>
          <w:szCs w:val="20"/>
          <w:lang w:val="en-US"/>
        </w:rPr>
        <w:t xml:space="preserve">, </w:t>
      </w:r>
      <w:r w:rsidRPr="00AD6801">
        <w:rPr>
          <w:rFonts w:eastAsiaTheme="minorEastAsia"/>
          <w:bCs/>
          <w:sz w:val="20"/>
          <w:szCs w:val="20"/>
          <w:lang w:val="en-US"/>
        </w:rPr>
        <w:t>OECD</w:t>
      </w:r>
      <w:r w:rsidRPr="00AD6801">
        <w:rPr>
          <w:rFonts w:eastAsiaTheme="minorEastAsia"/>
          <w:color w:val="1A1A1A"/>
          <w:sz w:val="20"/>
          <w:szCs w:val="20"/>
          <w:lang w:val="en-US"/>
        </w:rPr>
        <w:t xml:space="preserve"> </w:t>
      </w:r>
      <w:r w:rsidRPr="00AD6801">
        <w:rPr>
          <w:rFonts w:eastAsiaTheme="minorEastAsia"/>
          <w:bCs/>
          <w:sz w:val="20"/>
          <w:szCs w:val="20"/>
          <w:lang w:val="en-US"/>
        </w:rPr>
        <w:t>Says</w:t>
      </w:r>
      <w:r w:rsidRPr="00AD6801">
        <w:rPr>
          <w:rFonts w:eastAsiaTheme="minorEastAsia"/>
          <w:color w:val="1A1A1A"/>
          <w:sz w:val="20"/>
          <w:szCs w:val="20"/>
          <w:lang w:val="en-US"/>
        </w:rPr>
        <w:t>, Globe &amp; Mail, Sept. 29, 1998</w:t>
      </w:r>
    </w:p>
  </w:footnote>
  <w:footnote w:id="2">
    <w:p w14:paraId="475A900E" w14:textId="77777777" w:rsidR="000B53B3" w:rsidRPr="00AD6801" w:rsidRDefault="000B53B3" w:rsidP="00467D11">
      <w:pPr>
        <w:pStyle w:val="FootnoteText"/>
        <w:rPr>
          <w:sz w:val="20"/>
          <w:szCs w:val="20"/>
          <w:lang w:val="nl-NL"/>
        </w:rPr>
      </w:pPr>
      <w:r w:rsidRPr="00AD6801">
        <w:rPr>
          <w:rStyle w:val="FootnoteReference"/>
          <w:sz w:val="20"/>
          <w:szCs w:val="20"/>
        </w:rPr>
        <w:footnoteRef/>
      </w:r>
      <w:r w:rsidRPr="00AD6801">
        <w:rPr>
          <w:sz w:val="20"/>
          <w:szCs w:val="20"/>
        </w:rPr>
        <w:t xml:space="preserve"> Techcrunch, 2011, JP Morgan: E-commerce revenue to grow by 19 percent in 2011 to $680B [Online] Available at: &lt;</w:t>
      </w:r>
      <w:hyperlink r:id="rId1" w:history="1">
        <w:r w:rsidRPr="00AD6801">
          <w:rPr>
            <w:rStyle w:val="Hyperlink"/>
            <w:sz w:val="20"/>
            <w:szCs w:val="20"/>
          </w:rPr>
          <w:t>http://techcrunch.com/2011/01/03/j-p-morgan-global-e-commerce-revenue-to-grow-by-19-percent-in-2011-to-680b/</w:t>
        </w:r>
      </w:hyperlink>
      <w:r w:rsidRPr="00AD6801">
        <w:rPr>
          <w:sz w:val="20"/>
          <w:szCs w:val="20"/>
        </w:rPr>
        <w:t xml:space="preserve">&gt; </w:t>
      </w:r>
      <w:r w:rsidRPr="00AD6801">
        <w:rPr>
          <w:iCs/>
          <w:sz w:val="20"/>
          <w:szCs w:val="20"/>
          <w:lang w:val="en-US"/>
        </w:rPr>
        <w:t>(Accessed 19 June 2012).</w:t>
      </w:r>
    </w:p>
  </w:footnote>
  <w:footnote w:id="3">
    <w:p w14:paraId="7855386F" w14:textId="77777777" w:rsidR="000B53B3" w:rsidRPr="00AD6801" w:rsidRDefault="000B53B3" w:rsidP="00467D11">
      <w:pPr>
        <w:pStyle w:val="FootnoteText"/>
        <w:rPr>
          <w:sz w:val="20"/>
          <w:szCs w:val="20"/>
          <w:lang w:val="nl-NL"/>
        </w:rPr>
      </w:pPr>
      <w:r w:rsidRPr="00AD6801">
        <w:rPr>
          <w:rStyle w:val="FootnoteReference"/>
          <w:sz w:val="20"/>
          <w:szCs w:val="20"/>
        </w:rPr>
        <w:footnoteRef/>
      </w:r>
      <w:r w:rsidRPr="00AD6801">
        <w:rPr>
          <w:sz w:val="20"/>
          <w:szCs w:val="20"/>
        </w:rPr>
        <w:t xml:space="preserve"> OECD, 2002, Glossary of Statistical Terms: Electronic Commerce [Online] Available at: &lt; </w:t>
      </w:r>
      <w:hyperlink r:id="rId2" w:history="1">
        <w:r w:rsidRPr="00AD6801">
          <w:rPr>
            <w:rStyle w:val="Hyperlink"/>
            <w:sz w:val="20"/>
            <w:szCs w:val="20"/>
          </w:rPr>
          <w:t>http://stats.oecd.org/glossary/detail.asp?ID=4721</w:t>
        </w:r>
      </w:hyperlink>
      <w:r w:rsidRPr="00AD6801">
        <w:rPr>
          <w:sz w:val="20"/>
          <w:szCs w:val="20"/>
        </w:rPr>
        <w:t>&gt; (Accessed 19 June 2012).</w:t>
      </w:r>
    </w:p>
  </w:footnote>
  <w:footnote w:id="4">
    <w:p w14:paraId="7862E1DF" w14:textId="77777777" w:rsidR="000B53B3" w:rsidRPr="00AD6801" w:rsidRDefault="000B53B3" w:rsidP="00467D11">
      <w:pPr>
        <w:pStyle w:val="FootnoteText"/>
        <w:rPr>
          <w:sz w:val="20"/>
          <w:szCs w:val="20"/>
          <w:lang w:val="nl-NL"/>
        </w:rPr>
      </w:pPr>
      <w:r w:rsidRPr="00AD6801">
        <w:rPr>
          <w:rStyle w:val="FootnoteReference"/>
          <w:sz w:val="20"/>
          <w:szCs w:val="20"/>
        </w:rPr>
        <w:footnoteRef/>
      </w:r>
      <w:r w:rsidRPr="00AD6801">
        <w:rPr>
          <w:sz w:val="20"/>
          <w:szCs w:val="20"/>
        </w:rPr>
        <w:t xml:space="preserve"> Goolsbee, A., Zittrain, J., 1999, Evaluating the Costs and Benefits of Taxing Internet Commerce, Harvard Law School, Research Publication No. 1999-03-05/1999</w:t>
      </w:r>
    </w:p>
  </w:footnote>
  <w:footnote w:id="5">
    <w:p w14:paraId="0480296B" w14:textId="77777777" w:rsidR="000B53B3" w:rsidRPr="00AD6801" w:rsidRDefault="000B53B3" w:rsidP="00467D11">
      <w:pPr>
        <w:pStyle w:val="FootnoteText"/>
        <w:rPr>
          <w:sz w:val="20"/>
          <w:szCs w:val="20"/>
          <w:lang w:val="nl-NL"/>
        </w:rPr>
      </w:pPr>
      <w:r w:rsidRPr="00AD6801">
        <w:rPr>
          <w:rStyle w:val="FootnoteReference"/>
          <w:sz w:val="20"/>
          <w:szCs w:val="20"/>
        </w:rPr>
        <w:footnoteRef/>
      </w:r>
      <w:r w:rsidRPr="00AD6801">
        <w:rPr>
          <w:sz w:val="20"/>
          <w:szCs w:val="20"/>
        </w:rPr>
        <w:t xml:space="preserve"> Z</w:t>
      </w:r>
      <w:r w:rsidRPr="00AD6801">
        <w:rPr>
          <w:rFonts w:eastAsiaTheme="minorEastAsia" w:cs="Lucida Grande"/>
          <w:sz w:val="20"/>
          <w:szCs w:val="20"/>
          <w:lang w:val="en-US"/>
        </w:rPr>
        <w:t xml:space="preserve">odrow, G.R., 2003, </w:t>
      </w:r>
      <w:hyperlink r:id="rId3" w:history="1">
        <w:r w:rsidRPr="00AD6801">
          <w:rPr>
            <w:rFonts w:eastAsiaTheme="minorEastAsia" w:cs="Lucida Grande"/>
            <w:bCs/>
            <w:sz w:val="20"/>
            <w:szCs w:val="20"/>
            <w:lang w:val="en-US"/>
          </w:rPr>
          <w:t>Network Externalities and Indirect Tax Preferences for Electronic Commerce</w:t>
        </w:r>
      </w:hyperlink>
      <w:r w:rsidRPr="00AD6801">
        <w:rPr>
          <w:rFonts w:eastAsiaTheme="minorEastAsia" w:cs="Lucida Grande"/>
          <w:sz w:val="20"/>
          <w:szCs w:val="20"/>
          <w:lang w:val="en-US"/>
        </w:rPr>
        <w:t xml:space="preserve">, </w:t>
      </w:r>
      <w:hyperlink r:id="rId4" w:history="1">
        <w:r w:rsidRPr="00AD6801">
          <w:rPr>
            <w:rFonts w:eastAsiaTheme="minorEastAsia" w:cs="Lucida Grande"/>
            <w:sz w:val="20"/>
            <w:szCs w:val="20"/>
            <w:lang w:val="en-US"/>
          </w:rPr>
          <w:t>International Tax and Public Finance</w:t>
        </w:r>
      </w:hyperlink>
      <w:r w:rsidRPr="00AD6801">
        <w:rPr>
          <w:rFonts w:eastAsiaTheme="minorEastAsia" w:cs="Lucida Grande"/>
          <w:sz w:val="20"/>
          <w:szCs w:val="20"/>
          <w:lang w:val="en-US"/>
        </w:rPr>
        <w:t>, Springer, vol. 10(1), pages 79-97, January.</w:t>
      </w:r>
    </w:p>
  </w:footnote>
  <w:footnote w:id="6">
    <w:p w14:paraId="43C195A8" w14:textId="77777777" w:rsidR="000B53B3" w:rsidRPr="00AD6801" w:rsidRDefault="000B53B3" w:rsidP="00467D11">
      <w:pPr>
        <w:pStyle w:val="FootnoteText"/>
        <w:rPr>
          <w:sz w:val="20"/>
          <w:szCs w:val="20"/>
          <w:lang w:val="nl-NL"/>
        </w:rPr>
      </w:pPr>
      <w:r w:rsidRPr="00AD6801">
        <w:rPr>
          <w:rStyle w:val="FootnoteReference"/>
          <w:sz w:val="20"/>
          <w:szCs w:val="20"/>
        </w:rPr>
        <w:footnoteRef/>
      </w:r>
      <w:r w:rsidRPr="00AD6801">
        <w:rPr>
          <w:sz w:val="20"/>
          <w:szCs w:val="20"/>
        </w:rPr>
        <w:t xml:space="preserve"> Varian, H.R., 2001, Economics of Information Technology, </w:t>
      </w:r>
      <w:r w:rsidRPr="00AD6801">
        <w:rPr>
          <w:rFonts w:asciiTheme="minorHAnsi" w:eastAsiaTheme="minorEastAsia" w:hAnsiTheme="minorHAnsi" w:cs="Times"/>
          <w:color w:val="000000"/>
          <w:sz w:val="20"/>
          <w:szCs w:val="20"/>
          <w:lang w:val="en-US"/>
        </w:rPr>
        <w:t>Working Paper Unive</w:t>
      </w:r>
      <w:r>
        <w:rPr>
          <w:rFonts w:asciiTheme="minorHAnsi" w:eastAsiaTheme="minorEastAsia" w:hAnsiTheme="minorHAnsi" w:cs="Times"/>
          <w:color w:val="000000"/>
          <w:sz w:val="20"/>
          <w:szCs w:val="20"/>
          <w:lang w:val="en-US"/>
        </w:rPr>
        <w:t>rsity of California at Berkeley.</w:t>
      </w:r>
      <w:r w:rsidRPr="00AD6801">
        <w:rPr>
          <w:rFonts w:asciiTheme="minorHAnsi" w:eastAsiaTheme="minorEastAsia" w:hAnsiTheme="minorHAnsi" w:cs="Times"/>
          <w:color w:val="000000"/>
          <w:sz w:val="20"/>
          <w:szCs w:val="20"/>
          <w:lang w:val="en-US"/>
        </w:rPr>
        <w:t xml:space="preserve"> </w:t>
      </w:r>
      <w:hyperlink r:id="rId5" w:history="1">
        <w:r w:rsidRPr="001F63DA">
          <w:rPr>
            <w:rStyle w:val="Hyperlink"/>
            <w:rFonts w:asciiTheme="minorHAnsi" w:eastAsiaTheme="minorEastAsia" w:hAnsiTheme="minorHAnsi" w:cs="Times"/>
            <w:sz w:val="20"/>
            <w:szCs w:val="20"/>
            <w:lang w:val="en-US"/>
          </w:rPr>
          <w:t>http://www.sims.berkeley.edu/~hal/people/hal/papers.html</w:t>
        </w:r>
      </w:hyperlink>
      <w:r>
        <w:rPr>
          <w:rFonts w:asciiTheme="minorHAnsi" w:eastAsiaTheme="minorEastAsia" w:hAnsiTheme="minorHAnsi" w:cs="Times"/>
          <w:color w:val="000000"/>
          <w:sz w:val="20"/>
          <w:szCs w:val="20"/>
          <w:lang w:val="en-US"/>
        </w:rPr>
        <w:t xml:space="preserve"> </w:t>
      </w:r>
    </w:p>
  </w:footnote>
  <w:footnote w:id="7">
    <w:p w14:paraId="515DAC81" w14:textId="2248B66F" w:rsidR="000B53B3" w:rsidRPr="00AD6801" w:rsidRDefault="000B53B3">
      <w:pPr>
        <w:pStyle w:val="FootnoteText"/>
        <w:rPr>
          <w:sz w:val="20"/>
          <w:szCs w:val="20"/>
          <w:lang w:val="nl-NL"/>
        </w:rPr>
      </w:pPr>
      <w:r w:rsidRPr="00AD6801">
        <w:rPr>
          <w:rStyle w:val="FootnoteReference"/>
          <w:sz w:val="20"/>
          <w:szCs w:val="20"/>
        </w:rPr>
        <w:footnoteRef/>
      </w:r>
      <w:r w:rsidRPr="00AD6801">
        <w:rPr>
          <w:sz w:val="20"/>
          <w:szCs w:val="20"/>
        </w:rPr>
        <w:t xml:space="preserve"> Cigler, J.D., Stinnet, S.E., 1997, Treasury seeks Cybertax Answers With Electronic Commerce Discussion Paper, 8 Journal of International Taxation 56, 58.</w:t>
      </w:r>
    </w:p>
  </w:footnote>
  <w:footnote w:id="8">
    <w:p w14:paraId="27D41BDA" w14:textId="428A1879" w:rsidR="000B53B3" w:rsidRPr="00A558B6" w:rsidRDefault="000B53B3">
      <w:pPr>
        <w:pStyle w:val="FootnoteText"/>
        <w:rPr>
          <w:lang w:val="nl-NL"/>
        </w:rPr>
      </w:pPr>
      <w:r w:rsidRPr="00AD6801">
        <w:rPr>
          <w:rStyle w:val="FootnoteReference"/>
          <w:sz w:val="20"/>
          <w:szCs w:val="20"/>
        </w:rPr>
        <w:footnoteRef/>
      </w:r>
      <w:r w:rsidRPr="00AD6801">
        <w:rPr>
          <w:sz w:val="20"/>
          <w:szCs w:val="20"/>
        </w:rPr>
        <w:t xml:space="preserve"> Owen, S., 1998, State Sales and Use Tax on Internet Transactions, </w:t>
      </w:r>
      <w:r w:rsidRPr="00AD6801">
        <w:rPr>
          <w:rFonts w:asciiTheme="minorHAnsi" w:eastAsiaTheme="minorEastAsia" w:hAnsiTheme="minorHAnsi"/>
          <w:sz w:val="20"/>
          <w:szCs w:val="20"/>
          <w:lang w:val="en-US"/>
        </w:rPr>
        <w:t>51 Fed. Comm. L.J. 245 (1998-1999)</w:t>
      </w:r>
    </w:p>
  </w:footnote>
  <w:footnote w:id="9">
    <w:p w14:paraId="09C575EF" w14:textId="14EC0177" w:rsidR="000B53B3" w:rsidRPr="00AD6801" w:rsidRDefault="000B53B3">
      <w:pPr>
        <w:pStyle w:val="FootnoteText"/>
        <w:rPr>
          <w:sz w:val="20"/>
          <w:szCs w:val="20"/>
          <w:lang w:val="nl-NL"/>
        </w:rPr>
      </w:pPr>
      <w:r w:rsidRPr="00AD6801">
        <w:rPr>
          <w:rStyle w:val="FootnoteReference"/>
          <w:sz w:val="20"/>
          <w:szCs w:val="20"/>
        </w:rPr>
        <w:footnoteRef/>
      </w:r>
      <w:r w:rsidRPr="00AD6801">
        <w:rPr>
          <w:sz w:val="20"/>
          <w:szCs w:val="20"/>
        </w:rPr>
        <w:t xml:space="preserve"> Owen, S., 1998, State Sales and Use Tax on Internet Transactions, </w:t>
      </w:r>
      <w:r w:rsidRPr="00AD6801">
        <w:rPr>
          <w:rFonts w:asciiTheme="minorHAnsi" w:eastAsiaTheme="minorEastAsia" w:hAnsiTheme="minorHAnsi"/>
          <w:sz w:val="20"/>
          <w:szCs w:val="20"/>
          <w:lang w:val="en-US"/>
        </w:rPr>
        <w:t>51 Fed. Comm. L.J. 245 (1998-1999)</w:t>
      </w:r>
    </w:p>
  </w:footnote>
  <w:footnote w:id="10">
    <w:p w14:paraId="13ACD943" w14:textId="27B98164" w:rsidR="000B53B3" w:rsidRPr="00AD6801" w:rsidRDefault="000B53B3">
      <w:pPr>
        <w:pStyle w:val="FootnoteText"/>
        <w:rPr>
          <w:sz w:val="20"/>
          <w:szCs w:val="20"/>
          <w:lang w:val="nl-NL"/>
        </w:rPr>
      </w:pPr>
      <w:r w:rsidRPr="00AD6801">
        <w:rPr>
          <w:rStyle w:val="FootnoteReference"/>
          <w:sz w:val="20"/>
          <w:szCs w:val="20"/>
        </w:rPr>
        <w:footnoteRef/>
      </w:r>
      <w:r w:rsidRPr="00AD6801">
        <w:rPr>
          <w:sz w:val="20"/>
          <w:szCs w:val="20"/>
        </w:rPr>
        <w:t xml:space="preserve"> OECD, 1992, Model Income Tax Convention on Income and Capital, Article 5. </w:t>
      </w:r>
    </w:p>
  </w:footnote>
  <w:footnote w:id="11">
    <w:p w14:paraId="7AEF5C3B" w14:textId="6FDF09F8" w:rsidR="000B53B3" w:rsidRPr="00AD6801" w:rsidRDefault="000B53B3">
      <w:pPr>
        <w:pStyle w:val="FootnoteText"/>
        <w:rPr>
          <w:sz w:val="20"/>
          <w:szCs w:val="20"/>
          <w:lang w:val="nl-NL"/>
        </w:rPr>
      </w:pPr>
      <w:r w:rsidRPr="00AD6801">
        <w:rPr>
          <w:rStyle w:val="FootnoteReference"/>
          <w:sz w:val="20"/>
          <w:szCs w:val="20"/>
        </w:rPr>
        <w:footnoteRef/>
      </w:r>
      <w:r w:rsidRPr="00AD6801">
        <w:rPr>
          <w:sz w:val="20"/>
          <w:szCs w:val="20"/>
        </w:rPr>
        <w:t xml:space="preserve"> OECD, 1992, Model Income Tax Convention on Income and Capital, Article 5.</w:t>
      </w:r>
    </w:p>
  </w:footnote>
  <w:footnote w:id="12">
    <w:p w14:paraId="59D91E62" w14:textId="5717F3D4" w:rsidR="000B53B3" w:rsidRPr="00AF1128" w:rsidRDefault="000B53B3">
      <w:pPr>
        <w:pStyle w:val="FootnoteText"/>
        <w:rPr>
          <w:lang w:val="nl-NL"/>
        </w:rPr>
      </w:pPr>
      <w:r w:rsidRPr="00AD6801">
        <w:rPr>
          <w:rStyle w:val="FootnoteReference"/>
          <w:sz w:val="20"/>
          <w:szCs w:val="20"/>
        </w:rPr>
        <w:footnoteRef/>
      </w:r>
      <w:r w:rsidRPr="00AD6801">
        <w:rPr>
          <w:sz w:val="20"/>
          <w:szCs w:val="20"/>
        </w:rPr>
        <w:t xml:space="preserve"> </w:t>
      </w:r>
      <w:r w:rsidRPr="00AD6801">
        <w:rPr>
          <w:rFonts w:asciiTheme="minorHAnsi" w:eastAsiaTheme="minorEastAsia" w:hAnsiTheme="minorHAnsi"/>
          <w:color w:val="262626"/>
          <w:sz w:val="20"/>
          <w:szCs w:val="20"/>
          <w:lang w:val="en-US"/>
        </w:rPr>
        <w:t>Frenkel, J.A., Razin, A., Sadka, E., 1991, International Taxation in an Integrated World, Cambridge, MA: MIT Press.</w:t>
      </w:r>
      <w:r>
        <w:rPr>
          <w:rFonts w:asciiTheme="minorHAnsi" w:eastAsiaTheme="minorEastAsia" w:hAnsiTheme="minorHAnsi"/>
          <w:color w:val="262626"/>
          <w:sz w:val="20"/>
          <w:szCs w:val="20"/>
          <w:lang w:val="en-US"/>
        </w:rPr>
        <w:t xml:space="preserve"> </w:t>
      </w:r>
    </w:p>
  </w:footnote>
  <w:footnote w:id="13">
    <w:p w14:paraId="109457D2" w14:textId="721CDCD0" w:rsidR="000B53B3" w:rsidRPr="00AD6801" w:rsidRDefault="000B53B3">
      <w:pPr>
        <w:pStyle w:val="FootnoteText"/>
        <w:rPr>
          <w:sz w:val="20"/>
          <w:szCs w:val="20"/>
          <w:lang w:val="nl-NL"/>
        </w:rPr>
      </w:pPr>
      <w:r w:rsidRPr="00AD6801">
        <w:rPr>
          <w:rStyle w:val="FootnoteReference"/>
          <w:sz w:val="20"/>
          <w:szCs w:val="20"/>
        </w:rPr>
        <w:footnoteRef/>
      </w:r>
      <w:r w:rsidRPr="00AD6801">
        <w:rPr>
          <w:sz w:val="20"/>
          <w:szCs w:val="20"/>
        </w:rPr>
        <w:t xml:space="preserve"> Varian, H.R., 2001, Economics of Information Technology, </w:t>
      </w:r>
      <w:r w:rsidRPr="00AD6801">
        <w:rPr>
          <w:rFonts w:asciiTheme="minorHAnsi" w:eastAsiaTheme="minorEastAsia" w:hAnsiTheme="minorHAnsi" w:cs="Times"/>
          <w:color w:val="000000"/>
          <w:sz w:val="20"/>
          <w:szCs w:val="20"/>
          <w:lang w:val="en-US"/>
        </w:rPr>
        <w:t>Working Paper University of California at Berkeley, http://www.sims.berkeley.edu/~hal/people/hal/papers.html.</w:t>
      </w:r>
    </w:p>
  </w:footnote>
  <w:footnote w:id="14">
    <w:p w14:paraId="38E75421" w14:textId="798806D3" w:rsidR="000B53B3" w:rsidRPr="00AD6801" w:rsidRDefault="000B53B3">
      <w:pPr>
        <w:pStyle w:val="FootnoteText"/>
        <w:rPr>
          <w:sz w:val="20"/>
          <w:szCs w:val="20"/>
          <w:lang w:val="nl-NL"/>
        </w:rPr>
      </w:pPr>
      <w:r w:rsidRPr="00AD6801">
        <w:rPr>
          <w:rStyle w:val="FootnoteReference"/>
          <w:sz w:val="20"/>
          <w:szCs w:val="20"/>
        </w:rPr>
        <w:footnoteRef/>
      </w:r>
      <w:r w:rsidRPr="00AD6801">
        <w:rPr>
          <w:sz w:val="20"/>
          <w:szCs w:val="20"/>
        </w:rPr>
        <w:t xml:space="preserve"> Rasmussen, B.S., 2004, On the Possibility and Desirability of Taxing E-Commerce, University of Aarhus, Working Paper No. 2004-08.</w:t>
      </w:r>
    </w:p>
  </w:footnote>
  <w:footnote w:id="15">
    <w:p w14:paraId="07E14DB2" w14:textId="62734355" w:rsidR="000B53B3" w:rsidRPr="00AD6801" w:rsidRDefault="000B53B3">
      <w:pPr>
        <w:pStyle w:val="FootnoteText"/>
        <w:rPr>
          <w:sz w:val="20"/>
          <w:szCs w:val="20"/>
          <w:lang w:val="nl-NL"/>
        </w:rPr>
      </w:pPr>
      <w:r w:rsidRPr="00AD6801">
        <w:rPr>
          <w:rStyle w:val="FootnoteReference"/>
          <w:sz w:val="20"/>
          <w:szCs w:val="20"/>
        </w:rPr>
        <w:footnoteRef/>
      </w:r>
      <w:r w:rsidRPr="00AD6801">
        <w:rPr>
          <w:sz w:val="20"/>
          <w:szCs w:val="20"/>
        </w:rPr>
        <w:t xml:space="preserve"> </w:t>
      </w:r>
      <w:r w:rsidRPr="00AD6801">
        <w:rPr>
          <w:sz w:val="20"/>
          <w:szCs w:val="20"/>
          <w:lang w:val="nl-NL"/>
        </w:rPr>
        <w:t>Goods that can be transferred via the Internet fully electronically</w:t>
      </w:r>
    </w:p>
  </w:footnote>
  <w:footnote w:id="16">
    <w:p w14:paraId="4CBC7241" w14:textId="58FE7671" w:rsidR="000B53B3" w:rsidRPr="00AD6801" w:rsidRDefault="000B53B3">
      <w:pPr>
        <w:pStyle w:val="FootnoteText"/>
        <w:rPr>
          <w:sz w:val="20"/>
          <w:szCs w:val="20"/>
          <w:lang w:val="nl-NL"/>
        </w:rPr>
      </w:pPr>
      <w:r w:rsidRPr="00AD6801">
        <w:rPr>
          <w:rStyle w:val="FootnoteReference"/>
          <w:sz w:val="20"/>
          <w:szCs w:val="20"/>
        </w:rPr>
        <w:footnoteRef/>
      </w:r>
      <w:r w:rsidRPr="00AD6801">
        <w:rPr>
          <w:sz w:val="20"/>
          <w:szCs w:val="20"/>
        </w:rPr>
        <w:t xml:space="preserve"> Rasmussen, B.S., 2004, On the Possibility and Desirability of Taxing E-Commerce, University of Aarhus, Working Paper No. 2004-08.</w:t>
      </w:r>
    </w:p>
  </w:footnote>
  <w:footnote w:id="17">
    <w:p w14:paraId="660ED302" w14:textId="5472653C" w:rsidR="000B53B3" w:rsidRPr="004F7CCA" w:rsidRDefault="000B53B3">
      <w:pPr>
        <w:pStyle w:val="FootnoteText"/>
        <w:rPr>
          <w:lang w:val="nl-NL"/>
        </w:rPr>
      </w:pPr>
      <w:r w:rsidRPr="00AD6801">
        <w:rPr>
          <w:rStyle w:val="FootnoteReference"/>
          <w:sz w:val="20"/>
          <w:szCs w:val="20"/>
        </w:rPr>
        <w:footnoteRef/>
      </w:r>
      <w:r w:rsidRPr="00AD6801">
        <w:rPr>
          <w:sz w:val="20"/>
          <w:szCs w:val="20"/>
        </w:rPr>
        <w:t xml:space="preserve"> Rasmussen, B.S., 2004, On the Possibility and Desirability of Taxing E-Commerce, University of Aarhus, Working Paper No. 2004-08.</w:t>
      </w:r>
    </w:p>
  </w:footnote>
  <w:footnote w:id="18">
    <w:p w14:paraId="0E10F78E" w14:textId="15CF6C8A" w:rsidR="000B53B3" w:rsidRPr="00AD6801" w:rsidRDefault="000B53B3">
      <w:pPr>
        <w:pStyle w:val="FootnoteText"/>
        <w:rPr>
          <w:rFonts w:asciiTheme="minorHAnsi" w:hAnsiTheme="minorHAnsi"/>
          <w:sz w:val="20"/>
          <w:szCs w:val="20"/>
          <w:lang w:val="nl-NL"/>
        </w:rPr>
      </w:pPr>
      <w:r w:rsidRPr="00AD6801">
        <w:rPr>
          <w:rStyle w:val="FootnoteReference"/>
          <w:sz w:val="20"/>
          <w:szCs w:val="20"/>
        </w:rPr>
        <w:footnoteRef/>
      </w:r>
      <w:r w:rsidRPr="00AD6801">
        <w:rPr>
          <w:sz w:val="20"/>
          <w:szCs w:val="20"/>
        </w:rPr>
        <w:t xml:space="preserve"> </w:t>
      </w:r>
      <w:r w:rsidRPr="00AD6801">
        <w:rPr>
          <w:rFonts w:asciiTheme="minorHAnsi" w:eastAsiaTheme="minorEastAsia" w:hAnsiTheme="minorHAnsi"/>
          <w:sz w:val="20"/>
          <w:szCs w:val="20"/>
          <w:lang w:val="en-US"/>
        </w:rPr>
        <w:t xml:space="preserve">Basu, S., 2007, Global Perspectives on E-Commerce Taxation Law, Hampshire, Ashgate Publishing Limited.  </w:t>
      </w:r>
    </w:p>
  </w:footnote>
  <w:footnote w:id="19">
    <w:p w14:paraId="6ED8244E" w14:textId="4BF9570D" w:rsidR="000B53B3" w:rsidRPr="00AD6801" w:rsidRDefault="000B53B3">
      <w:pPr>
        <w:pStyle w:val="FootnoteText"/>
        <w:rPr>
          <w:sz w:val="20"/>
          <w:szCs w:val="20"/>
          <w:lang w:val="nl-NL"/>
        </w:rPr>
      </w:pPr>
      <w:r w:rsidRPr="00AD6801">
        <w:rPr>
          <w:rStyle w:val="FootnoteReference"/>
          <w:sz w:val="20"/>
          <w:szCs w:val="20"/>
        </w:rPr>
        <w:footnoteRef/>
      </w:r>
      <w:r w:rsidRPr="00AD6801">
        <w:rPr>
          <w:sz w:val="20"/>
          <w:szCs w:val="20"/>
        </w:rPr>
        <w:t xml:space="preserve"> Rasmussen, B.S., 2004, On the Possibility and Desirability of Taxing E-Commerce, University of Aarhus, Working Paper No. 2004-08.</w:t>
      </w:r>
    </w:p>
  </w:footnote>
  <w:footnote w:id="20">
    <w:p w14:paraId="0F211C0B" w14:textId="24448AB0" w:rsidR="000B53B3" w:rsidRPr="001C4F0F" w:rsidRDefault="000B53B3">
      <w:pPr>
        <w:pStyle w:val="FootnoteText"/>
        <w:rPr>
          <w:lang w:val="nl-NL"/>
        </w:rPr>
      </w:pPr>
      <w:r w:rsidRPr="00AD6801">
        <w:rPr>
          <w:rStyle w:val="FootnoteReference"/>
          <w:sz w:val="20"/>
          <w:szCs w:val="20"/>
        </w:rPr>
        <w:footnoteRef/>
      </w:r>
      <w:r w:rsidRPr="00AD6801">
        <w:rPr>
          <w:sz w:val="20"/>
          <w:szCs w:val="20"/>
        </w:rPr>
        <w:t xml:space="preserve"> Rasmussen, B.S., 2004, On the Possibility and Desirability of Taxing E-Commerce, University of Aarhus, Working Paper No. 2004-08</w:t>
      </w:r>
      <w:r>
        <w:rPr>
          <w:sz w:val="20"/>
          <w:szCs w:val="20"/>
        </w:rPr>
        <w:t>.</w:t>
      </w:r>
    </w:p>
  </w:footnote>
  <w:footnote w:id="21">
    <w:p w14:paraId="5B81C33A" w14:textId="3F077C9A" w:rsidR="000B53B3" w:rsidRPr="00AD6801" w:rsidRDefault="000B53B3">
      <w:pPr>
        <w:pStyle w:val="FootnoteText"/>
        <w:rPr>
          <w:sz w:val="20"/>
          <w:szCs w:val="20"/>
          <w:lang w:val="nl-NL"/>
        </w:rPr>
      </w:pPr>
      <w:r w:rsidRPr="00AD6801">
        <w:rPr>
          <w:rStyle w:val="FootnoteReference"/>
          <w:sz w:val="20"/>
          <w:szCs w:val="20"/>
        </w:rPr>
        <w:footnoteRef/>
      </w:r>
      <w:r w:rsidRPr="00AD6801">
        <w:rPr>
          <w:sz w:val="20"/>
          <w:szCs w:val="20"/>
        </w:rPr>
        <w:t xml:space="preserve"> Rasmussen, B.S., 2004, On the Possibility and Desirability of Taxing E-Commerce, University of Aarhus, Working Paper No. 2004-08.</w:t>
      </w:r>
    </w:p>
  </w:footnote>
  <w:footnote w:id="22">
    <w:p w14:paraId="1548E2F2" w14:textId="1C2B95CC" w:rsidR="000B53B3" w:rsidRPr="00AD6801" w:rsidRDefault="000B53B3">
      <w:pPr>
        <w:pStyle w:val="FootnoteText"/>
        <w:rPr>
          <w:sz w:val="20"/>
          <w:szCs w:val="20"/>
          <w:lang w:val="nl-NL"/>
        </w:rPr>
      </w:pPr>
      <w:r w:rsidRPr="00AD6801">
        <w:rPr>
          <w:rStyle w:val="FootnoteReference"/>
          <w:sz w:val="20"/>
          <w:szCs w:val="20"/>
        </w:rPr>
        <w:footnoteRef/>
      </w:r>
      <w:r w:rsidRPr="00AD6801">
        <w:rPr>
          <w:sz w:val="20"/>
          <w:szCs w:val="20"/>
        </w:rPr>
        <w:t xml:space="preserve"> </w:t>
      </w:r>
      <w:r w:rsidRPr="00AD6801">
        <w:rPr>
          <w:sz w:val="20"/>
          <w:szCs w:val="20"/>
          <w:lang w:val="nl-NL"/>
        </w:rPr>
        <w:t>OECD, 1998, Ottowa Taxation Framework Conditio</w:t>
      </w:r>
      <w:r>
        <w:rPr>
          <w:sz w:val="20"/>
          <w:szCs w:val="20"/>
          <w:lang w:val="nl-NL"/>
        </w:rPr>
        <w:t xml:space="preserve">ns. </w:t>
      </w:r>
      <w:r w:rsidRPr="00AD6801">
        <w:rPr>
          <w:sz w:val="20"/>
          <w:szCs w:val="20"/>
          <w:lang w:val="nl-NL"/>
        </w:rPr>
        <w:t>http://www.oecd.org/dataoecd/46/3/1923256.pdf</w:t>
      </w:r>
    </w:p>
  </w:footnote>
  <w:footnote w:id="23">
    <w:p w14:paraId="39AFCA63" w14:textId="1A992216" w:rsidR="000B53B3" w:rsidRPr="00AD6801" w:rsidRDefault="000B53B3">
      <w:pPr>
        <w:pStyle w:val="FootnoteText"/>
        <w:rPr>
          <w:sz w:val="20"/>
          <w:szCs w:val="20"/>
          <w:lang w:val="nl-NL"/>
        </w:rPr>
      </w:pPr>
      <w:r w:rsidRPr="00AD6801">
        <w:rPr>
          <w:rStyle w:val="FootnoteReference"/>
          <w:sz w:val="20"/>
          <w:szCs w:val="20"/>
        </w:rPr>
        <w:footnoteRef/>
      </w:r>
      <w:r w:rsidRPr="00AD6801">
        <w:rPr>
          <w:sz w:val="20"/>
          <w:szCs w:val="20"/>
        </w:rPr>
        <w:t xml:space="preserve"> </w:t>
      </w:r>
      <w:r w:rsidRPr="00AD6801">
        <w:rPr>
          <w:rFonts w:asciiTheme="minorHAnsi" w:eastAsiaTheme="minorEastAsia" w:hAnsiTheme="minorHAnsi"/>
          <w:color w:val="262626"/>
          <w:sz w:val="20"/>
          <w:szCs w:val="20"/>
          <w:lang w:val="en-US"/>
        </w:rPr>
        <w:t xml:space="preserve">Frenkel, J.A., Razin, A., Sadka, E., 1991, International Taxation in an Integrated World, Cambridge, MA: MIT Press. </w:t>
      </w:r>
    </w:p>
  </w:footnote>
  <w:footnote w:id="24">
    <w:p w14:paraId="008709E0" w14:textId="7FBD5545" w:rsidR="000B53B3" w:rsidRPr="008344FE" w:rsidRDefault="000B53B3">
      <w:pPr>
        <w:pStyle w:val="FootnoteText"/>
        <w:rPr>
          <w:sz w:val="20"/>
          <w:szCs w:val="20"/>
          <w:lang w:val="nl-NL"/>
        </w:rPr>
      </w:pPr>
      <w:r w:rsidRPr="00AD6801">
        <w:rPr>
          <w:rStyle w:val="FootnoteReference"/>
          <w:sz w:val="20"/>
          <w:szCs w:val="20"/>
        </w:rPr>
        <w:footnoteRef/>
      </w:r>
      <w:r w:rsidRPr="00AD6801">
        <w:rPr>
          <w:rFonts w:asciiTheme="minorHAnsi" w:eastAsiaTheme="minorEastAsia" w:hAnsiTheme="minorHAnsi"/>
          <w:iCs/>
          <w:sz w:val="20"/>
          <w:szCs w:val="20"/>
          <w:lang w:val="en-US"/>
        </w:rPr>
        <w:t xml:space="preserve">Diamond, P.A., Mirrlees, J.A., 1971, </w:t>
      </w:r>
      <w:r w:rsidRPr="00AD6801">
        <w:rPr>
          <w:rFonts w:asciiTheme="minorHAnsi" w:eastAsiaTheme="minorEastAsia" w:hAnsiTheme="minorHAnsi"/>
          <w:bCs/>
          <w:sz w:val="20"/>
          <w:szCs w:val="20"/>
          <w:lang w:val="en-US"/>
        </w:rPr>
        <w:t>Optimal Taxation and Public Production I: Production Efficiency,</w:t>
      </w:r>
      <w:r w:rsidRPr="00AD6801">
        <w:rPr>
          <w:rFonts w:asciiTheme="minorHAnsi" w:eastAsiaTheme="minorEastAsia" w:hAnsiTheme="minorHAnsi"/>
          <w:iCs/>
          <w:sz w:val="20"/>
          <w:szCs w:val="20"/>
          <w:lang w:val="en-US"/>
        </w:rPr>
        <w:t xml:space="preserve"> The American Economic Review</w:t>
      </w:r>
      <w:r w:rsidRPr="00AD6801">
        <w:rPr>
          <w:rFonts w:asciiTheme="minorHAnsi" w:eastAsiaTheme="minorEastAsia" w:hAnsiTheme="minorHAnsi"/>
          <w:sz w:val="20"/>
          <w:szCs w:val="20"/>
          <w:lang w:val="en-US"/>
        </w:rPr>
        <w:t>, Vol. 61, No. 1 (Mar., 1971), pp. 8-27</w:t>
      </w:r>
    </w:p>
  </w:footnote>
  <w:footnote w:id="25">
    <w:p w14:paraId="1C7C803B" w14:textId="6DA53436" w:rsidR="000B53B3" w:rsidRPr="00AD6801" w:rsidRDefault="000B53B3">
      <w:pPr>
        <w:pStyle w:val="FootnoteText"/>
        <w:rPr>
          <w:sz w:val="20"/>
          <w:szCs w:val="20"/>
          <w:lang w:val="nl-NL"/>
        </w:rPr>
      </w:pPr>
      <w:r w:rsidRPr="00AD6801">
        <w:rPr>
          <w:rStyle w:val="FootnoteReference"/>
          <w:sz w:val="20"/>
          <w:szCs w:val="20"/>
        </w:rPr>
        <w:footnoteRef/>
      </w:r>
      <w:r w:rsidRPr="00AD6801">
        <w:rPr>
          <w:sz w:val="20"/>
          <w:szCs w:val="20"/>
        </w:rPr>
        <w:t xml:space="preserve"> </w:t>
      </w:r>
      <w:r w:rsidRPr="00AD6801">
        <w:rPr>
          <w:rFonts w:asciiTheme="minorHAnsi" w:eastAsiaTheme="minorEastAsia" w:hAnsiTheme="minorHAnsi" w:cs="Times"/>
          <w:sz w:val="20"/>
          <w:szCs w:val="20"/>
          <w:lang w:val="en-US"/>
        </w:rPr>
        <w:t xml:space="preserve">Cordell, A.J., 1995, New Taxes for a New Economy, </w:t>
      </w:r>
      <w:r w:rsidRPr="00AD6801">
        <w:rPr>
          <w:rFonts w:asciiTheme="minorHAnsi" w:eastAsiaTheme="minorEastAsia" w:hAnsiTheme="minorHAnsi" w:cs="Times"/>
          <w:i/>
          <w:iCs/>
          <w:sz w:val="20"/>
          <w:szCs w:val="20"/>
          <w:lang w:val="en-US"/>
        </w:rPr>
        <w:t>Government Information in Canada</w:t>
      </w:r>
      <w:r w:rsidRPr="00AD6801">
        <w:rPr>
          <w:rFonts w:asciiTheme="minorHAnsi" w:eastAsiaTheme="minorEastAsia" w:hAnsiTheme="minorHAnsi" w:cs="Times"/>
          <w:sz w:val="20"/>
          <w:szCs w:val="20"/>
          <w:lang w:val="en-US"/>
        </w:rPr>
        <w:t>, Vol. 2, No. 4.2</w:t>
      </w:r>
    </w:p>
  </w:footnote>
  <w:footnote w:id="26">
    <w:p w14:paraId="66FD48C2" w14:textId="572C00EE" w:rsidR="000B53B3" w:rsidRPr="00F10B9E" w:rsidRDefault="000B53B3">
      <w:pPr>
        <w:pStyle w:val="FootnoteText"/>
        <w:rPr>
          <w:rFonts w:asciiTheme="minorHAnsi" w:hAnsiTheme="minorHAnsi"/>
          <w:sz w:val="20"/>
          <w:szCs w:val="20"/>
          <w:lang w:val="nl-NL"/>
        </w:rPr>
      </w:pPr>
      <w:r w:rsidRPr="00AD6801">
        <w:rPr>
          <w:rStyle w:val="FootnoteReference"/>
          <w:sz w:val="20"/>
          <w:szCs w:val="20"/>
        </w:rPr>
        <w:footnoteRef/>
      </w:r>
      <w:r w:rsidRPr="00AD6801">
        <w:rPr>
          <w:sz w:val="20"/>
          <w:szCs w:val="20"/>
        </w:rPr>
        <w:t xml:space="preserve"> </w:t>
      </w:r>
      <w:r>
        <w:rPr>
          <w:sz w:val="20"/>
          <w:szCs w:val="20"/>
        </w:rPr>
        <w:t>Chan, C.W., 2000, Taxation of Global E-Commerce on the Internet: The Underlying Issues and Proposed Plans</w:t>
      </w:r>
      <w:r w:rsidRPr="00F10B9E">
        <w:rPr>
          <w:rFonts w:asciiTheme="minorHAnsi" w:hAnsiTheme="minorHAnsi"/>
          <w:sz w:val="20"/>
          <w:szCs w:val="20"/>
        </w:rPr>
        <w:t xml:space="preserve">, </w:t>
      </w:r>
      <w:r w:rsidRPr="00F10B9E">
        <w:rPr>
          <w:rFonts w:asciiTheme="minorHAnsi" w:eastAsiaTheme="minorEastAsia" w:hAnsiTheme="minorHAnsi"/>
          <w:sz w:val="20"/>
          <w:szCs w:val="20"/>
          <w:lang w:val="en-US"/>
        </w:rPr>
        <w:t>9 Minn. J. Global Trade 233</w:t>
      </w:r>
      <w:r>
        <w:rPr>
          <w:rFonts w:asciiTheme="minorHAnsi" w:eastAsiaTheme="minorEastAsia" w:hAnsiTheme="minorHAnsi"/>
          <w:sz w:val="20"/>
          <w:szCs w:val="20"/>
          <w:lang w:val="en-US"/>
        </w:rPr>
        <w:t>.</w:t>
      </w:r>
    </w:p>
  </w:footnote>
  <w:footnote w:id="27">
    <w:p w14:paraId="5D37CB32" w14:textId="69C34543" w:rsidR="000B53B3" w:rsidRPr="00AD6801" w:rsidRDefault="000B53B3">
      <w:pPr>
        <w:pStyle w:val="FootnoteText"/>
        <w:rPr>
          <w:sz w:val="20"/>
          <w:szCs w:val="20"/>
          <w:lang w:val="nl-NL"/>
        </w:rPr>
      </w:pPr>
      <w:r w:rsidRPr="00AD6801">
        <w:rPr>
          <w:rStyle w:val="FootnoteReference"/>
          <w:sz w:val="20"/>
          <w:szCs w:val="20"/>
        </w:rPr>
        <w:footnoteRef/>
      </w:r>
      <w:r w:rsidRPr="00AD6801">
        <w:rPr>
          <w:sz w:val="20"/>
          <w:szCs w:val="20"/>
        </w:rPr>
        <w:t xml:space="preserve"> </w:t>
      </w:r>
      <w:r>
        <w:rPr>
          <w:sz w:val="20"/>
          <w:szCs w:val="20"/>
          <w:lang w:val="nl-NL"/>
        </w:rPr>
        <w:t xml:space="preserve">Department of the Treasury, 1996, Selected Tax Policy Implications of Global Electronic Commerce, Paragraph 8.4. </w:t>
      </w:r>
      <w:hyperlink r:id="rId6" w:history="1">
        <w:r w:rsidRPr="001F63DA">
          <w:rPr>
            <w:rStyle w:val="Hyperlink"/>
            <w:sz w:val="20"/>
            <w:szCs w:val="20"/>
            <w:lang w:val="nl-NL"/>
          </w:rPr>
          <w:t>http://www.caltax.org/!treas-ec.html</w:t>
        </w:r>
      </w:hyperlink>
      <w:r>
        <w:rPr>
          <w:sz w:val="20"/>
          <w:szCs w:val="20"/>
          <w:lang w:val="nl-NL"/>
        </w:rPr>
        <w:t xml:space="preserve"> </w:t>
      </w:r>
    </w:p>
  </w:footnote>
  <w:footnote w:id="28">
    <w:p w14:paraId="5C20730E" w14:textId="77777777" w:rsidR="000B53B3" w:rsidRPr="00AD6801" w:rsidRDefault="000B53B3" w:rsidP="00F10B9E">
      <w:pPr>
        <w:pStyle w:val="FootnoteText"/>
        <w:rPr>
          <w:sz w:val="20"/>
          <w:szCs w:val="20"/>
          <w:lang w:val="nl-NL"/>
        </w:rPr>
      </w:pPr>
      <w:r w:rsidRPr="00AD6801">
        <w:rPr>
          <w:rStyle w:val="FootnoteReference"/>
          <w:sz w:val="20"/>
          <w:szCs w:val="20"/>
        </w:rPr>
        <w:footnoteRef/>
      </w:r>
      <w:r w:rsidRPr="00AD6801">
        <w:rPr>
          <w:sz w:val="20"/>
          <w:szCs w:val="20"/>
        </w:rPr>
        <w:t xml:space="preserve"> </w:t>
      </w:r>
      <w:r>
        <w:rPr>
          <w:sz w:val="20"/>
          <w:szCs w:val="20"/>
          <w:lang w:val="nl-NL"/>
        </w:rPr>
        <w:t xml:space="preserve">Department of the Treasury, 1996, Selected Tax Policy Implications of Global Electronic Commerce, Paragraph 8.4. </w:t>
      </w:r>
      <w:hyperlink r:id="rId7" w:history="1">
        <w:r w:rsidRPr="001F63DA">
          <w:rPr>
            <w:rStyle w:val="Hyperlink"/>
            <w:sz w:val="20"/>
            <w:szCs w:val="20"/>
            <w:lang w:val="nl-NL"/>
          </w:rPr>
          <w:t>http://www.caltax.org/!treas-ec.html</w:t>
        </w:r>
      </w:hyperlink>
      <w:r>
        <w:rPr>
          <w:sz w:val="20"/>
          <w:szCs w:val="20"/>
          <w:lang w:val="nl-NL"/>
        </w:rPr>
        <w:t xml:space="preserve"> </w:t>
      </w:r>
    </w:p>
    <w:p w14:paraId="3C556683" w14:textId="61001B34" w:rsidR="000B53B3" w:rsidRPr="00616C11" w:rsidRDefault="000B53B3">
      <w:pPr>
        <w:pStyle w:val="FootnoteText"/>
        <w:rPr>
          <w:lang w:val="nl-NL"/>
        </w:rPr>
      </w:pPr>
    </w:p>
  </w:footnote>
  <w:footnote w:id="29">
    <w:p w14:paraId="3586BD6E" w14:textId="20E47093" w:rsidR="000B53B3" w:rsidRPr="00D7143C" w:rsidRDefault="000B53B3">
      <w:pPr>
        <w:pStyle w:val="FootnoteText"/>
        <w:rPr>
          <w:sz w:val="20"/>
          <w:szCs w:val="20"/>
          <w:lang w:val="nl-NL"/>
        </w:rPr>
      </w:pPr>
      <w:r w:rsidRPr="00D7143C">
        <w:rPr>
          <w:rStyle w:val="FootnoteReference"/>
          <w:sz w:val="20"/>
          <w:szCs w:val="20"/>
        </w:rPr>
        <w:footnoteRef/>
      </w:r>
      <w:r w:rsidRPr="00D7143C">
        <w:rPr>
          <w:sz w:val="20"/>
          <w:szCs w:val="20"/>
        </w:rPr>
        <w:t xml:space="preserve"> Tax Foundation, 1992, Quill Case </w:t>
      </w:r>
      <w:hyperlink r:id="rId8" w:history="1">
        <w:r w:rsidRPr="00D7143C">
          <w:rPr>
            <w:rStyle w:val="Hyperlink"/>
            <w:sz w:val="20"/>
            <w:szCs w:val="20"/>
          </w:rPr>
          <w:t>http://taxfoundation.org/blog/important-tax-cases-quill-corp-v-north-dakota-and-physical-presence-rule-sales-tax-collection</w:t>
        </w:r>
      </w:hyperlink>
      <w:r w:rsidRPr="00D7143C">
        <w:rPr>
          <w:sz w:val="20"/>
          <w:szCs w:val="20"/>
        </w:rPr>
        <w:t xml:space="preserve"> </w:t>
      </w:r>
    </w:p>
  </w:footnote>
  <w:footnote w:id="30">
    <w:p w14:paraId="0E8731E7" w14:textId="06ABC46E" w:rsidR="000B53B3" w:rsidRPr="00D7143C" w:rsidRDefault="000B53B3">
      <w:pPr>
        <w:pStyle w:val="FootnoteText"/>
        <w:rPr>
          <w:sz w:val="20"/>
          <w:szCs w:val="20"/>
          <w:lang w:val="nl-NL"/>
        </w:rPr>
      </w:pPr>
      <w:r w:rsidRPr="00D7143C">
        <w:rPr>
          <w:rStyle w:val="FootnoteReference"/>
          <w:sz w:val="20"/>
          <w:szCs w:val="20"/>
        </w:rPr>
        <w:footnoteRef/>
      </w:r>
      <w:r w:rsidRPr="00D7143C">
        <w:rPr>
          <w:sz w:val="20"/>
          <w:szCs w:val="20"/>
        </w:rPr>
        <w:t xml:space="preserve"> Varian, H.R., 2001, Economics of Information Technology, </w:t>
      </w:r>
      <w:r w:rsidRPr="00D7143C">
        <w:rPr>
          <w:rFonts w:asciiTheme="minorHAnsi" w:eastAsiaTheme="minorEastAsia" w:hAnsiTheme="minorHAnsi" w:cs="Times"/>
          <w:color w:val="000000"/>
          <w:sz w:val="20"/>
          <w:szCs w:val="20"/>
          <w:lang w:val="en-US"/>
        </w:rPr>
        <w:t>Working Paper University of California at Berkeley, http://www.sims.berkeley.edu/~hal/people/hal/papers.html.</w:t>
      </w:r>
    </w:p>
  </w:footnote>
  <w:footnote w:id="31">
    <w:p w14:paraId="0AD1AA76" w14:textId="03D507E0" w:rsidR="000B53B3" w:rsidRPr="00D7143C" w:rsidRDefault="000B53B3">
      <w:pPr>
        <w:pStyle w:val="FootnoteText"/>
        <w:rPr>
          <w:sz w:val="20"/>
          <w:szCs w:val="20"/>
          <w:lang w:val="nl-NL"/>
        </w:rPr>
      </w:pPr>
      <w:r w:rsidRPr="00D7143C">
        <w:rPr>
          <w:rStyle w:val="FootnoteReference"/>
          <w:sz w:val="20"/>
          <w:szCs w:val="20"/>
        </w:rPr>
        <w:footnoteRef/>
      </w:r>
      <w:r w:rsidRPr="00D7143C">
        <w:rPr>
          <w:sz w:val="20"/>
          <w:szCs w:val="20"/>
        </w:rPr>
        <w:t xml:space="preserve"> </w:t>
      </w:r>
      <w:r w:rsidRPr="00D7143C">
        <w:rPr>
          <w:sz w:val="20"/>
          <w:szCs w:val="20"/>
          <w:lang w:val="nl-NL"/>
        </w:rPr>
        <w:t xml:space="preserve">International Tax Freedom Act (ITFA), 1998, </w:t>
      </w:r>
      <w:hyperlink r:id="rId9" w:history="1">
        <w:r w:rsidRPr="00D7143C">
          <w:rPr>
            <w:rStyle w:val="Hyperlink"/>
            <w:sz w:val="20"/>
            <w:szCs w:val="20"/>
            <w:lang w:val="nl-NL"/>
          </w:rPr>
          <w:t>http://www.opencongress.org/bill/110-h3678/show</w:t>
        </w:r>
      </w:hyperlink>
      <w:r w:rsidRPr="00D7143C">
        <w:rPr>
          <w:sz w:val="20"/>
          <w:szCs w:val="20"/>
          <w:lang w:val="nl-NL"/>
        </w:rPr>
        <w:t xml:space="preserve"> </w:t>
      </w:r>
    </w:p>
  </w:footnote>
  <w:footnote w:id="32">
    <w:p w14:paraId="5D1BA2BB" w14:textId="54484063" w:rsidR="000B53B3" w:rsidRPr="00D7143C" w:rsidRDefault="000B53B3">
      <w:pPr>
        <w:pStyle w:val="FootnoteText"/>
        <w:rPr>
          <w:sz w:val="20"/>
          <w:szCs w:val="20"/>
          <w:lang w:val="nl-NL"/>
        </w:rPr>
      </w:pPr>
      <w:r w:rsidRPr="00D7143C">
        <w:rPr>
          <w:rStyle w:val="FootnoteReference"/>
          <w:sz w:val="20"/>
          <w:szCs w:val="20"/>
        </w:rPr>
        <w:footnoteRef/>
      </w:r>
      <w:r w:rsidRPr="00D7143C">
        <w:rPr>
          <w:sz w:val="20"/>
          <w:szCs w:val="20"/>
        </w:rPr>
        <w:t xml:space="preserve"> Rasmussen, B.S., 2004, On the Possibility and Desirability of Taxing E-Commerce, University of Aarhus, Working Paper No. 2004-08.</w:t>
      </w:r>
    </w:p>
  </w:footnote>
  <w:footnote w:id="33">
    <w:p w14:paraId="2DE295A0" w14:textId="79B39961" w:rsidR="000B53B3" w:rsidRPr="00904539" w:rsidRDefault="000B53B3">
      <w:pPr>
        <w:pStyle w:val="FootnoteText"/>
        <w:rPr>
          <w:rFonts w:asciiTheme="minorHAnsi" w:hAnsiTheme="minorHAnsi"/>
          <w:sz w:val="20"/>
          <w:szCs w:val="20"/>
          <w:lang w:val="nl-NL"/>
        </w:rPr>
      </w:pPr>
      <w:r w:rsidRPr="00D7143C">
        <w:rPr>
          <w:rStyle w:val="FootnoteReference"/>
          <w:sz w:val="20"/>
          <w:szCs w:val="20"/>
        </w:rPr>
        <w:footnoteRef/>
      </w:r>
      <w:r w:rsidRPr="00D7143C">
        <w:rPr>
          <w:sz w:val="20"/>
          <w:szCs w:val="20"/>
        </w:rPr>
        <w:t xml:space="preserve"> </w:t>
      </w:r>
      <w:r>
        <w:rPr>
          <w:sz w:val="20"/>
          <w:szCs w:val="20"/>
        </w:rPr>
        <w:t xml:space="preserve">Bruce, D., Fox, W.F., 2004, </w:t>
      </w:r>
      <w:r w:rsidRPr="00D7143C">
        <w:rPr>
          <w:rFonts w:asciiTheme="minorHAnsi" w:eastAsiaTheme="minorEastAsia" w:hAnsiTheme="minorHAnsi"/>
          <w:sz w:val="20"/>
          <w:szCs w:val="20"/>
          <w:lang w:val="en-US"/>
        </w:rPr>
        <w:t xml:space="preserve">State and local sales tax revenue losses from </w:t>
      </w:r>
      <w:r w:rsidRPr="00D7143C">
        <w:rPr>
          <w:rFonts w:asciiTheme="minorHAnsi" w:eastAsiaTheme="minorEastAsia" w:hAnsiTheme="minorHAnsi"/>
          <w:bCs/>
          <w:sz w:val="20"/>
          <w:szCs w:val="20"/>
          <w:lang w:val="en-US"/>
        </w:rPr>
        <w:t>e</w:t>
      </w:r>
      <w:r w:rsidRPr="00D7143C">
        <w:rPr>
          <w:rFonts w:asciiTheme="minorHAnsi" w:eastAsiaTheme="minorEastAsia" w:hAnsiTheme="minorHAnsi"/>
          <w:sz w:val="20"/>
          <w:szCs w:val="20"/>
          <w:lang w:val="en-US"/>
        </w:rPr>
        <w:t>-</w:t>
      </w:r>
      <w:r w:rsidRPr="00D7143C">
        <w:rPr>
          <w:rFonts w:asciiTheme="minorHAnsi" w:eastAsiaTheme="minorEastAsia" w:hAnsiTheme="minorHAnsi"/>
          <w:bCs/>
          <w:sz w:val="20"/>
          <w:szCs w:val="20"/>
          <w:lang w:val="en-US"/>
        </w:rPr>
        <w:t>commerce</w:t>
      </w:r>
      <w:r w:rsidRPr="00D7143C">
        <w:rPr>
          <w:rFonts w:asciiTheme="minorHAnsi" w:eastAsiaTheme="minorEastAsia" w:hAnsiTheme="minorHAnsi"/>
          <w:sz w:val="20"/>
          <w:szCs w:val="20"/>
          <w:lang w:val="en-US"/>
        </w:rPr>
        <w:t xml:space="preserve">: Estimates as of July </w:t>
      </w:r>
      <w:r w:rsidRPr="00D7143C">
        <w:rPr>
          <w:rFonts w:asciiTheme="minorHAnsi" w:eastAsiaTheme="minorEastAsia" w:hAnsiTheme="minorHAnsi"/>
          <w:bCs/>
          <w:sz w:val="20"/>
          <w:szCs w:val="20"/>
          <w:lang w:val="en-US"/>
        </w:rPr>
        <w:t>2004</w:t>
      </w:r>
      <w:r>
        <w:rPr>
          <w:rFonts w:asciiTheme="minorHAnsi" w:eastAsiaTheme="minorEastAsia" w:hAnsiTheme="minorHAnsi"/>
          <w:bCs/>
          <w:sz w:val="20"/>
          <w:szCs w:val="20"/>
          <w:lang w:val="en-US"/>
        </w:rPr>
        <w:t xml:space="preserve">, </w:t>
      </w:r>
      <w:r w:rsidRPr="00904539">
        <w:rPr>
          <w:rFonts w:asciiTheme="minorHAnsi" w:eastAsiaTheme="minorEastAsia" w:hAnsiTheme="minorHAnsi" w:cs="Verdana"/>
          <w:iCs/>
          <w:sz w:val="20"/>
          <w:szCs w:val="20"/>
          <w:lang w:val="en-US"/>
        </w:rPr>
        <w:t>State Tax Notes</w:t>
      </w:r>
      <w:r w:rsidRPr="00904539">
        <w:rPr>
          <w:rFonts w:asciiTheme="minorHAnsi" w:eastAsiaTheme="minorEastAsia" w:hAnsiTheme="minorHAnsi" w:cs="Verdana"/>
          <w:sz w:val="20"/>
          <w:szCs w:val="20"/>
          <w:lang w:val="en-US"/>
        </w:rPr>
        <w:t xml:space="preserve"> 33(7):</w:t>
      </w:r>
      <w:r>
        <w:rPr>
          <w:rFonts w:asciiTheme="minorHAnsi" w:eastAsiaTheme="minorEastAsia" w:hAnsiTheme="minorHAnsi" w:cs="Verdana"/>
          <w:sz w:val="20"/>
          <w:szCs w:val="20"/>
          <w:lang w:val="en-US"/>
        </w:rPr>
        <w:t xml:space="preserve"> </w:t>
      </w:r>
      <w:r w:rsidRPr="00904539">
        <w:rPr>
          <w:rFonts w:asciiTheme="minorHAnsi" w:eastAsiaTheme="minorEastAsia" w:hAnsiTheme="minorHAnsi" w:cs="Verdana"/>
          <w:sz w:val="20"/>
          <w:szCs w:val="20"/>
          <w:lang w:val="en-US"/>
        </w:rPr>
        <w:t>511-518</w:t>
      </w:r>
      <w:r>
        <w:rPr>
          <w:rFonts w:asciiTheme="minorHAnsi" w:eastAsiaTheme="minorEastAsia" w:hAnsiTheme="minorHAnsi" w:cs="Verdana"/>
          <w:sz w:val="20"/>
          <w:szCs w:val="20"/>
          <w:lang w:val="en-US"/>
        </w:rPr>
        <w:t>.</w:t>
      </w:r>
    </w:p>
  </w:footnote>
  <w:footnote w:id="34">
    <w:p w14:paraId="4FE553EE" w14:textId="59891ED2" w:rsidR="000B53B3" w:rsidRPr="00904539" w:rsidRDefault="000B53B3">
      <w:pPr>
        <w:pStyle w:val="FootnoteText"/>
        <w:rPr>
          <w:rFonts w:asciiTheme="minorHAnsi" w:hAnsiTheme="minorHAnsi"/>
          <w:sz w:val="20"/>
          <w:szCs w:val="20"/>
          <w:lang w:val="nl-NL"/>
        </w:rPr>
      </w:pPr>
      <w:r w:rsidRPr="00D7143C">
        <w:rPr>
          <w:rStyle w:val="FootnoteReference"/>
          <w:sz w:val="20"/>
          <w:szCs w:val="20"/>
        </w:rPr>
        <w:footnoteRef/>
      </w:r>
      <w:r w:rsidRPr="00D7143C">
        <w:rPr>
          <w:sz w:val="20"/>
          <w:szCs w:val="20"/>
        </w:rPr>
        <w:t xml:space="preserve"> </w:t>
      </w:r>
      <w:r w:rsidRPr="00904539">
        <w:rPr>
          <w:rFonts w:asciiTheme="minorHAnsi" w:hAnsiTheme="minorHAnsi"/>
          <w:sz w:val="20"/>
          <w:szCs w:val="20"/>
        </w:rPr>
        <w:t xml:space="preserve">Bruce, D., Fox, W.F., Luna, L., 2009, </w:t>
      </w:r>
      <w:r w:rsidRPr="00904539">
        <w:rPr>
          <w:rFonts w:asciiTheme="minorHAnsi" w:eastAsiaTheme="minorEastAsia" w:hAnsiTheme="minorHAnsi" w:cs="Verdana"/>
          <w:bCs/>
          <w:color w:val="262626"/>
          <w:sz w:val="20"/>
          <w:szCs w:val="20"/>
          <w:lang w:val="en-US"/>
        </w:rPr>
        <w:t>State and Local Government Sales Tax Revenue Losses from Electronic Commerce</w:t>
      </w:r>
      <w:r>
        <w:rPr>
          <w:rFonts w:asciiTheme="minorHAnsi" w:eastAsiaTheme="minorEastAsia" w:hAnsiTheme="minorHAnsi" w:cs="Verdana"/>
          <w:bCs/>
          <w:color w:val="262626"/>
          <w:sz w:val="20"/>
          <w:szCs w:val="20"/>
          <w:lang w:val="en-US"/>
        </w:rPr>
        <w:t xml:space="preserve">, </w:t>
      </w:r>
      <w:r w:rsidRPr="00904539">
        <w:rPr>
          <w:rFonts w:asciiTheme="minorHAnsi" w:eastAsiaTheme="minorEastAsia" w:hAnsiTheme="minorHAnsi" w:cs="Verdana"/>
          <w:iCs/>
          <w:sz w:val="20"/>
          <w:szCs w:val="20"/>
          <w:lang w:val="en-US"/>
        </w:rPr>
        <w:t>State Tax Notes</w:t>
      </w:r>
      <w:r w:rsidRPr="00904539">
        <w:rPr>
          <w:rFonts w:asciiTheme="minorHAnsi" w:eastAsiaTheme="minorEastAsia" w:hAnsiTheme="minorHAnsi" w:cs="Verdana"/>
          <w:sz w:val="20"/>
          <w:szCs w:val="20"/>
          <w:lang w:val="en-US"/>
        </w:rPr>
        <w:t xml:space="preserve"> 52(7):</w:t>
      </w:r>
      <w:r>
        <w:rPr>
          <w:rFonts w:asciiTheme="minorHAnsi" w:eastAsiaTheme="minorEastAsia" w:hAnsiTheme="minorHAnsi" w:cs="Verdana"/>
          <w:sz w:val="20"/>
          <w:szCs w:val="20"/>
          <w:lang w:val="en-US"/>
        </w:rPr>
        <w:t xml:space="preserve"> </w:t>
      </w:r>
      <w:r w:rsidRPr="00904539">
        <w:rPr>
          <w:rFonts w:asciiTheme="minorHAnsi" w:eastAsiaTheme="minorEastAsia" w:hAnsiTheme="minorHAnsi" w:cs="Verdana"/>
          <w:sz w:val="20"/>
          <w:szCs w:val="20"/>
          <w:lang w:val="en-US"/>
        </w:rPr>
        <w:t>537-558, May 18.</w:t>
      </w:r>
    </w:p>
  </w:footnote>
  <w:footnote w:id="35">
    <w:p w14:paraId="54DDBF74" w14:textId="30020977" w:rsidR="000B53B3" w:rsidRPr="00904539" w:rsidRDefault="000B53B3">
      <w:pPr>
        <w:pStyle w:val="FootnoteText"/>
        <w:rPr>
          <w:sz w:val="20"/>
          <w:szCs w:val="20"/>
          <w:lang w:val="nl-NL"/>
        </w:rPr>
      </w:pPr>
      <w:r w:rsidRPr="00904539">
        <w:rPr>
          <w:rStyle w:val="FootnoteReference"/>
          <w:sz w:val="20"/>
          <w:szCs w:val="20"/>
        </w:rPr>
        <w:footnoteRef/>
      </w:r>
      <w:r w:rsidRPr="00904539">
        <w:rPr>
          <w:sz w:val="20"/>
          <w:szCs w:val="20"/>
        </w:rPr>
        <w:t xml:space="preserve"> </w:t>
      </w:r>
      <w:r w:rsidRPr="00904539">
        <w:rPr>
          <w:sz w:val="20"/>
          <w:szCs w:val="20"/>
          <w:lang w:val="nl-NL"/>
        </w:rPr>
        <w:t>European Union</w:t>
      </w:r>
      <w:r>
        <w:rPr>
          <w:sz w:val="20"/>
          <w:szCs w:val="20"/>
          <w:lang w:val="nl-NL"/>
        </w:rPr>
        <w:t>,</w:t>
      </w:r>
      <w:r w:rsidRPr="00904539">
        <w:rPr>
          <w:sz w:val="20"/>
          <w:szCs w:val="20"/>
          <w:lang w:val="nl-NL"/>
        </w:rPr>
        <w:t xml:space="preserve"> VAT Directive</w:t>
      </w:r>
      <w:r>
        <w:rPr>
          <w:sz w:val="20"/>
          <w:szCs w:val="20"/>
          <w:lang w:val="nl-NL"/>
        </w:rPr>
        <w:t xml:space="preserve">, 2006, Article 34. </w:t>
      </w:r>
      <w:hyperlink r:id="rId10" w:history="1">
        <w:r w:rsidRPr="001F63DA">
          <w:rPr>
            <w:rStyle w:val="Hyperlink"/>
            <w:sz w:val="20"/>
            <w:szCs w:val="20"/>
            <w:lang w:val="nl-NL"/>
          </w:rPr>
          <w:t>http://eur-lex.europa.eu/LexUriServ/LexUriServ.do?uri=CONSLEG:2006L0112:20110101:EN:PDF</w:t>
        </w:r>
      </w:hyperlink>
      <w:r>
        <w:rPr>
          <w:sz w:val="20"/>
          <w:szCs w:val="20"/>
          <w:lang w:val="nl-NL"/>
        </w:rPr>
        <w:t xml:space="preserve"> </w:t>
      </w:r>
    </w:p>
  </w:footnote>
  <w:footnote w:id="36">
    <w:p w14:paraId="4E8480F5" w14:textId="4A67A5DB" w:rsidR="000B53B3" w:rsidRPr="00904539" w:rsidRDefault="000B53B3">
      <w:pPr>
        <w:pStyle w:val="FootnoteText"/>
        <w:rPr>
          <w:sz w:val="20"/>
          <w:szCs w:val="20"/>
          <w:lang w:val="nl-NL"/>
        </w:rPr>
      </w:pPr>
      <w:r w:rsidRPr="00904539">
        <w:rPr>
          <w:rStyle w:val="FootnoteReference"/>
          <w:sz w:val="20"/>
          <w:szCs w:val="20"/>
        </w:rPr>
        <w:footnoteRef/>
      </w:r>
      <w:r w:rsidRPr="00904539">
        <w:rPr>
          <w:sz w:val="20"/>
          <w:szCs w:val="20"/>
        </w:rPr>
        <w:t xml:space="preserve"> </w:t>
      </w:r>
      <w:r>
        <w:rPr>
          <w:sz w:val="20"/>
          <w:szCs w:val="20"/>
        </w:rPr>
        <w:t xml:space="preserve">European Union, VAT on Electronic Services Regulation, 2003. </w:t>
      </w:r>
      <w:hyperlink r:id="rId11" w:history="1">
        <w:r w:rsidRPr="001F63DA">
          <w:rPr>
            <w:rStyle w:val="Hyperlink"/>
            <w:sz w:val="20"/>
            <w:szCs w:val="20"/>
          </w:rPr>
          <w:t>http://eur-lex.europa.eu/LexUriServ/LexUriServ.do?uri=OJ:L:2003:264:0001:0011:EN:PDF</w:t>
        </w:r>
      </w:hyperlink>
      <w:r>
        <w:rPr>
          <w:sz w:val="20"/>
          <w:szCs w:val="20"/>
        </w:rPr>
        <w:t xml:space="preserve"> </w:t>
      </w:r>
    </w:p>
  </w:footnote>
  <w:footnote w:id="37">
    <w:p w14:paraId="151EBAEB" w14:textId="5789FCD7" w:rsidR="000B53B3" w:rsidRPr="00904539" w:rsidRDefault="000B53B3">
      <w:pPr>
        <w:pStyle w:val="FootnoteText"/>
        <w:rPr>
          <w:sz w:val="20"/>
          <w:szCs w:val="20"/>
          <w:lang w:val="nl-NL"/>
        </w:rPr>
      </w:pPr>
      <w:r w:rsidRPr="00904539">
        <w:rPr>
          <w:rStyle w:val="FootnoteReference"/>
          <w:sz w:val="20"/>
          <w:szCs w:val="20"/>
        </w:rPr>
        <w:footnoteRef/>
      </w:r>
      <w:r w:rsidRPr="00904539">
        <w:rPr>
          <w:sz w:val="20"/>
          <w:szCs w:val="20"/>
        </w:rPr>
        <w:t xml:space="preserve"> Rasmussen, B.S., 2004, On the Possibility and Desirability of Taxing E-Commerce, University of Aarhus, Working Paper No. 2004-08.</w:t>
      </w:r>
    </w:p>
  </w:footnote>
  <w:footnote w:id="38">
    <w:p w14:paraId="609C31B3" w14:textId="5D99E3C9" w:rsidR="000B53B3" w:rsidRPr="00904539" w:rsidRDefault="000B53B3">
      <w:pPr>
        <w:pStyle w:val="FootnoteText"/>
        <w:rPr>
          <w:rFonts w:asciiTheme="minorHAnsi" w:hAnsiTheme="minorHAnsi"/>
          <w:sz w:val="20"/>
          <w:szCs w:val="20"/>
          <w:lang w:val="nl-NL"/>
        </w:rPr>
      </w:pPr>
      <w:r w:rsidRPr="00904539">
        <w:rPr>
          <w:rStyle w:val="FootnoteReference"/>
          <w:sz w:val="20"/>
          <w:szCs w:val="20"/>
        </w:rPr>
        <w:footnoteRef/>
      </w:r>
      <w:r>
        <w:t xml:space="preserve"> </w:t>
      </w:r>
      <w:r w:rsidRPr="00AD6801">
        <w:rPr>
          <w:rFonts w:asciiTheme="minorHAnsi" w:eastAsiaTheme="minorEastAsia" w:hAnsiTheme="minorHAnsi"/>
          <w:sz w:val="20"/>
          <w:szCs w:val="20"/>
          <w:lang w:val="en-US"/>
        </w:rPr>
        <w:t xml:space="preserve">Basu, S., 2007, Global Perspectives on E-Commerce Taxation Law, Hampshire, Ashgate Publishing Limited.  </w:t>
      </w:r>
    </w:p>
  </w:footnote>
  <w:footnote w:id="39">
    <w:p w14:paraId="26319840" w14:textId="610BBF92" w:rsidR="000B53B3" w:rsidRPr="00647AC3" w:rsidRDefault="000B53B3">
      <w:pPr>
        <w:pStyle w:val="FootnoteText"/>
        <w:rPr>
          <w:sz w:val="20"/>
          <w:szCs w:val="20"/>
          <w:lang w:val="nl-NL"/>
        </w:rPr>
      </w:pPr>
      <w:r w:rsidRPr="00647AC3">
        <w:rPr>
          <w:rStyle w:val="FootnoteReference"/>
          <w:sz w:val="20"/>
          <w:szCs w:val="20"/>
        </w:rPr>
        <w:footnoteRef/>
      </w:r>
      <w:r w:rsidRPr="00647AC3">
        <w:rPr>
          <w:sz w:val="20"/>
          <w:szCs w:val="20"/>
        </w:rPr>
        <w:t xml:space="preserve"> Rasmussen, B.S., 2004, On the Possibility and Desirability of Taxing E-Commerce, University of Aarhus, Working Paper No. 2004-08.</w:t>
      </w:r>
    </w:p>
  </w:footnote>
  <w:footnote w:id="40">
    <w:p w14:paraId="470249AD" w14:textId="1E3D06C4" w:rsidR="000B53B3" w:rsidRPr="00647AC3" w:rsidRDefault="000B53B3">
      <w:pPr>
        <w:pStyle w:val="FootnoteText"/>
        <w:rPr>
          <w:sz w:val="20"/>
          <w:szCs w:val="20"/>
          <w:lang w:val="nl-NL"/>
        </w:rPr>
      </w:pPr>
      <w:r w:rsidRPr="00647AC3">
        <w:rPr>
          <w:rStyle w:val="FootnoteReference"/>
          <w:sz w:val="20"/>
          <w:szCs w:val="20"/>
        </w:rPr>
        <w:footnoteRef/>
      </w:r>
      <w:r w:rsidRPr="00647AC3">
        <w:rPr>
          <w:sz w:val="20"/>
          <w:szCs w:val="20"/>
        </w:rPr>
        <w:t xml:space="preserve"> </w:t>
      </w:r>
      <w:r w:rsidRPr="00770435">
        <w:rPr>
          <w:rFonts w:asciiTheme="minorHAnsi" w:hAnsiTheme="minorHAnsi"/>
          <w:sz w:val="20"/>
          <w:szCs w:val="20"/>
          <w:lang w:val="nl-NL"/>
        </w:rPr>
        <w:t xml:space="preserve">Lukas, A., 1999, </w:t>
      </w:r>
      <w:r w:rsidRPr="00770435">
        <w:rPr>
          <w:rFonts w:asciiTheme="minorHAnsi" w:eastAsiaTheme="minorEastAsia" w:hAnsiTheme="minorHAnsi"/>
          <w:sz w:val="20"/>
          <w:szCs w:val="20"/>
          <w:u w:color="0004C4"/>
          <w:lang w:val="en-US"/>
        </w:rPr>
        <w:t>Tax Bytes: A Primer on the Taxation of Electronic Commerce, Trade Policy Analysis, Issue 9.</w:t>
      </w:r>
    </w:p>
  </w:footnote>
  <w:footnote w:id="41">
    <w:p w14:paraId="52416D67" w14:textId="7672F3F3" w:rsidR="000B53B3" w:rsidRPr="009A23E0" w:rsidRDefault="000B53B3">
      <w:pPr>
        <w:pStyle w:val="FootnoteText"/>
        <w:rPr>
          <w:rFonts w:asciiTheme="minorHAnsi" w:hAnsiTheme="minorHAnsi"/>
          <w:sz w:val="20"/>
          <w:szCs w:val="20"/>
          <w:lang w:val="nl-NL"/>
        </w:rPr>
      </w:pPr>
      <w:r w:rsidRPr="009A23E0">
        <w:rPr>
          <w:rStyle w:val="FootnoteReference"/>
          <w:rFonts w:asciiTheme="minorHAnsi" w:hAnsiTheme="minorHAnsi"/>
          <w:sz w:val="20"/>
          <w:szCs w:val="20"/>
        </w:rPr>
        <w:footnoteRef/>
      </w:r>
      <w:r w:rsidRPr="009A23E0">
        <w:rPr>
          <w:rFonts w:asciiTheme="minorHAnsi" w:hAnsiTheme="minorHAnsi"/>
          <w:sz w:val="20"/>
          <w:szCs w:val="20"/>
        </w:rPr>
        <w:t xml:space="preserve"> </w:t>
      </w:r>
      <w:r w:rsidRPr="009A23E0">
        <w:rPr>
          <w:rFonts w:asciiTheme="minorHAnsi" w:eastAsiaTheme="minorEastAsia" w:hAnsiTheme="minorHAnsi" w:cs="Times"/>
          <w:color w:val="000000"/>
          <w:sz w:val="20"/>
          <w:szCs w:val="20"/>
          <w:lang w:val="en-US"/>
        </w:rPr>
        <w:t xml:space="preserve">Gilmore, J.S., 1999, No Internet Tax, A Proposal Submitted to the ‘Policies &amp; Options’ Paper Of the Advisory Commission on Electronic Commerce. </w:t>
      </w:r>
      <w:hyperlink r:id="rId12" w:history="1">
        <w:r w:rsidRPr="009A23E0">
          <w:rPr>
            <w:rStyle w:val="Hyperlink"/>
            <w:rFonts w:asciiTheme="minorHAnsi" w:eastAsiaTheme="minorEastAsia" w:hAnsiTheme="minorHAnsi" w:cs="Times"/>
            <w:sz w:val="20"/>
            <w:szCs w:val="20"/>
            <w:lang w:val="en-US"/>
          </w:rPr>
          <w:t>http://lobby.la.psu.edu/043_3%25_Excise_Tax/Organizational_Statements/Americans_for_Tax_Reform/ATR_Gov_%20James_Gilmore's_No_Internet_Tax_Plan.htm</w:t>
        </w:r>
      </w:hyperlink>
      <w:r w:rsidRPr="009A23E0">
        <w:rPr>
          <w:rFonts w:asciiTheme="minorHAnsi" w:eastAsiaTheme="minorEastAsia" w:hAnsiTheme="minorHAnsi" w:cs="Times"/>
          <w:color w:val="000000"/>
          <w:sz w:val="20"/>
          <w:szCs w:val="20"/>
          <w:lang w:val="en-US"/>
        </w:rPr>
        <w:t xml:space="preserve"> </w:t>
      </w:r>
    </w:p>
  </w:footnote>
  <w:footnote w:id="42">
    <w:p w14:paraId="764AB900" w14:textId="18DC0E17" w:rsidR="000B53B3" w:rsidRPr="00647AC3" w:rsidRDefault="000B53B3" w:rsidP="00647AC3">
      <w:pPr>
        <w:pStyle w:val="FootnoteText"/>
        <w:spacing w:line="276" w:lineRule="auto"/>
        <w:rPr>
          <w:sz w:val="20"/>
          <w:szCs w:val="20"/>
          <w:lang w:val="nl-NL"/>
        </w:rPr>
      </w:pPr>
      <w:r w:rsidRPr="00647AC3">
        <w:rPr>
          <w:rStyle w:val="FootnoteReference"/>
          <w:sz w:val="20"/>
          <w:szCs w:val="20"/>
        </w:rPr>
        <w:footnoteRef/>
      </w:r>
      <w:r w:rsidRPr="00647AC3">
        <w:rPr>
          <w:sz w:val="20"/>
          <w:szCs w:val="20"/>
        </w:rPr>
        <w:t xml:space="preserve"> </w:t>
      </w:r>
      <w:r w:rsidRPr="00647AC3">
        <w:rPr>
          <w:sz w:val="20"/>
          <w:szCs w:val="20"/>
          <w:lang w:val="nl-NL"/>
        </w:rPr>
        <w:t>Goolsbee, A., 2000, In a World without Borders: The Impact of Taxes on Internet Taxes, Quarterly Journal of Economics, 115 (May), 561, 576.</w:t>
      </w:r>
    </w:p>
  </w:footnote>
  <w:footnote w:id="43">
    <w:p w14:paraId="46463218" w14:textId="0ACD26EB" w:rsidR="000B53B3" w:rsidRPr="00647AC3" w:rsidRDefault="000B53B3" w:rsidP="00647AC3">
      <w:pPr>
        <w:widowControl w:val="0"/>
        <w:autoSpaceDE w:val="0"/>
        <w:autoSpaceDN w:val="0"/>
        <w:adjustRightInd w:val="0"/>
        <w:spacing w:line="276" w:lineRule="auto"/>
        <w:rPr>
          <w:rFonts w:asciiTheme="minorHAnsi" w:eastAsiaTheme="minorEastAsia" w:hAnsiTheme="minorHAnsi" w:cs="Trebuchet MS"/>
          <w:sz w:val="20"/>
          <w:szCs w:val="20"/>
          <w:lang w:val="en-US"/>
        </w:rPr>
      </w:pPr>
      <w:r w:rsidRPr="00647AC3">
        <w:rPr>
          <w:rStyle w:val="FootnoteReference"/>
          <w:sz w:val="20"/>
          <w:szCs w:val="20"/>
        </w:rPr>
        <w:footnoteRef/>
      </w:r>
      <w:r w:rsidRPr="00647AC3">
        <w:rPr>
          <w:sz w:val="20"/>
          <w:szCs w:val="20"/>
        </w:rPr>
        <w:t xml:space="preserve"> </w:t>
      </w:r>
      <w:r w:rsidRPr="00647AC3">
        <w:rPr>
          <w:sz w:val="20"/>
          <w:szCs w:val="20"/>
          <w:lang w:val="nl-NL"/>
        </w:rPr>
        <w:t>McLure</w:t>
      </w:r>
      <w:r>
        <w:rPr>
          <w:sz w:val="20"/>
          <w:szCs w:val="20"/>
          <w:lang w:val="nl-NL"/>
        </w:rPr>
        <w:t xml:space="preserve">, C.E., 1999, </w:t>
      </w:r>
      <w:r w:rsidRPr="00647AC3">
        <w:rPr>
          <w:rFonts w:asciiTheme="minorHAnsi" w:eastAsiaTheme="minorEastAsia" w:hAnsiTheme="minorHAnsi"/>
          <w:sz w:val="20"/>
          <w:szCs w:val="20"/>
          <w:u w:color="0004C4"/>
          <w:lang w:val="en-US"/>
        </w:rPr>
        <w:t>Electronic commerce and the state retail sales tax: a challenge to American federalism</w:t>
      </w:r>
      <w:r>
        <w:rPr>
          <w:rFonts w:asciiTheme="minorHAnsi" w:eastAsiaTheme="minorEastAsia" w:hAnsiTheme="minorHAnsi"/>
          <w:sz w:val="20"/>
          <w:szCs w:val="20"/>
          <w:u w:color="0004C4"/>
          <w:lang w:val="en-US"/>
        </w:rPr>
        <w:t xml:space="preserve">, </w:t>
      </w:r>
      <w:r w:rsidRPr="00647AC3">
        <w:rPr>
          <w:rFonts w:asciiTheme="minorHAnsi" w:eastAsiaTheme="minorEastAsia" w:hAnsiTheme="minorHAnsi" w:cs="Trebuchet MS"/>
          <w:sz w:val="20"/>
          <w:szCs w:val="20"/>
          <w:lang w:val="en-US"/>
        </w:rPr>
        <w:t>International</w:t>
      </w:r>
      <w:r>
        <w:rPr>
          <w:rFonts w:asciiTheme="minorHAnsi" w:eastAsiaTheme="minorEastAsia" w:hAnsiTheme="minorHAnsi" w:cs="Trebuchet MS"/>
          <w:sz w:val="20"/>
          <w:szCs w:val="20"/>
          <w:lang w:val="en-US"/>
        </w:rPr>
        <w:t xml:space="preserve"> Tax and Public Finance,</w:t>
      </w:r>
      <w:hyperlink r:id="rId13" w:history="1">
        <w:r w:rsidRPr="00647AC3">
          <w:rPr>
            <w:rFonts w:asciiTheme="minorHAnsi" w:eastAsiaTheme="minorEastAsia" w:hAnsiTheme="minorHAnsi" w:cs="Trebuchet MS"/>
            <w:sz w:val="20"/>
            <w:szCs w:val="20"/>
            <w:lang w:val="en-US"/>
          </w:rPr>
          <w:t>Volume 6, Number 2</w:t>
        </w:r>
      </w:hyperlink>
      <w:r w:rsidRPr="00647AC3">
        <w:rPr>
          <w:rFonts w:asciiTheme="minorHAnsi" w:eastAsiaTheme="minorEastAsia" w:hAnsiTheme="minorHAnsi" w:cs="Trebuchet MS"/>
          <w:sz w:val="20"/>
          <w:szCs w:val="20"/>
          <w:lang w:val="en-US"/>
        </w:rPr>
        <w:t xml:space="preserve"> (1999), 193-224</w:t>
      </w:r>
    </w:p>
  </w:footnote>
  <w:footnote w:id="44">
    <w:p w14:paraId="3612AC87" w14:textId="375A1D1C" w:rsidR="000B53B3" w:rsidRPr="004B0834" w:rsidRDefault="000B53B3">
      <w:pPr>
        <w:pStyle w:val="FootnoteText"/>
        <w:rPr>
          <w:lang w:val="nl-NL"/>
        </w:rPr>
      </w:pPr>
      <w:r>
        <w:rPr>
          <w:rStyle w:val="FootnoteReference"/>
        </w:rPr>
        <w:footnoteRef/>
      </w:r>
      <w:r>
        <w:t xml:space="preserve"> </w:t>
      </w:r>
      <w:r w:rsidRPr="00AD6801">
        <w:rPr>
          <w:sz w:val="20"/>
          <w:szCs w:val="20"/>
        </w:rPr>
        <w:t>Z</w:t>
      </w:r>
      <w:r w:rsidRPr="00AD6801">
        <w:rPr>
          <w:rFonts w:eastAsiaTheme="minorEastAsia" w:cs="Lucida Grande"/>
          <w:sz w:val="20"/>
          <w:szCs w:val="20"/>
          <w:lang w:val="en-US"/>
        </w:rPr>
        <w:t xml:space="preserve">odrow, G.R., 2003, </w:t>
      </w:r>
      <w:hyperlink r:id="rId14" w:history="1">
        <w:r w:rsidRPr="00AD6801">
          <w:rPr>
            <w:rFonts w:eastAsiaTheme="minorEastAsia" w:cs="Lucida Grande"/>
            <w:bCs/>
            <w:sz w:val="20"/>
            <w:szCs w:val="20"/>
            <w:lang w:val="en-US"/>
          </w:rPr>
          <w:t>Network Externalities and Indirect Tax Preferences for Electronic Commerce</w:t>
        </w:r>
      </w:hyperlink>
      <w:r w:rsidRPr="00AD6801">
        <w:rPr>
          <w:rFonts w:eastAsiaTheme="minorEastAsia" w:cs="Lucida Grande"/>
          <w:sz w:val="20"/>
          <w:szCs w:val="20"/>
          <w:lang w:val="en-US"/>
        </w:rPr>
        <w:t xml:space="preserve">, </w:t>
      </w:r>
      <w:hyperlink r:id="rId15" w:history="1">
        <w:r w:rsidRPr="00AD6801">
          <w:rPr>
            <w:rFonts w:eastAsiaTheme="minorEastAsia" w:cs="Lucida Grande"/>
            <w:sz w:val="20"/>
            <w:szCs w:val="20"/>
            <w:lang w:val="en-US"/>
          </w:rPr>
          <w:t>International Tax and Public Finance</w:t>
        </w:r>
      </w:hyperlink>
      <w:r w:rsidRPr="00AD6801">
        <w:rPr>
          <w:rFonts w:eastAsiaTheme="minorEastAsia" w:cs="Lucida Grande"/>
          <w:sz w:val="20"/>
          <w:szCs w:val="20"/>
          <w:lang w:val="en-US"/>
        </w:rPr>
        <w:t>, Springer, vol. 10(1), pages 79-97, January.</w:t>
      </w:r>
    </w:p>
  </w:footnote>
  <w:footnote w:id="45">
    <w:p w14:paraId="631942A5" w14:textId="48BB671F" w:rsidR="000B53B3" w:rsidRPr="004B0834" w:rsidRDefault="000B53B3">
      <w:pPr>
        <w:pStyle w:val="FootnoteText"/>
        <w:rPr>
          <w:lang w:val="nl-NL"/>
        </w:rPr>
      </w:pPr>
      <w:r>
        <w:rPr>
          <w:rStyle w:val="FootnoteReference"/>
        </w:rPr>
        <w:footnoteRef/>
      </w:r>
      <w:r>
        <w:t xml:space="preserve"> </w:t>
      </w:r>
      <w:r>
        <w:rPr>
          <w:sz w:val="20"/>
          <w:szCs w:val="20"/>
        </w:rPr>
        <w:t>Rasmussen, B.S., 2004, On the Possibility and Desirability of Taxing E-Commerce, University of Aarhus, Working Paper No. 2004-08.</w:t>
      </w:r>
    </w:p>
  </w:footnote>
  <w:footnote w:id="46">
    <w:p w14:paraId="4B9E3C6D" w14:textId="0BD5A960" w:rsidR="000B53B3" w:rsidRPr="00770435" w:rsidRDefault="000B53B3">
      <w:pPr>
        <w:pStyle w:val="FootnoteText"/>
        <w:rPr>
          <w:rFonts w:asciiTheme="minorHAnsi" w:hAnsiTheme="minorHAnsi"/>
          <w:sz w:val="20"/>
          <w:szCs w:val="20"/>
          <w:lang w:val="nl-NL"/>
        </w:rPr>
      </w:pPr>
      <w:r w:rsidRPr="00770435">
        <w:rPr>
          <w:rStyle w:val="FootnoteReference"/>
          <w:rFonts w:asciiTheme="minorHAnsi" w:hAnsiTheme="minorHAnsi"/>
          <w:sz w:val="20"/>
          <w:szCs w:val="20"/>
        </w:rPr>
        <w:footnoteRef/>
      </w:r>
      <w:r w:rsidRPr="00770435">
        <w:rPr>
          <w:rFonts w:asciiTheme="minorHAnsi" w:hAnsiTheme="minorHAnsi"/>
          <w:sz w:val="20"/>
          <w:szCs w:val="20"/>
        </w:rPr>
        <w:t xml:space="preserve"> </w:t>
      </w:r>
      <w:r w:rsidRPr="00770435">
        <w:rPr>
          <w:rFonts w:asciiTheme="minorHAnsi" w:hAnsiTheme="minorHAnsi"/>
          <w:sz w:val="20"/>
          <w:szCs w:val="20"/>
          <w:lang w:val="nl-NL"/>
        </w:rPr>
        <w:t xml:space="preserve">OECD, 2010 (latest update), Model Tax Treaty. </w:t>
      </w:r>
      <w:hyperlink r:id="rId16" w:history="1">
        <w:r w:rsidRPr="00770435">
          <w:rPr>
            <w:rStyle w:val="Hyperlink"/>
            <w:rFonts w:asciiTheme="minorHAnsi" w:hAnsiTheme="minorHAnsi"/>
            <w:sz w:val="20"/>
            <w:szCs w:val="20"/>
            <w:lang w:val="nl-NL"/>
          </w:rPr>
          <w:t>http://www.keepeek.com/Digital-Asset-Management/oecd/taxation/model-tax-convention-on-income-and-on-capital-condensed-version-2010_mtc_cond-2010-en</w:t>
        </w:r>
      </w:hyperlink>
      <w:r w:rsidRPr="00770435">
        <w:rPr>
          <w:rFonts w:asciiTheme="minorHAnsi" w:hAnsiTheme="minorHAnsi"/>
          <w:sz w:val="20"/>
          <w:szCs w:val="20"/>
          <w:lang w:val="nl-NL"/>
        </w:rPr>
        <w:t xml:space="preserve"> </w:t>
      </w:r>
    </w:p>
  </w:footnote>
  <w:footnote w:id="47">
    <w:p w14:paraId="23226C5E" w14:textId="7D6F38B1" w:rsidR="000B53B3" w:rsidRPr="00770435" w:rsidRDefault="000B53B3">
      <w:pPr>
        <w:pStyle w:val="FootnoteText"/>
        <w:rPr>
          <w:rFonts w:asciiTheme="minorHAnsi" w:hAnsiTheme="minorHAnsi"/>
          <w:sz w:val="20"/>
          <w:szCs w:val="20"/>
          <w:lang w:val="nl-NL"/>
        </w:rPr>
      </w:pPr>
      <w:r w:rsidRPr="00770435">
        <w:rPr>
          <w:rStyle w:val="FootnoteReference"/>
          <w:rFonts w:asciiTheme="minorHAnsi" w:hAnsiTheme="minorHAnsi"/>
          <w:sz w:val="20"/>
          <w:szCs w:val="20"/>
        </w:rPr>
        <w:footnoteRef/>
      </w:r>
      <w:r w:rsidRPr="00770435">
        <w:rPr>
          <w:rFonts w:asciiTheme="minorHAnsi" w:hAnsiTheme="minorHAnsi"/>
          <w:sz w:val="20"/>
          <w:szCs w:val="20"/>
        </w:rPr>
        <w:t xml:space="preserve"> </w:t>
      </w:r>
      <w:r w:rsidRPr="00770435">
        <w:rPr>
          <w:rFonts w:asciiTheme="minorHAnsi" w:hAnsiTheme="minorHAnsi"/>
          <w:sz w:val="20"/>
          <w:szCs w:val="20"/>
          <w:lang w:val="nl-NL"/>
        </w:rPr>
        <w:t>OECD, 1998, Ottowa Taxation Framework Conditions. http://www.oecd.org/dataoecd/46/3/1923256.pdf</w:t>
      </w:r>
    </w:p>
  </w:footnote>
  <w:footnote w:id="48">
    <w:p w14:paraId="5E2DE4D2" w14:textId="140CB22A" w:rsidR="000B53B3" w:rsidRPr="00770435" w:rsidRDefault="000B53B3" w:rsidP="00AF2FC7">
      <w:pPr>
        <w:pStyle w:val="FootnoteText"/>
        <w:rPr>
          <w:lang w:val="nl-NL"/>
        </w:rPr>
      </w:pPr>
      <w:r w:rsidRPr="00770435">
        <w:rPr>
          <w:rStyle w:val="FootnoteReference"/>
          <w:rFonts w:asciiTheme="minorHAnsi" w:hAnsiTheme="minorHAnsi"/>
          <w:sz w:val="20"/>
          <w:szCs w:val="20"/>
        </w:rPr>
        <w:footnoteRef/>
      </w:r>
      <w:r w:rsidRPr="00770435">
        <w:t xml:space="preserve"> </w:t>
      </w:r>
      <w:r w:rsidRPr="00770435">
        <w:rPr>
          <w:rFonts w:asciiTheme="minorHAnsi" w:eastAsiaTheme="minorEastAsia" w:hAnsiTheme="minorHAnsi"/>
          <w:sz w:val="20"/>
          <w:szCs w:val="20"/>
          <w:lang w:val="en-US"/>
        </w:rPr>
        <w:t>Landau, T.M., Doornbosch, H., Del Castillo, N.,</w:t>
      </w:r>
      <w:r>
        <w:rPr>
          <w:rFonts w:asciiTheme="minorHAnsi" w:eastAsiaTheme="minorEastAsia" w:hAnsiTheme="minorHAnsi"/>
          <w:sz w:val="20"/>
          <w:szCs w:val="20"/>
          <w:lang w:val="en-US"/>
        </w:rPr>
        <w:t xml:space="preserve"> 2002,</w:t>
      </w:r>
      <w:r w:rsidRPr="00770435">
        <w:rPr>
          <w:rFonts w:asciiTheme="minorHAnsi" w:eastAsiaTheme="minorEastAsia" w:hAnsiTheme="minorHAnsi"/>
          <w:sz w:val="20"/>
          <w:szCs w:val="20"/>
          <w:lang w:val="en-US"/>
        </w:rPr>
        <w:t xml:space="preserve"> How to minimize the global PE risk, </w:t>
      </w:r>
      <w:r>
        <w:rPr>
          <w:rFonts w:asciiTheme="minorHAnsi" w:eastAsiaTheme="minorEastAsia" w:hAnsiTheme="minorHAnsi"/>
          <w:sz w:val="20"/>
          <w:szCs w:val="20"/>
          <w:lang w:val="en-US"/>
        </w:rPr>
        <w:t>13 Int'l Tax Rev. 50.</w:t>
      </w:r>
    </w:p>
  </w:footnote>
  <w:footnote w:id="49">
    <w:p w14:paraId="4CF3A5E4" w14:textId="1ADD14B9" w:rsidR="000B53B3" w:rsidRPr="00E80160" w:rsidRDefault="000B53B3">
      <w:pPr>
        <w:pStyle w:val="FootnoteText"/>
        <w:rPr>
          <w:rFonts w:asciiTheme="minorHAnsi" w:hAnsiTheme="minorHAnsi"/>
          <w:lang w:val="nl-NL"/>
        </w:rPr>
      </w:pPr>
      <w:r w:rsidRPr="00E80160">
        <w:rPr>
          <w:rStyle w:val="FootnoteReference"/>
          <w:sz w:val="20"/>
          <w:szCs w:val="20"/>
        </w:rPr>
        <w:footnoteRef/>
      </w:r>
      <w:r w:rsidRPr="00E80160">
        <w:rPr>
          <w:sz w:val="20"/>
          <w:szCs w:val="20"/>
        </w:rPr>
        <w:t xml:space="preserve"> </w:t>
      </w:r>
      <w:r w:rsidRPr="00E80160">
        <w:rPr>
          <w:sz w:val="20"/>
          <w:szCs w:val="20"/>
          <w:lang w:val="nl-NL"/>
        </w:rPr>
        <w:t>Cockfield, A.J., 2006, The Rise of the OECD as Informal “World Tax Organisation” Through National Responses to E-Commerce Tax Challenges</w:t>
      </w:r>
      <w:r w:rsidRPr="00E80160">
        <w:rPr>
          <w:rFonts w:asciiTheme="minorHAnsi" w:hAnsiTheme="minorHAnsi"/>
          <w:sz w:val="20"/>
          <w:szCs w:val="20"/>
          <w:lang w:val="nl-NL"/>
        </w:rPr>
        <w:t xml:space="preserve">, </w:t>
      </w:r>
      <w:r w:rsidRPr="00E80160">
        <w:rPr>
          <w:rFonts w:asciiTheme="minorHAnsi" w:eastAsiaTheme="minorEastAsia" w:hAnsiTheme="minorHAnsi"/>
          <w:sz w:val="20"/>
          <w:szCs w:val="20"/>
          <w:lang w:val="en-US"/>
        </w:rPr>
        <w:t>8 Yale J.L. &amp; Tech. 136</w:t>
      </w:r>
      <w:r>
        <w:rPr>
          <w:rFonts w:asciiTheme="minorHAnsi" w:eastAsiaTheme="minorEastAsia" w:hAnsiTheme="minorHAnsi"/>
          <w:sz w:val="20"/>
          <w:szCs w:val="20"/>
          <w:lang w:val="en-US"/>
        </w:rPr>
        <w:t xml:space="preserve">. </w:t>
      </w:r>
    </w:p>
  </w:footnote>
  <w:footnote w:id="50">
    <w:p w14:paraId="04F40F2E" w14:textId="47E3FC86" w:rsidR="000B53B3" w:rsidRPr="001617B0" w:rsidRDefault="000B53B3">
      <w:pPr>
        <w:pStyle w:val="FootnoteText"/>
        <w:rPr>
          <w:sz w:val="20"/>
          <w:szCs w:val="20"/>
          <w:lang w:val="nl-NL"/>
        </w:rPr>
      </w:pPr>
      <w:r w:rsidRPr="001617B0">
        <w:rPr>
          <w:rStyle w:val="FootnoteReference"/>
          <w:sz w:val="20"/>
          <w:szCs w:val="20"/>
        </w:rPr>
        <w:footnoteRef/>
      </w:r>
      <w:r w:rsidRPr="001617B0">
        <w:rPr>
          <w:sz w:val="20"/>
          <w:szCs w:val="20"/>
        </w:rPr>
        <w:t xml:space="preserve"> </w:t>
      </w:r>
      <w:r w:rsidRPr="001617B0">
        <w:rPr>
          <w:sz w:val="20"/>
          <w:szCs w:val="20"/>
          <w:lang w:val="nl-NL"/>
        </w:rPr>
        <w:t xml:space="preserve">Slaughter, A.M., 2004, A new World Order, Oxford University Press. </w:t>
      </w:r>
    </w:p>
  </w:footnote>
  <w:footnote w:id="51">
    <w:p w14:paraId="525082F6" w14:textId="5CA5B8C9" w:rsidR="000B53B3" w:rsidRPr="00EB77BB" w:rsidRDefault="000B53B3">
      <w:pPr>
        <w:pStyle w:val="FootnoteText"/>
        <w:rPr>
          <w:lang w:val="nl-NL"/>
        </w:rPr>
      </w:pPr>
      <w:r w:rsidRPr="001617B0">
        <w:rPr>
          <w:rStyle w:val="FootnoteReference"/>
          <w:sz w:val="20"/>
          <w:szCs w:val="20"/>
        </w:rPr>
        <w:footnoteRef/>
      </w:r>
      <w:r w:rsidRPr="001617B0">
        <w:rPr>
          <w:sz w:val="20"/>
          <w:szCs w:val="20"/>
        </w:rPr>
        <w:t xml:space="preserve"> </w:t>
      </w:r>
      <w:r w:rsidRPr="001617B0">
        <w:rPr>
          <w:sz w:val="20"/>
          <w:szCs w:val="20"/>
          <w:lang w:val="nl-NL"/>
        </w:rPr>
        <w:t>Owens, J., 1997, Emerging Issues in Tax Reform: The Perspective of an International Bureaucrat, 97 TNI, 245-23.</w:t>
      </w:r>
    </w:p>
  </w:footnote>
  <w:footnote w:id="52">
    <w:p w14:paraId="0C372BEC" w14:textId="61D71D62" w:rsidR="000B53B3" w:rsidRPr="005A7907" w:rsidRDefault="000B53B3">
      <w:pPr>
        <w:pStyle w:val="FootnoteText"/>
        <w:rPr>
          <w:sz w:val="20"/>
          <w:szCs w:val="20"/>
          <w:lang w:val="nl-NL"/>
        </w:rPr>
      </w:pPr>
      <w:r w:rsidRPr="005A7907">
        <w:rPr>
          <w:rStyle w:val="FootnoteReference"/>
          <w:sz w:val="20"/>
          <w:szCs w:val="20"/>
        </w:rPr>
        <w:footnoteRef/>
      </w:r>
      <w:r w:rsidRPr="005A7907">
        <w:rPr>
          <w:sz w:val="20"/>
          <w:szCs w:val="20"/>
        </w:rPr>
        <w:t xml:space="preserve"> </w:t>
      </w:r>
      <w:r w:rsidRPr="005A7907">
        <w:rPr>
          <w:sz w:val="20"/>
          <w:szCs w:val="20"/>
          <w:lang w:val="nl-NL"/>
        </w:rPr>
        <w:t>Hellerstein, W., 2003, Jurisdiction to Tax Income and Consumption in the New Economy: A Theoretical and Comparative Perspective, 38 Georgia Law Review 1, 45.</w:t>
      </w:r>
    </w:p>
  </w:footnote>
  <w:footnote w:id="53">
    <w:p w14:paraId="74962082" w14:textId="5A79B226" w:rsidR="000B53B3" w:rsidRPr="00AF51AA" w:rsidRDefault="000B53B3">
      <w:pPr>
        <w:pStyle w:val="FootnoteText"/>
        <w:rPr>
          <w:lang w:val="nl-NL"/>
        </w:rPr>
      </w:pPr>
      <w:r w:rsidRPr="005A7907">
        <w:rPr>
          <w:rStyle w:val="FootnoteReference"/>
          <w:sz w:val="20"/>
          <w:szCs w:val="20"/>
        </w:rPr>
        <w:footnoteRef/>
      </w:r>
      <w:r w:rsidRPr="005A7907">
        <w:rPr>
          <w:sz w:val="20"/>
          <w:szCs w:val="20"/>
        </w:rPr>
        <w:t xml:space="preserve"> </w:t>
      </w:r>
      <w:r w:rsidRPr="005A7907">
        <w:rPr>
          <w:sz w:val="20"/>
          <w:szCs w:val="20"/>
          <w:lang w:val="nl-NL"/>
        </w:rPr>
        <w:t>Sullivan, M.A., 2004, Economic Analysis: Latest IRS Data Show Jump in Tax Haven Profits, Tax Notes 151.</w:t>
      </w:r>
      <w:r>
        <w:rPr>
          <w:lang w:val="nl-NL"/>
        </w:rPr>
        <w:t xml:space="preserve"> </w:t>
      </w:r>
    </w:p>
  </w:footnote>
  <w:footnote w:id="54">
    <w:p w14:paraId="343C1350" w14:textId="0B928D1A" w:rsidR="000B53B3" w:rsidRPr="00C754DE" w:rsidRDefault="000B53B3">
      <w:pPr>
        <w:pStyle w:val="FootnoteText"/>
        <w:rPr>
          <w:lang w:val="nl-NL"/>
        </w:rPr>
      </w:pPr>
      <w:r w:rsidRPr="00E80160">
        <w:rPr>
          <w:rStyle w:val="FootnoteReference"/>
          <w:sz w:val="20"/>
          <w:szCs w:val="20"/>
        </w:rPr>
        <w:footnoteRef/>
      </w:r>
      <w:r>
        <w:rPr>
          <w:sz w:val="20"/>
          <w:szCs w:val="20"/>
        </w:rPr>
        <w:t xml:space="preserve"> OECD Committee on Fiscal Affairs, 2010, OECD Model Tax Convention on Income and on Capital. </w:t>
      </w:r>
      <w:hyperlink r:id="rId17" w:history="1">
        <w:r w:rsidRPr="001F63DA">
          <w:rPr>
            <w:rStyle w:val="Hyperlink"/>
            <w:sz w:val="20"/>
            <w:szCs w:val="20"/>
          </w:rPr>
          <w:t>http://www.oecd.org/dataoecd/52/35/1914475.pdf</w:t>
        </w:r>
      </w:hyperlink>
      <w:r>
        <w:rPr>
          <w:sz w:val="20"/>
          <w:szCs w:val="20"/>
        </w:rPr>
        <w:t xml:space="preserve"> </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B94959" w14:textId="77777777" w:rsidR="000B53B3" w:rsidRPr="00006D3D" w:rsidRDefault="000B53B3" w:rsidP="00C4192F">
    <w:pPr>
      <w:pStyle w:val="Header"/>
      <w:jc w:val="center"/>
      <w:rPr>
        <w:i/>
        <w:sz w:val="18"/>
        <w:szCs w:val="18"/>
      </w:rPr>
    </w:pPr>
    <w:r w:rsidRPr="00006D3D">
      <w:rPr>
        <w:i/>
        <w:noProof/>
        <w:sz w:val="18"/>
        <w:szCs w:val="18"/>
        <w:lang w:val="en-US"/>
      </w:rPr>
      <w:drawing>
        <wp:anchor distT="0" distB="0" distL="114300" distR="114300" simplePos="0" relativeHeight="251659264" behindDoc="0" locked="0" layoutInCell="1" allowOverlap="1" wp14:anchorId="5FDFF243" wp14:editId="608EBD3E">
          <wp:simplePos x="0" y="0"/>
          <wp:positionH relativeFrom="column">
            <wp:posOffset>4914900</wp:posOffset>
          </wp:positionH>
          <wp:positionV relativeFrom="paragraph">
            <wp:posOffset>-220980</wp:posOffset>
          </wp:positionV>
          <wp:extent cx="1460500" cy="495300"/>
          <wp:effectExtent l="0" t="0" r="12700" b="12700"/>
          <wp:wrapThrough wrapText="bothSides">
            <wp:wrapPolygon edited="0">
              <wp:start x="0" y="0"/>
              <wp:lineTo x="0" y="21046"/>
              <wp:lineTo x="21412" y="21046"/>
              <wp:lineTo x="21412" y="0"/>
              <wp:lineTo x="0" y="0"/>
            </wp:wrapPolygon>
          </wp:wrapThrough>
          <wp:docPr id="45" name="Picture 45" descr="ESE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SE 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60500" cy="4953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06D3D">
      <w:rPr>
        <w:i/>
        <w:sz w:val="18"/>
        <w:szCs w:val="18"/>
      </w:rPr>
      <w:t>Bachelor Dissertation D.J. Françoijs 325571</w:t>
    </w:r>
  </w:p>
  <w:p w14:paraId="3D3FCDE6" w14:textId="72B25F68" w:rsidR="000B53B3" w:rsidRPr="00EF0E76" w:rsidRDefault="000B53B3" w:rsidP="00EF0E76">
    <w:pPr>
      <w:pStyle w:val="Header"/>
      <w:jc w:val="center"/>
      <w:rPr>
        <w:sz w:val="20"/>
        <w:szCs w:val="20"/>
      </w:rPr>
    </w:pPr>
    <w:r w:rsidRPr="00006D3D">
      <w:rPr>
        <w:sz w:val="18"/>
        <w:szCs w:val="18"/>
      </w:rPr>
      <w:t>How Can The International Problem of Taxing E-commerce Best be Solved</w:t>
    </w:r>
    <w:r w:rsidRPr="00006D3D">
      <w:rPr>
        <w:i/>
        <w:sz w:val="18"/>
        <w:szCs w:val="18"/>
      </w:rPr>
      <w:t>?</w: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E2382F" w14:textId="77777777" w:rsidR="000B53B3" w:rsidRPr="00006D3D" w:rsidRDefault="000B53B3" w:rsidP="00B7552B">
    <w:pPr>
      <w:pStyle w:val="Header"/>
      <w:jc w:val="center"/>
      <w:rPr>
        <w:i/>
        <w:sz w:val="18"/>
        <w:szCs w:val="18"/>
      </w:rPr>
    </w:pPr>
    <w:r w:rsidRPr="00006D3D">
      <w:rPr>
        <w:i/>
        <w:noProof/>
        <w:sz w:val="18"/>
        <w:szCs w:val="18"/>
        <w:lang w:val="en-US"/>
      </w:rPr>
      <w:drawing>
        <wp:anchor distT="0" distB="0" distL="114300" distR="114300" simplePos="0" relativeHeight="251661312" behindDoc="0" locked="0" layoutInCell="1" allowOverlap="1" wp14:anchorId="7C23E69A" wp14:editId="08529CD5">
          <wp:simplePos x="0" y="0"/>
          <wp:positionH relativeFrom="column">
            <wp:posOffset>4914900</wp:posOffset>
          </wp:positionH>
          <wp:positionV relativeFrom="paragraph">
            <wp:posOffset>-220980</wp:posOffset>
          </wp:positionV>
          <wp:extent cx="1460500" cy="495300"/>
          <wp:effectExtent l="0" t="0" r="12700" b="12700"/>
          <wp:wrapThrough wrapText="bothSides">
            <wp:wrapPolygon edited="0">
              <wp:start x="0" y="0"/>
              <wp:lineTo x="0" y="21046"/>
              <wp:lineTo x="21412" y="21046"/>
              <wp:lineTo x="21412" y="0"/>
              <wp:lineTo x="0" y="0"/>
            </wp:wrapPolygon>
          </wp:wrapThrough>
          <wp:docPr id="2" name="Picture 2" descr="ESE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SE 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60500" cy="4953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06D3D">
      <w:rPr>
        <w:i/>
        <w:sz w:val="18"/>
        <w:szCs w:val="18"/>
      </w:rPr>
      <w:t>Bachelor Dissertation D.J. Françoijs 325571</w:t>
    </w:r>
  </w:p>
  <w:p w14:paraId="4D922F0D" w14:textId="77777777" w:rsidR="000B53B3" w:rsidRPr="00EF0E76" w:rsidRDefault="000B53B3" w:rsidP="00B7552B">
    <w:pPr>
      <w:pStyle w:val="Header"/>
      <w:jc w:val="center"/>
      <w:rPr>
        <w:sz w:val="20"/>
        <w:szCs w:val="20"/>
      </w:rPr>
    </w:pPr>
    <w:r w:rsidRPr="00006D3D">
      <w:rPr>
        <w:sz w:val="18"/>
        <w:szCs w:val="18"/>
      </w:rPr>
      <w:t>How Can The International Problem of Taxing E-commerce Best be Solved</w:t>
    </w:r>
    <w:r w:rsidRPr="00006D3D">
      <w:rPr>
        <w:i/>
        <w:sz w:val="18"/>
        <w:szCs w:val="18"/>
      </w:rPr>
      <w:t>?</w:t>
    </w:r>
  </w:p>
  <w:p w14:paraId="1AA1AAF8" w14:textId="77777777" w:rsidR="000B53B3" w:rsidRPr="00B7552B" w:rsidRDefault="000B53B3" w:rsidP="00B7552B">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BB5121"/>
    <w:multiLevelType w:val="multilevel"/>
    <w:tmpl w:val="1EDE7B4E"/>
    <w:lvl w:ilvl="0">
      <w:start w:val="1"/>
      <w:numFmt w:val="decimal"/>
      <w:lvlText w:val="%1."/>
      <w:lvlJc w:val="left"/>
      <w:pPr>
        <w:ind w:left="720" w:hanging="360"/>
      </w:pPr>
    </w:lvl>
    <w:lvl w:ilvl="1">
      <w:start w:val="1"/>
      <w:numFmt w:val="decimal"/>
      <w:isLgl/>
      <w:lvlText w:val="%1.%2"/>
      <w:lvlJc w:val="left"/>
      <w:pPr>
        <w:ind w:left="72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1">
    <w:nsid w:val="16FE376F"/>
    <w:multiLevelType w:val="multilevel"/>
    <w:tmpl w:val="0CE8972E"/>
    <w:lvl w:ilvl="0">
      <w:start w:val="3"/>
      <w:numFmt w:val="decimal"/>
      <w:lvlText w:val="%1"/>
      <w:lvlJc w:val="left"/>
      <w:pPr>
        <w:ind w:left="360" w:hanging="360"/>
      </w:pPr>
      <w:rPr>
        <w:rFonts w:hint="default"/>
      </w:rPr>
    </w:lvl>
    <w:lvl w:ilvl="1">
      <w:start w:val="1"/>
      <w:numFmt w:val="decimal"/>
      <w:isLgl/>
      <w:lvlText w:val="%1.%2"/>
      <w:lvlJc w:val="left"/>
      <w:pPr>
        <w:ind w:left="400" w:hanging="40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2">
    <w:nsid w:val="2F0805A2"/>
    <w:multiLevelType w:val="multilevel"/>
    <w:tmpl w:val="0CE8972E"/>
    <w:lvl w:ilvl="0">
      <w:start w:val="3"/>
      <w:numFmt w:val="decimal"/>
      <w:lvlText w:val="%1"/>
      <w:lvlJc w:val="left"/>
      <w:pPr>
        <w:ind w:left="360" w:hanging="360"/>
      </w:pPr>
      <w:rPr>
        <w:rFonts w:hint="default"/>
      </w:rPr>
    </w:lvl>
    <w:lvl w:ilvl="1">
      <w:start w:val="1"/>
      <w:numFmt w:val="decimal"/>
      <w:isLgl/>
      <w:lvlText w:val="%1.%2"/>
      <w:lvlJc w:val="left"/>
      <w:pPr>
        <w:ind w:left="400" w:hanging="40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3">
    <w:nsid w:val="31774CDB"/>
    <w:multiLevelType w:val="hybridMultilevel"/>
    <w:tmpl w:val="71820D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9D96F0A"/>
    <w:multiLevelType w:val="multilevel"/>
    <w:tmpl w:val="0CE8972E"/>
    <w:lvl w:ilvl="0">
      <w:start w:val="3"/>
      <w:numFmt w:val="decimal"/>
      <w:lvlText w:val="%1"/>
      <w:lvlJc w:val="left"/>
      <w:pPr>
        <w:ind w:left="360" w:hanging="360"/>
      </w:pPr>
      <w:rPr>
        <w:rFonts w:hint="default"/>
      </w:rPr>
    </w:lvl>
    <w:lvl w:ilvl="1">
      <w:start w:val="1"/>
      <w:numFmt w:val="decimal"/>
      <w:isLgl/>
      <w:lvlText w:val="%1.%2"/>
      <w:lvlJc w:val="left"/>
      <w:pPr>
        <w:ind w:left="400" w:hanging="40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5">
    <w:nsid w:val="4CE40412"/>
    <w:multiLevelType w:val="multilevel"/>
    <w:tmpl w:val="BB3EC336"/>
    <w:lvl w:ilvl="0">
      <w:start w:val="1"/>
      <w:numFmt w:val="decimal"/>
      <w:lvlText w:val="%1"/>
      <w:lvlJc w:val="left"/>
      <w:pPr>
        <w:ind w:left="740" w:hanging="740"/>
      </w:pPr>
      <w:rPr>
        <w:rFonts w:hint="default"/>
      </w:rPr>
    </w:lvl>
    <w:lvl w:ilvl="1">
      <w:start w:val="1"/>
      <w:numFmt w:val="decimal"/>
      <w:lvlText w:val="%1.%2"/>
      <w:lvlJc w:val="left"/>
      <w:pPr>
        <w:ind w:left="740" w:hanging="740"/>
      </w:pPr>
      <w:rPr>
        <w:rFonts w:hint="default"/>
      </w:rPr>
    </w:lvl>
    <w:lvl w:ilvl="2">
      <w:start w:val="1"/>
      <w:numFmt w:val="decimal"/>
      <w:lvlText w:val="%1.%2.%3"/>
      <w:lvlJc w:val="left"/>
      <w:pPr>
        <w:ind w:left="740" w:hanging="74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nsid w:val="56791F59"/>
    <w:multiLevelType w:val="multilevel"/>
    <w:tmpl w:val="5A827F8E"/>
    <w:lvl w:ilvl="0">
      <w:start w:val="3"/>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520" w:hanging="720"/>
      </w:pPr>
      <w:rPr>
        <w:rFonts w:hint="default"/>
      </w:rPr>
    </w:lvl>
    <w:lvl w:ilvl="3">
      <w:start w:val="1"/>
      <w:numFmt w:val="decimal"/>
      <w:isLgl/>
      <w:lvlText w:val="%1.%2.%3.%4"/>
      <w:lvlJc w:val="left"/>
      <w:pPr>
        <w:ind w:left="2280" w:hanging="1080"/>
      </w:pPr>
      <w:rPr>
        <w:rFonts w:hint="default"/>
      </w:rPr>
    </w:lvl>
    <w:lvl w:ilvl="4">
      <w:start w:val="1"/>
      <w:numFmt w:val="decimal"/>
      <w:isLgl/>
      <w:lvlText w:val="%1.%2.%3.%4.%5"/>
      <w:lvlJc w:val="left"/>
      <w:pPr>
        <w:ind w:left="2680" w:hanging="1080"/>
      </w:pPr>
      <w:rPr>
        <w:rFonts w:hint="default"/>
      </w:rPr>
    </w:lvl>
    <w:lvl w:ilvl="5">
      <w:start w:val="1"/>
      <w:numFmt w:val="decimal"/>
      <w:isLgl/>
      <w:lvlText w:val="%1.%2.%3.%4.%5.%6"/>
      <w:lvlJc w:val="left"/>
      <w:pPr>
        <w:ind w:left="3440" w:hanging="1440"/>
      </w:pPr>
      <w:rPr>
        <w:rFonts w:hint="default"/>
      </w:rPr>
    </w:lvl>
    <w:lvl w:ilvl="6">
      <w:start w:val="1"/>
      <w:numFmt w:val="decimal"/>
      <w:isLgl/>
      <w:lvlText w:val="%1.%2.%3.%4.%5.%6.%7"/>
      <w:lvlJc w:val="left"/>
      <w:pPr>
        <w:ind w:left="3840" w:hanging="1440"/>
      </w:pPr>
      <w:rPr>
        <w:rFonts w:hint="default"/>
      </w:rPr>
    </w:lvl>
    <w:lvl w:ilvl="7">
      <w:start w:val="1"/>
      <w:numFmt w:val="decimal"/>
      <w:isLgl/>
      <w:lvlText w:val="%1.%2.%3.%4.%5.%6.%7.%8"/>
      <w:lvlJc w:val="left"/>
      <w:pPr>
        <w:ind w:left="4600" w:hanging="1800"/>
      </w:pPr>
      <w:rPr>
        <w:rFonts w:hint="default"/>
      </w:rPr>
    </w:lvl>
    <w:lvl w:ilvl="8">
      <w:start w:val="1"/>
      <w:numFmt w:val="decimal"/>
      <w:isLgl/>
      <w:lvlText w:val="%1.%2.%3.%4.%5.%6.%7.%8.%9"/>
      <w:lvlJc w:val="left"/>
      <w:pPr>
        <w:ind w:left="5000" w:hanging="1800"/>
      </w:pPr>
      <w:rPr>
        <w:rFonts w:hint="default"/>
      </w:rPr>
    </w:lvl>
  </w:abstractNum>
  <w:abstractNum w:abstractNumId="7">
    <w:nsid w:val="7D1C7494"/>
    <w:multiLevelType w:val="multilevel"/>
    <w:tmpl w:val="0CE8972E"/>
    <w:lvl w:ilvl="0">
      <w:start w:val="3"/>
      <w:numFmt w:val="decimal"/>
      <w:lvlText w:val="%1"/>
      <w:lvlJc w:val="left"/>
      <w:pPr>
        <w:ind w:left="360" w:hanging="360"/>
      </w:pPr>
      <w:rPr>
        <w:rFonts w:hint="default"/>
      </w:rPr>
    </w:lvl>
    <w:lvl w:ilvl="1">
      <w:start w:val="1"/>
      <w:numFmt w:val="decimal"/>
      <w:isLgl/>
      <w:lvlText w:val="%1.%2"/>
      <w:lvlJc w:val="left"/>
      <w:pPr>
        <w:ind w:left="400" w:hanging="40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num w:numId="1">
    <w:abstractNumId w:val="3"/>
  </w:num>
  <w:num w:numId="2">
    <w:abstractNumId w:val="0"/>
  </w:num>
  <w:num w:numId="3">
    <w:abstractNumId w:val="7"/>
  </w:num>
  <w:num w:numId="4">
    <w:abstractNumId w:val="4"/>
  </w:num>
  <w:num w:numId="5">
    <w:abstractNumId w:val="6"/>
  </w:num>
  <w:num w:numId="6">
    <w:abstractNumId w:val="1"/>
  </w:num>
  <w:num w:numId="7">
    <w:abstractNumId w:val="2"/>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1AB9"/>
    <w:rsid w:val="000065A6"/>
    <w:rsid w:val="00006CF8"/>
    <w:rsid w:val="00006D3D"/>
    <w:rsid w:val="00025BB6"/>
    <w:rsid w:val="00030973"/>
    <w:rsid w:val="00050D80"/>
    <w:rsid w:val="00062D85"/>
    <w:rsid w:val="00083799"/>
    <w:rsid w:val="00083EF2"/>
    <w:rsid w:val="000A7074"/>
    <w:rsid w:val="000B12D1"/>
    <w:rsid w:val="000B1B98"/>
    <w:rsid w:val="000B5024"/>
    <w:rsid w:val="000B53B3"/>
    <w:rsid w:val="000B67A7"/>
    <w:rsid w:val="000C68CF"/>
    <w:rsid w:val="00110700"/>
    <w:rsid w:val="00161604"/>
    <w:rsid w:val="001617B0"/>
    <w:rsid w:val="00165772"/>
    <w:rsid w:val="001663A2"/>
    <w:rsid w:val="00174585"/>
    <w:rsid w:val="00175729"/>
    <w:rsid w:val="001977E2"/>
    <w:rsid w:val="001A1D62"/>
    <w:rsid w:val="001A3EBB"/>
    <w:rsid w:val="001A7572"/>
    <w:rsid w:val="001B7FC3"/>
    <w:rsid w:val="001C0E2D"/>
    <w:rsid w:val="001C4F0F"/>
    <w:rsid w:val="001F1AB9"/>
    <w:rsid w:val="001F2455"/>
    <w:rsid w:val="001F2CBD"/>
    <w:rsid w:val="001F5BE1"/>
    <w:rsid w:val="00207458"/>
    <w:rsid w:val="00227FB7"/>
    <w:rsid w:val="00231342"/>
    <w:rsid w:val="002622FB"/>
    <w:rsid w:val="002819A2"/>
    <w:rsid w:val="00286581"/>
    <w:rsid w:val="0029093E"/>
    <w:rsid w:val="002A44B4"/>
    <w:rsid w:val="002A67C0"/>
    <w:rsid w:val="002C2E9F"/>
    <w:rsid w:val="002C6D7C"/>
    <w:rsid w:val="002D0BF1"/>
    <w:rsid w:val="00303D08"/>
    <w:rsid w:val="00305895"/>
    <w:rsid w:val="00317A4D"/>
    <w:rsid w:val="00322FA4"/>
    <w:rsid w:val="00331BF9"/>
    <w:rsid w:val="00335856"/>
    <w:rsid w:val="003504C8"/>
    <w:rsid w:val="003802BA"/>
    <w:rsid w:val="003956A5"/>
    <w:rsid w:val="003963D3"/>
    <w:rsid w:val="003B0836"/>
    <w:rsid w:val="003B261F"/>
    <w:rsid w:val="003C7084"/>
    <w:rsid w:val="003D36D4"/>
    <w:rsid w:val="003D677F"/>
    <w:rsid w:val="003D7F87"/>
    <w:rsid w:val="003E6499"/>
    <w:rsid w:val="003F07A7"/>
    <w:rsid w:val="003F1BB1"/>
    <w:rsid w:val="003F3FAB"/>
    <w:rsid w:val="003F40E4"/>
    <w:rsid w:val="00402298"/>
    <w:rsid w:val="004406CE"/>
    <w:rsid w:val="00440E4C"/>
    <w:rsid w:val="00442B81"/>
    <w:rsid w:val="00452BB3"/>
    <w:rsid w:val="004530DA"/>
    <w:rsid w:val="00463D46"/>
    <w:rsid w:val="00467D11"/>
    <w:rsid w:val="0047719D"/>
    <w:rsid w:val="004844BD"/>
    <w:rsid w:val="00485129"/>
    <w:rsid w:val="00497E3B"/>
    <w:rsid w:val="004A15FE"/>
    <w:rsid w:val="004A381C"/>
    <w:rsid w:val="004B0834"/>
    <w:rsid w:val="004D4103"/>
    <w:rsid w:val="004E15B7"/>
    <w:rsid w:val="004F7CCA"/>
    <w:rsid w:val="0050327C"/>
    <w:rsid w:val="005037CF"/>
    <w:rsid w:val="005102FD"/>
    <w:rsid w:val="00510DAB"/>
    <w:rsid w:val="0051702F"/>
    <w:rsid w:val="00550653"/>
    <w:rsid w:val="00561F4B"/>
    <w:rsid w:val="0057278A"/>
    <w:rsid w:val="005812D4"/>
    <w:rsid w:val="005A14BB"/>
    <w:rsid w:val="005A7907"/>
    <w:rsid w:val="005B7311"/>
    <w:rsid w:val="005C52B2"/>
    <w:rsid w:val="005E3219"/>
    <w:rsid w:val="005E7C24"/>
    <w:rsid w:val="005F166E"/>
    <w:rsid w:val="006105E5"/>
    <w:rsid w:val="006162F5"/>
    <w:rsid w:val="00616C11"/>
    <w:rsid w:val="006223F3"/>
    <w:rsid w:val="00647AC3"/>
    <w:rsid w:val="0065016B"/>
    <w:rsid w:val="00656241"/>
    <w:rsid w:val="00657129"/>
    <w:rsid w:val="00665867"/>
    <w:rsid w:val="006A7310"/>
    <w:rsid w:val="006C1E84"/>
    <w:rsid w:val="006D2EF8"/>
    <w:rsid w:val="006E7569"/>
    <w:rsid w:val="007078F2"/>
    <w:rsid w:val="007166F9"/>
    <w:rsid w:val="007251AE"/>
    <w:rsid w:val="00733170"/>
    <w:rsid w:val="00734BC0"/>
    <w:rsid w:val="00737458"/>
    <w:rsid w:val="00747D00"/>
    <w:rsid w:val="00751674"/>
    <w:rsid w:val="00770435"/>
    <w:rsid w:val="007A6751"/>
    <w:rsid w:val="007B12FC"/>
    <w:rsid w:val="007B2D92"/>
    <w:rsid w:val="007D25D8"/>
    <w:rsid w:val="007F2071"/>
    <w:rsid w:val="008035C4"/>
    <w:rsid w:val="00810893"/>
    <w:rsid w:val="00814C8A"/>
    <w:rsid w:val="0082167D"/>
    <w:rsid w:val="00832124"/>
    <w:rsid w:val="008344FE"/>
    <w:rsid w:val="00845C2D"/>
    <w:rsid w:val="00857BE8"/>
    <w:rsid w:val="00863CB4"/>
    <w:rsid w:val="00867B5D"/>
    <w:rsid w:val="008746EC"/>
    <w:rsid w:val="00891BE1"/>
    <w:rsid w:val="008A1ABF"/>
    <w:rsid w:val="008A36CE"/>
    <w:rsid w:val="008C32EF"/>
    <w:rsid w:val="008E11AF"/>
    <w:rsid w:val="008F6C30"/>
    <w:rsid w:val="00902DE3"/>
    <w:rsid w:val="00904539"/>
    <w:rsid w:val="0091413C"/>
    <w:rsid w:val="00945FB1"/>
    <w:rsid w:val="009529CE"/>
    <w:rsid w:val="00957535"/>
    <w:rsid w:val="009839D4"/>
    <w:rsid w:val="00990749"/>
    <w:rsid w:val="009A23E0"/>
    <w:rsid w:val="009A731C"/>
    <w:rsid w:val="009D34BB"/>
    <w:rsid w:val="009F33DC"/>
    <w:rsid w:val="00A10AAE"/>
    <w:rsid w:val="00A34DC4"/>
    <w:rsid w:val="00A558B6"/>
    <w:rsid w:val="00A6762F"/>
    <w:rsid w:val="00A802A6"/>
    <w:rsid w:val="00A80E63"/>
    <w:rsid w:val="00A82058"/>
    <w:rsid w:val="00A8210A"/>
    <w:rsid w:val="00AA5537"/>
    <w:rsid w:val="00AC59B7"/>
    <w:rsid w:val="00AD5D84"/>
    <w:rsid w:val="00AD6801"/>
    <w:rsid w:val="00AF1128"/>
    <w:rsid w:val="00AF2FC7"/>
    <w:rsid w:val="00AF51AA"/>
    <w:rsid w:val="00AF79F5"/>
    <w:rsid w:val="00B15E60"/>
    <w:rsid w:val="00B7552B"/>
    <w:rsid w:val="00B8023C"/>
    <w:rsid w:val="00B972E5"/>
    <w:rsid w:val="00BB5194"/>
    <w:rsid w:val="00BE1F77"/>
    <w:rsid w:val="00BE460B"/>
    <w:rsid w:val="00C13573"/>
    <w:rsid w:val="00C16541"/>
    <w:rsid w:val="00C232A7"/>
    <w:rsid w:val="00C4192F"/>
    <w:rsid w:val="00C52609"/>
    <w:rsid w:val="00C54E4B"/>
    <w:rsid w:val="00C6088A"/>
    <w:rsid w:val="00C754DE"/>
    <w:rsid w:val="00C80B41"/>
    <w:rsid w:val="00C813FA"/>
    <w:rsid w:val="00C845D3"/>
    <w:rsid w:val="00C85425"/>
    <w:rsid w:val="00C87A32"/>
    <w:rsid w:val="00C950B3"/>
    <w:rsid w:val="00CC1F77"/>
    <w:rsid w:val="00CC6A95"/>
    <w:rsid w:val="00CF3CB1"/>
    <w:rsid w:val="00D03DDF"/>
    <w:rsid w:val="00D1118C"/>
    <w:rsid w:val="00D23159"/>
    <w:rsid w:val="00D37EFB"/>
    <w:rsid w:val="00D46371"/>
    <w:rsid w:val="00D52D1B"/>
    <w:rsid w:val="00D7143C"/>
    <w:rsid w:val="00D7167C"/>
    <w:rsid w:val="00D77BB3"/>
    <w:rsid w:val="00D832B6"/>
    <w:rsid w:val="00D937AF"/>
    <w:rsid w:val="00DB4C8B"/>
    <w:rsid w:val="00DE6686"/>
    <w:rsid w:val="00DF0ECF"/>
    <w:rsid w:val="00DF5B5B"/>
    <w:rsid w:val="00E00ECC"/>
    <w:rsid w:val="00E21608"/>
    <w:rsid w:val="00E31843"/>
    <w:rsid w:val="00E3744C"/>
    <w:rsid w:val="00E40384"/>
    <w:rsid w:val="00E443EC"/>
    <w:rsid w:val="00E546C5"/>
    <w:rsid w:val="00E62347"/>
    <w:rsid w:val="00E751D2"/>
    <w:rsid w:val="00E80160"/>
    <w:rsid w:val="00E84158"/>
    <w:rsid w:val="00EA0B77"/>
    <w:rsid w:val="00EA3BA9"/>
    <w:rsid w:val="00EB3657"/>
    <w:rsid w:val="00EB3C7F"/>
    <w:rsid w:val="00EB77BB"/>
    <w:rsid w:val="00EC4000"/>
    <w:rsid w:val="00EE245B"/>
    <w:rsid w:val="00EF0E76"/>
    <w:rsid w:val="00EF5DA2"/>
    <w:rsid w:val="00F10B9E"/>
    <w:rsid w:val="00F17983"/>
    <w:rsid w:val="00F2328B"/>
    <w:rsid w:val="00F33A86"/>
    <w:rsid w:val="00F4146B"/>
    <w:rsid w:val="00F45220"/>
    <w:rsid w:val="00F54CA8"/>
    <w:rsid w:val="00F60CAC"/>
    <w:rsid w:val="00F60EE4"/>
    <w:rsid w:val="00F6386F"/>
    <w:rsid w:val="00F73ADB"/>
    <w:rsid w:val="00F80521"/>
    <w:rsid w:val="00F8256C"/>
    <w:rsid w:val="00F93AA1"/>
    <w:rsid w:val="00FB5C46"/>
    <w:rsid w:val="00FC1417"/>
    <w:rsid w:val="00FE04D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B416F6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1AB9"/>
    <w:rPr>
      <w:rFonts w:ascii="Cambria" w:eastAsia="MS ??" w:hAnsi="Cambria"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4192F"/>
    <w:pPr>
      <w:tabs>
        <w:tab w:val="center" w:pos="4153"/>
        <w:tab w:val="right" w:pos="8306"/>
      </w:tabs>
    </w:pPr>
  </w:style>
  <w:style w:type="character" w:customStyle="1" w:styleId="HeaderChar">
    <w:name w:val="Header Char"/>
    <w:basedOn w:val="DefaultParagraphFont"/>
    <w:link w:val="Header"/>
    <w:uiPriority w:val="99"/>
    <w:rsid w:val="00C4192F"/>
    <w:rPr>
      <w:rFonts w:ascii="Cambria" w:eastAsia="MS ??" w:hAnsi="Cambria" w:cs="Arial"/>
    </w:rPr>
  </w:style>
  <w:style w:type="paragraph" w:styleId="Footer">
    <w:name w:val="footer"/>
    <w:basedOn w:val="Normal"/>
    <w:link w:val="FooterChar"/>
    <w:uiPriority w:val="99"/>
    <w:unhideWhenUsed/>
    <w:rsid w:val="00C4192F"/>
    <w:pPr>
      <w:tabs>
        <w:tab w:val="center" w:pos="4153"/>
        <w:tab w:val="right" w:pos="8306"/>
      </w:tabs>
    </w:pPr>
  </w:style>
  <w:style w:type="character" w:customStyle="1" w:styleId="FooterChar">
    <w:name w:val="Footer Char"/>
    <w:basedOn w:val="DefaultParagraphFont"/>
    <w:link w:val="Footer"/>
    <w:uiPriority w:val="99"/>
    <w:rsid w:val="00C4192F"/>
    <w:rPr>
      <w:rFonts w:ascii="Cambria" w:eastAsia="MS ??" w:hAnsi="Cambria" w:cs="Arial"/>
    </w:rPr>
  </w:style>
  <w:style w:type="paragraph" w:styleId="ListParagraph">
    <w:name w:val="List Paragraph"/>
    <w:basedOn w:val="Normal"/>
    <w:uiPriority w:val="34"/>
    <w:qFormat/>
    <w:rsid w:val="001A7572"/>
    <w:pPr>
      <w:ind w:left="720"/>
      <w:contextualSpacing/>
    </w:pPr>
  </w:style>
  <w:style w:type="character" w:styleId="Hyperlink">
    <w:name w:val="Hyperlink"/>
    <w:basedOn w:val="DefaultParagraphFont"/>
    <w:uiPriority w:val="99"/>
    <w:unhideWhenUsed/>
    <w:rsid w:val="00EE245B"/>
    <w:rPr>
      <w:color w:val="0000FF" w:themeColor="hyperlink"/>
      <w:u w:val="single"/>
    </w:rPr>
  </w:style>
  <w:style w:type="paragraph" w:styleId="FootnoteText">
    <w:name w:val="footnote text"/>
    <w:basedOn w:val="Normal"/>
    <w:link w:val="FootnoteTextChar"/>
    <w:uiPriority w:val="99"/>
    <w:unhideWhenUsed/>
    <w:rsid w:val="003B0836"/>
  </w:style>
  <w:style w:type="character" w:customStyle="1" w:styleId="FootnoteTextChar">
    <w:name w:val="Footnote Text Char"/>
    <w:basedOn w:val="DefaultParagraphFont"/>
    <w:link w:val="FootnoteText"/>
    <w:uiPriority w:val="99"/>
    <w:rsid w:val="003B0836"/>
    <w:rPr>
      <w:rFonts w:ascii="Cambria" w:eastAsia="MS ??" w:hAnsi="Cambria" w:cs="Arial"/>
    </w:rPr>
  </w:style>
  <w:style w:type="character" w:styleId="FootnoteReference">
    <w:name w:val="footnote reference"/>
    <w:basedOn w:val="DefaultParagraphFont"/>
    <w:uiPriority w:val="99"/>
    <w:unhideWhenUsed/>
    <w:rsid w:val="003B0836"/>
    <w:rPr>
      <w:vertAlign w:val="superscript"/>
    </w:rPr>
  </w:style>
  <w:style w:type="character" w:styleId="FollowedHyperlink">
    <w:name w:val="FollowedHyperlink"/>
    <w:basedOn w:val="DefaultParagraphFont"/>
    <w:uiPriority w:val="99"/>
    <w:semiHidden/>
    <w:unhideWhenUsed/>
    <w:rsid w:val="00D832B6"/>
    <w:rPr>
      <w:color w:val="800080" w:themeColor="followedHyperlink"/>
      <w:u w:val="single"/>
    </w:rPr>
  </w:style>
  <w:style w:type="character" w:styleId="PageNumber">
    <w:name w:val="page number"/>
    <w:basedOn w:val="DefaultParagraphFont"/>
    <w:uiPriority w:val="99"/>
    <w:semiHidden/>
    <w:unhideWhenUsed/>
    <w:rsid w:val="00F54CA8"/>
  </w:style>
  <w:style w:type="paragraph" w:styleId="EndnoteText">
    <w:name w:val="endnote text"/>
    <w:basedOn w:val="Normal"/>
    <w:link w:val="EndnoteTextChar"/>
    <w:uiPriority w:val="99"/>
    <w:semiHidden/>
    <w:unhideWhenUsed/>
    <w:rsid w:val="00B7552B"/>
  </w:style>
  <w:style w:type="character" w:customStyle="1" w:styleId="EndnoteTextChar">
    <w:name w:val="Endnote Text Char"/>
    <w:basedOn w:val="DefaultParagraphFont"/>
    <w:link w:val="EndnoteText"/>
    <w:uiPriority w:val="99"/>
    <w:semiHidden/>
    <w:rsid w:val="00B7552B"/>
    <w:rPr>
      <w:rFonts w:ascii="Cambria" w:eastAsia="MS ??" w:hAnsi="Cambria" w:cs="Arial"/>
    </w:rPr>
  </w:style>
  <w:style w:type="character" w:styleId="EndnoteReference">
    <w:name w:val="endnote reference"/>
    <w:basedOn w:val="DefaultParagraphFont"/>
    <w:uiPriority w:val="99"/>
    <w:semiHidden/>
    <w:unhideWhenUsed/>
    <w:rsid w:val="00B7552B"/>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1AB9"/>
    <w:rPr>
      <w:rFonts w:ascii="Cambria" w:eastAsia="MS ??" w:hAnsi="Cambria"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4192F"/>
    <w:pPr>
      <w:tabs>
        <w:tab w:val="center" w:pos="4153"/>
        <w:tab w:val="right" w:pos="8306"/>
      </w:tabs>
    </w:pPr>
  </w:style>
  <w:style w:type="character" w:customStyle="1" w:styleId="HeaderChar">
    <w:name w:val="Header Char"/>
    <w:basedOn w:val="DefaultParagraphFont"/>
    <w:link w:val="Header"/>
    <w:uiPriority w:val="99"/>
    <w:rsid w:val="00C4192F"/>
    <w:rPr>
      <w:rFonts w:ascii="Cambria" w:eastAsia="MS ??" w:hAnsi="Cambria" w:cs="Arial"/>
    </w:rPr>
  </w:style>
  <w:style w:type="paragraph" w:styleId="Footer">
    <w:name w:val="footer"/>
    <w:basedOn w:val="Normal"/>
    <w:link w:val="FooterChar"/>
    <w:uiPriority w:val="99"/>
    <w:unhideWhenUsed/>
    <w:rsid w:val="00C4192F"/>
    <w:pPr>
      <w:tabs>
        <w:tab w:val="center" w:pos="4153"/>
        <w:tab w:val="right" w:pos="8306"/>
      </w:tabs>
    </w:pPr>
  </w:style>
  <w:style w:type="character" w:customStyle="1" w:styleId="FooterChar">
    <w:name w:val="Footer Char"/>
    <w:basedOn w:val="DefaultParagraphFont"/>
    <w:link w:val="Footer"/>
    <w:uiPriority w:val="99"/>
    <w:rsid w:val="00C4192F"/>
    <w:rPr>
      <w:rFonts w:ascii="Cambria" w:eastAsia="MS ??" w:hAnsi="Cambria" w:cs="Arial"/>
    </w:rPr>
  </w:style>
  <w:style w:type="paragraph" w:styleId="ListParagraph">
    <w:name w:val="List Paragraph"/>
    <w:basedOn w:val="Normal"/>
    <w:uiPriority w:val="34"/>
    <w:qFormat/>
    <w:rsid w:val="001A7572"/>
    <w:pPr>
      <w:ind w:left="720"/>
      <w:contextualSpacing/>
    </w:pPr>
  </w:style>
  <w:style w:type="character" w:styleId="Hyperlink">
    <w:name w:val="Hyperlink"/>
    <w:basedOn w:val="DefaultParagraphFont"/>
    <w:uiPriority w:val="99"/>
    <w:unhideWhenUsed/>
    <w:rsid w:val="00EE245B"/>
    <w:rPr>
      <w:color w:val="0000FF" w:themeColor="hyperlink"/>
      <w:u w:val="single"/>
    </w:rPr>
  </w:style>
  <w:style w:type="paragraph" w:styleId="FootnoteText">
    <w:name w:val="footnote text"/>
    <w:basedOn w:val="Normal"/>
    <w:link w:val="FootnoteTextChar"/>
    <w:uiPriority w:val="99"/>
    <w:unhideWhenUsed/>
    <w:rsid w:val="003B0836"/>
  </w:style>
  <w:style w:type="character" w:customStyle="1" w:styleId="FootnoteTextChar">
    <w:name w:val="Footnote Text Char"/>
    <w:basedOn w:val="DefaultParagraphFont"/>
    <w:link w:val="FootnoteText"/>
    <w:uiPriority w:val="99"/>
    <w:rsid w:val="003B0836"/>
    <w:rPr>
      <w:rFonts w:ascii="Cambria" w:eastAsia="MS ??" w:hAnsi="Cambria" w:cs="Arial"/>
    </w:rPr>
  </w:style>
  <w:style w:type="character" w:styleId="FootnoteReference">
    <w:name w:val="footnote reference"/>
    <w:basedOn w:val="DefaultParagraphFont"/>
    <w:uiPriority w:val="99"/>
    <w:unhideWhenUsed/>
    <w:rsid w:val="003B0836"/>
    <w:rPr>
      <w:vertAlign w:val="superscript"/>
    </w:rPr>
  </w:style>
  <w:style w:type="character" w:styleId="FollowedHyperlink">
    <w:name w:val="FollowedHyperlink"/>
    <w:basedOn w:val="DefaultParagraphFont"/>
    <w:uiPriority w:val="99"/>
    <w:semiHidden/>
    <w:unhideWhenUsed/>
    <w:rsid w:val="00D832B6"/>
    <w:rPr>
      <w:color w:val="800080" w:themeColor="followedHyperlink"/>
      <w:u w:val="single"/>
    </w:rPr>
  </w:style>
  <w:style w:type="character" w:styleId="PageNumber">
    <w:name w:val="page number"/>
    <w:basedOn w:val="DefaultParagraphFont"/>
    <w:uiPriority w:val="99"/>
    <w:semiHidden/>
    <w:unhideWhenUsed/>
    <w:rsid w:val="00F54CA8"/>
  </w:style>
  <w:style w:type="paragraph" w:styleId="EndnoteText">
    <w:name w:val="endnote text"/>
    <w:basedOn w:val="Normal"/>
    <w:link w:val="EndnoteTextChar"/>
    <w:uiPriority w:val="99"/>
    <w:semiHidden/>
    <w:unhideWhenUsed/>
    <w:rsid w:val="00B7552B"/>
  </w:style>
  <w:style w:type="character" w:customStyle="1" w:styleId="EndnoteTextChar">
    <w:name w:val="Endnote Text Char"/>
    <w:basedOn w:val="DefaultParagraphFont"/>
    <w:link w:val="EndnoteText"/>
    <w:uiPriority w:val="99"/>
    <w:semiHidden/>
    <w:rsid w:val="00B7552B"/>
    <w:rPr>
      <w:rFonts w:ascii="Cambria" w:eastAsia="MS ??" w:hAnsi="Cambria" w:cs="Arial"/>
    </w:rPr>
  </w:style>
  <w:style w:type="character" w:styleId="EndnoteReference">
    <w:name w:val="endnote reference"/>
    <w:basedOn w:val="DefaultParagraphFont"/>
    <w:uiPriority w:val="99"/>
    <w:semiHidden/>
    <w:unhideWhenUsed/>
    <w:rsid w:val="00B7552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caltax.org/!treas-ec.html" TargetMode="External"/><Relationship Id="rId20" Type="http://schemas.openxmlformats.org/officeDocument/2006/relationships/hyperlink" Target="http://techcrunch.com/2011/01/03/j-p-morgan-global-e-commerce-revenue-to-grow-by-19-percent-in-2011-to-680b/" TargetMode="External"/><Relationship Id="rId21" Type="http://schemas.openxmlformats.org/officeDocument/2006/relationships/hyperlink" Target="http://www.sims.berkeley.edu/~hal/people/hal/papers.html" TargetMode="External"/><Relationship Id="rId22" Type="http://schemas.openxmlformats.org/officeDocument/2006/relationships/hyperlink" Target="http://ideas.repec.org/a/kap/itaxpf/v10y2003i1p79-97.html" TargetMode="External"/><Relationship Id="rId23" Type="http://schemas.openxmlformats.org/officeDocument/2006/relationships/hyperlink" Target="http://ideas.repec.org/s/kap/itaxpf.html" TargetMode="External"/><Relationship Id="rId24" Type="http://schemas.openxmlformats.org/officeDocument/2006/relationships/header" Target="header1.xml"/><Relationship Id="rId25" Type="http://schemas.openxmlformats.org/officeDocument/2006/relationships/footer" Target="footer1.xml"/><Relationship Id="rId26" Type="http://schemas.openxmlformats.org/officeDocument/2006/relationships/footer" Target="footer2.xml"/><Relationship Id="rId27" Type="http://schemas.openxmlformats.org/officeDocument/2006/relationships/header" Target="header2.xml"/><Relationship Id="rId28" Type="http://schemas.openxmlformats.org/officeDocument/2006/relationships/fontTable" Target="fontTable.xml"/><Relationship Id="rId29" Type="http://schemas.openxmlformats.org/officeDocument/2006/relationships/theme" Target="theme/theme1.xml"/><Relationship Id="rId10" Type="http://schemas.openxmlformats.org/officeDocument/2006/relationships/hyperlink" Target="http://eur-lex.europa.eu/LexUriServ/LexUriServ.do?uri=CONSLEG:2006L0112:20110101:EN:PDF" TargetMode="External"/><Relationship Id="rId11" Type="http://schemas.openxmlformats.org/officeDocument/2006/relationships/hyperlink" Target="http://eur-lex.europa.eu/LexUriServ/LexUriServ.do?uri=OJ:L:2003:264:0001:0011:EN:PDF" TargetMode="External"/><Relationship Id="rId12" Type="http://schemas.openxmlformats.org/officeDocument/2006/relationships/hyperlink" Target="http://lobby.la.psu.edu/043_3%25_Excise_Tax/Organizational_Statements/Americans_for_Tax_Reform/ATR_Gov_%20James_Gilmore's_No_Internet_Tax_Plan.htm" TargetMode="External"/><Relationship Id="rId13" Type="http://schemas.openxmlformats.org/officeDocument/2006/relationships/hyperlink" Target="http://www.opencongress.org/bill/110-h3678/show" TargetMode="External"/><Relationship Id="rId14" Type="http://schemas.openxmlformats.org/officeDocument/2006/relationships/hyperlink" Target="http://www.springerlink.com/content/0927-5940/6/2/" TargetMode="External"/><Relationship Id="rId15" Type="http://schemas.openxmlformats.org/officeDocument/2006/relationships/hyperlink" Target="http://www.oecd.org/dataoecd/52/35/1914475.pdf" TargetMode="External"/><Relationship Id="rId16" Type="http://schemas.openxmlformats.org/officeDocument/2006/relationships/hyperlink" Target="http://www.oecd.org/dataoecd/46/3/1923256.pdf" TargetMode="External"/><Relationship Id="rId17" Type="http://schemas.openxmlformats.org/officeDocument/2006/relationships/hyperlink" Target="http://stats.oecd.org/glossary/detail.asp?ID=4721" TargetMode="External"/><Relationship Id="rId18" Type="http://schemas.openxmlformats.org/officeDocument/2006/relationships/hyperlink" Target="http://www.keepeek.com/Digital-Asset-Management/oecd/taxation/model-tax-convention-on-income-and-on-capital-condensed-version-2010_mtc_cond-2010-en" TargetMode="External"/><Relationship Id="rId19" Type="http://schemas.openxmlformats.org/officeDocument/2006/relationships/hyperlink" Target="http://taxfoundation.org/blog/important-tax-cases-quill-corp-v-north-dakota-and-physical-presence-rule-sales-tax-collection"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lobby.la.psu.edu/043_3%25_Excise_Tax/Organizational_Statements/Americans_for_Tax_Reform/ATR_Gov_%20James_Gilmore's_No_Internet_Tax_Plan.htm" TargetMode="External"/></Relationships>
</file>

<file path=word/_rels/footnotes.xml.rels><?xml version="1.0" encoding="UTF-8" standalone="yes"?>
<Relationships xmlns="http://schemas.openxmlformats.org/package/2006/relationships"><Relationship Id="rId11" Type="http://schemas.openxmlformats.org/officeDocument/2006/relationships/hyperlink" Target="http://eur-lex.europa.eu/LexUriServ/LexUriServ.do?uri=OJ:L:2003:264:0001:0011:EN:PDF" TargetMode="External"/><Relationship Id="rId12" Type="http://schemas.openxmlformats.org/officeDocument/2006/relationships/hyperlink" Target="http://lobby.la.psu.edu/043_3%25_Excise_Tax/Organizational_Statements/Americans_for_Tax_Reform/ATR_Gov_%20James_Gilmore's_No_Internet_Tax_Plan.htm" TargetMode="External"/><Relationship Id="rId13" Type="http://schemas.openxmlformats.org/officeDocument/2006/relationships/hyperlink" Target="http://www.springerlink.com/content/0927-5940/6/2/" TargetMode="External"/><Relationship Id="rId14" Type="http://schemas.openxmlformats.org/officeDocument/2006/relationships/hyperlink" Target="http://ideas.repec.org/a/kap/itaxpf/v10y2003i1p79-97.html" TargetMode="External"/><Relationship Id="rId15" Type="http://schemas.openxmlformats.org/officeDocument/2006/relationships/hyperlink" Target="http://ideas.repec.org/s/kap/itaxpf.html" TargetMode="External"/><Relationship Id="rId16" Type="http://schemas.openxmlformats.org/officeDocument/2006/relationships/hyperlink" Target="http://www.keepeek.com/Digital-Asset-Management/oecd/taxation/model-tax-convention-on-income-and-on-capital-condensed-version-2010_mtc_cond-2010-en" TargetMode="External"/><Relationship Id="rId17" Type="http://schemas.openxmlformats.org/officeDocument/2006/relationships/hyperlink" Target="http://www.oecd.org/dataoecd/52/35/1914475.pdf" TargetMode="External"/><Relationship Id="rId1" Type="http://schemas.openxmlformats.org/officeDocument/2006/relationships/hyperlink" Target="http://techcrunch.com/2011/01/03/j-p-morgan-global-e-commerce-revenue-to-grow-by-19-percent-in-2011-to-680b/" TargetMode="External"/><Relationship Id="rId2" Type="http://schemas.openxmlformats.org/officeDocument/2006/relationships/hyperlink" Target="http://stats.oecd.org/glossary/detail.asp?ID=4721" TargetMode="External"/><Relationship Id="rId3" Type="http://schemas.openxmlformats.org/officeDocument/2006/relationships/hyperlink" Target="http://ideas.repec.org/a/kap/itaxpf/v10y2003i1p79-97.html" TargetMode="External"/><Relationship Id="rId4" Type="http://schemas.openxmlformats.org/officeDocument/2006/relationships/hyperlink" Target="http://ideas.repec.org/s/kap/itaxpf.html" TargetMode="External"/><Relationship Id="rId5" Type="http://schemas.openxmlformats.org/officeDocument/2006/relationships/hyperlink" Target="http://www.sims.berkeley.edu/~hal/people/hal/papers.html" TargetMode="External"/><Relationship Id="rId6" Type="http://schemas.openxmlformats.org/officeDocument/2006/relationships/hyperlink" Target="http://www.caltax.org/!treas-ec.html" TargetMode="External"/><Relationship Id="rId7" Type="http://schemas.openxmlformats.org/officeDocument/2006/relationships/hyperlink" Target="http://www.caltax.org/!treas-ec.html" TargetMode="External"/><Relationship Id="rId8" Type="http://schemas.openxmlformats.org/officeDocument/2006/relationships/hyperlink" Target="http://taxfoundation.org/blog/important-tax-cases-quill-corp-v-north-dakota-and-physical-presence-rule-sales-tax-collection" TargetMode="External"/><Relationship Id="rId9" Type="http://schemas.openxmlformats.org/officeDocument/2006/relationships/hyperlink" Target="http://www.opencongress.org/bill/110-h3678/show" TargetMode="External"/><Relationship Id="rId10" Type="http://schemas.openxmlformats.org/officeDocument/2006/relationships/hyperlink" Target="http://eur-lex.europa.eu/LexUriServ/LexUriServ.do?uri=CONSLEG:2006L0112:20110101:EN: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8520</Words>
  <Characters>48570</Characters>
  <Application>Microsoft Macintosh Word</Application>
  <DocSecurity>0</DocSecurity>
  <Lines>404</Lines>
  <Paragraphs>113</Paragraphs>
  <ScaleCrop>false</ScaleCrop>
  <HeadingPairs>
    <vt:vector size="2" baseType="variant">
      <vt:variant>
        <vt:lpstr>Title</vt:lpstr>
      </vt:variant>
      <vt:variant>
        <vt:i4>1</vt:i4>
      </vt:variant>
    </vt:vector>
  </HeadingPairs>
  <TitlesOfParts>
    <vt:vector size="1" baseType="lpstr">
      <vt:lpstr/>
    </vt:vector>
  </TitlesOfParts>
  <Company>Francoys Inc.</Company>
  <LinksUpToDate>false</LinksUpToDate>
  <CharactersWithSpaces>56977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Diederik Francoijs</dc:creator>
  <cp:keywords/>
  <dc:description/>
  <cp:lastModifiedBy>Diederik Francoijs</cp:lastModifiedBy>
  <cp:revision>4</cp:revision>
  <dcterms:created xsi:type="dcterms:W3CDTF">2012-07-19T13:28:00Z</dcterms:created>
  <dcterms:modified xsi:type="dcterms:W3CDTF">2012-07-19T13:59:00Z</dcterms:modified>
</cp:coreProperties>
</file>