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7.xml" ContentType="application/vnd.openxmlformats-officedocument.drawingml.chart+xml"/>
  <Override PartName="/word/charts/chart8.xml" ContentType="application/vnd.openxmlformats-officedocument.drawingml.chart+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theme/themeOverride5.xml" ContentType="application/vnd.openxmlformats-officedocument.themeOverride+xml"/>
  <Override PartName="/word/charts/chart11.xml" ContentType="application/vnd.openxmlformats-officedocument.drawingml.chart+xml"/>
  <Override PartName="/word/theme/themeOverride6.xml" ContentType="application/vnd.openxmlformats-officedocument.themeOverrid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charts/chart12.xml" ContentType="application/vnd.openxmlformats-officedocument.drawingml.chart+xml"/>
  <Override PartName="/word/theme/themeOverride7.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020" w:rsidRPr="00816B0E" w:rsidRDefault="00FA122F" w:rsidP="00A84020">
      <w:pPr>
        <w:suppressAutoHyphens/>
        <w:spacing w:after="100"/>
        <w:jc w:val="center"/>
        <w:rPr>
          <w:rFonts w:ascii="Garamond" w:hAnsi="Garamond"/>
          <w:b/>
          <w:color w:val="0070C0"/>
          <w:sz w:val="36"/>
          <w:szCs w:val="36"/>
          <w:lang w:val="en-US"/>
        </w:rPr>
      </w:pPr>
      <w:r w:rsidRPr="00816B0E">
        <w:rPr>
          <w:rFonts w:ascii="Garamond" w:hAnsi="Garamond"/>
          <w:b/>
          <w:color w:val="0070C0"/>
          <w:sz w:val="36"/>
          <w:szCs w:val="36"/>
          <w:lang w:val="en-US"/>
        </w:rPr>
        <w:t>“</w:t>
      </w:r>
      <w:r w:rsidR="002D1E64" w:rsidRPr="00816B0E">
        <w:rPr>
          <w:rFonts w:ascii="Garamond" w:hAnsi="Garamond"/>
          <w:b/>
          <w:color w:val="0070C0"/>
          <w:sz w:val="36"/>
          <w:szCs w:val="36"/>
          <w:lang w:val="en-US"/>
        </w:rPr>
        <w:t>Implications of the Quinoa Boom on the Farmers</w:t>
      </w:r>
      <w:r w:rsidRPr="00816B0E">
        <w:rPr>
          <w:rFonts w:ascii="Garamond" w:hAnsi="Garamond"/>
          <w:b/>
          <w:color w:val="0070C0"/>
          <w:sz w:val="36"/>
          <w:szCs w:val="36"/>
          <w:lang w:val="en-US"/>
        </w:rPr>
        <w:t>’ Income"</w:t>
      </w:r>
    </w:p>
    <w:p w:rsidR="002D1E64" w:rsidRPr="00816B0E" w:rsidRDefault="002D1E64" w:rsidP="00FA122F">
      <w:pPr>
        <w:spacing w:after="100"/>
        <w:jc w:val="center"/>
        <w:rPr>
          <w:rFonts w:ascii="Garamond" w:hAnsi="Garamond"/>
          <w:b/>
          <w:color w:val="0070C0"/>
          <w:sz w:val="32"/>
          <w:szCs w:val="32"/>
          <w:lang w:val="en-US"/>
        </w:rPr>
      </w:pPr>
      <w:r w:rsidRPr="00816B0E">
        <w:rPr>
          <w:rFonts w:ascii="Garamond" w:hAnsi="Garamond"/>
          <w:b/>
          <w:color w:val="0070C0"/>
          <w:sz w:val="32"/>
          <w:szCs w:val="32"/>
          <w:lang w:val="en-US"/>
        </w:rPr>
        <w:t xml:space="preserve">How do </w:t>
      </w:r>
      <w:r w:rsidR="00816B0E">
        <w:rPr>
          <w:rFonts w:ascii="Garamond" w:hAnsi="Garamond"/>
          <w:b/>
          <w:color w:val="0070C0"/>
          <w:sz w:val="32"/>
          <w:szCs w:val="32"/>
          <w:lang w:val="en-US"/>
        </w:rPr>
        <w:t>c</w:t>
      </w:r>
      <w:r w:rsidRPr="00816B0E">
        <w:rPr>
          <w:rFonts w:ascii="Garamond" w:hAnsi="Garamond"/>
          <w:b/>
          <w:color w:val="0070C0"/>
          <w:sz w:val="32"/>
          <w:szCs w:val="32"/>
          <w:lang w:val="en-US"/>
        </w:rPr>
        <w:t xml:space="preserve">hanges in the </w:t>
      </w:r>
      <w:r w:rsidR="00816B0E">
        <w:rPr>
          <w:rFonts w:ascii="Garamond" w:hAnsi="Garamond"/>
          <w:b/>
          <w:color w:val="0070C0"/>
          <w:sz w:val="32"/>
          <w:szCs w:val="32"/>
          <w:lang w:val="en-US"/>
        </w:rPr>
        <w:t>q</w:t>
      </w:r>
      <w:r w:rsidRPr="00816B0E">
        <w:rPr>
          <w:rFonts w:ascii="Garamond" w:hAnsi="Garamond"/>
          <w:b/>
          <w:color w:val="0070C0"/>
          <w:sz w:val="32"/>
          <w:szCs w:val="32"/>
          <w:lang w:val="en-US"/>
        </w:rPr>
        <w:t xml:space="preserve">uinoa </w:t>
      </w:r>
      <w:r w:rsidR="00816B0E">
        <w:rPr>
          <w:rFonts w:ascii="Garamond" w:hAnsi="Garamond"/>
          <w:b/>
          <w:color w:val="0070C0"/>
          <w:sz w:val="32"/>
          <w:szCs w:val="32"/>
          <w:lang w:val="en-US"/>
        </w:rPr>
        <w:t>m</w:t>
      </w:r>
      <w:r w:rsidRPr="00816B0E">
        <w:rPr>
          <w:rFonts w:ascii="Garamond" w:hAnsi="Garamond"/>
          <w:b/>
          <w:color w:val="0070C0"/>
          <w:sz w:val="32"/>
          <w:szCs w:val="32"/>
          <w:lang w:val="en-US"/>
        </w:rPr>
        <w:t xml:space="preserve">arket </w:t>
      </w:r>
      <w:r w:rsidR="00816B0E">
        <w:rPr>
          <w:rFonts w:ascii="Garamond" w:hAnsi="Garamond"/>
          <w:b/>
          <w:color w:val="0070C0"/>
          <w:sz w:val="32"/>
          <w:szCs w:val="32"/>
          <w:lang w:val="en-US"/>
        </w:rPr>
        <w:t>s</w:t>
      </w:r>
      <w:r w:rsidRPr="00816B0E">
        <w:rPr>
          <w:rFonts w:ascii="Garamond" w:hAnsi="Garamond"/>
          <w:b/>
          <w:color w:val="0070C0"/>
          <w:sz w:val="32"/>
          <w:szCs w:val="32"/>
          <w:lang w:val="en-US"/>
        </w:rPr>
        <w:t xml:space="preserve">tructure </w:t>
      </w:r>
      <w:r w:rsidR="00816B0E">
        <w:rPr>
          <w:rFonts w:ascii="Garamond" w:hAnsi="Garamond"/>
          <w:b/>
          <w:color w:val="0070C0"/>
          <w:sz w:val="32"/>
          <w:szCs w:val="32"/>
          <w:lang w:val="en-US"/>
        </w:rPr>
        <w:t>m</w:t>
      </w:r>
      <w:r w:rsidRPr="00816B0E">
        <w:rPr>
          <w:rFonts w:ascii="Garamond" w:hAnsi="Garamond"/>
          <w:b/>
          <w:color w:val="0070C0"/>
          <w:sz w:val="32"/>
          <w:szCs w:val="32"/>
          <w:lang w:val="en-US"/>
        </w:rPr>
        <w:t xml:space="preserve">ediate </w:t>
      </w:r>
      <w:r w:rsidR="00816B0E">
        <w:rPr>
          <w:rFonts w:ascii="Garamond" w:hAnsi="Garamond"/>
          <w:b/>
          <w:color w:val="0070C0"/>
          <w:sz w:val="32"/>
          <w:szCs w:val="32"/>
          <w:lang w:val="en-US"/>
        </w:rPr>
        <w:t>q</w:t>
      </w:r>
      <w:r w:rsidRPr="00816B0E">
        <w:rPr>
          <w:rFonts w:ascii="Garamond" w:hAnsi="Garamond"/>
          <w:b/>
          <w:color w:val="0070C0"/>
          <w:sz w:val="32"/>
          <w:szCs w:val="32"/>
          <w:lang w:val="en-US"/>
        </w:rPr>
        <w:t xml:space="preserve">uinoa </w:t>
      </w:r>
      <w:r w:rsidR="00816B0E">
        <w:rPr>
          <w:rFonts w:ascii="Garamond" w:hAnsi="Garamond"/>
          <w:b/>
          <w:color w:val="0070C0"/>
          <w:sz w:val="32"/>
          <w:szCs w:val="32"/>
          <w:lang w:val="en-US"/>
        </w:rPr>
        <w:t>f</w:t>
      </w:r>
      <w:proofErr w:type="spellStart"/>
      <w:r w:rsidRPr="00816B0E">
        <w:rPr>
          <w:rFonts w:ascii="Garamond" w:hAnsi="Garamond"/>
          <w:b/>
          <w:color w:val="0070C0"/>
          <w:sz w:val="32"/>
          <w:szCs w:val="32"/>
          <w:lang w:val="en-GB"/>
        </w:rPr>
        <w:t>ar</w:t>
      </w:r>
      <w:r w:rsidRPr="00816B0E">
        <w:rPr>
          <w:rFonts w:ascii="Garamond" w:hAnsi="Garamond"/>
          <w:b/>
          <w:color w:val="0070C0"/>
          <w:sz w:val="32"/>
          <w:szCs w:val="32"/>
          <w:lang w:val="en-US"/>
        </w:rPr>
        <w:t>mers</w:t>
      </w:r>
      <w:proofErr w:type="spellEnd"/>
      <w:r w:rsidRPr="00816B0E">
        <w:rPr>
          <w:rFonts w:ascii="Garamond" w:hAnsi="Garamond"/>
          <w:b/>
          <w:color w:val="0070C0"/>
          <w:sz w:val="32"/>
          <w:szCs w:val="32"/>
          <w:lang w:val="en-US"/>
        </w:rPr>
        <w:t xml:space="preserve">’ </w:t>
      </w:r>
      <w:proofErr w:type="gramStart"/>
      <w:r w:rsidR="00816B0E">
        <w:rPr>
          <w:rFonts w:ascii="Garamond" w:hAnsi="Garamond"/>
          <w:b/>
          <w:color w:val="0070C0"/>
          <w:sz w:val="32"/>
          <w:szCs w:val="32"/>
          <w:lang w:val="en-US"/>
        </w:rPr>
        <w:t>i</w:t>
      </w:r>
      <w:r w:rsidR="009E65F1">
        <w:rPr>
          <w:rFonts w:ascii="Garamond" w:hAnsi="Garamond"/>
          <w:b/>
          <w:color w:val="0070C0"/>
          <w:sz w:val="32"/>
          <w:szCs w:val="32"/>
          <w:lang w:val="en-US"/>
        </w:rPr>
        <w:t>nc</w:t>
      </w:r>
      <w:bookmarkStart w:id="0" w:name="_GoBack"/>
      <w:bookmarkEnd w:id="0"/>
      <w:r w:rsidR="009E65F1">
        <w:rPr>
          <w:rFonts w:ascii="Garamond" w:hAnsi="Garamond"/>
          <w:b/>
          <w:color w:val="0070C0"/>
          <w:sz w:val="32"/>
          <w:szCs w:val="32"/>
          <w:lang w:val="en-US"/>
        </w:rPr>
        <w:t>ome</w:t>
      </w:r>
      <w:proofErr w:type="gramEnd"/>
    </w:p>
    <w:p w:rsidR="00A84020" w:rsidRPr="00E06E16" w:rsidRDefault="00A84020" w:rsidP="00A84020">
      <w:pPr>
        <w:spacing w:before="600"/>
        <w:jc w:val="center"/>
        <w:rPr>
          <w:rFonts w:ascii="Garamond" w:hAnsi="Garamond"/>
          <w:sz w:val="28"/>
          <w:szCs w:val="28"/>
          <w:lang w:val="en-US"/>
        </w:rPr>
      </w:pPr>
      <w:r w:rsidRPr="00E06E16">
        <w:rPr>
          <w:rFonts w:ascii="Garamond" w:hAnsi="Garamond"/>
          <w:sz w:val="28"/>
          <w:szCs w:val="28"/>
          <w:lang w:val="en-US"/>
        </w:rPr>
        <w:t>A  Research Paper presented by:</w:t>
      </w:r>
    </w:p>
    <w:p w:rsidR="00A84020" w:rsidRPr="00E06E16" w:rsidRDefault="00A84020" w:rsidP="00A84020">
      <w:pPr>
        <w:spacing w:before="200" w:after="100"/>
        <w:jc w:val="center"/>
        <w:rPr>
          <w:rFonts w:ascii="Garamond" w:hAnsi="Garamond"/>
          <w:b/>
          <w:i/>
          <w:sz w:val="28"/>
          <w:szCs w:val="20"/>
          <w:lang w:val="en-US"/>
        </w:rPr>
      </w:pPr>
      <w:proofErr w:type="spellStart"/>
      <w:r w:rsidRPr="00E06E16">
        <w:rPr>
          <w:rFonts w:ascii="Garamond" w:hAnsi="Garamond"/>
          <w:b/>
          <w:i/>
          <w:sz w:val="28"/>
          <w:szCs w:val="20"/>
          <w:lang w:val="en-US"/>
        </w:rPr>
        <w:t>Cinthya</w:t>
      </w:r>
      <w:proofErr w:type="spellEnd"/>
      <w:r w:rsidRPr="00E06E16">
        <w:rPr>
          <w:rFonts w:ascii="Garamond" w:hAnsi="Garamond"/>
          <w:b/>
          <w:i/>
          <w:sz w:val="28"/>
          <w:szCs w:val="20"/>
          <w:lang w:val="en-US"/>
        </w:rPr>
        <w:t xml:space="preserve"> </w:t>
      </w:r>
      <w:proofErr w:type="spellStart"/>
      <w:r w:rsidRPr="00E06E16">
        <w:rPr>
          <w:rFonts w:ascii="Garamond" w:hAnsi="Garamond"/>
          <w:b/>
          <w:i/>
          <w:sz w:val="28"/>
          <w:szCs w:val="20"/>
          <w:lang w:val="en-US"/>
        </w:rPr>
        <w:t>Verastegui</w:t>
      </w:r>
      <w:proofErr w:type="spellEnd"/>
      <w:r w:rsidR="00E54F78">
        <w:rPr>
          <w:rFonts w:ascii="Garamond" w:hAnsi="Garamond"/>
          <w:b/>
          <w:i/>
          <w:sz w:val="28"/>
          <w:szCs w:val="20"/>
          <w:lang w:val="en-US"/>
        </w:rPr>
        <w:t xml:space="preserve"> </w:t>
      </w:r>
      <w:proofErr w:type="spellStart"/>
      <w:r w:rsidR="00E54F78">
        <w:rPr>
          <w:rFonts w:ascii="Garamond" w:hAnsi="Garamond"/>
          <w:b/>
          <w:i/>
          <w:sz w:val="28"/>
          <w:szCs w:val="20"/>
          <w:lang w:val="en-US"/>
        </w:rPr>
        <w:t>Effel</w:t>
      </w:r>
      <w:proofErr w:type="spellEnd"/>
    </w:p>
    <w:p w:rsidR="00A84020" w:rsidRPr="00E06E16" w:rsidRDefault="00A84020" w:rsidP="00A84020">
      <w:pPr>
        <w:spacing w:after="100"/>
        <w:jc w:val="center"/>
        <w:rPr>
          <w:rFonts w:ascii="Garamond" w:hAnsi="Garamond"/>
          <w:sz w:val="28"/>
          <w:lang w:val="en-US"/>
        </w:rPr>
      </w:pPr>
      <w:r w:rsidRPr="00E06E16">
        <w:rPr>
          <w:rFonts w:ascii="Garamond" w:hAnsi="Garamond"/>
          <w:sz w:val="28"/>
          <w:lang w:val="en-US"/>
        </w:rPr>
        <w:t>Bolivia</w:t>
      </w:r>
    </w:p>
    <w:p w:rsidR="00A84020" w:rsidRPr="00E06E16" w:rsidRDefault="00A84020" w:rsidP="00A84020">
      <w:pPr>
        <w:spacing w:before="500" w:after="100"/>
        <w:jc w:val="center"/>
        <w:rPr>
          <w:rFonts w:ascii="Garamond" w:hAnsi="Garamond"/>
          <w:sz w:val="28"/>
          <w:szCs w:val="28"/>
          <w:lang w:val="en-US"/>
        </w:rPr>
      </w:pPr>
      <w:r w:rsidRPr="00E06E16">
        <w:rPr>
          <w:rFonts w:ascii="Garamond" w:hAnsi="Garamond"/>
          <w:sz w:val="28"/>
          <w:szCs w:val="28"/>
          <w:lang w:val="en-US"/>
        </w:rPr>
        <w:t>in partial fulfillment of the requirements for obtaining the degree of</w:t>
      </w:r>
    </w:p>
    <w:p w:rsidR="00A84020" w:rsidRPr="00E06E16" w:rsidRDefault="00A84020" w:rsidP="00A84020">
      <w:pPr>
        <w:spacing w:after="100"/>
        <w:jc w:val="center"/>
        <w:rPr>
          <w:rFonts w:ascii="Garamond" w:hAnsi="Garamond"/>
          <w:smallCaps/>
          <w:sz w:val="26"/>
          <w:szCs w:val="26"/>
          <w:lang w:val="en-US"/>
        </w:rPr>
      </w:pPr>
      <w:r w:rsidRPr="00E06E16">
        <w:rPr>
          <w:rFonts w:ascii="Garamond" w:hAnsi="Garamond"/>
          <w:smallCaps/>
          <w:sz w:val="26"/>
          <w:szCs w:val="26"/>
          <w:lang w:val="en-US"/>
        </w:rPr>
        <w:t>MASTERS OF ARTS IN DEVELOPMENT STUDIES</w:t>
      </w:r>
    </w:p>
    <w:p w:rsidR="00A84020" w:rsidRPr="00874FB2" w:rsidRDefault="00A84020" w:rsidP="00A84020">
      <w:pPr>
        <w:spacing w:before="600"/>
        <w:jc w:val="center"/>
        <w:rPr>
          <w:rFonts w:ascii="Garamond" w:hAnsi="Garamond"/>
          <w:sz w:val="28"/>
          <w:szCs w:val="28"/>
        </w:rPr>
      </w:pPr>
      <w:proofErr w:type="spellStart"/>
      <w:r w:rsidRPr="00874FB2">
        <w:rPr>
          <w:rFonts w:ascii="Garamond" w:hAnsi="Garamond"/>
          <w:sz w:val="28"/>
          <w:szCs w:val="28"/>
        </w:rPr>
        <w:t>Specialization</w:t>
      </w:r>
      <w:proofErr w:type="spellEnd"/>
      <w:r w:rsidRPr="00874FB2">
        <w:rPr>
          <w:rFonts w:ascii="Garamond" w:hAnsi="Garamond"/>
          <w:sz w:val="28"/>
          <w:szCs w:val="28"/>
        </w:rPr>
        <w:t>:</w:t>
      </w:r>
    </w:p>
    <w:p w:rsidR="00A84020" w:rsidRPr="00874FB2" w:rsidRDefault="00A84020" w:rsidP="00A84020">
      <w:pPr>
        <w:spacing w:after="100"/>
        <w:jc w:val="center"/>
        <w:rPr>
          <w:rFonts w:ascii="Garamond" w:hAnsi="Garamond"/>
          <w:b/>
          <w:sz w:val="28"/>
          <w:szCs w:val="28"/>
        </w:rPr>
      </w:pPr>
      <w:r w:rsidRPr="00874FB2">
        <w:rPr>
          <w:rFonts w:ascii="Garamond" w:hAnsi="Garamond"/>
          <w:b/>
          <w:sz w:val="28"/>
          <w:szCs w:val="28"/>
        </w:rPr>
        <w:fldChar w:fldCharType="begin"/>
      </w:r>
      <w:r w:rsidRPr="00874FB2">
        <w:rPr>
          <w:rFonts w:ascii="Garamond" w:hAnsi="Garamond"/>
          <w:b/>
          <w:sz w:val="28"/>
          <w:szCs w:val="28"/>
        </w:rPr>
        <w:instrText xml:space="preserve"> MACROBUTTON  DoFieldClick Full Name of Specialization</w:instrText>
      </w:r>
      <w:r w:rsidRPr="00874FB2">
        <w:rPr>
          <w:rFonts w:ascii="Garamond" w:hAnsi="Garamond"/>
          <w:b/>
          <w:sz w:val="28"/>
          <w:szCs w:val="28"/>
        </w:rPr>
        <w:fldChar w:fldCharType="end"/>
      </w:r>
    </w:p>
    <w:p w:rsidR="00A84020" w:rsidRPr="00FA122F" w:rsidRDefault="00E54F78" w:rsidP="00A84020">
      <w:pPr>
        <w:spacing w:after="100"/>
        <w:jc w:val="center"/>
        <w:rPr>
          <w:rFonts w:ascii="Garamond" w:hAnsi="Garamond"/>
          <w:sz w:val="28"/>
          <w:szCs w:val="28"/>
          <w:lang w:val="en-US"/>
        </w:rPr>
      </w:pPr>
      <w:r w:rsidRPr="00FA122F">
        <w:rPr>
          <w:rFonts w:ascii="Garamond" w:hAnsi="Garamond"/>
          <w:sz w:val="28"/>
          <w:szCs w:val="28"/>
          <w:lang w:val="en-US"/>
        </w:rPr>
        <w:t>ECD</w:t>
      </w:r>
      <w:r w:rsidRPr="00FA122F">
        <w:rPr>
          <w:rFonts w:ascii="Garamond" w:hAnsi="Garamond"/>
          <w:sz w:val="28"/>
          <w:szCs w:val="28"/>
          <w:lang w:val="en-US"/>
        </w:rPr>
        <w:tab/>
      </w:r>
    </w:p>
    <w:p w:rsidR="00A84020" w:rsidRPr="00E06E16" w:rsidRDefault="00A84020" w:rsidP="00A84020">
      <w:pPr>
        <w:spacing w:before="600"/>
        <w:jc w:val="center"/>
        <w:rPr>
          <w:rFonts w:ascii="Garamond" w:hAnsi="Garamond"/>
          <w:sz w:val="28"/>
          <w:szCs w:val="28"/>
          <w:lang w:val="en-US"/>
        </w:rPr>
      </w:pPr>
      <w:r w:rsidRPr="00E06E16">
        <w:rPr>
          <w:rFonts w:ascii="Garamond" w:hAnsi="Garamond"/>
          <w:sz w:val="28"/>
          <w:szCs w:val="28"/>
          <w:lang w:val="en-US"/>
        </w:rPr>
        <w:t>Members of the Examining Committee:</w:t>
      </w:r>
    </w:p>
    <w:p w:rsidR="00A84020" w:rsidRPr="00E54F78" w:rsidRDefault="00E54F78" w:rsidP="00A84020">
      <w:pPr>
        <w:spacing w:after="100"/>
        <w:jc w:val="center"/>
        <w:rPr>
          <w:rFonts w:ascii="Garamond" w:hAnsi="Garamond"/>
          <w:sz w:val="28"/>
          <w:szCs w:val="28"/>
          <w:lang w:val="en-US"/>
        </w:rPr>
      </w:pPr>
      <w:r w:rsidRPr="00E54F78">
        <w:rPr>
          <w:rFonts w:ascii="Garamond" w:hAnsi="Garamond"/>
          <w:sz w:val="28"/>
          <w:szCs w:val="28"/>
          <w:lang w:val="en-US"/>
        </w:rPr>
        <w:t>Dr. Susan Newman</w:t>
      </w:r>
    </w:p>
    <w:p w:rsidR="00A84020" w:rsidRPr="00B83ABE" w:rsidRDefault="00E54F78" w:rsidP="00A84020">
      <w:pPr>
        <w:spacing w:after="100"/>
        <w:jc w:val="center"/>
        <w:rPr>
          <w:rFonts w:ascii="Garamond" w:hAnsi="Garamond"/>
          <w:sz w:val="28"/>
          <w:szCs w:val="28"/>
          <w:lang w:val="en-US"/>
        </w:rPr>
      </w:pPr>
      <w:r w:rsidRPr="00B83ABE">
        <w:rPr>
          <w:rFonts w:ascii="Garamond" w:hAnsi="Garamond"/>
          <w:sz w:val="28"/>
          <w:szCs w:val="28"/>
          <w:lang w:val="en-US"/>
        </w:rPr>
        <w:t>Dr. Howard Nichols</w:t>
      </w:r>
    </w:p>
    <w:p w:rsidR="00C01F80" w:rsidRPr="00E06E16" w:rsidRDefault="00A84020" w:rsidP="00A84020">
      <w:pPr>
        <w:spacing w:before="800" w:after="100"/>
        <w:jc w:val="center"/>
        <w:rPr>
          <w:sz w:val="28"/>
          <w:szCs w:val="28"/>
          <w:lang w:val="en-US"/>
        </w:rPr>
      </w:pPr>
      <w:r w:rsidRPr="00E06E16">
        <w:rPr>
          <w:sz w:val="28"/>
          <w:szCs w:val="28"/>
          <w:lang w:val="en-US"/>
        </w:rPr>
        <w:t>The Hague, The Netherlands</w:t>
      </w:r>
      <w:r w:rsidRPr="00E06E16">
        <w:rPr>
          <w:sz w:val="28"/>
          <w:szCs w:val="28"/>
          <w:lang w:val="en-US"/>
        </w:rPr>
        <w:br/>
        <w:t>December 2012</w:t>
      </w:r>
    </w:p>
    <w:p w:rsidR="00C01F80" w:rsidRPr="00E06E16" w:rsidRDefault="00C01F80">
      <w:pPr>
        <w:rPr>
          <w:sz w:val="28"/>
          <w:szCs w:val="28"/>
          <w:lang w:val="en-US"/>
        </w:rPr>
      </w:pPr>
      <w:r w:rsidRPr="00E06E16">
        <w:rPr>
          <w:sz w:val="28"/>
          <w:szCs w:val="28"/>
          <w:lang w:val="en-US"/>
        </w:rPr>
        <w:lastRenderedPageBreak/>
        <w:br w:type="page"/>
      </w:r>
      <w:r w:rsidR="00A351F9">
        <w:rPr>
          <w:noProof/>
          <w:lang w:val="en-US"/>
        </w:rPr>
        <w:drawing>
          <wp:anchor distT="0" distB="0" distL="114300" distR="114300" simplePos="0" relativeHeight="251665408" behindDoc="0" locked="0" layoutInCell="1" allowOverlap="1" wp14:anchorId="20E12CC5" wp14:editId="797F3AE2">
            <wp:simplePos x="0" y="0"/>
            <wp:positionH relativeFrom="margin">
              <wp:posOffset>-763270</wp:posOffset>
            </wp:positionH>
            <wp:positionV relativeFrom="margin">
              <wp:posOffset>320675</wp:posOffset>
            </wp:positionV>
            <wp:extent cx="7562850" cy="10687050"/>
            <wp:effectExtent l="0" t="0" r="0" b="0"/>
            <wp:wrapSquare wrapText="bothSides"/>
            <wp:docPr id="12" name="Picture 1386" descr="Description: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Description: disclaim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2850" cy="10687050"/>
                    </a:xfrm>
                    <a:prstGeom prst="rect">
                      <a:avLst/>
                    </a:prstGeom>
                    <a:noFill/>
                  </pic:spPr>
                </pic:pic>
              </a:graphicData>
            </a:graphic>
            <wp14:sizeRelH relativeFrom="page">
              <wp14:pctWidth>0</wp14:pctWidth>
            </wp14:sizeRelH>
            <wp14:sizeRelV relativeFrom="page">
              <wp14:pctHeight>0</wp14:pctHeight>
            </wp14:sizeRelV>
          </wp:anchor>
        </w:drawing>
      </w:r>
    </w:p>
    <w:sdt>
      <w:sdtPr>
        <w:rPr>
          <w:rFonts w:asciiTheme="minorHAnsi" w:eastAsiaTheme="minorHAnsi" w:hAnsiTheme="minorHAnsi" w:cstheme="minorBidi"/>
          <w:b w:val="0"/>
          <w:bCs w:val="0"/>
          <w:color w:val="auto"/>
          <w:sz w:val="22"/>
          <w:szCs w:val="22"/>
          <w:lang w:val="es-BO" w:eastAsia="en-US"/>
        </w:rPr>
        <w:id w:val="-374545445"/>
        <w:docPartObj>
          <w:docPartGallery w:val="Table of Contents"/>
          <w:docPartUnique/>
        </w:docPartObj>
      </w:sdtPr>
      <w:sdtEndPr>
        <w:rPr>
          <w:noProof/>
        </w:rPr>
      </w:sdtEndPr>
      <w:sdtContent>
        <w:p w:rsidR="00A6020B" w:rsidRDefault="00A6020B">
          <w:pPr>
            <w:pStyle w:val="TOCHeading"/>
          </w:pPr>
          <w:r w:rsidRPr="00E06E16">
            <w:rPr>
              <w:rFonts w:ascii="Garamond" w:hAnsi="Garamond"/>
              <w:color w:val="auto"/>
              <w:sz w:val="36"/>
              <w:szCs w:val="36"/>
            </w:rPr>
            <w:t>Contents</w:t>
          </w:r>
        </w:p>
        <w:p w:rsidR="00A6020B" w:rsidRDefault="00A6020B" w:rsidP="00E06E16">
          <w:pPr>
            <w:pStyle w:val="TOC1"/>
            <w:spacing w:before="0" w:after="120"/>
            <w:ind w:right="403"/>
            <w:rPr>
              <w:rFonts w:asciiTheme="minorHAnsi" w:eastAsiaTheme="minorEastAsia" w:hAnsiTheme="minorHAnsi" w:cstheme="minorBidi"/>
              <w:b w:val="0"/>
              <w:sz w:val="22"/>
              <w:szCs w:val="22"/>
              <w:lang w:val="en-US" w:eastAsia="en-US"/>
            </w:rPr>
          </w:pPr>
          <w:r>
            <w:fldChar w:fldCharType="begin"/>
          </w:r>
          <w:r>
            <w:instrText xml:space="preserve"> TOC \o "1-3" \h \z \u </w:instrText>
          </w:r>
          <w:r>
            <w:fldChar w:fldCharType="separate"/>
          </w:r>
          <w:hyperlink w:anchor="_Toc342160082" w:history="1">
            <w:r w:rsidRPr="00E06E16">
              <w:rPr>
                <w:rStyle w:val="Hyperlink"/>
                <w:b w:val="0"/>
                <w:i/>
              </w:rPr>
              <w:t>List of Tables</w:t>
            </w:r>
            <w:r>
              <w:rPr>
                <w:webHidden/>
              </w:rPr>
              <w:tab/>
            </w:r>
            <w:r>
              <w:rPr>
                <w:webHidden/>
              </w:rPr>
              <w:tab/>
            </w:r>
            <w:r w:rsidR="007140CA">
              <w:rPr>
                <w:webHidden/>
              </w:rPr>
              <w:tab/>
            </w:r>
            <w:r w:rsidR="000A3453">
              <w:rPr>
                <w:webHidden/>
              </w:rPr>
              <w:tab/>
            </w:r>
            <w:r w:rsidRPr="00E06E16">
              <w:rPr>
                <w:b w:val="0"/>
                <w:webHidden/>
              </w:rPr>
              <w:fldChar w:fldCharType="begin"/>
            </w:r>
            <w:r w:rsidRPr="00E06E16">
              <w:rPr>
                <w:b w:val="0"/>
                <w:webHidden/>
              </w:rPr>
              <w:instrText xml:space="preserve"> PAGEREF _Toc342160082 \h </w:instrText>
            </w:r>
            <w:r w:rsidRPr="00E06E16">
              <w:rPr>
                <w:b w:val="0"/>
                <w:webHidden/>
              </w:rPr>
            </w:r>
            <w:r w:rsidRPr="00E06E16">
              <w:rPr>
                <w:b w:val="0"/>
                <w:webHidden/>
              </w:rPr>
              <w:fldChar w:fldCharType="separate"/>
            </w:r>
            <w:r w:rsidR="00455537">
              <w:rPr>
                <w:b w:val="0"/>
                <w:webHidden/>
              </w:rPr>
              <w:t>5</w:t>
            </w:r>
            <w:r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83" w:history="1">
            <w:r w:rsidR="00A6020B" w:rsidRPr="00E06E16">
              <w:rPr>
                <w:rStyle w:val="Hyperlink"/>
                <w:b w:val="0"/>
                <w:i/>
              </w:rPr>
              <w:t>List of Figures</w:t>
            </w:r>
            <w:r w:rsidR="00A6020B">
              <w:rPr>
                <w:rStyle w:val="Hyperlink"/>
                <w:b w:val="0"/>
                <w:i/>
              </w:rPr>
              <w:tab/>
            </w:r>
            <w:r w:rsidR="00A6020B">
              <w:rPr>
                <w:webHidden/>
              </w:rPr>
              <w:tab/>
            </w:r>
            <w:r w:rsidR="007140CA">
              <w:rPr>
                <w:webHidden/>
              </w:rPr>
              <w:tab/>
            </w:r>
            <w:r w:rsidR="000A3453">
              <w:rPr>
                <w:webHidden/>
              </w:rPr>
              <w:tab/>
            </w:r>
            <w:r w:rsidR="00A6020B" w:rsidRPr="00E06E16">
              <w:rPr>
                <w:b w:val="0"/>
                <w:webHidden/>
              </w:rPr>
              <w:fldChar w:fldCharType="begin"/>
            </w:r>
            <w:r w:rsidR="00A6020B" w:rsidRPr="00E06E16">
              <w:rPr>
                <w:b w:val="0"/>
                <w:webHidden/>
              </w:rPr>
              <w:instrText xml:space="preserve"> PAGEREF _Toc342160083 \h </w:instrText>
            </w:r>
            <w:r w:rsidR="00A6020B" w:rsidRPr="00E06E16">
              <w:rPr>
                <w:b w:val="0"/>
                <w:webHidden/>
              </w:rPr>
            </w:r>
            <w:r w:rsidR="00A6020B" w:rsidRPr="00E06E16">
              <w:rPr>
                <w:b w:val="0"/>
                <w:webHidden/>
              </w:rPr>
              <w:fldChar w:fldCharType="separate"/>
            </w:r>
            <w:r w:rsidR="00455537">
              <w:rPr>
                <w:b w:val="0"/>
                <w:webHidden/>
              </w:rPr>
              <w:t>5</w:t>
            </w:r>
            <w:r w:rsidR="00A6020B"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84" w:history="1">
            <w:r w:rsidR="00A6020B" w:rsidRPr="00E06E16">
              <w:rPr>
                <w:rStyle w:val="Hyperlink"/>
                <w:b w:val="0"/>
                <w:i/>
              </w:rPr>
              <w:t>List of Images</w:t>
            </w:r>
            <w:r w:rsidR="00A6020B">
              <w:rPr>
                <w:rStyle w:val="Hyperlink"/>
                <w:b w:val="0"/>
                <w:i/>
              </w:rPr>
              <w:tab/>
            </w:r>
            <w:r w:rsidR="00A6020B">
              <w:rPr>
                <w:webHidden/>
              </w:rPr>
              <w:tab/>
            </w:r>
            <w:r w:rsidR="007140CA">
              <w:rPr>
                <w:webHidden/>
              </w:rPr>
              <w:tab/>
            </w:r>
            <w:r w:rsidR="000A3453">
              <w:rPr>
                <w:webHidden/>
              </w:rPr>
              <w:tab/>
            </w:r>
            <w:r w:rsidR="00A6020B" w:rsidRPr="00E06E16">
              <w:rPr>
                <w:b w:val="0"/>
                <w:webHidden/>
              </w:rPr>
              <w:fldChar w:fldCharType="begin"/>
            </w:r>
            <w:r w:rsidR="00A6020B" w:rsidRPr="00E06E16">
              <w:rPr>
                <w:b w:val="0"/>
                <w:webHidden/>
              </w:rPr>
              <w:instrText xml:space="preserve"> PAGEREF _Toc342160084 \h </w:instrText>
            </w:r>
            <w:r w:rsidR="00A6020B" w:rsidRPr="00E06E16">
              <w:rPr>
                <w:b w:val="0"/>
                <w:webHidden/>
              </w:rPr>
            </w:r>
            <w:r w:rsidR="00A6020B" w:rsidRPr="00E06E16">
              <w:rPr>
                <w:b w:val="0"/>
                <w:webHidden/>
              </w:rPr>
              <w:fldChar w:fldCharType="separate"/>
            </w:r>
            <w:r w:rsidR="00455537">
              <w:rPr>
                <w:b w:val="0"/>
                <w:webHidden/>
              </w:rPr>
              <w:t>5</w:t>
            </w:r>
            <w:r w:rsidR="00A6020B"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86" w:history="1">
            <w:r w:rsidR="00A6020B" w:rsidRPr="00E06E16">
              <w:rPr>
                <w:rStyle w:val="Hyperlink"/>
                <w:b w:val="0"/>
                <w:i/>
              </w:rPr>
              <w:t>List of Diagrams</w:t>
            </w:r>
            <w:r w:rsidR="00A6020B">
              <w:rPr>
                <w:webHidden/>
              </w:rPr>
              <w:tab/>
            </w:r>
            <w:r w:rsidR="007140CA">
              <w:rPr>
                <w:webHidden/>
              </w:rPr>
              <w:tab/>
            </w:r>
            <w:r w:rsidR="000A3453">
              <w:rPr>
                <w:webHidden/>
              </w:rPr>
              <w:tab/>
            </w:r>
            <w:r w:rsidR="00A6020B" w:rsidRPr="00E06E16">
              <w:rPr>
                <w:b w:val="0"/>
                <w:webHidden/>
              </w:rPr>
              <w:fldChar w:fldCharType="begin"/>
            </w:r>
            <w:r w:rsidR="00A6020B" w:rsidRPr="00E06E16">
              <w:rPr>
                <w:b w:val="0"/>
                <w:webHidden/>
              </w:rPr>
              <w:instrText xml:space="preserve"> PAGEREF _Toc342160086 \h </w:instrText>
            </w:r>
            <w:r w:rsidR="00A6020B" w:rsidRPr="00E06E16">
              <w:rPr>
                <w:b w:val="0"/>
                <w:webHidden/>
              </w:rPr>
            </w:r>
            <w:r w:rsidR="00A6020B" w:rsidRPr="00E06E16">
              <w:rPr>
                <w:b w:val="0"/>
                <w:webHidden/>
              </w:rPr>
              <w:fldChar w:fldCharType="separate"/>
            </w:r>
            <w:r w:rsidR="00455537">
              <w:rPr>
                <w:b w:val="0"/>
                <w:webHidden/>
              </w:rPr>
              <w:t>5</w:t>
            </w:r>
            <w:r w:rsidR="00A6020B"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87" w:history="1">
            <w:r w:rsidR="00A6020B" w:rsidRPr="00E06E16">
              <w:rPr>
                <w:rStyle w:val="Hyperlink"/>
                <w:b w:val="0"/>
                <w:i/>
              </w:rPr>
              <w:t>List of Acronyms</w:t>
            </w:r>
            <w:r w:rsidR="00A6020B">
              <w:rPr>
                <w:webHidden/>
              </w:rPr>
              <w:tab/>
            </w:r>
            <w:r w:rsidR="007140CA">
              <w:rPr>
                <w:webHidden/>
              </w:rPr>
              <w:tab/>
            </w:r>
            <w:r w:rsidR="000A3453">
              <w:rPr>
                <w:webHidden/>
              </w:rPr>
              <w:tab/>
            </w:r>
            <w:r w:rsidR="00A6020B" w:rsidRPr="00E06E16">
              <w:rPr>
                <w:b w:val="0"/>
                <w:webHidden/>
              </w:rPr>
              <w:fldChar w:fldCharType="begin"/>
            </w:r>
            <w:r w:rsidR="00A6020B" w:rsidRPr="00E06E16">
              <w:rPr>
                <w:b w:val="0"/>
                <w:webHidden/>
              </w:rPr>
              <w:instrText xml:space="preserve"> PAGEREF _Toc342160087 \h </w:instrText>
            </w:r>
            <w:r w:rsidR="00A6020B" w:rsidRPr="00E06E16">
              <w:rPr>
                <w:b w:val="0"/>
                <w:webHidden/>
              </w:rPr>
            </w:r>
            <w:r w:rsidR="00A6020B" w:rsidRPr="00E06E16">
              <w:rPr>
                <w:b w:val="0"/>
                <w:webHidden/>
              </w:rPr>
              <w:fldChar w:fldCharType="separate"/>
            </w:r>
            <w:r w:rsidR="00455537">
              <w:rPr>
                <w:b w:val="0"/>
                <w:webHidden/>
              </w:rPr>
              <w:t>6</w:t>
            </w:r>
            <w:r w:rsidR="00A6020B"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88" w:history="1">
            <w:r w:rsidR="00A6020B" w:rsidRPr="00E06E16">
              <w:rPr>
                <w:rStyle w:val="Hyperlink"/>
                <w:rFonts w:eastAsiaTheme="minorHAnsi"/>
                <w:b w:val="0"/>
                <w:i/>
                <w:lang w:val="es-BO" w:eastAsia="en-US"/>
              </w:rPr>
              <w:t>Abstract</w:t>
            </w:r>
            <w:r w:rsidR="00A6020B">
              <w:rPr>
                <w:webHidden/>
              </w:rPr>
              <w:tab/>
            </w:r>
            <w:r w:rsidR="00A6020B">
              <w:rPr>
                <w:webHidden/>
              </w:rPr>
              <w:tab/>
            </w:r>
            <w:r w:rsidR="000A3453">
              <w:rPr>
                <w:webHidden/>
              </w:rPr>
              <w:tab/>
            </w:r>
            <w:r w:rsidR="007140CA">
              <w:rPr>
                <w:webHidden/>
              </w:rPr>
              <w:tab/>
            </w:r>
            <w:r w:rsidR="00A6020B" w:rsidRPr="00E06E16">
              <w:rPr>
                <w:b w:val="0"/>
                <w:webHidden/>
              </w:rPr>
              <w:fldChar w:fldCharType="begin"/>
            </w:r>
            <w:r w:rsidR="00A6020B" w:rsidRPr="00E06E16">
              <w:rPr>
                <w:b w:val="0"/>
                <w:webHidden/>
              </w:rPr>
              <w:instrText xml:space="preserve"> PAGEREF _Toc342160088 \h </w:instrText>
            </w:r>
            <w:r w:rsidR="00A6020B" w:rsidRPr="00E06E16">
              <w:rPr>
                <w:b w:val="0"/>
                <w:webHidden/>
              </w:rPr>
            </w:r>
            <w:r w:rsidR="00A6020B" w:rsidRPr="00E06E16">
              <w:rPr>
                <w:b w:val="0"/>
                <w:webHidden/>
              </w:rPr>
              <w:fldChar w:fldCharType="separate"/>
            </w:r>
            <w:r w:rsidR="00455537">
              <w:rPr>
                <w:b w:val="0"/>
                <w:webHidden/>
              </w:rPr>
              <w:t>7</w:t>
            </w:r>
            <w:r w:rsidR="00A6020B"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89" w:history="1">
            <w:r w:rsidR="00A6020B" w:rsidRPr="00E06E16">
              <w:rPr>
                <w:rStyle w:val="Hyperlink"/>
                <w:b w:val="0"/>
                <w:i/>
              </w:rPr>
              <w:t>Relevance to Development Studies</w:t>
            </w:r>
            <w:r w:rsidR="00A6020B">
              <w:rPr>
                <w:webHidden/>
              </w:rPr>
              <w:tab/>
            </w:r>
            <w:r w:rsidR="000A3453">
              <w:rPr>
                <w:webHidden/>
              </w:rPr>
              <w:tab/>
            </w:r>
            <w:r w:rsidR="007140CA">
              <w:rPr>
                <w:webHidden/>
              </w:rPr>
              <w:tab/>
            </w:r>
            <w:r w:rsidR="00A6020B" w:rsidRPr="00E06E16">
              <w:rPr>
                <w:b w:val="0"/>
                <w:webHidden/>
              </w:rPr>
              <w:fldChar w:fldCharType="begin"/>
            </w:r>
            <w:r w:rsidR="00A6020B" w:rsidRPr="00E06E16">
              <w:rPr>
                <w:b w:val="0"/>
                <w:webHidden/>
              </w:rPr>
              <w:instrText xml:space="preserve"> PAGEREF _Toc342160089 \h </w:instrText>
            </w:r>
            <w:r w:rsidR="00A6020B" w:rsidRPr="00E06E16">
              <w:rPr>
                <w:b w:val="0"/>
                <w:webHidden/>
              </w:rPr>
            </w:r>
            <w:r w:rsidR="00A6020B" w:rsidRPr="00E06E16">
              <w:rPr>
                <w:b w:val="0"/>
                <w:webHidden/>
              </w:rPr>
              <w:fldChar w:fldCharType="separate"/>
            </w:r>
            <w:r w:rsidR="00455537">
              <w:rPr>
                <w:b w:val="0"/>
                <w:webHidden/>
              </w:rPr>
              <w:t>8</w:t>
            </w:r>
            <w:r w:rsidR="00A6020B" w:rsidRPr="00E06E16">
              <w:rPr>
                <w:b w:val="0"/>
                <w:webHidden/>
              </w:rPr>
              <w:fldChar w:fldCharType="end"/>
            </w:r>
          </w:hyperlink>
        </w:p>
        <w:p w:rsidR="00A6020B" w:rsidRDefault="006F6AA6" w:rsidP="00E06E16">
          <w:pPr>
            <w:pStyle w:val="TOC1"/>
            <w:spacing w:before="0" w:after="120"/>
            <w:ind w:right="403"/>
            <w:rPr>
              <w:rFonts w:asciiTheme="minorHAnsi" w:eastAsiaTheme="minorEastAsia" w:hAnsiTheme="minorHAnsi" w:cstheme="minorBidi"/>
              <w:b w:val="0"/>
              <w:sz w:val="22"/>
              <w:szCs w:val="22"/>
              <w:lang w:val="en-US" w:eastAsia="en-US"/>
            </w:rPr>
          </w:pPr>
          <w:hyperlink w:anchor="_Toc342160090" w:history="1">
            <w:r w:rsidR="00A6020B" w:rsidRPr="00E06E16">
              <w:rPr>
                <w:rStyle w:val="Hyperlink"/>
                <w:b w:val="0"/>
                <w:i/>
              </w:rPr>
              <w:t>Keywords</w:t>
            </w:r>
            <w:r w:rsidR="00A6020B">
              <w:rPr>
                <w:webHidden/>
              </w:rPr>
              <w:tab/>
            </w:r>
            <w:r w:rsidR="00A6020B">
              <w:rPr>
                <w:webHidden/>
              </w:rPr>
              <w:tab/>
            </w:r>
            <w:r w:rsidR="000A3453">
              <w:rPr>
                <w:webHidden/>
              </w:rPr>
              <w:tab/>
            </w:r>
            <w:r w:rsidR="007140CA">
              <w:rPr>
                <w:webHidden/>
              </w:rPr>
              <w:tab/>
            </w:r>
            <w:r w:rsidR="00A6020B" w:rsidRPr="00E06E16">
              <w:rPr>
                <w:b w:val="0"/>
                <w:webHidden/>
              </w:rPr>
              <w:fldChar w:fldCharType="begin"/>
            </w:r>
            <w:r w:rsidR="00A6020B" w:rsidRPr="00E06E16">
              <w:rPr>
                <w:b w:val="0"/>
                <w:webHidden/>
              </w:rPr>
              <w:instrText xml:space="preserve"> PAGEREF _Toc342160090 \h </w:instrText>
            </w:r>
            <w:r w:rsidR="00A6020B" w:rsidRPr="00E06E16">
              <w:rPr>
                <w:b w:val="0"/>
                <w:webHidden/>
              </w:rPr>
            </w:r>
            <w:r w:rsidR="00A6020B" w:rsidRPr="00E06E16">
              <w:rPr>
                <w:b w:val="0"/>
                <w:webHidden/>
              </w:rPr>
              <w:fldChar w:fldCharType="separate"/>
            </w:r>
            <w:r w:rsidR="00455537">
              <w:rPr>
                <w:b w:val="0"/>
                <w:webHidden/>
              </w:rPr>
              <w:t>8</w:t>
            </w:r>
            <w:r w:rsidR="00A6020B" w:rsidRPr="00E06E16">
              <w:rPr>
                <w:b w:val="0"/>
                <w:webHidden/>
              </w:rPr>
              <w:fldChar w:fldCharType="end"/>
            </w:r>
          </w:hyperlink>
        </w:p>
        <w:p w:rsidR="00A6020B" w:rsidRDefault="00A6020B">
          <w:pPr>
            <w:pStyle w:val="TOC1"/>
            <w:rPr>
              <w:rStyle w:val="Hyperlink"/>
            </w:rPr>
          </w:pPr>
        </w:p>
        <w:p w:rsidR="00A6020B" w:rsidRDefault="006F6AA6">
          <w:pPr>
            <w:pStyle w:val="TOC1"/>
            <w:rPr>
              <w:rFonts w:asciiTheme="minorHAnsi" w:eastAsiaTheme="minorEastAsia" w:hAnsiTheme="minorHAnsi" w:cstheme="minorBidi"/>
              <w:b w:val="0"/>
              <w:sz w:val="22"/>
              <w:szCs w:val="22"/>
              <w:lang w:val="en-US" w:eastAsia="en-US"/>
            </w:rPr>
          </w:pPr>
          <w:hyperlink w:anchor="_Toc342160091" w:history="1">
            <w:r w:rsidR="000A3453" w:rsidRPr="00FA122F">
              <w:rPr>
                <w:rStyle w:val="Hyperlink"/>
              </w:rPr>
              <w:t xml:space="preserve">Chapter 1 </w:t>
            </w:r>
            <w:r w:rsidR="00A6020B" w:rsidRPr="00576217">
              <w:rPr>
                <w:rStyle w:val="Hyperlink"/>
                <w:lang w:val="en-US"/>
              </w:rPr>
              <w:t>INTRODUCTION</w:t>
            </w:r>
            <w:r w:rsidR="00A6020B">
              <w:rPr>
                <w:webHidden/>
              </w:rPr>
              <w:tab/>
            </w:r>
            <w:r w:rsidR="000A3453">
              <w:rPr>
                <w:webHidden/>
              </w:rPr>
              <w:tab/>
            </w:r>
            <w:r w:rsidR="007140CA">
              <w:rPr>
                <w:webHidden/>
              </w:rPr>
              <w:tab/>
            </w:r>
            <w:r w:rsidR="00A6020B" w:rsidRPr="00E06E16">
              <w:rPr>
                <w:b w:val="0"/>
                <w:webHidden/>
              </w:rPr>
              <w:fldChar w:fldCharType="begin"/>
            </w:r>
            <w:r w:rsidR="00A6020B" w:rsidRPr="00E06E16">
              <w:rPr>
                <w:b w:val="0"/>
                <w:webHidden/>
              </w:rPr>
              <w:instrText xml:space="preserve"> PAGEREF _Toc342160091 \h </w:instrText>
            </w:r>
            <w:r w:rsidR="00A6020B" w:rsidRPr="00E06E16">
              <w:rPr>
                <w:b w:val="0"/>
                <w:webHidden/>
              </w:rPr>
            </w:r>
            <w:r w:rsidR="00A6020B" w:rsidRPr="00E06E16">
              <w:rPr>
                <w:b w:val="0"/>
                <w:webHidden/>
              </w:rPr>
              <w:fldChar w:fldCharType="separate"/>
            </w:r>
            <w:r w:rsidR="00455537">
              <w:rPr>
                <w:b w:val="0"/>
                <w:webHidden/>
              </w:rPr>
              <w:t>9</w:t>
            </w:r>
            <w:r w:rsidR="00A6020B" w:rsidRPr="00E06E16">
              <w:rPr>
                <w:b w:val="0"/>
                <w:webHidden/>
              </w:rPr>
              <w:fldChar w:fldCharType="end"/>
            </w:r>
          </w:hyperlink>
        </w:p>
        <w:p w:rsidR="00A6020B" w:rsidRDefault="006F6AA6">
          <w:pPr>
            <w:pStyle w:val="TOC1"/>
            <w:rPr>
              <w:rFonts w:asciiTheme="minorHAnsi" w:eastAsiaTheme="minorEastAsia" w:hAnsiTheme="minorHAnsi" w:cstheme="minorBidi"/>
              <w:b w:val="0"/>
              <w:sz w:val="22"/>
              <w:szCs w:val="22"/>
              <w:lang w:val="en-US" w:eastAsia="en-US"/>
            </w:rPr>
          </w:pPr>
          <w:hyperlink w:anchor="_Toc342160092" w:history="1">
            <w:r w:rsidR="000A3453">
              <w:rPr>
                <w:rStyle w:val="Hyperlink"/>
                <w:lang w:val="en-US"/>
              </w:rPr>
              <w:t xml:space="preserve">Chapter 2 </w:t>
            </w:r>
            <w:r w:rsidR="00A6020B" w:rsidRPr="00576217">
              <w:rPr>
                <w:rStyle w:val="Hyperlink"/>
                <w:lang w:val="en-US"/>
              </w:rPr>
              <w:t>Changes in the Quinoa Value Chain analyzed through the Global Commodity Chain lens</w:t>
            </w:r>
            <w:r w:rsidR="00A6020B">
              <w:rPr>
                <w:webHidden/>
              </w:rPr>
              <w:tab/>
            </w:r>
            <w:r w:rsidR="007140CA">
              <w:rPr>
                <w:webHidden/>
              </w:rPr>
              <w:tab/>
            </w:r>
            <w:r w:rsidR="000A3453">
              <w:rPr>
                <w:webHidden/>
              </w:rPr>
              <w:tab/>
            </w:r>
            <w:r w:rsidR="007140CA">
              <w:rPr>
                <w:webHidden/>
              </w:rPr>
              <w:tab/>
            </w:r>
            <w:r w:rsidR="00A6020B" w:rsidRPr="00E06E16">
              <w:rPr>
                <w:b w:val="0"/>
                <w:webHidden/>
              </w:rPr>
              <w:fldChar w:fldCharType="begin"/>
            </w:r>
            <w:r w:rsidR="00A6020B" w:rsidRPr="00E06E16">
              <w:rPr>
                <w:b w:val="0"/>
                <w:webHidden/>
              </w:rPr>
              <w:instrText xml:space="preserve"> PAGEREF _Toc342160092 \h </w:instrText>
            </w:r>
            <w:r w:rsidR="00A6020B" w:rsidRPr="00E06E16">
              <w:rPr>
                <w:b w:val="0"/>
                <w:webHidden/>
              </w:rPr>
            </w:r>
            <w:r w:rsidR="00A6020B" w:rsidRPr="00E06E16">
              <w:rPr>
                <w:b w:val="0"/>
                <w:webHidden/>
              </w:rPr>
              <w:fldChar w:fldCharType="separate"/>
            </w:r>
            <w:r w:rsidR="00455537">
              <w:rPr>
                <w:b w:val="0"/>
                <w:webHidden/>
              </w:rPr>
              <w:t>16</w:t>
            </w:r>
            <w:r w:rsidR="00A6020B" w:rsidRPr="00E06E16">
              <w:rPr>
                <w:b w:val="0"/>
                <w:webHidden/>
              </w:rPr>
              <w:fldChar w:fldCharType="end"/>
            </w:r>
          </w:hyperlink>
        </w:p>
        <w:p w:rsidR="00A6020B" w:rsidRDefault="006F6AA6">
          <w:pPr>
            <w:pStyle w:val="TOC1"/>
            <w:rPr>
              <w:rFonts w:asciiTheme="minorHAnsi" w:eastAsiaTheme="minorEastAsia" w:hAnsiTheme="minorHAnsi" w:cstheme="minorBidi"/>
              <w:b w:val="0"/>
              <w:sz w:val="22"/>
              <w:szCs w:val="22"/>
              <w:lang w:val="en-US" w:eastAsia="en-US"/>
            </w:rPr>
          </w:pPr>
          <w:hyperlink w:anchor="_Toc342160093" w:history="1">
            <w:r w:rsidR="000A3453">
              <w:rPr>
                <w:rStyle w:val="Hyperlink"/>
                <w:lang w:val="en-US"/>
              </w:rPr>
              <w:t xml:space="preserve">Chapter 3 </w:t>
            </w:r>
            <w:r w:rsidR="00A6020B" w:rsidRPr="00576217">
              <w:rPr>
                <w:rStyle w:val="Hyperlink"/>
                <w:lang w:val="en-US"/>
              </w:rPr>
              <w:t>Mapping the Quinoa Value Chain</w:t>
            </w:r>
            <w:r w:rsidR="00A6020B">
              <w:rPr>
                <w:webHidden/>
              </w:rPr>
              <w:tab/>
            </w:r>
            <w:r w:rsidR="003C536B">
              <w:rPr>
                <w:webHidden/>
              </w:rPr>
              <w:tab/>
            </w:r>
            <w:r w:rsidR="000A3453">
              <w:rPr>
                <w:webHidden/>
              </w:rPr>
              <w:tab/>
            </w:r>
            <w:r w:rsidR="00A6020B" w:rsidRPr="00E06E16">
              <w:rPr>
                <w:b w:val="0"/>
                <w:webHidden/>
              </w:rPr>
              <w:fldChar w:fldCharType="begin"/>
            </w:r>
            <w:r w:rsidR="00A6020B" w:rsidRPr="00E06E16">
              <w:rPr>
                <w:b w:val="0"/>
                <w:webHidden/>
              </w:rPr>
              <w:instrText xml:space="preserve"> PAGEREF _Toc342160093 \h </w:instrText>
            </w:r>
            <w:r w:rsidR="00A6020B" w:rsidRPr="00E06E16">
              <w:rPr>
                <w:b w:val="0"/>
                <w:webHidden/>
              </w:rPr>
            </w:r>
            <w:r w:rsidR="00A6020B" w:rsidRPr="00E06E16">
              <w:rPr>
                <w:b w:val="0"/>
                <w:webHidden/>
              </w:rPr>
              <w:fldChar w:fldCharType="separate"/>
            </w:r>
            <w:r w:rsidR="00455537">
              <w:rPr>
                <w:b w:val="0"/>
                <w:webHidden/>
              </w:rPr>
              <w:t>27</w:t>
            </w:r>
            <w:r w:rsidR="00A6020B" w:rsidRPr="00E06E16">
              <w:rPr>
                <w:b w:val="0"/>
                <w:webHidden/>
              </w:rPr>
              <w:fldChar w:fldCharType="end"/>
            </w:r>
          </w:hyperlink>
        </w:p>
        <w:p w:rsidR="00A6020B" w:rsidRDefault="003C536B">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val="en-US" w:eastAsia="en-US"/>
            </w:rPr>
            <w:tab/>
          </w:r>
          <w:hyperlink w:anchor="_Toc342160094" w:history="1">
            <w:r w:rsidRPr="00E06E16">
              <w:rPr>
                <w:rStyle w:val="Hyperlink"/>
                <w:lang w:val="en-US"/>
              </w:rPr>
              <w:t>a) Identification of Actors</w:t>
            </w:r>
            <w:r w:rsidR="00A6020B">
              <w:rPr>
                <w:webHidden/>
              </w:rPr>
              <w:tab/>
            </w:r>
            <w:r>
              <w:rPr>
                <w:webHidden/>
              </w:rPr>
              <w:tab/>
            </w:r>
            <w:r w:rsidR="000A3453">
              <w:rPr>
                <w:webHidden/>
              </w:rPr>
              <w:tab/>
            </w:r>
            <w:r w:rsidR="00A6020B">
              <w:rPr>
                <w:webHidden/>
              </w:rPr>
              <w:fldChar w:fldCharType="begin"/>
            </w:r>
            <w:r w:rsidR="00A6020B">
              <w:rPr>
                <w:webHidden/>
              </w:rPr>
              <w:instrText xml:space="preserve"> PAGEREF _Toc342160094 \h </w:instrText>
            </w:r>
            <w:r w:rsidR="00A6020B">
              <w:rPr>
                <w:webHidden/>
              </w:rPr>
            </w:r>
            <w:r w:rsidR="00A6020B">
              <w:rPr>
                <w:webHidden/>
              </w:rPr>
              <w:fldChar w:fldCharType="separate"/>
            </w:r>
            <w:r w:rsidR="00455537">
              <w:rPr>
                <w:webHidden/>
              </w:rPr>
              <w:t>28</w:t>
            </w:r>
            <w:r w:rsidR="00A6020B">
              <w:rPr>
                <w:webHidden/>
              </w:rPr>
              <w:fldChar w:fldCharType="end"/>
            </w:r>
          </w:hyperlink>
        </w:p>
        <w:p w:rsidR="00A6020B" w:rsidRDefault="003C536B">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val="en-US" w:eastAsia="en-US"/>
            </w:rPr>
            <w:tab/>
          </w:r>
          <w:hyperlink w:anchor="_Toc342160095" w:history="1">
            <w:r w:rsidR="00A6020B" w:rsidRPr="00576217">
              <w:rPr>
                <w:rStyle w:val="Hyperlink"/>
                <w:lang w:val="en-US"/>
              </w:rPr>
              <w:t xml:space="preserve">b) Market </w:t>
            </w:r>
            <w:r w:rsidR="00A76294">
              <w:rPr>
                <w:rStyle w:val="Hyperlink"/>
                <w:lang w:val="en-US"/>
              </w:rPr>
              <w:t>Structure and Bargaining Processes Pre and Post Demand C</w:t>
            </w:r>
            <w:r w:rsidR="00A6020B" w:rsidRPr="00576217">
              <w:rPr>
                <w:rStyle w:val="Hyperlink"/>
                <w:lang w:val="en-US"/>
              </w:rPr>
              <w:t>hanges</w:t>
            </w:r>
            <w:r w:rsidR="00A6020B">
              <w:rPr>
                <w:webHidden/>
              </w:rPr>
              <w:tab/>
            </w:r>
            <w:r w:rsidR="000A3453">
              <w:rPr>
                <w:webHidden/>
              </w:rPr>
              <w:tab/>
            </w:r>
            <w:r w:rsidR="00A6020B">
              <w:rPr>
                <w:webHidden/>
              </w:rPr>
              <w:fldChar w:fldCharType="begin"/>
            </w:r>
            <w:r w:rsidR="00A6020B">
              <w:rPr>
                <w:webHidden/>
              </w:rPr>
              <w:instrText xml:space="preserve"> PAGEREF _Toc342160095 \h </w:instrText>
            </w:r>
            <w:r w:rsidR="00A6020B">
              <w:rPr>
                <w:webHidden/>
              </w:rPr>
            </w:r>
            <w:r w:rsidR="00A6020B">
              <w:rPr>
                <w:webHidden/>
              </w:rPr>
              <w:fldChar w:fldCharType="separate"/>
            </w:r>
            <w:r w:rsidR="00455537">
              <w:rPr>
                <w:webHidden/>
              </w:rPr>
              <w:t>32</w:t>
            </w:r>
            <w:r w:rsidR="00A6020B">
              <w:rPr>
                <w:webHidden/>
              </w:rPr>
              <w:fldChar w:fldCharType="end"/>
            </w:r>
          </w:hyperlink>
        </w:p>
        <w:p w:rsidR="00A6020B" w:rsidRDefault="006F6AA6">
          <w:pPr>
            <w:pStyle w:val="TOC1"/>
            <w:rPr>
              <w:rFonts w:asciiTheme="minorHAnsi" w:eastAsiaTheme="minorEastAsia" w:hAnsiTheme="minorHAnsi" w:cstheme="minorBidi"/>
              <w:b w:val="0"/>
              <w:sz w:val="22"/>
              <w:szCs w:val="22"/>
              <w:lang w:val="en-US" w:eastAsia="en-US"/>
            </w:rPr>
          </w:pPr>
          <w:hyperlink w:anchor="_Toc342160096" w:history="1">
            <w:r w:rsidR="000A3453">
              <w:rPr>
                <w:rStyle w:val="Hyperlink"/>
                <w:lang w:val="en-US"/>
              </w:rPr>
              <w:t>Chapter 4</w:t>
            </w:r>
            <w:r w:rsidR="003C536B">
              <w:rPr>
                <w:rFonts w:asciiTheme="minorHAnsi" w:eastAsiaTheme="minorEastAsia" w:hAnsiTheme="minorHAnsi" w:cstheme="minorBidi"/>
                <w:b w:val="0"/>
                <w:sz w:val="22"/>
                <w:szCs w:val="22"/>
                <w:lang w:val="en-US" w:eastAsia="en-US"/>
              </w:rPr>
              <w:t xml:space="preserve"> </w:t>
            </w:r>
            <w:r w:rsidR="00A6020B" w:rsidRPr="00576217">
              <w:rPr>
                <w:rStyle w:val="Hyperlink"/>
                <w:lang w:val="en-US"/>
              </w:rPr>
              <w:t>New Private Players characterize the Current Quinoa Market Structure</w:t>
            </w:r>
            <w:r w:rsidR="00A6020B">
              <w:rPr>
                <w:webHidden/>
              </w:rPr>
              <w:tab/>
            </w:r>
            <w:r w:rsidR="00A6020B" w:rsidRPr="00E06E16">
              <w:rPr>
                <w:b w:val="0"/>
                <w:webHidden/>
              </w:rPr>
              <w:fldChar w:fldCharType="begin"/>
            </w:r>
            <w:r w:rsidR="00A6020B" w:rsidRPr="00E06E16">
              <w:rPr>
                <w:b w:val="0"/>
                <w:webHidden/>
              </w:rPr>
              <w:instrText xml:space="preserve"> PAGEREF _Toc342160096 \h </w:instrText>
            </w:r>
            <w:r w:rsidR="00A6020B" w:rsidRPr="00E06E16">
              <w:rPr>
                <w:b w:val="0"/>
                <w:webHidden/>
              </w:rPr>
            </w:r>
            <w:r w:rsidR="00A6020B" w:rsidRPr="00E06E16">
              <w:rPr>
                <w:b w:val="0"/>
                <w:webHidden/>
              </w:rPr>
              <w:fldChar w:fldCharType="separate"/>
            </w:r>
            <w:r w:rsidR="00455537">
              <w:rPr>
                <w:b w:val="0"/>
                <w:webHidden/>
              </w:rPr>
              <w:t>37</w:t>
            </w:r>
            <w:r w:rsidR="00A6020B" w:rsidRPr="00E06E16">
              <w:rPr>
                <w:b w:val="0"/>
                <w:webHidden/>
              </w:rPr>
              <w:fldChar w:fldCharType="end"/>
            </w:r>
          </w:hyperlink>
        </w:p>
        <w:p w:rsidR="00A6020B" w:rsidRDefault="003C536B">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val="en-US" w:eastAsia="en-US"/>
            </w:rPr>
            <w:tab/>
          </w:r>
          <w:hyperlink w:anchor="_Toc342160097" w:history="1">
            <w:r w:rsidR="00A6020B" w:rsidRPr="00E06E16">
              <w:rPr>
                <w:rStyle w:val="Hyperlink"/>
                <w:lang w:val="en-US"/>
              </w:rPr>
              <w:t>a)</w:t>
            </w:r>
            <w:r w:rsidRPr="00E06E16">
              <w:rPr>
                <w:rStyle w:val="Hyperlink"/>
                <w:lang w:val="en-US"/>
              </w:rPr>
              <w:t xml:space="preserve"> </w:t>
            </w:r>
            <w:r w:rsidR="00A6020B" w:rsidRPr="00E06E16">
              <w:rPr>
                <w:rStyle w:val="Hyperlink"/>
                <w:lang w:val="en-US"/>
              </w:rPr>
              <w:t>Loss of Monopoly</w:t>
            </w:r>
            <w:r w:rsidR="00A6020B">
              <w:rPr>
                <w:webHidden/>
              </w:rPr>
              <w:tab/>
            </w:r>
            <w:r w:rsidR="000A3453">
              <w:rPr>
                <w:webHidden/>
              </w:rPr>
              <w:tab/>
            </w:r>
            <w:r>
              <w:rPr>
                <w:webHidden/>
              </w:rPr>
              <w:tab/>
            </w:r>
            <w:r w:rsidR="00A6020B">
              <w:rPr>
                <w:webHidden/>
              </w:rPr>
              <w:fldChar w:fldCharType="begin"/>
            </w:r>
            <w:r w:rsidR="00A6020B">
              <w:rPr>
                <w:webHidden/>
              </w:rPr>
              <w:instrText xml:space="preserve"> PAGEREF _Toc342160097 \h </w:instrText>
            </w:r>
            <w:r w:rsidR="00A6020B">
              <w:rPr>
                <w:webHidden/>
              </w:rPr>
            </w:r>
            <w:r w:rsidR="00A6020B">
              <w:rPr>
                <w:webHidden/>
              </w:rPr>
              <w:fldChar w:fldCharType="separate"/>
            </w:r>
            <w:r w:rsidR="00455537">
              <w:rPr>
                <w:webHidden/>
              </w:rPr>
              <w:t>37</w:t>
            </w:r>
            <w:r w:rsidR="00A6020B">
              <w:rPr>
                <w:webHidden/>
              </w:rPr>
              <w:fldChar w:fldCharType="end"/>
            </w:r>
          </w:hyperlink>
        </w:p>
        <w:p w:rsidR="00A6020B" w:rsidRDefault="003C536B">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val="en-US" w:eastAsia="en-US"/>
            </w:rPr>
            <w:tab/>
          </w:r>
          <w:hyperlink w:anchor="_Toc342160098" w:history="1">
            <w:r w:rsidR="00A6020B" w:rsidRPr="00E06E16">
              <w:rPr>
                <w:rStyle w:val="Hyperlink"/>
                <w:lang w:val="en-US"/>
              </w:rPr>
              <w:t>b) Loss of Market Share</w:t>
            </w:r>
            <w:r w:rsidR="00A6020B">
              <w:rPr>
                <w:webHidden/>
              </w:rPr>
              <w:tab/>
            </w:r>
            <w:r w:rsidR="000A3453">
              <w:rPr>
                <w:webHidden/>
              </w:rPr>
              <w:tab/>
            </w:r>
            <w:r>
              <w:rPr>
                <w:webHidden/>
              </w:rPr>
              <w:tab/>
            </w:r>
            <w:r w:rsidR="00A6020B">
              <w:rPr>
                <w:webHidden/>
              </w:rPr>
              <w:fldChar w:fldCharType="begin"/>
            </w:r>
            <w:r w:rsidR="00A6020B">
              <w:rPr>
                <w:webHidden/>
              </w:rPr>
              <w:instrText xml:space="preserve"> PAGEREF _Toc342160098 \h </w:instrText>
            </w:r>
            <w:r w:rsidR="00A6020B">
              <w:rPr>
                <w:webHidden/>
              </w:rPr>
            </w:r>
            <w:r w:rsidR="00A6020B">
              <w:rPr>
                <w:webHidden/>
              </w:rPr>
              <w:fldChar w:fldCharType="separate"/>
            </w:r>
            <w:r w:rsidR="00455537">
              <w:rPr>
                <w:webHidden/>
              </w:rPr>
              <w:t>39</w:t>
            </w:r>
            <w:r w:rsidR="00A6020B">
              <w:rPr>
                <w:webHidden/>
              </w:rPr>
              <w:fldChar w:fldCharType="end"/>
            </w:r>
          </w:hyperlink>
        </w:p>
        <w:p w:rsidR="00A6020B" w:rsidRDefault="006F6AA6">
          <w:pPr>
            <w:pStyle w:val="TOC1"/>
            <w:rPr>
              <w:rFonts w:asciiTheme="minorHAnsi" w:eastAsiaTheme="minorEastAsia" w:hAnsiTheme="minorHAnsi" w:cstheme="minorBidi"/>
              <w:b w:val="0"/>
              <w:sz w:val="22"/>
              <w:szCs w:val="22"/>
              <w:lang w:val="en-US" w:eastAsia="en-US"/>
            </w:rPr>
          </w:pPr>
          <w:hyperlink w:anchor="_Toc342160099" w:history="1">
            <w:r w:rsidR="000A3453">
              <w:rPr>
                <w:rStyle w:val="Hyperlink"/>
                <w:lang w:val="en-US"/>
              </w:rPr>
              <w:t>Chapter 5</w:t>
            </w:r>
            <w:r w:rsidR="003C536B">
              <w:rPr>
                <w:rStyle w:val="Hyperlink"/>
                <w:lang w:val="en-US"/>
              </w:rPr>
              <w:t xml:space="preserve"> </w:t>
            </w:r>
            <w:r w:rsidR="00A76294">
              <w:rPr>
                <w:rStyle w:val="Hyperlink"/>
                <w:lang w:val="en-US"/>
              </w:rPr>
              <w:t xml:space="preserve">New Business Practices in the Current </w:t>
            </w:r>
            <w:r w:rsidR="00A6020B" w:rsidRPr="00576217">
              <w:rPr>
                <w:rStyle w:val="Hyperlink"/>
                <w:lang w:val="en-US"/>
              </w:rPr>
              <w:t xml:space="preserve">Quinoa Market Structure and its Implications for the Quinoa Farmers’ </w:t>
            </w:r>
            <w:r w:rsidR="00E67695">
              <w:rPr>
                <w:rStyle w:val="Hyperlink"/>
                <w:lang w:val="en-US"/>
              </w:rPr>
              <w:t>I</w:t>
            </w:r>
            <w:r w:rsidR="00A6020B" w:rsidRPr="00576217">
              <w:rPr>
                <w:rStyle w:val="Hyperlink"/>
                <w:lang w:val="en-US"/>
              </w:rPr>
              <w:t>ncome</w:t>
            </w:r>
            <w:r w:rsidR="00A6020B">
              <w:rPr>
                <w:webHidden/>
              </w:rPr>
              <w:tab/>
            </w:r>
            <w:r w:rsidR="000A3453">
              <w:rPr>
                <w:webHidden/>
              </w:rPr>
              <w:tab/>
            </w:r>
            <w:r w:rsidR="003C536B">
              <w:rPr>
                <w:webHidden/>
              </w:rPr>
              <w:tab/>
            </w:r>
            <w:r w:rsidR="00A6020B" w:rsidRPr="00E06E16">
              <w:rPr>
                <w:b w:val="0"/>
                <w:webHidden/>
              </w:rPr>
              <w:fldChar w:fldCharType="begin"/>
            </w:r>
            <w:r w:rsidR="00A6020B" w:rsidRPr="00E06E16">
              <w:rPr>
                <w:b w:val="0"/>
                <w:webHidden/>
              </w:rPr>
              <w:instrText xml:space="preserve"> PAGEREF _Toc342160099 \h </w:instrText>
            </w:r>
            <w:r w:rsidR="00A6020B" w:rsidRPr="00E06E16">
              <w:rPr>
                <w:b w:val="0"/>
                <w:webHidden/>
              </w:rPr>
            </w:r>
            <w:r w:rsidR="00A6020B" w:rsidRPr="00E06E16">
              <w:rPr>
                <w:b w:val="0"/>
                <w:webHidden/>
              </w:rPr>
              <w:fldChar w:fldCharType="separate"/>
            </w:r>
            <w:r w:rsidR="00455537">
              <w:rPr>
                <w:b w:val="0"/>
                <w:webHidden/>
              </w:rPr>
              <w:t>41</w:t>
            </w:r>
            <w:r w:rsidR="00A6020B" w:rsidRPr="00E06E16">
              <w:rPr>
                <w:b w:val="0"/>
                <w:webHidden/>
              </w:rPr>
              <w:fldChar w:fldCharType="end"/>
            </w:r>
          </w:hyperlink>
        </w:p>
        <w:p w:rsidR="00A6020B" w:rsidRDefault="007140CA">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eastAsia="en-US"/>
            </w:rPr>
            <w:tab/>
          </w:r>
          <w:hyperlink w:anchor="_Toc342160100" w:history="1">
            <w:r w:rsidR="00A6020B" w:rsidRPr="00E06E16">
              <w:rPr>
                <w:rStyle w:val="Hyperlink"/>
                <w:lang w:val="en-US"/>
              </w:rPr>
              <w:t>a) Vertical Integration</w:t>
            </w:r>
            <w:r w:rsidR="0031134E">
              <w:rPr>
                <w:rStyle w:val="Hyperlink"/>
                <w:lang w:val="en-US"/>
              </w:rPr>
              <w:t xml:space="preserve"> Strategies and Market Coordination</w:t>
            </w:r>
            <w:r w:rsidR="00A6020B">
              <w:rPr>
                <w:webHidden/>
              </w:rPr>
              <w:tab/>
            </w:r>
            <w:r w:rsidR="000A3453">
              <w:rPr>
                <w:webHidden/>
              </w:rPr>
              <w:tab/>
            </w:r>
            <w:r w:rsidR="003C536B">
              <w:rPr>
                <w:webHidden/>
              </w:rPr>
              <w:tab/>
            </w:r>
            <w:r w:rsidR="00A6020B">
              <w:rPr>
                <w:webHidden/>
              </w:rPr>
              <w:fldChar w:fldCharType="begin"/>
            </w:r>
            <w:r w:rsidR="00A6020B">
              <w:rPr>
                <w:webHidden/>
              </w:rPr>
              <w:instrText xml:space="preserve"> PAGEREF _Toc342160100 \h </w:instrText>
            </w:r>
            <w:r w:rsidR="00A6020B">
              <w:rPr>
                <w:webHidden/>
              </w:rPr>
            </w:r>
            <w:r w:rsidR="00A6020B">
              <w:rPr>
                <w:webHidden/>
              </w:rPr>
              <w:fldChar w:fldCharType="separate"/>
            </w:r>
            <w:r w:rsidR="00455537">
              <w:rPr>
                <w:webHidden/>
              </w:rPr>
              <w:t>41</w:t>
            </w:r>
            <w:r w:rsidR="00A6020B">
              <w:rPr>
                <w:webHidden/>
              </w:rPr>
              <w:fldChar w:fldCharType="end"/>
            </w:r>
          </w:hyperlink>
        </w:p>
        <w:p w:rsidR="00A6020B" w:rsidRDefault="007140CA">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eastAsia="en-US"/>
            </w:rPr>
            <w:tab/>
          </w:r>
          <w:hyperlink w:anchor="_Toc342160101" w:history="1">
            <w:r w:rsidR="00A6020B" w:rsidRPr="00E06E16">
              <w:rPr>
                <w:rStyle w:val="Hyperlink"/>
                <w:lang w:val="en-US"/>
              </w:rPr>
              <w:t xml:space="preserve">b) </w:t>
            </w:r>
            <w:r w:rsidR="00A76294">
              <w:rPr>
                <w:rStyle w:val="Hyperlink"/>
                <w:lang w:val="en-US"/>
              </w:rPr>
              <w:t xml:space="preserve">Farmers </w:t>
            </w:r>
            <w:r w:rsidR="00E67695">
              <w:rPr>
                <w:rStyle w:val="Hyperlink"/>
                <w:lang w:val="en-US"/>
              </w:rPr>
              <w:t>B</w:t>
            </w:r>
            <w:r w:rsidR="00A76294">
              <w:rPr>
                <w:rStyle w:val="Hyperlink"/>
                <w:lang w:val="en-US"/>
              </w:rPr>
              <w:t xml:space="preserve">argaining </w:t>
            </w:r>
            <w:r w:rsidR="00E67695">
              <w:rPr>
                <w:rStyle w:val="Hyperlink"/>
                <w:lang w:val="en-US"/>
              </w:rPr>
              <w:t>P</w:t>
            </w:r>
            <w:r w:rsidR="00A76294">
              <w:rPr>
                <w:rStyle w:val="Hyperlink"/>
                <w:lang w:val="en-US"/>
              </w:rPr>
              <w:t xml:space="preserve">ower under </w:t>
            </w:r>
            <w:r w:rsidR="00A6020B" w:rsidRPr="00E06E16">
              <w:rPr>
                <w:rStyle w:val="Hyperlink"/>
                <w:lang w:val="en-US"/>
              </w:rPr>
              <w:t>“Contract Models”</w:t>
            </w:r>
            <w:r w:rsidR="00A6020B">
              <w:rPr>
                <w:webHidden/>
              </w:rPr>
              <w:tab/>
            </w:r>
            <w:r w:rsidR="000A3453">
              <w:rPr>
                <w:webHidden/>
              </w:rPr>
              <w:tab/>
            </w:r>
            <w:r w:rsidR="003C536B">
              <w:rPr>
                <w:webHidden/>
              </w:rPr>
              <w:tab/>
            </w:r>
            <w:r w:rsidR="00A6020B">
              <w:rPr>
                <w:webHidden/>
              </w:rPr>
              <w:fldChar w:fldCharType="begin"/>
            </w:r>
            <w:r w:rsidR="00A6020B">
              <w:rPr>
                <w:webHidden/>
              </w:rPr>
              <w:instrText xml:space="preserve"> PAGEREF _Toc342160101 \h </w:instrText>
            </w:r>
            <w:r w:rsidR="00A6020B">
              <w:rPr>
                <w:webHidden/>
              </w:rPr>
            </w:r>
            <w:r w:rsidR="00A6020B">
              <w:rPr>
                <w:webHidden/>
              </w:rPr>
              <w:fldChar w:fldCharType="separate"/>
            </w:r>
            <w:r w:rsidR="00455537">
              <w:rPr>
                <w:webHidden/>
              </w:rPr>
              <w:t>45</w:t>
            </w:r>
            <w:r w:rsidR="00A6020B">
              <w:rPr>
                <w:webHidden/>
              </w:rPr>
              <w:fldChar w:fldCharType="end"/>
            </w:r>
          </w:hyperlink>
        </w:p>
        <w:p w:rsidR="00A6020B" w:rsidRDefault="007140CA">
          <w:pPr>
            <w:pStyle w:val="TOC2"/>
            <w:rPr>
              <w:rFonts w:asciiTheme="minorHAnsi" w:eastAsiaTheme="minorEastAsia" w:hAnsiTheme="minorHAnsi" w:cstheme="minorBidi"/>
              <w:sz w:val="22"/>
              <w:szCs w:val="22"/>
              <w:lang w:val="en-US" w:eastAsia="en-US"/>
            </w:rPr>
          </w:pPr>
          <w:r w:rsidRPr="00E06E16">
            <w:rPr>
              <w:rFonts w:asciiTheme="minorHAnsi" w:eastAsiaTheme="minorEastAsia" w:hAnsiTheme="minorHAnsi" w:cstheme="minorBidi"/>
              <w:sz w:val="22"/>
              <w:szCs w:val="22"/>
              <w:lang w:eastAsia="en-US"/>
            </w:rPr>
            <w:tab/>
          </w:r>
          <w:hyperlink w:anchor="_Toc342160102" w:history="1">
            <w:r w:rsidR="00A6020B" w:rsidRPr="00E06E16">
              <w:rPr>
                <w:rStyle w:val="Hyperlink"/>
                <w:lang w:val="en-US"/>
              </w:rPr>
              <w:t xml:space="preserve">c) </w:t>
            </w:r>
            <w:r w:rsidR="00A40C59" w:rsidRPr="00FA122F">
              <w:rPr>
                <w:rStyle w:val="Hyperlink"/>
              </w:rPr>
              <w:t xml:space="preserve">Price </w:t>
            </w:r>
            <w:r w:rsidR="00E67695">
              <w:rPr>
                <w:rStyle w:val="Hyperlink"/>
              </w:rPr>
              <w:t>I</w:t>
            </w:r>
            <w:r w:rsidR="00A40C59" w:rsidRPr="00FA122F">
              <w:rPr>
                <w:rStyle w:val="Hyperlink"/>
              </w:rPr>
              <w:t xml:space="preserve">mplications of the </w:t>
            </w:r>
            <w:r w:rsidR="00E67695">
              <w:rPr>
                <w:rStyle w:val="Hyperlink"/>
              </w:rPr>
              <w:t>N</w:t>
            </w:r>
            <w:r w:rsidR="00A40C59" w:rsidRPr="00FA122F">
              <w:rPr>
                <w:rStyle w:val="Hyperlink"/>
              </w:rPr>
              <w:t xml:space="preserve">ew </w:t>
            </w:r>
            <w:r w:rsidR="00E67695">
              <w:rPr>
                <w:rStyle w:val="Hyperlink"/>
              </w:rPr>
              <w:t>C</w:t>
            </w:r>
            <w:r w:rsidR="00A40C59" w:rsidRPr="00FA122F">
              <w:rPr>
                <w:rStyle w:val="Hyperlink"/>
              </w:rPr>
              <w:t xml:space="preserve">ompetitive </w:t>
            </w:r>
            <w:r w:rsidR="00E67695">
              <w:rPr>
                <w:rStyle w:val="Hyperlink"/>
              </w:rPr>
              <w:t>E</w:t>
            </w:r>
            <w:r w:rsidR="00A40C59" w:rsidRPr="00FA122F">
              <w:rPr>
                <w:rStyle w:val="Hyperlink"/>
              </w:rPr>
              <w:t xml:space="preserve">nvironment </w:t>
            </w:r>
            <w:r w:rsidR="00A6020B">
              <w:rPr>
                <w:webHidden/>
              </w:rPr>
              <w:tab/>
            </w:r>
            <w:r w:rsidR="000A3453">
              <w:rPr>
                <w:webHidden/>
              </w:rPr>
              <w:tab/>
            </w:r>
            <w:r w:rsidR="003C536B">
              <w:rPr>
                <w:webHidden/>
              </w:rPr>
              <w:tab/>
            </w:r>
            <w:r w:rsidR="00A6020B">
              <w:rPr>
                <w:webHidden/>
              </w:rPr>
              <w:fldChar w:fldCharType="begin"/>
            </w:r>
            <w:r w:rsidR="00A6020B">
              <w:rPr>
                <w:webHidden/>
              </w:rPr>
              <w:instrText xml:space="preserve"> PAGEREF _Toc342160102 \h </w:instrText>
            </w:r>
            <w:r w:rsidR="00A6020B">
              <w:rPr>
                <w:webHidden/>
              </w:rPr>
            </w:r>
            <w:r w:rsidR="00A6020B">
              <w:rPr>
                <w:webHidden/>
              </w:rPr>
              <w:fldChar w:fldCharType="separate"/>
            </w:r>
            <w:r w:rsidR="00455537">
              <w:rPr>
                <w:webHidden/>
              </w:rPr>
              <w:t>49</w:t>
            </w:r>
            <w:r w:rsidR="00A6020B">
              <w:rPr>
                <w:webHidden/>
              </w:rPr>
              <w:fldChar w:fldCharType="end"/>
            </w:r>
          </w:hyperlink>
        </w:p>
        <w:p w:rsidR="00A6020B" w:rsidRDefault="006F6AA6">
          <w:pPr>
            <w:pStyle w:val="TOC1"/>
            <w:rPr>
              <w:rFonts w:asciiTheme="minorHAnsi" w:eastAsiaTheme="minorEastAsia" w:hAnsiTheme="minorHAnsi" w:cstheme="minorBidi"/>
              <w:b w:val="0"/>
              <w:sz w:val="22"/>
              <w:szCs w:val="22"/>
              <w:lang w:val="en-US" w:eastAsia="en-US"/>
            </w:rPr>
          </w:pPr>
          <w:hyperlink w:anchor="_Toc342160103" w:history="1">
            <w:r w:rsidR="000A3453">
              <w:rPr>
                <w:rStyle w:val="Hyperlink"/>
                <w:lang w:val="en-US"/>
              </w:rPr>
              <w:t>Chapter 6</w:t>
            </w:r>
            <w:r w:rsidR="00A6020B" w:rsidRPr="00576217">
              <w:rPr>
                <w:rStyle w:val="Hyperlink"/>
                <w:lang w:val="en-US"/>
              </w:rPr>
              <w:t xml:space="preserve"> CONCLUSIONS</w:t>
            </w:r>
            <w:r w:rsidR="00A6020B">
              <w:rPr>
                <w:webHidden/>
              </w:rPr>
              <w:tab/>
            </w:r>
            <w:r w:rsidR="000A3453">
              <w:rPr>
                <w:webHidden/>
              </w:rPr>
              <w:tab/>
            </w:r>
            <w:r w:rsidR="003C536B">
              <w:rPr>
                <w:webHidden/>
              </w:rPr>
              <w:tab/>
            </w:r>
            <w:r w:rsidR="00A6020B" w:rsidRPr="00E06E16">
              <w:rPr>
                <w:b w:val="0"/>
                <w:webHidden/>
              </w:rPr>
              <w:fldChar w:fldCharType="begin"/>
            </w:r>
            <w:r w:rsidR="00A6020B" w:rsidRPr="00E06E16">
              <w:rPr>
                <w:b w:val="0"/>
                <w:webHidden/>
              </w:rPr>
              <w:instrText xml:space="preserve"> PAGEREF _Toc342160103 \h </w:instrText>
            </w:r>
            <w:r w:rsidR="00A6020B" w:rsidRPr="00E06E16">
              <w:rPr>
                <w:b w:val="0"/>
                <w:webHidden/>
              </w:rPr>
            </w:r>
            <w:r w:rsidR="00A6020B" w:rsidRPr="00E06E16">
              <w:rPr>
                <w:b w:val="0"/>
                <w:webHidden/>
              </w:rPr>
              <w:fldChar w:fldCharType="separate"/>
            </w:r>
            <w:r w:rsidR="00455537">
              <w:rPr>
                <w:b w:val="0"/>
                <w:webHidden/>
              </w:rPr>
              <w:t>52</w:t>
            </w:r>
            <w:r w:rsidR="00A6020B" w:rsidRPr="00E06E16">
              <w:rPr>
                <w:b w:val="0"/>
                <w:webHidden/>
              </w:rPr>
              <w:fldChar w:fldCharType="end"/>
            </w:r>
          </w:hyperlink>
        </w:p>
        <w:p w:rsidR="00FE6E19" w:rsidRDefault="00A6020B" w:rsidP="00FE6E19">
          <w:pPr>
            <w:pStyle w:val="TOC1"/>
            <w:rPr>
              <w:rFonts w:asciiTheme="minorHAnsi" w:eastAsiaTheme="minorEastAsia" w:hAnsiTheme="minorHAnsi" w:cstheme="minorBidi"/>
              <w:b w:val="0"/>
              <w:sz w:val="22"/>
              <w:szCs w:val="22"/>
              <w:lang w:val="en-US" w:eastAsia="en-US"/>
            </w:rPr>
          </w:pPr>
          <w:r>
            <w:rPr>
              <w:b w:val="0"/>
              <w:bCs/>
            </w:rPr>
            <w:fldChar w:fldCharType="end"/>
          </w:r>
          <w:r w:rsidR="002C3D6A" w:rsidRPr="00E06E16">
            <w:rPr>
              <w:b w:val="0"/>
              <w:bCs/>
              <w:sz w:val="26"/>
              <w:szCs w:val="26"/>
            </w:rPr>
            <w:fldChar w:fldCharType="begin"/>
          </w:r>
          <w:r w:rsidR="002C3D6A" w:rsidRPr="00E06E16">
            <w:rPr>
              <w:b w:val="0"/>
              <w:bCs/>
              <w:sz w:val="26"/>
              <w:szCs w:val="26"/>
            </w:rPr>
            <w:instrText xml:space="preserve"> REF _Ref342163739 \h  \* MERGEFORMAT </w:instrText>
          </w:r>
          <w:r w:rsidR="002C3D6A" w:rsidRPr="00E06E16">
            <w:rPr>
              <w:b w:val="0"/>
              <w:bCs/>
              <w:sz w:val="26"/>
              <w:szCs w:val="26"/>
            </w:rPr>
          </w:r>
          <w:r w:rsidR="002C3D6A" w:rsidRPr="00E06E16">
            <w:rPr>
              <w:b w:val="0"/>
              <w:bCs/>
              <w:sz w:val="26"/>
              <w:szCs w:val="26"/>
            </w:rPr>
            <w:fldChar w:fldCharType="separate"/>
          </w:r>
          <w:r w:rsidR="002C3D6A" w:rsidRPr="00E06E16">
            <w:rPr>
              <w:sz w:val="26"/>
              <w:szCs w:val="26"/>
            </w:rPr>
            <w:t>Appendices</w:t>
          </w:r>
          <w:r w:rsidR="002C3D6A" w:rsidRPr="00E06E16">
            <w:rPr>
              <w:b w:val="0"/>
              <w:bCs/>
              <w:sz w:val="26"/>
              <w:szCs w:val="26"/>
            </w:rPr>
            <w:fldChar w:fldCharType="end"/>
          </w:r>
          <w:r w:rsidR="002C3D6A" w:rsidRPr="00E06E16">
            <w:tab/>
          </w:r>
          <w:r w:rsidR="000A3453">
            <w:tab/>
          </w:r>
          <w:r w:rsidR="002C3D6A" w:rsidRPr="00E06E16">
            <w:tab/>
          </w:r>
          <w:r w:rsidR="002C3D6A">
            <w:rPr>
              <w:b w:val="0"/>
              <w:bCs/>
            </w:rPr>
            <w:fldChar w:fldCharType="begin"/>
          </w:r>
          <w:r w:rsidR="002C3D6A">
            <w:rPr>
              <w:b w:val="0"/>
              <w:bCs/>
            </w:rPr>
            <w:instrText xml:space="preserve"> PAGEREF _Ref342163726 \h </w:instrText>
          </w:r>
          <w:r w:rsidR="002C3D6A">
            <w:rPr>
              <w:b w:val="0"/>
              <w:bCs/>
            </w:rPr>
          </w:r>
          <w:r w:rsidR="002C3D6A">
            <w:rPr>
              <w:b w:val="0"/>
              <w:bCs/>
            </w:rPr>
            <w:fldChar w:fldCharType="separate"/>
          </w:r>
          <w:r w:rsidR="002C3D6A">
            <w:rPr>
              <w:b w:val="0"/>
              <w:bCs/>
            </w:rPr>
            <w:t>53</w:t>
          </w:r>
          <w:r w:rsidR="002C3D6A">
            <w:rPr>
              <w:b w:val="0"/>
              <w:bCs/>
            </w:rPr>
            <w:fldChar w:fldCharType="end"/>
          </w:r>
        </w:p>
        <w:p w:rsidR="00FE6E19" w:rsidRDefault="00AD5B12">
          <w:pPr>
            <w:rPr>
              <w:b/>
              <w:bCs/>
              <w:noProof/>
            </w:rPr>
          </w:pPr>
          <w:r w:rsidRPr="00AD5B12">
            <w:rPr>
              <w:rFonts w:ascii="Garamond" w:hAnsi="Garamond"/>
              <w:b/>
              <w:bCs/>
              <w:noProof/>
              <w:sz w:val="26"/>
              <w:szCs w:val="26"/>
            </w:rPr>
            <w:fldChar w:fldCharType="begin"/>
          </w:r>
          <w:r w:rsidRPr="00AD5B12">
            <w:rPr>
              <w:rFonts w:ascii="Garamond" w:hAnsi="Garamond"/>
              <w:b/>
              <w:bCs/>
              <w:noProof/>
              <w:sz w:val="26"/>
              <w:szCs w:val="26"/>
            </w:rPr>
            <w:instrText xml:space="preserve"> REF _Ref342251768 \h  \* MERGEFORMAT </w:instrText>
          </w:r>
          <w:r w:rsidRPr="00AD5B12">
            <w:rPr>
              <w:rFonts w:ascii="Garamond" w:hAnsi="Garamond"/>
              <w:b/>
              <w:bCs/>
              <w:noProof/>
              <w:sz w:val="26"/>
              <w:szCs w:val="26"/>
            </w:rPr>
          </w:r>
          <w:r w:rsidRPr="00AD5B12">
            <w:rPr>
              <w:rFonts w:ascii="Garamond" w:hAnsi="Garamond"/>
              <w:b/>
              <w:bCs/>
              <w:noProof/>
              <w:sz w:val="26"/>
              <w:szCs w:val="26"/>
            </w:rPr>
            <w:fldChar w:fldCharType="separate"/>
          </w:r>
          <w:proofErr w:type="spellStart"/>
          <w:r w:rsidRPr="00AD5B12">
            <w:rPr>
              <w:rFonts w:ascii="Garamond" w:hAnsi="Garamond"/>
              <w:b/>
              <w:sz w:val="26"/>
              <w:szCs w:val="26"/>
            </w:rPr>
            <w:t>References</w:t>
          </w:r>
          <w:proofErr w:type="spellEnd"/>
          <w:r w:rsidRPr="00AD5B12">
            <w:rPr>
              <w:rFonts w:ascii="Garamond" w:hAnsi="Garamond"/>
              <w:b/>
              <w:bCs/>
              <w:noProof/>
              <w:sz w:val="26"/>
              <w:szCs w:val="26"/>
            </w:rPr>
            <w:fldChar w:fldCharType="end"/>
          </w:r>
          <w:r w:rsidR="004F43CE">
            <w:rPr>
              <w:b/>
              <w:bCs/>
              <w:noProof/>
            </w:rPr>
            <w:tab/>
          </w:r>
          <w:r w:rsidR="004F43CE">
            <w:rPr>
              <w:b/>
              <w:bCs/>
              <w:noProof/>
            </w:rPr>
            <w:tab/>
          </w:r>
          <w:r w:rsidR="004F43CE">
            <w:rPr>
              <w:b/>
              <w:bCs/>
              <w:noProof/>
            </w:rPr>
            <w:tab/>
          </w:r>
          <w:r w:rsidR="004F43CE">
            <w:rPr>
              <w:b/>
              <w:bCs/>
              <w:noProof/>
            </w:rPr>
            <w:tab/>
          </w:r>
          <w:r w:rsidR="004F43CE">
            <w:rPr>
              <w:b/>
              <w:bCs/>
              <w:noProof/>
            </w:rPr>
            <w:tab/>
          </w:r>
          <w:r w:rsidR="004F43CE">
            <w:rPr>
              <w:b/>
              <w:bCs/>
              <w:noProof/>
            </w:rPr>
            <w:tab/>
          </w:r>
          <w:r w:rsidR="004F43CE">
            <w:rPr>
              <w:b/>
              <w:bCs/>
              <w:noProof/>
            </w:rPr>
            <w:tab/>
          </w:r>
          <w:r w:rsidR="004F43CE">
            <w:rPr>
              <w:b/>
              <w:bCs/>
              <w:noProof/>
            </w:rPr>
            <w:tab/>
          </w:r>
          <w:r>
            <w:rPr>
              <w:b/>
              <w:bCs/>
              <w:noProof/>
            </w:rPr>
            <w:tab/>
          </w:r>
          <w:r w:rsidR="004F43CE">
            <w:rPr>
              <w:b/>
              <w:bCs/>
              <w:noProof/>
            </w:rPr>
            <w:tab/>
          </w:r>
          <w:r w:rsidR="004F43CE">
            <w:rPr>
              <w:b/>
              <w:bCs/>
              <w:noProof/>
            </w:rPr>
            <w:tab/>
          </w:r>
          <w:r w:rsidR="004F43CE" w:rsidRPr="004F43CE">
            <w:rPr>
              <w:bCs/>
              <w:noProof/>
            </w:rPr>
            <w:fldChar w:fldCharType="begin"/>
          </w:r>
          <w:r w:rsidR="004F43CE" w:rsidRPr="004F43CE">
            <w:rPr>
              <w:bCs/>
              <w:noProof/>
            </w:rPr>
            <w:instrText xml:space="preserve"> PAGEREF _Ref342251665 \h </w:instrText>
          </w:r>
          <w:r w:rsidR="004F43CE" w:rsidRPr="004F43CE">
            <w:rPr>
              <w:bCs/>
              <w:noProof/>
            </w:rPr>
          </w:r>
          <w:r w:rsidR="004F43CE" w:rsidRPr="004F43CE">
            <w:rPr>
              <w:bCs/>
              <w:noProof/>
            </w:rPr>
            <w:fldChar w:fldCharType="separate"/>
          </w:r>
          <w:r w:rsidR="004F43CE" w:rsidRPr="004F43CE">
            <w:rPr>
              <w:bCs/>
              <w:noProof/>
            </w:rPr>
            <w:t>63</w:t>
          </w:r>
          <w:r w:rsidR="004F43CE" w:rsidRPr="004F43CE">
            <w:rPr>
              <w:bCs/>
              <w:noProof/>
            </w:rPr>
            <w:fldChar w:fldCharType="end"/>
          </w:r>
        </w:p>
      </w:sdtContent>
    </w:sdt>
    <w:p w:rsidR="00FE6E19" w:rsidRPr="00E06E16" w:rsidRDefault="00FE6E19">
      <w:pPr>
        <w:rPr>
          <w:b/>
          <w:bCs/>
          <w:noProof/>
          <w:lang w:val="en-US"/>
        </w:rPr>
      </w:pPr>
      <w:r w:rsidRPr="00E06E16">
        <w:rPr>
          <w:lang w:val="en-US"/>
        </w:rPr>
        <w:t xml:space="preserve"> </w:t>
      </w:r>
    </w:p>
    <w:p w:rsidR="00A6020B" w:rsidRPr="00E06E16" w:rsidRDefault="00A6020B">
      <w:pPr>
        <w:rPr>
          <w:lang w:val="en-US"/>
        </w:rPr>
      </w:pPr>
    </w:p>
    <w:p w:rsidR="00A351F9" w:rsidRPr="00E06E16" w:rsidRDefault="00A351F9">
      <w:pPr>
        <w:rPr>
          <w:b/>
          <w:lang w:val="en-US"/>
        </w:rPr>
      </w:pPr>
    </w:p>
    <w:p w:rsidR="007140CA" w:rsidRDefault="007140CA">
      <w:pPr>
        <w:rPr>
          <w:rFonts w:ascii="Garamond" w:eastAsia="Times New Roman" w:hAnsi="Garamond" w:cs="Times New Roman"/>
          <w:b/>
          <w:kern w:val="28"/>
          <w:sz w:val="36"/>
          <w:szCs w:val="28"/>
          <w:lang w:val="en-GB" w:eastAsia="en-GB"/>
        </w:rPr>
      </w:pPr>
      <w:bookmarkStart w:id="1" w:name="_Toc342160065"/>
      <w:bookmarkStart w:id="2" w:name="_Toc342160082"/>
      <w:r w:rsidRPr="00E06E16">
        <w:rPr>
          <w:lang w:val="en-US"/>
        </w:rPr>
        <w:br w:type="page"/>
      </w:r>
    </w:p>
    <w:p w:rsidR="00A351F9" w:rsidRDefault="00A351F9" w:rsidP="00E06E16">
      <w:pPr>
        <w:pStyle w:val="Heading1NOTchapter"/>
        <w:spacing w:after="120"/>
        <w:outlineLvl w:val="0"/>
      </w:pPr>
      <w:r>
        <w:lastRenderedPageBreak/>
        <w:t>List of Tables</w:t>
      </w:r>
      <w:bookmarkEnd w:id="1"/>
      <w:bookmarkEnd w:id="2"/>
    </w:p>
    <w:p w:rsidR="00C561A0" w:rsidRPr="00FA122F" w:rsidRDefault="009644E3" w:rsidP="00A351F9">
      <w:pPr>
        <w:pStyle w:val="TableofFigures"/>
        <w:tabs>
          <w:tab w:val="right" w:pos="7360"/>
        </w:tabs>
        <w:rPr>
          <w:lang w:val="en-US"/>
        </w:rPr>
      </w:pPr>
      <w:r w:rsidRPr="00FA122F">
        <w:rPr>
          <w:lang w:val="en-US"/>
        </w:rPr>
        <w:fldChar w:fldCharType="begin"/>
      </w:r>
      <w:r w:rsidRPr="00FA122F">
        <w:rPr>
          <w:lang w:val="en-US"/>
        </w:rPr>
        <w:instrText xml:space="preserve"> REF _Ref342240971 \h </w:instrText>
      </w:r>
      <w:r>
        <w:rPr>
          <w:lang w:val="en-US"/>
        </w:rPr>
        <w:instrText xml:space="preserve"> \* MERGEFORMAT </w:instrText>
      </w:r>
      <w:r w:rsidRPr="00FA122F">
        <w:rPr>
          <w:lang w:val="en-US"/>
        </w:rPr>
      </w:r>
      <w:r w:rsidRPr="00FA122F">
        <w:rPr>
          <w:lang w:val="en-US"/>
        </w:rPr>
        <w:fldChar w:fldCharType="separate"/>
      </w:r>
      <w:r w:rsidR="00455537" w:rsidRPr="00FA122F">
        <w:rPr>
          <w:lang w:val="en-US"/>
        </w:rPr>
        <w:t>Table 1: Trend in Quinoa Prices (FOB) between 1990 and 2010</w:t>
      </w:r>
      <w:r w:rsidRPr="00FA122F">
        <w:rPr>
          <w:lang w:val="en-US"/>
        </w:rPr>
        <w:fldChar w:fldCharType="end"/>
      </w:r>
      <w:r w:rsidRPr="00FA122F">
        <w:rPr>
          <w:lang w:val="en-US"/>
        </w:rPr>
        <w:tab/>
      </w:r>
      <w:r w:rsidRPr="00FA122F">
        <w:rPr>
          <w:lang w:val="en-US"/>
        </w:rPr>
        <w:tab/>
      </w:r>
      <w:r w:rsidRPr="00FA122F">
        <w:rPr>
          <w:lang w:val="en-US"/>
        </w:rPr>
        <w:tab/>
      </w:r>
      <w:r w:rsidRPr="00FA122F">
        <w:rPr>
          <w:lang w:val="en-US"/>
        </w:rPr>
        <w:fldChar w:fldCharType="begin"/>
      </w:r>
      <w:r w:rsidRPr="00FA122F">
        <w:rPr>
          <w:lang w:val="en-US"/>
        </w:rPr>
        <w:instrText xml:space="preserve"> PAGEREF _Ref342240971 \h </w:instrText>
      </w:r>
      <w:r w:rsidRPr="00FA122F">
        <w:rPr>
          <w:lang w:val="en-US"/>
        </w:rPr>
      </w:r>
      <w:r w:rsidRPr="00FA122F">
        <w:rPr>
          <w:lang w:val="en-US"/>
        </w:rPr>
        <w:fldChar w:fldCharType="separate"/>
      </w:r>
      <w:r w:rsidR="00455537">
        <w:rPr>
          <w:noProof/>
          <w:lang w:val="en-US"/>
        </w:rPr>
        <w:t>11</w:t>
      </w:r>
      <w:r w:rsidRPr="00FA122F">
        <w:rPr>
          <w:lang w:val="en-US"/>
        </w:rPr>
        <w:fldChar w:fldCharType="end"/>
      </w:r>
    </w:p>
    <w:p w:rsidR="00C561A0" w:rsidRPr="00E06E16" w:rsidRDefault="00C561A0" w:rsidP="00A351F9">
      <w:pPr>
        <w:pStyle w:val="TableofFigures"/>
        <w:tabs>
          <w:tab w:val="right" w:pos="7360"/>
        </w:tabs>
        <w:rPr>
          <w:noProof/>
        </w:rPr>
      </w:pPr>
      <w:r w:rsidRPr="00E06E16">
        <w:rPr>
          <w:noProof/>
        </w:rPr>
        <w:fldChar w:fldCharType="begin"/>
      </w:r>
      <w:r w:rsidRPr="00E06E16">
        <w:rPr>
          <w:noProof/>
        </w:rPr>
        <w:instrText xml:space="preserve"> REF _Ref342157593 \h </w:instrText>
      </w:r>
      <w:r w:rsidR="00147024">
        <w:rPr>
          <w:noProof/>
        </w:rPr>
        <w:instrText xml:space="preserve"> \* MERGEFORMAT </w:instrText>
      </w:r>
      <w:r w:rsidRPr="00E06E16">
        <w:rPr>
          <w:noProof/>
        </w:rPr>
      </w:r>
      <w:r w:rsidRPr="00E06E16">
        <w:rPr>
          <w:noProof/>
        </w:rPr>
        <w:fldChar w:fldCharType="separate"/>
      </w:r>
      <w:r w:rsidR="00455537" w:rsidRPr="00FA122F">
        <w:rPr>
          <w:lang w:val="en-US"/>
        </w:rPr>
        <w:t xml:space="preserve">Table </w:t>
      </w:r>
      <w:r w:rsidR="00455537" w:rsidRPr="00FA122F">
        <w:rPr>
          <w:noProof/>
          <w:lang w:val="en-US"/>
        </w:rPr>
        <w:t>2</w:t>
      </w:r>
      <w:r w:rsidR="00455537" w:rsidRPr="00FA122F">
        <w:rPr>
          <w:lang w:val="en-US"/>
        </w:rPr>
        <w:t>: Volume trend of quinoa exports between 1990 and 2010.</w:t>
      </w:r>
      <w:r w:rsidRPr="00E06E16">
        <w:rPr>
          <w:noProof/>
        </w:rPr>
        <w:fldChar w:fldCharType="end"/>
      </w:r>
      <w:r w:rsidRPr="00E06E16">
        <w:rPr>
          <w:noProof/>
        </w:rPr>
        <w:tab/>
      </w:r>
      <w:r w:rsidRPr="00E06E16">
        <w:rPr>
          <w:noProof/>
        </w:rPr>
        <w:tab/>
      </w:r>
      <w:r w:rsidRPr="00E06E16">
        <w:rPr>
          <w:noProof/>
        </w:rPr>
        <w:tab/>
      </w:r>
      <w:r w:rsidRPr="00E06E16">
        <w:rPr>
          <w:noProof/>
        </w:rPr>
        <w:fldChar w:fldCharType="begin"/>
      </w:r>
      <w:r w:rsidRPr="00E06E16">
        <w:rPr>
          <w:noProof/>
        </w:rPr>
        <w:instrText xml:space="preserve"> PAGEREF _Ref342157593 \h </w:instrText>
      </w:r>
      <w:r w:rsidRPr="00E06E16">
        <w:rPr>
          <w:noProof/>
        </w:rPr>
      </w:r>
      <w:r w:rsidRPr="00E06E16">
        <w:rPr>
          <w:noProof/>
        </w:rPr>
        <w:fldChar w:fldCharType="separate"/>
      </w:r>
      <w:r w:rsidR="00455537">
        <w:rPr>
          <w:noProof/>
        </w:rPr>
        <w:t>12</w:t>
      </w:r>
      <w:r w:rsidRPr="00E06E16">
        <w:rPr>
          <w:noProof/>
        </w:rPr>
        <w:fldChar w:fldCharType="end"/>
      </w:r>
    </w:p>
    <w:p w:rsidR="00C561A0" w:rsidRPr="00E06E16" w:rsidRDefault="00C561A0" w:rsidP="00A351F9">
      <w:pPr>
        <w:pStyle w:val="TableofFigures"/>
        <w:tabs>
          <w:tab w:val="right" w:pos="7360"/>
        </w:tabs>
        <w:rPr>
          <w:noProof/>
        </w:rPr>
      </w:pPr>
      <w:r w:rsidRPr="00E06E16">
        <w:rPr>
          <w:noProof/>
        </w:rPr>
        <w:fldChar w:fldCharType="begin"/>
      </w:r>
      <w:r w:rsidRPr="00E06E16">
        <w:rPr>
          <w:noProof/>
        </w:rPr>
        <w:instrText xml:space="preserve"> REF _Ref342157608 \h </w:instrText>
      </w:r>
      <w:r w:rsidR="00147024" w:rsidRPr="00E06E16">
        <w:rPr>
          <w:noProof/>
        </w:rPr>
        <w:instrText xml:space="preserve"> \* MERGEFORMAT </w:instrText>
      </w:r>
      <w:r w:rsidRPr="00E06E16">
        <w:rPr>
          <w:noProof/>
        </w:rPr>
      </w:r>
      <w:r w:rsidRPr="00E06E16">
        <w:rPr>
          <w:noProof/>
        </w:rPr>
        <w:fldChar w:fldCharType="separate"/>
      </w:r>
      <w:r w:rsidR="00455537" w:rsidRPr="00FA122F">
        <w:rPr>
          <w:lang w:val="en-US"/>
        </w:rPr>
        <w:t xml:space="preserve">Table </w:t>
      </w:r>
      <w:r w:rsidR="00455537" w:rsidRPr="00FA122F">
        <w:rPr>
          <w:noProof/>
          <w:lang w:val="en-US"/>
        </w:rPr>
        <w:t>3</w:t>
      </w:r>
      <w:r w:rsidR="00455537" w:rsidRPr="00FA122F">
        <w:rPr>
          <w:lang w:val="en-US"/>
        </w:rPr>
        <w:t xml:space="preserve">: Price distribution under </w:t>
      </w:r>
      <w:proofErr w:type="spellStart"/>
      <w:r w:rsidR="00455537" w:rsidRPr="00FA122F">
        <w:rPr>
          <w:lang w:val="en-US"/>
        </w:rPr>
        <w:t>Jatary</w:t>
      </w:r>
      <w:proofErr w:type="spellEnd"/>
      <w:r w:rsidRPr="00E06E16">
        <w:rPr>
          <w:noProof/>
        </w:rPr>
        <w:fldChar w:fldCharType="end"/>
      </w:r>
      <w:r w:rsidRPr="00E06E16">
        <w:rPr>
          <w:noProof/>
        </w:rPr>
        <w:tab/>
      </w:r>
      <w:r w:rsidRPr="00E06E16">
        <w:rPr>
          <w:noProof/>
        </w:rPr>
        <w:tab/>
      </w:r>
      <w:r w:rsidRPr="00E06E16">
        <w:rPr>
          <w:noProof/>
        </w:rPr>
        <w:tab/>
      </w:r>
      <w:r w:rsidRPr="00E06E16">
        <w:rPr>
          <w:noProof/>
        </w:rPr>
        <w:fldChar w:fldCharType="begin"/>
      </w:r>
      <w:r w:rsidRPr="00E06E16">
        <w:rPr>
          <w:noProof/>
        </w:rPr>
        <w:instrText xml:space="preserve"> PAGEREF _Ref342157608 \h </w:instrText>
      </w:r>
      <w:r w:rsidRPr="00E06E16">
        <w:rPr>
          <w:noProof/>
        </w:rPr>
      </w:r>
      <w:r w:rsidRPr="00E06E16">
        <w:rPr>
          <w:noProof/>
        </w:rPr>
        <w:fldChar w:fldCharType="separate"/>
      </w:r>
      <w:r w:rsidR="00455537">
        <w:rPr>
          <w:noProof/>
        </w:rPr>
        <w:t>19</w:t>
      </w:r>
      <w:r w:rsidRPr="00E06E16">
        <w:rPr>
          <w:noProof/>
        </w:rPr>
        <w:fldChar w:fldCharType="end"/>
      </w:r>
    </w:p>
    <w:p w:rsidR="00C561A0" w:rsidRPr="00E06E16" w:rsidRDefault="00C561A0" w:rsidP="00A351F9">
      <w:pPr>
        <w:pStyle w:val="TableofFigures"/>
        <w:tabs>
          <w:tab w:val="right" w:pos="7360"/>
        </w:tabs>
        <w:rPr>
          <w:noProof/>
        </w:rPr>
      </w:pPr>
      <w:r w:rsidRPr="00E06E16">
        <w:rPr>
          <w:noProof/>
        </w:rPr>
        <w:fldChar w:fldCharType="begin"/>
      </w:r>
      <w:r w:rsidRPr="00E06E16">
        <w:rPr>
          <w:noProof/>
        </w:rPr>
        <w:instrText xml:space="preserve"> REF _Ref342157617 \h </w:instrText>
      </w:r>
      <w:r w:rsidR="00147024" w:rsidRPr="00E06E16">
        <w:rPr>
          <w:noProof/>
        </w:rPr>
        <w:instrText xml:space="preserve"> \* MERGEFORMAT </w:instrText>
      </w:r>
      <w:r w:rsidRPr="00E06E16">
        <w:rPr>
          <w:noProof/>
        </w:rPr>
      </w:r>
      <w:r w:rsidRPr="00E06E16">
        <w:rPr>
          <w:noProof/>
        </w:rPr>
        <w:fldChar w:fldCharType="separate"/>
      </w:r>
      <w:r w:rsidR="00455537" w:rsidRPr="00FA122F">
        <w:rPr>
          <w:lang w:val="en-US"/>
        </w:rPr>
        <w:t xml:space="preserve">Table </w:t>
      </w:r>
      <w:r w:rsidR="00455537" w:rsidRPr="00FA122F">
        <w:rPr>
          <w:noProof/>
          <w:lang w:val="en-US"/>
        </w:rPr>
        <w:t>4</w:t>
      </w:r>
      <w:r w:rsidR="00455537" w:rsidRPr="00FA122F">
        <w:rPr>
          <w:lang w:val="en-US"/>
        </w:rPr>
        <w:t>: Difference in export prices received between the PO’s and private firms.</w:t>
      </w:r>
      <w:r w:rsidRPr="00E06E16">
        <w:rPr>
          <w:noProof/>
        </w:rPr>
        <w:fldChar w:fldCharType="end"/>
      </w:r>
      <w:r w:rsidR="00147024" w:rsidRPr="00E06E16">
        <w:rPr>
          <w:noProof/>
        </w:rPr>
        <w:tab/>
      </w:r>
      <w:r w:rsidR="00147024" w:rsidRPr="00E06E16">
        <w:rPr>
          <w:noProof/>
        </w:rPr>
        <w:tab/>
      </w:r>
      <w:r w:rsidRPr="00E06E16">
        <w:rPr>
          <w:noProof/>
        </w:rPr>
        <w:fldChar w:fldCharType="begin"/>
      </w:r>
      <w:r w:rsidRPr="00E06E16">
        <w:rPr>
          <w:noProof/>
        </w:rPr>
        <w:instrText xml:space="preserve"> PAGEREF _Ref342157617 \h </w:instrText>
      </w:r>
      <w:r w:rsidRPr="00E06E16">
        <w:rPr>
          <w:noProof/>
        </w:rPr>
      </w:r>
      <w:r w:rsidRPr="00E06E16">
        <w:rPr>
          <w:noProof/>
        </w:rPr>
        <w:fldChar w:fldCharType="separate"/>
      </w:r>
      <w:r w:rsidR="00455537">
        <w:rPr>
          <w:noProof/>
        </w:rPr>
        <w:t>43</w:t>
      </w:r>
      <w:r w:rsidRPr="00E06E16">
        <w:rPr>
          <w:noProof/>
        </w:rPr>
        <w:fldChar w:fldCharType="end"/>
      </w:r>
    </w:p>
    <w:p w:rsidR="00557215" w:rsidRDefault="00C561A0" w:rsidP="00A351F9">
      <w:pPr>
        <w:pStyle w:val="TableofFigures"/>
        <w:tabs>
          <w:tab w:val="right" w:pos="7360"/>
        </w:tabs>
        <w:rPr>
          <w:noProof/>
        </w:rPr>
      </w:pPr>
      <w:r w:rsidRPr="00E06E16">
        <w:rPr>
          <w:noProof/>
        </w:rPr>
        <w:fldChar w:fldCharType="begin"/>
      </w:r>
      <w:r w:rsidRPr="00E06E16">
        <w:rPr>
          <w:noProof/>
        </w:rPr>
        <w:instrText xml:space="preserve"> REF _Ref342157623 \h </w:instrText>
      </w:r>
      <w:r w:rsidR="00147024" w:rsidRPr="00E06E16">
        <w:rPr>
          <w:noProof/>
        </w:rPr>
        <w:instrText xml:space="preserve"> \* MERGEFORMAT </w:instrText>
      </w:r>
      <w:r w:rsidRPr="00E06E16">
        <w:rPr>
          <w:noProof/>
        </w:rPr>
      </w:r>
      <w:r w:rsidRPr="00E06E16">
        <w:rPr>
          <w:noProof/>
        </w:rPr>
        <w:fldChar w:fldCharType="separate"/>
      </w:r>
      <w:proofErr w:type="gramStart"/>
      <w:r w:rsidR="00455537" w:rsidRPr="00FA122F">
        <w:rPr>
          <w:lang w:val="en-US"/>
        </w:rPr>
        <w:t>Table 5: Price paid by Quinoa Corporation between 1999 and 2005.</w:t>
      </w:r>
      <w:proofErr w:type="gramEnd"/>
      <w:r w:rsidRPr="00E06E16">
        <w:rPr>
          <w:noProof/>
        </w:rPr>
        <w:fldChar w:fldCharType="end"/>
      </w:r>
      <w:r w:rsidRPr="00E06E16">
        <w:rPr>
          <w:noProof/>
        </w:rPr>
        <w:tab/>
      </w:r>
      <w:r w:rsidRPr="00E06E16">
        <w:rPr>
          <w:noProof/>
        </w:rPr>
        <w:tab/>
      </w:r>
      <w:r w:rsidRPr="00E06E16">
        <w:rPr>
          <w:noProof/>
        </w:rPr>
        <w:tab/>
      </w:r>
      <w:r w:rsidRPr="00E06E16">
        <w:rPr>
          <w:noProof/>
        </w:rPr>
        <w:fldChar w:fldCharType="begin"/>
      </w:r>
      <w:r w:rsidRPr="00E06E16">
        <w:rPr>
          <w:noProof/>
        </w:rPr>
        <w:instrText xml:space="preserve"> PAGEREF _Ref342157623 \h </w:instrText>
      </w:r>
      <w:r w:rsidRPr="00E06E16">
        <w:rPr>
          <w:noProof/>
        </w:rPr>
      </w:r>
      <w:r w:rsidRPr="00E06E16">
        <w:rPr>
          <w:noProof/>
        </w:rPr>
        <w:fldChar w:fldCharType="separate"/>
      </w:r>
      <w:r w:rsidR="00455537">
        <w:rPr>
          <w:noProof/>
        </w:rPr>
        <w:t>51</w:t>
      </w:r>
      <w:r w:rsidRPr="00E06E16">
        <w:rPr>
          <w:noProof/>
        </w:rPr>
        <w:fldChar w:fldCharType="end"/>
      </w:r>
    </w:p>
    <w:p w:rsidR="009644E3" w:rsidRPr="00FA122F" w:rsidRDefault="009644E3" w:rsidP="00FA122F">
      <w:pPr>
        <w:rPr>
          <w:lang w:val="en-US"/>
        </w:rPr>
      </w:pPr>
      <w:r w:rsidRPr="00FA122F">
        <w:rPr>
          <w:lang w:val="en-GB" w:eastAsia="en-GB"/>
        </w:rPr>
        <w:fldChar w:fldCharType="begin"/>
      </w:r>
      <w:r w:rsidRPr="00FA122F">
        <w:rPr>
          <w:lang w:val="en-GB" w:eastAsia="en-GB"/>
        </w:rPr>
        <w:instrText xml:space="preserve"> REF _Ref342241124 \h  \* MERGEFORMAT </w:instrText>
      </w:r>
      <w:r w:rsidRPr="00FA122F">
        <w:rPr>
          <w:lang w:val="en-GB" w:eastAsia="en-GB"/>
        </w:rPr>
      </w:r>
      <w:r w:rsidRPr="00FA122F">
        <w:rPr>
          <w:lang w:val="en-GB" w:eastAsia="en-GB"/>
        </w:rPr>
        <w:fldChar w:fldCharType="separate"/>
      </w:r>
      <w:r w:rsidR="00455537" w:rsidRPr="00FA122F">
        <w:rPr>
          <w:lang w:val="en-US"/>
        </w:rPr>
        <w:t>Table 6: Quinoa price trend between 1990 and 2010 (FOB)</w:t>
      </w:r>
      <w:r w:rsidRPr="00FA122F">
        <w:rPr>
          <w:lang w:val="en-GB" w:eastAsia="en-GB"/>
        </w:rPr>
        <w:fldChar w:fldCharType="end"/>
      </w:r>
      <w:r w:rsidRPr="00FA122F">
        <w:rPr>
          <w:lang w:val="en-GB" w:eastAsia="en-GB"/>
        </w:rPr>
        <w:tab/>
      </w:r>
      <w:r w:rsidRPr="00FA122F">
        <w:rPr>
          <w:lang w:val="en-GB" w:eastAsia="en-GB"/>
        </w:rPr>
        <w:tab/>
      </w:r>
      <w:r w:rsidRPr="00FA122F">
        <w:rPr>
          <w:lang w:val="en-GB" w:eastAsia="en-GB"/>
        </w:rPr>
        <w:tab/>
      </w:r>
      <w:r w:rsidRPr="00FA122F">
        <w:rPr>
          <w:lang w:val="en-GB" w:eastAsia="en-GB"/>
        </w:rPr>
        <w:tab/>
      </w:r>
      <w:r w:rsidRPr="00FA122F">
        <w:rPr>
          <w:lang w:val="en-GB" w:eastAsia="en-GB"/>
        </w:rPr>
        <w:tab/>
      </w:r>
      <w:r w:rsidRPr="00FA122F">
        <w:rPr>
          <w:lang w:val="en-GB" w:eastAsia="en-GB"/>
        </w:rPr>
        <w:fldChar w:fldCharType="begin"/>
      </w:r>
      <w:r w:rsidRPr="00FA122F">
        <w:rPr>
          <w:lang w:val="en-GB" w:eastAsia="en-GB"/>
        </w:rPr>
        <w:instrText xml:space="preserve"> PAGEREF _Ref342241124 \h </w:instrText>
      </w:r>
      <w:r w:rsidRPr="00FA122F">
        <w:rPr>
          <w:lang w:val="en-GB" w:eastAsia="en-GB"/>
        </w:rPr>
      </w:r>
      <w:r w:rsidRPr="00FA122F">
        <w:rPr>
          <w:lang w:val="en-GB" w:eastAsia="en-GB"/>
        </w:rPr>
        <w:fldChar w:fldCharType="separate"/>
      </w:r>
      <w:r w:rsidR="00455537">
        <w:rPr>
          <w:noProof/>
          <w:lang w:val="en-GB" w:eastAsia="en-GB"/>
        </w:rPr>
        <w:t>60</w:t>
      </w:r>
      <w:r w:rsidRPr="00FA122F">
        <w:rPr>
          <w:lang w:val="en-GB" w:eastAsia="en-GB"/>
        </w:rPr>
        <w:fldChar w:fldCharType="end"/>
      </w:r>
    </w:p>
    <w:p w:rsidR="009C6520" w:rsidRDefault="00A351F9" w:rsidP="00E06E16">
      <w:pPr>
        <w:pStyle w:val="Heading1NOTchapter"/>
        <w:spacing w:before="800" w:after="120"/>
        <w:outlineLvl w:val="0"/>
      </w:pPr>
      <w:bookmarkStart w:id="3" w:name="_Toc342160066"/>
      <w:bookmarkStart w:id="4" w:name="_Toc342160083"/>
      <w:r>
        <w:t>List of Figures</w:t>
      </w:r>
      <w:bookmarkEnd w:id="3"/>
      <w:bookmarkEnd w:id="4"/>
    </w:p>
    <w:p w:rsidR="00693C2B" w:rsidRDefault="00693C2B" w:rsidP="00E06E16">
      <w:pPr>
        <w:pStyle w:val="TableofFigures"/>
        <w:tabs>
          <w:tab w:val="right" w:pos="7360"/>
        </w:tabs>
        <w:jc w:val="both"/>
      </w:pPr>
    </w:p>
    <w:p w:rsidR="009C6520" w:rsidRPr="003C536B" w:rsidRDefault="009C6520" w:rsidP="00E06E16">
      <w:pPr>
        <w:pStyle w:val="TableofFigures"/>
        <w:tabs>
          <w:tab w:val="right" w:pos="7360"/>
        </w:tabs>
        <w:jc w:val="both"/>
      </w:pPr>
      <w:r w:rsidRPr="00E06E16">
        <w:fldChar w:fldCharType="begin"/>
      </w:r>
      <w:r w:rsidRPr="00147024">
        <w:instrText xml:space="preserve"> REF _Ref342140327 \h </w:instrText>
      </w:r>
      <w:r w:rsidR="00147024" w:rsidRPr="00E06E16">
        <w:instrText xml:space="preserve"> \* MERGEFORMAT </w:instrText>
      </w:r>
      <w:r w:rsidRPr="00E06E16">
        <w:fldChar w:fldCharType="separate"/>
      </w:r>
      <w:r w:rsidR="00693C2B" w:rsidRPr="00E06E16">
        <w:rPr>
          <w:lang w:val="en-US"/>
        </w:rPr>
        <w:t xml:space="preserve">Figure </w:t>
      </w:r>
      <w:r w:rsidR="00693C2B" w:rsidRPr="00E06E16">
        <w:rPr>
          <w:noProof/>
          <w:lang w:val="en-US"/>
        </w:rPr>
        <w:t>1</w:t>
      </w:r>
      <w:r w:rsidR="00693C2B" w:rsidRPr="00E06E16">
        <w:rPr>
          <w:lang w:val="en-US"/>
        </w:rPr>
        <w:t>: Trend in Quinoa Prices (FOB) between 1990 and 2010.</w:t>
      </w:r>
      <w:r w:rsidRPr="00E06E16">
        <w:fldChar w:fldCharType="end"/>
      </w:r>
      <w:r w:rsidRPr="003C536B">
        <w:tab/>
      </w:r>
      <w:r w:rsidR="00C561A0" w:rsidRPr="00147024">
        <w:tab/>
      </w:r>
      <w:r w:rsidRPr="00147024">
        <w:t xml:space="preserve"> </w:t>
      </w:r>
      <w:r w:rsidR="00C561A0" w:rsidRPr="00147024">
        <w:tab/>
      </w:r>
      <w:r w:rsidRPr="00E06E16">
        <w:fldChar w:fldCharType="begin"/>
      </w:r>
      <w:r w:rsidRPr="00147024">
        <w:instrText xml:space="preserve"> PAGEREF _Ref342140327 \h </w:instrText>
      </w:r>
      <w:r w:rsidRPr="00E06E16">
        <w:fldChar w:fldCharType="separate"/>
      </w:r>
      <w:r w:rsidR="00455537">
        <w:rPr>
          <w:noProof/>
        </w:rPr>
        <w:t>11</w:t>
      </w:r>
      <w:r w:rsidRPr="00E06E16">
        <w:fldChar w:fldCharType="end"/>
      </w:r>
    </w:p>
    <w:p w:rsidR="009C6520" w:rsidRPr="00147024" w:rsidRDefault="00273287" w:rsidP="00E06E16">
      <w:pPr>
        <w:pStyle w:val="TableofFigures"/>
        <w:tabs>
          <w:tab w:val="right" w:pos="7360"/>
        </w:tabs>
        <w:jc w:val="both"/>
        <w:rPr>
          <w:rFonts w:asciiTheme="minorHAnsi" w:eastAsiaTheme="minorEastAsia" w:hAnsiTheme="minorHAnsi" w:cstheme="minorBidi"/>
          <w:noProof/>
          <w:sz w:val="22"/>
          <w:szCs w:val="22"/>
        </w:rPr>
      </w:pPr>
      <w:r w:rsidRPr="00E06E16">
        <w:rPr>
          <w:noProof/>
        </w:rPr>
        <w:fldChar w:fldCharType="begin"/>
      </w:r>
      <w:r w:rsidRPr="00E06E16">
        <w:rPr>
          <w:noProof/>
        </w:rPr>
        <w:instrText xml:space="preserve"> REF _Ref342156355 \h </w:instrText>
      </w:r>
      <w:r w:rsidR="00147024" w:rsidRPr="00E06E16">
        <w:rPr>
          <w:noProof/>
        </w:rPr>
        <w:instrText xml:space="preserve"> \* MERGEFORMAT </w:instrText>
      </w:r>
      <w:r w:rsidRPr="00E06E16">
        <w:rPr>
          <w:noProof/>
        </w:rPr>
      </w:r>
      <w:r w:rsidRPr="00E06E16">
        <w:rPr>
          <w:noProof/>
        </w:rPr>
        <w:fldChar w:fldCharType="separate"/>
      </w:r>
      <w:r w:rsidRPr="00E06E16">
        <w:rPr>
          <w:lang w:val="en-US"/>
        </w:rPr>
        <w:t>Figure 2</w:t>
      </w:r>
      <w:r w:rsidR="00020CA6">
        <w:rPr>
          <w:lang w:val="en-US"/>
        </w:rPr>
        <w:t>: Volume</w:t>
      </w:r>
      <w:r w:rsidRPr="00E06E16">
        <w:rPr>
          <w:lang w:val="en-US"/>
        </w:rPr>
        <w:t xml:space="preserve"> trend of quinoa exports between 1990 and 2010.</w:t>
      </w:r>
      <w:r w:rsidRPr="00E06E16">
        <w:rPr>
          <w:noProof/>
        </w:rPr>
        <w:fldChar w:fldCharType="end"/>
      </w:r>
      <w:r w:rsidRPr="00E06E16">
        <w:rPr>
          <w:noProof/>
        </w:rPr>
        <w:tab/>
      </w:r>
      <w:r w:rsidR="00C561A0" w:rsidRPr="00E06E16">
        <w:rPr>
          <w:noProof/>
        </w:rPr>
        <w:tab/>
        <w:t xml:space="preserve">  </w:t>
      </w:r>
      <w:r w:rsidR="00C561A0" w:rsidRPr="00E06E16">
        <w:rPr>
          <w:noProof/>
        </w:rPr>
        <w:tab/>
      </w:r>
      <w:r w:rsidRPr="00E06E16">
        <w:rPr>
          <w:noProof/>
        </w:rPr>
        <w:fldChar w:fldCharType="begin"/>
      </w:r>
      <w:r w:rsidRPr="00E06E16">
        <w:rPr>
          <w:noProof/>
        </w:rPr>
        <w:instrText xml:space="preserve"> PAGEREF _Ref342156355 \h </w:instrText>
      </w:r>
      <w:r w:rsidRPr="00E06E16">
        <w:rPr>
          <w:noProof/>
        </w:rPr>
      </w:r>
      <w:r w:rsidRPr="00E06E16">
        <w:rPr>
          <w:noProof/>
        </w:rPr>
        <w:fldChar w:fldCharType="separate"/>
      </w:r>
      <w:r w:rsidR="00455537">
        <w:rPr>
          <w:noProof/>
        </w:rPr>
        <w:t>12</w:t>
      </w:r>
      <w:r w:rsidRPr="00E06E16">
        <w:rPr>
          <w:noProof/>
        </w:rPr>
        <w:fldChar w:fldCharType="end"/>
      </w:r>
      <w:r w:rsidR="009C6520" w:rsidRPr="00E06E16">
        <w:rPr>
          <w:noProof/>
        </w:rPr>
        <w:fldChar w:fldCharType="begin"/>
      </w:r>
      <w:r w:rsidR="009C6520" w:rsidRPr="00E06E16">
        <w:rPr>
          <w:noProof/>
        </w:rPr>
        <w:instrText xml:space="preserve"> TOC \h \z \t "Map title,2" \c "Map" </w:instrText>
      </w:r>
      <w:r w:rsidR="009C6520" w:rsidRPr="00E06E16">
        <w:rPr>
          <w:noProof/>
        </w:rPr>
        <w:fldChar w:fldCharType="separate"/>
      </w:r>
    </w:p>
    <w:p w:rsidR="00147024" w:rsidRPr="00E06E16" w:rsidRDefault="009C6520" w:rsidP="00E06E16">
      <w:pPr>
        <w:pStyle w:val="TableofFigures"/>
        <w:tabs>
          <w:tab w:val="right" w:pos="7360"/>
        </w:tabs>
        <w:jc w:val="both"/>
        <w:rPr>
          <w:lang w:val="en-US"/>
        </w:rPr>
      </w:pPr>
      <w:r w:rsidRPr="00E06E16">
        <w:rPr>
          <w:noProof/>
        </w:rPr>
        <w:fldChar w:fldCharType="end"/>
      </w:r>
      <w:r w:rsidR="00147024" w:rsidRPr="00E06E16">
        <w:rPr>
          <w:lang w:val="en-US"/>
        </w:rPr>
        <w:fldChar w:fldCharType="begin"/>
      </w:r>
      <w:r w:rsidR="00147024" w:rsidRPr="00E06E16">
        <w:rPr>
          <w:lang w:val="en-US"/>
        </w:rPr>
        <w:instrText xml:space="preserve"> REF _Ref342157893 \h  \* MERGEFORMAT </w:instrText>
      </w:r>
      <w:r w:rsidR="00147024" w:rsidRPr="00E06E16">
        <w:rPr>
          <w:lang w:val="en-US"/>
        </w:rPr>
      </w:r>
      <w:r w:rsidR="00147024" w:rsidRPr="00E06E16">
        <w:rPr>
          <w:lang w:val="en-US"/>
        </w:rPr>
        <w:fldChar w:fldCharType="separate"/>
      </w:r>
      <w:r w:rsidR="00147024" w:rsidRPr="00E06E16">
        <w:rPr>
          <w:lang w:val="en-US"/>
        </w:rPr>
        <w:t>Figure 3: Quinoa Export Destinations</w:t>
      </w:r>
      <w:r w:rsidR="00147024" w:rsidRPr="00E06E16">
        <w:rPr>
          <w:lang w:val="en-US"/>
        </w:rPr>
        <w:fldChar w:fldCharType="end"/>
      </w:r>
      <w:r w:rsidR="00147024" w:rsidRPr="00E06E16">
        <w:rPr>
          <w:lang w:val="en-US"/>
        </w:rPr>
        <w:tab/>
      </w:r>
      <w:r w:rsidR="00147024" w:rsidRPr="00E06E16">
        <w:rPr>
          <w:lang w:val="en-US"/>
        </w:rPr>
        <w:tab/>
      </w:r>
      <w:r w:rsidR="00147024" w:rsidRPr="00E06E16">
        <w:rPr>
          <w:lang w:val="en-US"/>
        </w:rPr>
        <w:tab/>
      </w:r>
      <w:r w:rsidR="00147024" w:rsidRPr="00E06E16">
        <w:rPr>
          <w:lang w:val="en-US"/>
        </w:rPr>
        <w:fldChar w:fldCharType="begin"/>
      </w:r>
      <w:r w:rsidR="00147024" w:rsidRPr="00E06E16">
        <w:rPr>
          <w:lang w:val="en-US"/>
        </w:rPr>
        <w:instrText xml:space="preserve"> PAGEREF _Ref342157893 \h </w:instrText>
      </w:r>
      <w:r w:rsidR="00147024" w:rsidRPr="00E06E16">
        <w:rPr>
          <w:lang w:val="en-US"/>
        </w:rPr>
      </w:r>
      <w:r w:rsidR="00147024" w:rsidRPr="00E06E16">
        <w:rPr>
          <w:lang w:val="en-US"/>
        </w:rPr>
        <w:fldChar w:fldCharType="separate"/>
      </w:r>
      <w:r w:rsidR="00455537">
        <w:rPr>
          <w:noProof/>
          <w:lang w:val="en-US"/>
        </w:rPr>
        <w:t>13</w:t>
      </w:r>
      <w:r w:rsidR="00147024" w:rsidRPr="00E06E16">
        <w:rPr>
          <w:lang w:val="en-US"/>
        </w:rPr>
        <w:fldChar w:fldCharType="end"/>
      </w:r>
    </w:p>
    <w:p w:rsidR="00147024" w:rsidRPr="00E06E16"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_Ref342157904 \h  \* MERGEFORMAT </w:instrText>
      </w:r>
      <w:r w:rsidRPr="00E06E16">
        <w:rPr>
          <w:lang w:val="en-US"/>
        </w:rPr>
      </w:r>
      <w:r w:rsidRPr="00E06E16">
        <w:rPr>
          <w:lang w:val="en-US"/>
        </w:rPr>
        <w:fldChar w:fldCharType="separate"/>
      </w:r>
      <w:r w:rsidRPr="00E06E16">
        <w:rPr>
          <w:lang w:val="en-US"/>
        </w:rPr>
        <w:t>Figure 4: Evolution of Quinoa Exporters between 1990 and 2004.</w:t>
      </w:r>
      <w:r w:rsidRPr="00E06E16">
        <w:rPr>
          <w:lang w:val="en-US"/>
        </w:rPr>
        <w:fldChar w:fldCharType="end"/>
      </w:r>
      <w:r w:rsidRPr="00E06E16">
        <w:rPr>
          <w:lang w:val="en-US"/>
        </w:rPr>
        <w:tab/>
      </w:r>
      <w:r w:rsidRPr="00E06E16">
        <w:rPr>
          <w:lang w:val="en-US"/>
        </w:rPr>
        <w:tab/>
      </w:r>
      <w:r w:rsidRPr="00E06E16">
        <w:rPr>
          <w:lang w:val="en-US"/>
        </w:rPr>
        <w:tab/>
      </w:r>
      <w:r w:rsidRPr="00E06E16">
        <w:rPr>
          <w:lang w:val="en-US"/>
        </w:rPr>
        <w:fldChar w:fldCharType="begin"/>
      </w:r>
      <w:r w:rsidRPr="00E06E16">
        <w:rPr>
          <w:lang w:val="en-US"/>
        </w:rPr>
        <w:instrText xml:space="preserve"> PAGEREF _Ref342157904 \h </w:instrText>
      </w:r>
      <w:r w:rsidRPr="00E06E16">
        <w:rPr>
          <w:lang w:val="en-US"/>
        </w:rPr>
      </w:r>
      <w:r w:rsidRPr="00E06E16">
        <w:rPr>
          <w:lang w:val="en-US"/>
        </w:rPr>
        <w:fldChar w:fldCharType="separate"/>
      </w:r>
      <w:r w:rsidR="002924B0">
        <w:rPr>
          <w:noProof/>
          <w:lang w:val="en-US"/>
        </w:rPr>
        <w:t>13</w:t>
      </w:r>
      <w:r w:rsidRPr="00E06E16">
        <w:rPr>
          <w:lang w:val="en-US"/>
        </w:rPr>
        <w:fldChar w:fldCharType="end"/>
      </w:r>
    </w:p>
    <w:p w:rsidR="00147024" w:rsidRPr="00E06E16"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_Ref342157913 \h  \* MERGEFORMAT </w:instrText>
      </w:r>
      <w:r w:rsidRPr="00E06E16">
        <w:rPr>
          <w:lang w:val="en-US"/>
        </w:rPr>
      </w:r>
      <w:r w:rsidRPr="00E06E16">
        <w:rPr>
          <w:lang w:val="en-US"/>
        </w:rPr>
        <w:fldChar w:fldCharType="separate"/>
      </w:r>
      <w:r w:rsidRPr="00E06E16">
        <w:rPr>
          <w:lang w:val="en-US"/>
        </w:rPr>
        <w:t>Figure 5: Producer prices as a share of exporter prices (US$/MT)</w:t>
      </w:r>
      <w:r w:rsidRPr="00E06E16">
        <w:rPr>
          <w:lang w:val="en-US"/>
        </w:rPr>
        <w:fldChar w:fldCharType="end"/>
      </w:r>
      <w:r w:rsidRPr="00E06E16">
        <w:rPr>
          <w:lang w:val="en-US"/>
        </w:rPr>
        <w:tab/>
      </w:r>
      <w:r w:rsidRPr="00E06E16">
        <w:rPr>
          <w:lang w:val="en-US"/>
        </w:rPr>
        <w:tab/>
      </w:r>
      <w:r w:rsidRPr="00E06E16">
        <w:rPr>
          <w:lang w:val="en-US"/>
        </w:rPr>
        <w:tab/>
      </w:r>
      <w:r w:rsidRPr="00E06E16">
        <w:rPr>
          <w:lang w:val="en-US"/>
        </w:rPr>
        <w:fldChar w:fldCharType="begin"/>
      </w:r>
      <w:r w:rsidRPr="00E06E16">
        <w:rPr>
          <w:lang w:val="en-US"/>
        </w:rPr>
        <w:instrText xml:space="preserve"> PAGEREF _Ref342157913 \h </w:instrText>
      </w:r>
      <w:r w:rsidRPr="00E06E16">
        <w:rPr>
          <w:lang w:val="en-US"/>
        </w:rPr>
      </w:r>
      <w:r w:rsidRPr="00E06E16">
        <w:rPr>
          <w:lang w:val="en-US"/>
        </w:rPr>
        <w:fldChar w:fldCharType="separate"/>
      </w:r>
      <w:r w:rsidR="00455537">
        <w:rPr>
          <w:noProof/>
          <w:lang w:val="en-US"/>
        </w:rPr>
        <w:t>17</w:t>
      </w:r>
      <w:r w:rsidRPr="00E06E16">
        <w:rPr>
          <w:lang w:val="en-US"/>
        </w:rPr>
        <w:fldChar w:fldCharType="end"/>
      </w:r>
    </w:p>
    <w:p w:rsidR="00147024" w:rsidRPr="00E06E16"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_Ref342157920 \h  \* MERGEFORMAT </w:instrText>
      </w:r>
      <w:r w:rsidRPr="00E06E16">
        <w:rPr>
          <w:lang w:val="en-US"/>
        </w:rPr>
      </w:r>
      <w:r w:rsidRPr="00E06E16">
        <w:rPr>
          <w:lang w:val="en-US"/>
        </w:rPr>
        <w:fldChar w:fldCharType="separate"/>
      </w:r>
      <w:r w:rsidRPr="00E06E16">
        <w:rPr>
          <w:lang w:val="en-US"/>
        </w:rPr>
        <w:t>Figure 6: Producer prices versus exporter prices (US$/MT)</w:t>
      </w:r>
      <w:r w:rsidRPr="00E06E16">
        <w:rPr>
          <w:lang w:val="en-US"/>
        </w:rPr>
        <w:fldChar w:fldCharType="end"/>
      </w:r>
      <w:r w:rsidRPr="00E06E16">
        <w:rPr>
          <w:lang w:val="en-US"/>
        </w:rPr>
        <w:tab/>
      </w:r>
      <w:r w:rsidRPr="00E06E16">
        <w:rPr>
          <w:lang w:val="en-US"/>
        </w:rPr>
        <w:tab/>
      </w:r>
      <w:r w:rsidRPr="00E06E16">
        <w:rPr>
          <w:lang w:val="en-US"/>
        </w:rPr>
        <w:tab/>
      </w:r>
      <w:r w:rsidRPr="00E06E16">
        <w:rPr>
          <w:lang w:val="en-US"/>
        </w:rPr>
        <w:fldChar w:fldCharType="begin"/>
      </w:r>
      <w:r w:rsidRPr="00E06E16">
        <w:rPr>
          <w:lang w:val="en-US"/>
        </w:rPr>
        <w:instrText xml:space="preserve"> PAGEREF _Ref342157920 \h </w:instrText>
      </w:r>
      <w:r w:rsidRPr="00E06E16">
        <w:rPr>
          <w:lang w:val="en-US"/>
        </w:rPr>
      </w:r>
      <w:r w:rsidRPr="00E06E16">
        <w:rPr>
          <w:lang w:val="en-US"/>
        </w:rPr>
        <w:fldChar w:fldCharType="separate"/>
      </w:r>
      <w:r w:rsidR="00455537">
        <w:rPr>
          <w:noProof/>
          <w:lang w:val="en-US"/>
        </w:rPr>
        <w:t>18</w:t>
      </w:r>
      <w:r w:rsidRPr="00E06E16">
        <w:rPr>
          <w:lang w:val="en-US"/>
        </w:rPr>
        <w:fldChar w:fldCharType="end"/>
      </w:r>
    </w:p>
    <w:p w:rsidR="00147024" w:rsidRPr="00E06E16"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_Ref342157928 \h  \* MERGEFORMAT </w:instrText>
      </w:r>
      <w:r w:rsidRPr="00E06E16">
        <w:rPr>
          <w:lang w:val="en-US"/>
        </w:rPr>
      </w:r>
      <w:r w:rsidRPr="00E06E16">
        <w:rPr>
          <w:lang w:val="en-US"/>
        </w:rPr>
        <w:fldChar w:fldCharType="separate"/>
      </w:r>
      <w:r w:rsidRPr="00E06E16">
        <w:rPr>
          <w:lang w:val="en-US"/>
        </w:rPr>
        <w:t>Figure 7: Limitations of mainstream economics analysis of market structures.</w:t>
      </w:r>
      <w:r w:rsidRPr="00E06E16">
        <w:rPr>
          <w:lang w:val="en-US"/>
        </w:rPr>
        <w:fldChar w:fldCharType="end"/>
      </w:r>
      <w:r w:rsidRPr="00E06E16">
        <w:rPr>
          <w:lang w:val="en-US"/>
        </w:rPr>
        <w:tab/>
      </w:r>
      <w:r>
        <w:rPr>
          <w:lang w:val="en-US"/>
        </w:rPr>
        <w:tab/>
      </w:r>
      <w:r w:rsidRPr="00E06E16">
        <w:rPr>
          <w:lang w:val="en-US"/>
        </w:rPr>
        <w:tab/>
      </w:r>
      <w:r w:rsidRPr="00E06E16">
        <w:rPr>
          <w:lang w:val="en-US"/>
        </w:rPr>
        <w:fldChar w:fldCharType="begin"/>
      </w:r>
      <w:r w:rsidRPr="00E06E16">
        <w:rPr>
          <w:lang w:val="en-US"/>
        </w:rPr>
        <w:instrText xml:space="preserve"> PAGEREF _Ref342157928 \h </w:instrText>
      </w:r>
      <w:r w:rsidRPr="00E06E16">
        <w:rPr>
          <w:lang w:val="en-US"/>
        </w:rPr>
      </w:r>
      <w:r w:rsidRPr="00E06E16">
        <w:rPr>
          <w:lang w:val="en-US"/>
        </w:rPr>
        <w:fldChar w:fldCharType="separate"/>
      </w:r>
      <w:r w:rsidR="00455537">
        <w:rPr>
          <w:noProof/>
          <w:lang w:val="en-US"/>
        </w:rPr>
        <w:t>25</w:t>
      </w:r>
      <w:r w:rsidRPr="00E06E16">
        <w:rPr>
          <w:lang w:val="en-US"/>
        </w:rPr>
        <w:fldChar w:fldCharType="end"/>
      </w:r>
    </w:p>
    <w:p w:rsidR="00147024" w:rsidRPr="00E06E16"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_Ref342157935 \h  \* MERGEFORMAT </w:instrText>
      </w:r>
      <w:r w:rsidRPr="00E06E16">
        <w:rPr>
          <w:lang w:val="en-US"/>
        </w:rPr>
      </w:r>
      <w:r w:rsidRPr="00E06E16">
        <w:rPr>
          <w:lang w:val="en-US"/>
        </w:rPr>
        <w:fldChar w:fldCharType="separate"/>
      </w:r>
      <w:r w:rsidRPr="00E06E16">
        <w:rPr>
          <w:lang w:val="en-US"/>
        </w:rPr>
        <w:t>Figure 8: Market share by the producer organizations before the entry of new private firms.</w:t>
      </w:r>
      <w:r w:rsidRPr="00E06E16">
        <w:rPr>
          <w:lang w:val="en-US"/>
        </w:rPr>
        <w:fldChar w:fldCharType="end"/>
      </w:r>
      <w:r w:rsidRPr="00E06E16">
        <w:rPr>
          <w:lang w:val="en-US"/>
        </w:rPr>
        <w:tab/>
      </w:r>
      <w:r w:rsidRPr="00E06E16">
        <w:rPr>
          <w:lang w:val="en-US"/>
        </w:rPr>
        <w:fldChar w:fldCharType="begin"/>
      </w:r>
      <w:r w:rsidRPr="00E06E16">
        <w:rPr>
          <w:lang w:val="en-US"/>
        </w:rPr>
        <w:instrText xml:space="preserve"> PAGEREF _Ref342157935 \h </w:instrText>
      </w:r>
      <w:r w:rsidRPr="00E06E16">
        <w:rPr>
          <w:lang w:val="en-US"/>
        </w:rPr>
      </w:r>
      <w:r w:rsidRPr="00E06E16">
        <w:rPr>
          <w:lang w:val="en-US"/>
        </w:rPr>
        <w:fldChar w:fldCharType="separate"/>
      </w:r>
      <w:r w:rsidR="00455537">
        <w:rPr>
          <w:noProof/>
          <w:lang w:val="en-US"/>
        </w:rPr>
        <w:t>38</w:t>
      </w:r>
      <w:r w:rsidRPr="00E06E16">
        <w:rPr>
          <w:lang w:val="en-US"/>
        </w:rPr>
        <w:fldChar w:fldCharType="end"/>
      </w:r>
    </w:p>
    <w:p w:rsidR="00147024" w:rsidRPr="00E06E16"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_Ref342157942 \h  \* MERGEFORMAT </w:instrText>
      </w:r>
      <w:r w:rsidRPr="00E06E16">
        <w:rPr>
          <w:lang w:val="en-US"/>
        </w:rPr>
      </w:r>
      <w:r w:rsidRPr="00E06E16">
        <w:rPr>
          <w:lang w:val="en-US"/>
        </w:rPr>
        <w:fldChar w:fldCharType="separate"/>
      </w:r>
      <w:r w:rsidRPr="00E06E16">
        <w:rPr>
          <w:lang w:val="en-US"/>
        </w:rPr>
        <w:t xml:space="preserve">Figure </w:t>
      </w:r>
      <w:r w:rsidR="00943BA3">
        <w:rPr>
          <w:lang w:val="en-US"/>
        </w:rPr>
        <w:t>9</w:t>
      </w:r>
      <w:r w:rsidRPr="00E06E16">
        <w:rPr>
          <w:lang w:val="en-US"/>
        </w:rPr>
        <w:t>: Evolution of the quinoa export market share by the PO’s between 1998 and 2011.</w:t>
      </w:r>
      <w:r w:rsidRPr="00E06E16">
        <w:rPr>
          <w:lang w:val="en-US"/>
        </w:rPr>
        <w:fldChar w:fldCharType="end"/>
      </w:r>
      <w:r w:rsidRPr="00E06E16">
        <w:rPr>
          <w:lang w:val="en-US"/>
        </w:rPr>
        <w:tab/>
      </w:r>
      <w:r w:rsidR="002924B0">
        <w:rPr>
          <w:lang w:val="en-US"/>
        </w:rPr>
        <w:t>39</w:t>
      </w:r>
    </w:p>
    <w:p w:rsidR="00147024" w:rsidRDefault="00147024" w:rsidP="00E06E16">
      <w:pPr>
        <w:pStyle w:val="TableofFigures"/>
        <w:tabs>
          <w:tab w:val="right" w:pos="7360"/>
        </w:tabs>
        <w:jc w:val="both"/>
        <w:rPr>
          <w:lang w:val="en-US"/>
        </w:rPr>
      </w:pPr>
      <w:r w:rsidRPr="00E06E16">
        <w:rPr>
          <w:lang w:val="en-US"/>
        </w:rPr>
        <w:fldChar w:fldCharType="begin"/>
      </w:r>
      <w:r w:rsidRPr="00E06E16">
        <w:rPr>
          <w:lang w:val="en-US"/>
        </w:rPr>
        <w:instrText xml:space="preserve"> REF _Ref342157949 \h  \* MERGEFORMAT </w:instrText>
      </w:r>
      <w:r w:rsidRPr="00E06E16">
        <w:rPr>
          <w:lang w:val="en-US"/>
        </w:rPr>
      </w:r>
      <w:r w:rsidRPr="00E06E16">
        <w:rPr>
          <w:lang w:val="en-US"/>
        </w:rPr>
        <w:fldChar w:fldCharType="separate"/>
      </w:r>
      <w:r w:rsidRPr="00E06E16">
        <w:rPr>
          <w:lang w:val="en-US"/>
        </w:rPr>
        <w:t>Figure 1</w:t>
      </w:r>
      <w:r w:rsidR="00943BA3">
        <w:rPr>
          <w:lang w:val="en-US"/>
        </w:rPr>
        <w:t>0</w:t>
      </w:r>
      <w:r w:rsidRPr="00E06E16">
        <w:rPr>
          <w:lang w:val="en-US"/>
        </w:rPr>
        <w:t xml:space="preserve">: Evolution of quinoa exports between ANAPQUI (PO) and private firm </w:t>
      </w:r>
      <w:proofErr w:type="spellStart"/>
      <w:r w:rsidRPr="00E06E16">
        <w:rPr>
          <w:lang w:val="en-US"/>
        </w:rPr>
        <w:t>Jatary</w:t>
      </w:r>
      <w:proofErr w:type="spellEnd"/>
      <w:r w:rsidRPr="00E06E16">
        <w:rPr>
          <w:lang w:val="en-US"/>
        </w:rPr>
        <w:t>.</w:t>
      </w:r>
      <w:r w:rsidRPr="00E06E16">
        <w:rPr>
          <w:lang w:val="en-US"/>
        </w:rPr>
        <w:fldChar w:fldCharType="end"/>
      </w:r>
      <w:r>
        <w:rPr>
          <w:b/>
          <w:lang w:val="en-US"/>
        </w:rPr>
        <w:tab/>
      </w:r>
      <w:r w:rsidR="002924B0" w:rsidRPr="00FA122F">
        <w:rPr>
          <w:lang w:val="en-US"/>
        </w:rPr>
        <w:t>41</w:t>
      </w:r>
    </w:p>
    <w:p w:rsidR="00943BA3" w:rsidRDefault="002924B0" w:rsidP="00FA122F">
      <w:pPr>
        <w:pStyle w:val="TableofFigures"/>
        <w:tabs>
          <w:tab w:val="right" w:pos="7360"/>
        </w:tabs>
        <w:ind w:left="432" w:hanging="432"/>
        <w:jc w:val="both"/>
        <w:rPr>
          <w:lang w:val="en-US"/>
        </w:rPr>
      </w:pPr>
      <w:r w:rsidRPr="00FA122F">
        <w:rPr>
          <w:lang w:val="en-US"/>
        </w:rPr>
        <w:t xml:space="preserve">Figure 11: Evolution of quinoa exports by producer organizations (ANAPQUI and CECAOT) and private firms (Andean Valley, </w:t>
      </w:r>
      <w:proofErr w:type="spellStart"/>
      <w:r w:rsidRPr="00FA122F">
        <w:rPr>
          <w:lang w:val="en-US"/>
        </w:rPr>
        <w:t>Jatary</w:t>
      </w:r>
      <w:proofErr w:type="spellEnd"/>
      <w:r w:rsidRPr="00FA122F">
        <w:rPr>
          <w:lang w:val="en-US"/>
        </w:rPr>
        <w:t xml:space="preserve"> and Quinoa </w:t>
      </w:r>
      <w:proofErr w:type="spellStart"/>
      <w:r w:rsidRPr="00FA122F">
        <w:rPr>
          <w:lang w:val="en-US"/>
        </w:rPr>
        <w:t>Bol</w:t>
      </w:r>
      <w:proofErr w:type="spellEnd"/>
      <w:r w:rsidRPr="00FA122F">
        <w:rPr>
          <w:lang w:val="en-US"/>
        </w:rPr>
        <w:t xml:space="preserve"> S.R.L.) between 1990 -2004</w:t>
      </w:r>
      <w:r w:rsidR="00943BA3">
        <w:rPr>
          <w:b/>
          <w:lang w:val="en-US"/>
        </w:rPr>
        <w:tab/>
      </w:r>
      <w:r>
        <w:rPr>
          <w:b/>
          <w:lang w:val="en-US"/>
        </w:rPr>
        <w:tab/>
      </w:r>
      <w:r>
        <w:rPr>
          <w:lang w:val="en-US"/>
        </w:rPr>
        <w:t>49</w:t>
      </w:r>
    </w:p>
    <w:p w:rsidR="005C0586" w:rsidRPr="00FA122F" w:rsidRDefault="005C0586" w:rsidP="00FA122F">
      <w:pPr>
        <w:pStyle w:val="TableofFigures"/>
        <w:tabs>
          <w:tab w:val="right" w:pos="7360"/>
        </w:tabs>
        <w:ind w:left="432" w:hanging="432"/>
        <w:jc w:val="both"/>
        <w:rPr>
          <w:lang w:val="en-US"/>
        </w:rPr>
      </w:pPr>
      <w:r w:rsidRPr="00FA122F">
        <w:rPr>
          <w:lang w:val="en-US"/>
        </w:rPr>
        <w:t>Figure 12: Commodity Prices Trend (US$/TM)</w:t>
      </w:r>
      <w:r w:rsidRPr="00FA122F">
        <w:rPr>
          <w:lang w:val="en-US"/>
        </w:rPr>
        <w:tab/>
      </w:r>
      <w:r w:rsidRPr="00FA122F">
        <w:rPr>
          <w:lang w:val="en-US"/>
        </w:rPr>
        <w:tab/>
      </w:r>
      <w:r w:rsidRPr="00FA122F">
        <w:rPr>
          <w:lang w:val="en-US"/>
        </w:rPr>
        <w:tab/>
        <w:t>62</w:t>
      </w:r>
    </w:p>
    <w:p w:rsidR="005C0586" w:rsidRPr="00334ECA" w:rsidRDefault="005C0586" w:rsidP="00FA122F">
      <w:pPr>
        <w:rPr>
          <w:lang w:val="en-US"/>
        </w:rPr>
      </w:pPr>
    </w:p>
    <w:p w:rsidR="00A351F9" w:rsidRDefault="00A351F9" w:rsidP="00E06E16">
      <w:pPr>
        <w:pStyle w:val="Heading1NOTchapter"/>
        <w:spacing w:before="800" w:after="300"/>
        <w:outlineLvl w:val="0"/>
      </w:pPr>
      <w:bookmarkStart w:id="5" w:name="_Toc342160067"/>
      <w:bookmarkStart w:id="6" w:name="_Toc342160084"/>
      <w:r>
        <w:t xml:space="preserve">List of </w:t>
      </w:r>
      <w:r w:rsidR="00DB063D">
        <w:t>Images</w:t>
      </w:r>
      <w:bookmarkEnd w:id="5"/>
      <w:bookmarkEnd w:id="6"/>
    </w:p>
    <w:p w:rsidR="00C561A0" w:rsidRPr="00E06E16" w:rsidRDefault="00C561A0" w:rsidP="00A351F9">
      <w:pPr>
        <w:pStyle w:val="TableofFigures"/>
        <w:tabs>
          <w:tab w:val="right" w:pos="7360"/>
        </w:tabs>
        <w:rPr>
          <w:noProof/>
        </w:rPr>
      </w:pPr>
      <w:r w:rsidRPr="00E06E16">
        <w:rPr>
          <w:noProof/>
        </w:rPr>
        <w:fldChar w:fldCharType="begin"/>
      </w:r>
      <w:r w:rsidRPr="00E06E16">
        <w:rPr>
          <w:noProof/>
        </w:rPr>
        <w:instrText xml:space="preserve"> REF _Ref342157490 \h </w:instrText>
      </w:r>
      <w:r w:rsidR="00147024">
        <w:rPr>
          <w:noProof/>
        </w:rPr>
        <w:instrText xml:space="preserve"> \* MERGEFORMAT </w:instrText>
      </w:r>
      <w:r w:rsidRPr="00E06E16">
        <w:rPr>
          <w:noProof/>
        </w:rPr>
      </w:r>
      <w:r w:rsidRPr="00E06E16">
        <w:rPr>
          <w:noProof/>
        </w:rPr>
        <w:fldChar w:fldCharType="separate"/>
      </w:r>
      <w:r w:rsidRPr="00E06E16">
        <w:rPr>
          <w:lang w:val="en-US"/>
        </w:rPr>
        <w:t xml:space="preserve">Image </w:t>
      </w:r>
      <w:r w:rsidRPr="00E06E16">
        <w:rPr>
          <w:noProof/>
          <w:lang w:val="en-US"/>
        </w:rPr>
        <w:t>1</w:t>
      </w:r>
      <w:r w:rsidRPr="00E06E16">
        <w:rPr>
          <w:lang w:val="en-US"/>
        </w:rPr>
        <w:t xml:space="preserve">:  Bolivia/Quinoa </w:t>
      </w:r>
      <w:proofErr w:type="gramStart"/>
      <w:r w:rsidRPr="00E06E16">
        <w:rPr>
          <w:lang w:val="en-US"/>
        </w:rPr>
        <w:t>stand</w:t>
      </w:r>
      <w:proofErr w:type="gramEnd"/>
      <w:r w:rsidRPr="00E06E16">
        <w:rPr>
          <w:lang w:val="en-US"/>
        </w:rPr>
        <w:t xml:space="preserve"> at the “</w:t>
      </w:r>
      <w:proofErr w:type="spellStart"/>
      <w:r w:rsidRPr="00E06E16">
        <w:rPr>
          <w:lang w:val="en-US"/>
        </w:rPr>
        <w:t>Floriade</w:t>
      </w:r>
      <w:proofErr w:type="spellEnd"/>
      <w:r w:rsidRPr="00E06E16">
        <w:rPr>
          <w:lang w:val="en-US"/>
        </w:rPr>
        <w:t>” event.</w:t>
      </w:r>
      <w:r w:rsidRPr="00E06E16">
        <w:rPr>
          <w:noProof/>
        </w:rPr>
        <w:fldChar w:fldCharType="end"/>
      </w:r>
      <w:r w:rsidRPr="00E06E16">
        <w:rPr>
          <w:noProof/>
        </w:rPr>
        <w:tab/>
      </w:r>
      <w:r w:rsidRPr="00E06E16">
        <w:rPr>
          <w:noProof/>
        </w:rPr>
        <w:tab/>
      </w:r>
      <w:r w:rsidRPr="00E06E16">
        <w:rPr>
          <w:noProof/>
        </w:rPr>
        <w:tab/>
      </w:r>
      <w:r w:rsidRPr="00E06E16">
        <w:rPr>
          <w:noProof/>
        </w:rPr>
        <w:fldChar w:fldCharType="begin"/>
      </w:r>
      <w:r w:rsidRPr="00E06E16">
        <w:rPr>
          <w:noProof/>
        </w:rPr>
        <w:instrText xml:space="preserve"> PAGEREF _Ref342157490 \h </w:instrText>
      </w:r>
      <w:r w:rsidRPr="00E06E16">
        <w:rPr>
          <w:noProof/>
        </w:rPr>
      </w:r>
      <w:r w:rsidRPr="00E06E16">
        <w:rPr>
          <w:noProof/>
        </w:rPr>
        <w:fldChar w:fldCharType="separate"/>
      </w:r>
      <w:r w:rsidR="00455537">
        <w:rPr>
          <w:noProof/>
        </w:rPr>
        <w:t>9</w:t>
      </w:r>
      <w:r w:rsidRPr="00E06E16">
        <w:rPr>
          <w:noProof/>
        </w:rPr>
        <w:fldChar w:fldCharType="end"/>
      </w:r>
    </w:p>
    <w:p w:rsidR="00A351F9" w:rsidRDefault="00C561A0" w:rsidP="00E06E16">
      <w:pPr>
        <w:pStyle w:val="TableofFigures"/>
        <w:tabs>
          <w:tab w:val="right" w:pos="7360"/>
        </w:tabs>
        <w:outlineLvl w:val="0"/>
        <w:rPr>
          <w:rFonts w:asciiTheme="minorHAnsi" w:eastAsiaTheme="minorEastAsia" w:hAnsiTheme="minorHAnsi" w:cstheme="minorBidi"/>
          <w:noProof/>
          <w:sz w:val="22"/>
          <w:szCs w:val="22"/>
        </w:rPr>
      </w:pPr>
      <w:r w:rsidRPr="00E06E16">
        <w:rPr>
          <w:noProof/>
        </w:rPr>
        <w:fldChar w:fldCharType="begin"/>
      </w:r>
      <w:r w:rsidRPr="00E06E16">
        <w:rPr>
          <w:noProof/>
        </w:rPr>
        <w:instrText xml:space="preserve"> REF _Ref342157459 \h </w:instrText>
      </w:r>
      <w:r w:rsidR="00147024">
        <w:rPr>
          <w:noProof/>
        </w:rPr>
        <w:instrText xml:space="preserve"> \* MERGEFORMAT </w:instrText>
      </w:r>
      <w:r w:rsidRPr="00E06E16">
        <w:rPr>
          <w:noProof/>
        </w:rPr>
      </w:r>
      <w:r w:rsidRPr="00E06E16">
        <w:rPr>
          <w:noProof/>
        </w:rPr>
        <w:fldChar w:fldCharType="separate"/>
      </w:r>
      <w:bookmarkStart w:id="7" w:name="_Toc342160085"/>
      <w:r w:rsidR="00455537" w:rsidRPr="00FA122F">
        <w:rPr>
          <w:lang w:val="en-US"/>
        </w:rPr>
        <w:t>Image 2: Bags of quinoa ready to be sold at the “</w:t>
      </w:r>
      <w:proofErr w:type="spellStart"/>
      <w:r w:rsidR="00455537" w:rsidRPr="00FA122F">
        <w:rPr>
          <w:lang w:val="en-US"/>
        </w:rPr>
        <w:t>Challapata</w:t>
      </w:r>
      <w:proofErr w:type="spellEnd"/>
      <w:r w:rsidR="00455537" w:rsidRPr="00FA122F">
        <w:rPr>
          <w:lang w:val="en-US"/>
        </w:rPr>
        <w:t xml:space="preserve"> Fair”.</w:t>
      </w:r>
      <w:r w:rsidRPr="00E06E16">
        <w:rPr>
          <w:noProof/>
        </w:rPr>
        <w:fldChar w:fldCharType="end"/>
      </w:r>
      <w:r w:rsidRPr="00E06E16">
        <w:rPr>
          <w:noProof/>
        </w:rPr>
        <w:tab/>
      </w:r>
      <w:r w:rsidRPr="00E06E16">
        <w:rPr>
          <w:noProof/>
        </w:rPr>
        <w:tab/>
      </w:r>
      <w:r w:rsidRPr="00E06E16">
        <w:rPr>
          <w:noProof/>
        </w:rPr>
        <w:tab/>
      </w:r>
      <w:r w:rsidRPr="00E06E16">
        <w:rPr>
          <w:noProof/>
        </w:rPr>
        <w:fldChar w:fldCharType="begin"/>
      </w:r>
      <w:r w:rsidRPr="00E06E16">
        <w:rPr>
          <w:noProof/>
        </w:rPr>
        <w:instrText xml:space="preserve"> PAGEREF _Ref342157459 \h </w:instrText>
      </w:r>
      <w:r w:rsidRPr="00E06E16">
        <w:rPr>
          <w:noProof/>
        </w:rPr>
      </w:r>
      <w:r w:rsidRPr="00E06E16">
        <w:rPr>
          <w:noProof/>
        </w:rPr>
        <w:fldChar w:fldCharType="separate"/>
      </w:r>
      <w:r w:rsidR="00455537">
        <w:rPr>
          <w:noProof/>
        </w:rPr>
        <w:t>31</w:t>
      </w:r>
      <w:bookmarkEnd w:id="7"/>
      <w:r w:rsidRPr="00E06E16">
        <w:rPr>
          <w:noProof/>
        </w:rPr>
        <w:fldChar w:fldCharType="end"/>
      </w:r>
      <w:r w:rsidR="00DB063D">
        <w:rPr>
          <w:b/>
          <w:noProof/>
        </w:rPr>
        <w:br/>
      </w:r>
      <w:r w:rsidR="00A351F9">
        <w:rPr>
          <w:b/>
          <w:noProof/>
        </w:rPr>
        <w:fldChar w:fldCharType="begin"/>
      </w:r>
      <w:r w:rsidR="00A351F9">
        <w:rPr>
          <w:b/>
          <w:noProof/>
        </w:rPr>
        <w:instrText xml:space="preserve"> TOC \h \z \t "Map title,2" \c "Map" </w:instrText>
      </w:r>
      <w:r w:rsidR="00A351F9">
        <w:rPr>
          <w:b/>
          <w:noProof/>
        </w:rPr>
        <w:fldChar w:fldCharType="separate"/>
      </w:r>
    </w:p>
    <w:p w:rsidR="00A351F9" w:rsidRPr="00E06E16" w:rsidRDefault="00A351F9" w:rsidP="00E06E16">
      <w:pPr>
        <w:pStyle w:val="Heading1NOTchapter"/>
        <w:spacing w:before="600" w:after="300"/>
        <w:outlineLvl w:val="0"/>
        <w:rPr>
          <w:b w:val="0"/>
          <w:noProof/>
        </w:rPr>
      </w:pPr>
      <w:r>
        <w:rPr>
          <w:b w:val="0"/>
          <w:noProof/>
        </w:rPr>
        <w:fldChar w:fldCharType="end"/>
      </w:r>
      <w:bookmarkStart w:id="8" w:name="_Toc342160068"/>
      <w:bookmarkStart w:id="9" w:name="_Toc342160086"/>
      <w:r w:rsidR="00E21EA1" w:rsidRPr="003C536B">
        <w:rPr>
          <w:noProof/>
        </w:rPr>
        <w:t>List of Diagrams</w:t>
      </w:r>
      <w:bookmarkEnd w:id="8"/>
      <w:bookmarkEnd w:id="9"/>
    </w:p>
    <w:p w:rsidR="00E21EA1" w:rsidRDefault="00E21EA1" w:rsidP="00E06E16">
      <w:pPr>
        <w:spacing w:after="0"/>
        <w:rPr>
          <w:lang w:val="en-GB" w:eastAsia="en-GB"/>
        </w:rPr>
      </w:pPr>
      <w:r w:rsidRPr="00E06E16">
        <w:rPr>
          <w:lang w:val="en-GB" w:eastAsia="en-GB"/>
        </w:rPr>
        <w:fldChar w:fldCharType="begin"/>
      </w:r>
      <w:r w:rsidRPr="00E21EA1">
        <w:rPr>
          <w:lang w:val="en-GB" w:eastAsia="en-GB"/>
        </w:rPr>
        <w:instrText xml:space="preserve"> REF _Ref342159731 \h </w:instrText>
      </w:r>
      <w:r w:rsidRPr="00E06E16">
        <w:rPr>
          <w:lang w:val="en-GB" w:eastAsia="en-GB"/>
        </w:rPr>
        <w:instrText xml:space="preserve"> \* MERGEFORMAT </w:instrText>
      </w:r>
      <w:r w:rsidRPr="00E06E16">
        <w:rPr>
          <w:lang w:val="en-GB" w:eastAsia="en-GB"/>
        </w:rPr>
      </w:r>
      <w:r w:rsidRPr="00E06E16">
        <w:rPr>
          <w:lang w:val="en-GB" w:eastAsia="en-GB"/>
        </w:rPr>
        <w:fldChar w:fldCharType="separate"/>
      </w:r>
      <w:r w:rsidRPr="00E06E16">
        <w:rPr>
          <w:lang w:val="en-US"/>
        </w:rPr>
        <w:t xml:space="preserve">Diagram </w:t>
      </w:r>
      <w:r w:rsidRPr="00E06E16">
        <w:rPr>
          <w:noProof/>
          <w:lang w:val="en-US"/>
        </w:rPr>
        <w:t>1</w:t>
      </w:r>
      <w:r w:rsidRPr="00E06E16">
        <w:rPr>
          <w:lang w:val="en-US"/>
        </w:rPr>
        <w:t>: The Quinoa Value Chain</w:t>
      </w:r>
      <w:r w:rsidRPr="00E06E16">
        <w:rPr>
          <w:lang w:val="en-GB" w:eastAsia="en-GB"/>
        </w:rPr>
        <w:fldChar w:fldCharType="end"/>
      </w:r>
      <w:r>
        <w:rPr>
          <w:lang w:val="en-GB" w:eastAsia="en-GB"/>
        </w:rPr>
        <w:tab/>
      </w:r>
      <w:r>
        <w:rPr>
          <w:lang w:val="en-GB" w:eastAsia="en-GB"/>
        </w:rPr>
        <w:tab/>
      </w:r>
      <w:r>
        <w:rPr>
          <w:lang w:val="en-GB" w:eastAsia="en-GB"/>
        </w:rPr>
        <w:tab/>
      </w:r>
      <w:r>
        <w:rPr>
          <w:lang w:val="en-GB" w:eastAsia="en-GB"/>
        </w:rPr>
        <w:tab/>
      </w:r>
      <w:r>
        <w:rPr>
          <w:lang w:val="en-GB" w:eastAsia="en-GB"/>
        </w:rPr>
        <w:tab/>
      </w:r>
      <w:r>
        <w:rPr>
          <w:lang w:val="en-GB" w:eastAsia="en-GB"/>
        </w:rPr>
        <w:tab/>
      </w:r>
      <w:r>
        <w:rPr>
          <w:lang w:val="en-GB" w:eastAsia="en-GB"/>
        </w:rPr>
        <w:tab/>
      </w:r>
      <w:r>
        <w:rPr>
          <w:lang w:val="en-GB" w:eastAsia="en-GB"/>
        </w:rPr>
        <w:tab/>
      </w:r>
      <w:r w:rsidRPr="00E06E16">
        <w:rPr>
          <w:lang w:val="en-GB" w:eastAsia="en-GB"/>
        </w:rPr>
        <w:fldChar w:fldCharType="begin"/>
      </w:r>
      <w:r w:rsidRPr="00E21EA1">
        <w:rPr>
          <w:lang w:val="en-GB" w:eastAsia="en-GB"/>
        </w:rPr>
        <w:instrText xml:space="preserve"> PAGEREF _Ref342159731 \h </w:instrText>
      </w:r>
      <w:r w:rsidRPr="00E06E16">
        <w:rPr>
          <w:lang w:val="en-GB" w:eastAsia="en-GB"/>
        </w:rPr>
      </w:r>
      <w:r w:rsidRPr="00E06E16">
        <w:rPr>
          <w:lang w:val="en-GB" w:eastAsia="en-GB"/>
        </w:rPr>
        <w:fldChar w:fldCharType="separate"/>
      </w:r>
      <w:r w:rsidR="00455537">
        <w:rPr>
          <w:noProof/>
          <w:lang w:val="en-GB" w:eastAsia="en-GB"/>
        </w:rPr>
        <w:t>27</w:t>
      </w:r>
      <w:r w:rsidRPr="00E06E16">
        <w:rPr>
          <w:lang w:val="en-GB" w:eastAsia="en-GB"/>
        </w:rPr>
        <w:fldChar w:fldCharType="end"/>
      </w:r>
    </w:p>
    <w:p w:rsidR="00B906BF" w:rsidRDefault="00B906BF" w:rsidP="00E06E16">
      <w:pPr>
        <w:spacing w:after="0"/>
        <w:rPr>
          <w:lang w:val="en-GB" w:eastAsia="en-GB"/>
        </w:rPr>
      </w:pPr>
      <w:r w:rsidRPr="00E06E16">
        <w:rPr>
          <w:lang w:val="en-GB" w:eastAsia="en-GB"/>
        </w:rPr>
        <w:fldChar w:fldCharType="begin"/>
      </w:r>
      <w:r w:rsidRPr="00B906BF">
        <w:rPr>
          <w:lang w:val="en-GB" w:eastAsia="en-GB"/>
        </w:rPr>
        <w:instrText xml:space="preserve"> REF _Ref342161280 \h </w:instrText>
      </w:r>
      <w:r w:rsidRPr="00E06E16">
        <w:rPr>
          <w:lang w:val="en-GB" w:eastAsia="en-GB"/>
        </w:rPr>
        <w:instrText xml:space="preserve"> \* MERGEFORMAT </w:instrText>
      </w:r>
      <w:r w:rsidRPr="00E06E16">
        <w:rPr>
          <w:lang w:val="en-GB" w:eastAsia="en-GB"/>
        </w:rPr>
      </w:r>
      <w:r w:rsidRPr="00E06E16">
        <w:rPr>
          <w:lang w:val="en-GB" w:eastAsia="en-GB"/>
        </w:rPr>
        <w:fldChar w:fldCharType="separate"/>
      </w:r>
      <w:r w:rsidR="00455537" w:rsidRPr="00FA122F">
        <w:rPr>
          <w:lang w:val="en-US"/>
        </w:rPr>
        <w:t>Diagram 2: Incentives offered by the three venues</w:t>
      </w:r>
      <w:r w:rsidRPr="00E06E16">
        <w:rPr>
          <w:lang w:val="en-GB" w:eastAsia="en-GB"/>
        </w:rPr>
        <w:fldChar w:fldCharType="end"/>
      </w:r>
      <w:r>
        <w:rPr>
          <w:lang w:val="en-GB" w:eastAsia="en-GB"/>
        </w:rPr>
        <w:tab/>
      </w:r>
      <w:r>
        <w:rPr>
          <w:lang w:val="en-GB" w:eastAsia="en-GB"/>
        </w:rPr>
        <w:tab/>
      </w:r>
      <w:r>
        <w:rPr>
          <w:lang w:val="en-GB" w:eastAsia="en-GB"/>
        </w:rPr>
        <w:tab/>
      </w:r>
      <w:r>
        <w:rPr>
          <w:lang w:val="en-GB" w:eastAsia="en-GB"/>
        </w:rPr>
        <w:tab/>
      </w:r>
      <w:r>
        <w:rPr>
          <w:lang w:val="en-GB" w:eastAsia="en-GB"/>
        </w:rPr>
        <w:tab/>
      </w:r>
      <w:r>
        <w:rPr>
          <w:lang w:val="en-GB" w:eastAsia="en-GB"/>
        </w:rPr>
        <w:tab/>
      </w:r>
      <w:r>
        <w:rPr>
          <w:lang w:val="en-GB" w:eastAsia="en-GB"/>
        </w:rPr>
        <w:fldChar w:fldCharType="begin"/>
      </w:r>
      <w:r>
        <w:rPr>
          <w:lang w:val="en-GB" w:eastAsia="en-GB"/>
        </w:rPr>
        <w:instrText xml:space="preserve"> PAGEREF _Ref342161280 \h </w:instrText>
      </w:r>
      <w:r>
        <w:rPr>
          <w:lang w:val="en-GB" w:eastAsia="en-GB"/>
        </w:rPr>
      </w:r>
      <w:r>
        <w:rPr>
          <w:lang w:val="en-GB" w:eastAsia="en-GB"/>
        </w:rPr>
        <w:fldChar w:fldCharType="separate"/>
      </w:r>
      <w:r w:rsidR="00455537">
        <w:rPr>
          <w:noProof/>
          <w:lang w:val="en-GB" w:eastAsia="en-GB"/>
        </w:rPr>
        <w:t>33</w:t>
      </w:r>
      <w:r>
        <w:rPr>
          <w:lang w:val="en-GB" w:eastAsia="en-GB"/>
        </w:rPr>
        <w:fldChar w:fldCharType="end"/>
      </w:r>
      <w:r>
        <w:rPr>
          <w:lang w:val="en-GB" w:eastAsia="en-GB"/>
        </w:rPr>
        <w:t xml:space="preserve"> </w:t>
      </w:r>
    </w:p>
    <w:p w:rsidR="00B906BF" w:rsidRDefault="00B906BF" w:rsidP="00E06E16">
      <w:pPr>
        <w:spacing w:after="0"/>
        <w:rPr>
          <w:b/>
          <w:lang w:val="en-US"/>
        </w:rPr>
      </w:pPr>
      <w:r w:rsidRPr="00E06E16">
        <w:rPr>
          <w:lang w:val="en-US"/>
        </w:rPr>
        <w:lastRenderedPageBreak/>
        <w:fldChar w:fldCharType="begin"/>
      </w:r>
      <w:r w:rsidRPr="00E06E16">
        <w:rPr>
          <w:lang w:val="en-US"/>
        </w:rPr>
        <w:instrText xml:space="preserve"> REF _Ref342161619 \h </w:instrText>
      </w:r>
      <w:r>
        <w:rPr>
          <w:lang w:val="en-US"/>
        </w:rPr>
        <w:instrText xml:space="preserve"> \* MERGEFORMAT </w:instrText>
      </w:r>
      <w:r w:rsidRPr="00E06E16">
        <w:rPr>
          <w:lang w:val="en-US"/>
        </w:rPr>
      </w:r>
      <w:r w:rsidRPr="00E06E16">
        <w:rPr>
          <w:lang w:val="en-US"/>
        </w:rPr>
        <w:fldChar w:fldCharType="separate"/>
      </w:r>
      <w:r w:rsidR="00455537" w:rsidRPr="00FA122F">
        <w:rPr>
          <w:lang w:val="en-US"/>
        </w:rPr>
        <w:t xml:space="preserve">Diagram </w:t>
      </w:r>
      <w:r w:rsidR="00455537" w:rsidRPr="00FA122F">
        <w:rPr>
          <w:noProof/>
          <w:lang w:val="en-US"/>
        </w:rPr>
        <w:t>3</w:t>
      </w:r>
      <w:r w:rsidR="00455537" w:rsidRPr="00FA122F">
        <w:rPr>
          <w:lang w:val="en-US"/>
        </w:rPr>
        <w:t>: Mapping of producer organizations ANAPQUI and CECAOT</w:t>
      </w:r>
      <w:r w:rsidRPr="00E06E16">
        <w:rPr>
          <w:lang w:val="en-US"/>
        </w:rPr>
        <w:fldChar w:fldCharType="end"/>
      </w:r>
      <w:r>
        <w:rPr>
          <w:b/>
          <w:lang w:val="en-US"/>
        </w:rPr>
        <w:tab/>
      </w:r>
      <w:r>
        <w:rPr>
          <w:b/>
          <w:lang w:val="en-US"/>
        </w:rPr>
        <w:tab/>
      </w:r>
      <w:r>
        <w:rPr>
          <w:b/>
          <w:lang w:val="en-US"/>
        </w:rPr>
        <w:tab/>
      </w:r>
      <w:r>
        <w:rPr>
          <w:b/>
          <w:lang w:val="en-US"/>
        </w:rPr>
        <w:tab/>
      </w:r>
      <w:r w:rsidRPr="00E06E16">
        <w:rPr>
          <w:lang w:val="en-US"/>
        </w:rPr>
        <w:fldChar w:fldCharType="begin"/>
      </w:r>
      <w:r w:rsidRPr="00E06E16">
        <w:rPr>
          <w:lang w:val="en-US"/>
        </w:rPr>
        <w:instrText xml:space="preserve"> PAGEREF _Ref342161619 \h </w:instrText>
      </w:r>
      <w:r w:rsidRPr="00E06E16">
        <w:rPr>
          <w:lang w:val="en-US"/>
        </w:rPr>
      </w:r>
      <w:r w:rsidRPr="00E06E16">
        <w:rPr>
          <w:lang w:val="en-US"/>
        </w:rPr>
        <w:fldChar w:fldCharType="separate"/>
      </w:r>
      <w:r w:rsidR="00455537">
        <w:rPr>
          <w:noProof/>
          <w:lang w:val="en-US"/>
        </w:rPr>
        <w:t>58</w:t>
      </w:r>
      <w:r w:rsidRPr="00E06E16">
        <w:rPr>
          <w:lang w:val="en-US"/>
        </w:rPr>
        <w:fldChar w:fldCharType="end"/>
      </w:r>
    </w:p>
    <w:p w:rsidR="00B906BF" w:rsidRDefault="00B906BF" w:rsidP="00E06E16">
      <w:pPr>
        <w:spacing w:after="0"/>
        <w:rPr>
          <w:b/>
          <w:lang w:val="en-US"/>
        </w:rPr>
      </w:pPr>
      <w:r w:rsidRPr="00E06E16">
        <w:rPr>
          <w:lang w:val="en-US"/>
        </w:rPr>
        <w:fldChar w:fldCharType="begin"/>
      </w:r>
      <w:r w:rsidRPr="00E06E16">
        <w:rPr>
          <w:lang w:val="en-US"/>
        </w:rPr>
        <w:instrText xml:space="preserve"> REF _Ref342161625 \h </w:instrText>
      </w:r>
      <w:r>
        <w:rPr>
          <w:lang w:val="en-US"/>
        </w:rPr>
        <w:instrText xml:space="preserve"> \* MERGEFORMAT </w:instrText>
      </w:r>
      <w:r w:rsidRPr="00E06E16">
        <w:rPr>
          <w:lang w:val="en-US"/>
        </w:rPr>
      </w:r>
      <w:r w:rsidRPr="00E06E16">
        <w:rPr>
          <w:lang w:val="en-US"/>
        </w:rPr>
        <w:fldChar w:fldCharType="separate"/>
      </w:r>
      <w:r w:rsidR="00455537" w:rsidRPr="00FA122F">
        <w:rPr>
          <w:lang w:val="en-US"/>
        </w:rPr>
        <w:t xml:space="preserve">Diagram </w:t>
      </w:r>
      <w:r w:rsidR="00455537" w:rsidRPr="00FA122F">
        <w:rPr>
          <w:noProof/>
          <w:lang w:val="en-US"/>
        </w:rPr>
        <w:t>4</w:t>
      </w:r>
      <w:r w:rsidR="00455537" w:rsidRPr="00FA122F">
        <w:rPr>
          <w:lang w:val="en-US"/>
        </w:rPr>
        <w:t xml:space="preserve">: Mapping of the vertical integration by </w:t>
      </w:r>
      <w:proofErr w:type="spellStart"/>
      <w:r w:rsidR="00455537" w:rsidRPr="00FA122F">
        <w:rPr>
          <w:lang w:val="en-US"/>
        </w:rPr>
        <w:t>Jatary</w:t>
      </w:r>
      <w:proofErr w:type="spellEnd"/>
      <w:r w:rsidR="00455537" w:rsidRPr="00FA122F">
        <w:rPr>
          <w:lang w:val="en-US"/>
        </w:rPr>
        <w:t xml:space="preserve"> and Quinoa </w:t>
      </w:r>
      <w:proofErr w:type="spellStart"/>
      <w:r w:rsidR="00455537" w:rsidRPr="00FA122F">
        <w:rPr>
          <w:lang w:val="en-US"/>
        </w:rPr>
        <w:t>Bol</w:t>
      </w:r>
      <w:proofErr w:type="spellEnd"/>
      <w:r w:rsidR="00455537" w:rsidRPr="00FA122F">
        <w:rPr>
          <w:lang w:val="en-US"/>
        </w:rPr>
        <w:t xml:space="preserve"> S.R.L.</w:t>
      </w:r>
      <w:r w:rsidRPr="00E06E16">
        <w:rPr>
          <w:lang w:val="en-US"/>
        </w:rPr>
        <w:fldChar w:fldCharType="end"/>
      </w:r>
      <w:r>
        <w:rPr>
          <w:b/>
          <w:lang w:val="en-US"/>
        </w:rPr>
        <w:tab/>
      </w:r>
      <w:r>
        <w:rPr>
          <w:b/>
          <w:lang w:val="en-US"/>
        </w:rPr>
        <w:tab/>
      </w:r>
      <w:r>
        <w:rPr>
          <w:b/>
          <w:lang w:val="en-US"/>
        </w:rPr>
        <w:tab/>
      </w:r>
      <w:r w:rsidRPr="00E06E16">
        <w:rPr>
          <w:lang w:val="en-US"/>
        </w:rPr>
        <w:fldChar w:fldCharType="begin"/>
      </w:r>
      <w:r w:rsidRPr="00E06E16">
        <w:rPr>
          <w:lang w:val="en-US"/>
        </w:rPr>
        <w:instrText xml:space="preserve"> PAGEREF _Ref342161625 \h </w:instrText>
      </w:r>
      <w:r w:rsidRPr="00E06E16">
        <w:rPr>
          <w:lang w:val="en-US"/>
        </w:rPr>
      </w:r>
      <w:r w:rsidRPr="00E06E16">
        <w:rPr>
          <w:lang w:val="en-US"/>
        </w:rPr>
        <w:fldChar w:fldCharType="separate"/>
      </w:r>
      <w:r w:rsidR="00455537">
        <w:rPr>
          <w:noProof/>
          <w:lang w:val="en-US"/>
        </w:rPr>
        <w:t>59</w:t>
      </w:r>
      <w:r w:rsidRPr="00E06E16">
        <w:rPr>
          <w:lang w:val="en-US"/>
        </w:rPr>
        <w:fldChar w:fldCharType="end"/>
      </w:r>
    </w:p>
    <w:p w:rsidR="00C01F80" w:rsidRDefault="00B906BF" w:rsidP="00E06E16">
      <w:pPr>
        <w:spacing w:after="0"/>
        <w:rPr>
          <w:b/>
          <w:lang w:val="en-US"/>
        </w:rPr>
      </w:pPr>
      <w:r w:rsidRPr="00E06E16">
        <w:rPr>
          <w:lang w:val="en-US"/>
        </w:rPr>
        <w:fldChar w:fldCharType="begin"/>
      </w:r>
      <w:r w:rsidRPr="00E06E16">
        <w:rPr>
          <w:lang w:val="en-US"/>
        </w:rPr>
        <w:instrText xml:space="preserve"> REF _Ref342161630 \h </w:instrText>
      </w:r>
      <w:r>
        <w:rPr>
          <w:lang w:val="en-US"/>
        </w:rPr>
        <w:instrText xml:space="preserve"> \* MERGEFORMAT </w:instrText>
      </w:r>
      <w:r w:rsidRPr="00E06E16">
        <w:rPr>
          <w:lang w:val="en-US"/>
        </w:rPr>
      </w:r>
      <w:r w:rsidRPr="00E06E16">
        <w:rPr>
          <w:lang w:val="en-US"/>
        </w:rPr>
        <w:fldChar w:fldCharType="separate"/>
      </w:r>
      <w:r w:rsidR="00455537" w:rsidRPr="00FA122F">
        <w:rPr>
          <w:lang w:val="en-US"/>
        </w:rPr>
        <w:t>Diagram 5: Mapping of the US market</w:t>
      </w:r>
      <w:r w:rsidRPr="00E06E16">
        <w:rPr>
          <w:lang w:val="en-US"/>
        </w:rPr>
        <w:fldChar w:fldCharType="end"/>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sidRPr="00E06E16">
        <w:rPr>
          <w:lang w:val="en-US"/>
        </w:rPr>
        <w:fldChar w:fldCharType="begin"/>
      </w:r>
      <w:r w:rsidRPr="00E06E16">
        <w:rPr>
          <w:lang w:val="en-US"/>
        </w:rPr>
        <w:instrText xml:space="preserve"> PAGEREF _Ref342161630 \h </w:instrText>
      </w:r>
      <w:r w:rsidRPr="00E06E16">
        <w:rPr>
          <w:lang w:val="en-US"/>
        </w:rPr>
      </w:r>
      <w:r w:rsidRPr="00E06E16">
        <w:rPr>
          <w:lang w:val="en-US"/>
        </w:rPr>
        <w:fldChar w:fldCharType="separate"/>
      </w:r>
      <w:r w:rsidR="00455537">
        <w:rPr>
          <w:noProof/>
          <w:lang w:val="en-US"/>
        </w:rPr>
        <w:t>60</w:t>
      </w:r>
      <w:r w:rsidRPr="00E06E16">
        <w:rPr>
          <w:lang w:val="en-US"/>
        </w:rPr>
        <w:fldChar w:fldCharType="end"/>
      </w:r>
    </w:p>
    <w:p w:rsidR="00B906BF" w:rsidRDefault="00B906BF" w:rsidP="00E06E16">
      <w:pPr>
        <w:spacing w:after="0"/>
        <w:rPr>
          <w:b/>
          <w:lang w:val="en-US"/>
        </w:rPr>
      </w:pPr>
    </w:p>
    <w:p w:rsidR="00B906BF" w:rsidRPr="00874FB2" w:rsidRDefault="00B906BF" w:rsidP="00B906BF">
      <w:pPr>
        <w:pStyle w:val="Heading1NOTchapter"/>
        <w:spacing w:before="600" w:after="300"/>
        <w:outlineLvl w:val="0"/>
        <w:rPr>
          <w:noProof/>
        </w:rPr>
      </w:pPr>
      <w:r w:rsidRPr="003C536B">
        <w:rPr>
          <w:noProof/>
        </w:rPr>
        <w:t xml:space="preserve">List of </w:t>
      </w:r>
      <w:r>
        <w:rPr>
          <w:noProof/>
        </w:rPr>
        <w:t>Maps</w:t>
      </w:r>
    </w:p>
    <w:p w:rsidR="00B906BF" w:rsidRPr="00E06E16" w:rsidRDefault="00B906BF" w:rsidP="00E06E16">
      <w:pPr>
        <w:spacing w:after="0"/>
        <w:rPr>
          <w:lang w:val="en-US"/>
        </w:rPr>
      </w:pPr>
      <w:r w:rsidRPr="00E06E16">
        <w:rPr>
          <w:lang w:val="en-US"/>
        </w:rPr>
        <w:fldChar w:fldCharType="begin"/>
      </w:r>
      <w:r w:rsidRPr="00E06E16">
        <w:rPr>
          <w:lang w:val="en-US"/>
        </w:rPr>
        <w:instrText xml:space="preserve"> REF _Ref342161551 \h </w:instrText>
      </w:r>
      <w:r>
        <w:rPr>
          <w:lang w:val="en-US"/>
        </w:rPr>
        <w:instrText xml:space="preserve"> \* MERGEFORMAT </w:instrText>
      </w:r>
      <w:r w:rsidRPr="00E06E16">
        <w:rPr>
          <w:lang w:val="en-US"/>
        </w:rPr>
      </w:r>
      <w:r w:rsidRPr="00E06E16">
        <w:rPr>
          <w:lang w:val="en-US"/>
        </w:rPr>
        <w:fldChar w:fldCharType="separate"/>
      </w:r>
      <w:r w:rsidRPr="00E06E16">
        <w:rPr>
          <w:lang w:val="en-US"/>
        </w:rPr>
        <w:t>Map 1: Quinoa producing communities in Bolivia</w:t>
      </w:r>
      <w:r w:rsidRPr="00E06E16">
        <w:rPr>
          <w:lang w:val="en-US"/>
        </w:rPr>
        <w:fldChar w:fldCharType="end"/>
      </w:r>
      <w:r>
        <w:rPr>
          <w:lang w:val="en-US"/>
        </w:rPr>
        <w:tab/>
      </w:r>
      <w:r>
        <w:rPr>
          <w:lang w:val="en-US"/>
        </w:rPr>
        <w:tab/>
      </w:r>
      <w:r>
        <w:rPr>
          <w:lang w:val="en-US"/>
        </w:rPr>
        <w:tab/>
      </w:r>
      <w:r>
        <w:rPr>
          <w:lang w:val="en-US"/>
        </w:rPr>
        <w:tab/>
      </w:r>
      <w:r>
        <w:rPr>
          <w:lang w:val="en-US"/>
        </w:rPr>
        <w:tab/>
      </w:r>
      <w:r>
        <w:rPr>
          <w:lang w:val="en-US"/>
        </w:rPr>
        <w:tab/>
      </w:r>
      <w:r>
        <w:rPr>
          <w:lang w:val="en-US"/>
        </w:rPr>
        <w:fldChar w:fldCharType="begin"/>
      </w:r>
      <w:r>
        <w:rPr>
          <w:lang w:val="en-US"/>
        </w:rPr>
        <w:instrText xml:space="preserve"> PAGEREF _Ref342161551 \h </w:instrText>
      </w:r>
      <w:r>
        <w:rPr>
          <w:lang w:val="en-US"/>
        </w:rPr>
      </w:r>
      <w:r>
        <w:rPr>
          <w:lang w:val="en-US"/>
        </w:rPr>
        <w:fldChar w:fldCharType="separate"/>
      </w:r>
      <w:r w:rsidR="00455537">
        <w:rPr>
          <w:noProof/>
          <w:lang w:val="en-US"/>
        </w:rPr>
        <w:t>61</w:t>
      </w:r>
      <w:r>
        <w:rPr>
          <w:lang w:val="en-US"/>
        </w:rPr>
        <w:fldChar w:fldCharType="end"/>
      </w:r>
    </w:p>
    <w:p w:rsidR="00B906BF" w:rsidRDefault="00B906BF" w:rsidP="00E06E16">
      <w:pPr>
        <w:spacing w:after="0"/>
        <w:rPr>
          <w:b/>
          <w:lang w:val="en-US"/>
        </w:rPr>
      </w:pPr>
    </w:p>
    <w:p w:rsidR="00147024" w:rsidRPr="00D34CE3" w:rsidRDefault="00147024" w:rsidP="00E06E16">
      <w:pPr>
        <w:pStyle w:val="Heading1NOTchapter"/>
        <w:outlineLvl w:val="0"/>
      </w:pPr>
      <w:bookmarkStart w:id="10" w:name="_Toc342160069"/>
      <w:bookmarkStart w:id="11" w:name="_Toc342160087"/>
      <w:r>
        <w:t>List of Acronyms</w:t>
      </w:r>
      <w:bookmarkEnd w:id="10"/>
      <w:bookmarkEnd w:id="11"/>
    </w:p>
    <w:p w:rsidR="00147024" w:rsidRPr="00111F33" w:rsidRDefault="00147024" w:rsidP="00147024">
      <w:pPr>
        <w:pStyle w:val="Acronyms"/>
        <w:tabs>
          <w:tab w:val="left" w:pos="1701"/>
        </w:tabs>
        <w:suppressAutoHyphens/>
        <w:ind w:left="1701" w:hanging="1701"/>
      </w:pPr>
      <w:r w:rsidRPr="00111F33">
        <w:t>ANAPQUI</w:t>
      </w:r>
      <w:r w:rsidRPr="00111F33">
        <w:tab/>
        <w:t xml:space="preserve">The National Association of </w:t>
      </w:r>
      <w:proofErr w:type="spellStart"/>
      <w:r w:rsidRPr="00111F33">
        <w:t>Quinoa</w:t>
      </w:r>
      <w:proofErr w:type="spellEnd"/>
      <w:r w:rsidRPr="00111F33">
        <w:t xml:space="preserve"> Producers</w:t>
      </w:r>
    </w:p>
    <w:p w:rsidR="00147024" w:rsidRPr="00E06E16" w:rsidRDefault="00147024" w:rsidP="00147024">
      <w:pPr>
        <w:pStyle w:val="Acronyms"/>
        <w:tabs>
          <w:tab w:val="left" w:pos="1701"/>
        </w:tabs>
        <w:suppressAutoHyphens/>
        <w:ind w:left="1701" w:hanging="1701"/>
        <w:rPr>
          <w:lang w:val="es-BO"/>
        </w:rPr>
      </w:pPr>
      <w:r w:rsidRPr="00E06E16">
        <w:rPr>
          <w:lang w:val="es-BO"/>
        </w:rPr>
        <w:t>CECAOT</w:t>
      </w:r>
      <w:r w:rsidRPr="00E06E16">
        <w:rPr>
          <w:lang w:val="es-BO"/>
        </w:rPr>
        <w:tab/>
        <w:t xml:space="preserve">Central de Cooperativas Agropecuarias “Operación Tierra” LTDA. </w:t>
      </w:r>
    </w:p>
    <w:p w:rsidR="00147024" w:rsidRPr="00111F33" w:rsidRDefault="00147024" w:rsidP="00147024">
      <w:pPr>
        <w:pStyle w:val="Acronyms"/>
        <w:tabs>
          <w:tab w:val="left" w:pos="1701"/>
        </w:tabs>
        <w:suppressAutoHyphens/>
        <w:ind w:left="1701" w:hanging="1701"/>
      </w:pPr>
      <w:r w:rsidRPr="00111F33">
        <w:t>BDCC</w:t>
      </w:r>
      <w:r w:rsidRPr="00111F33">
        <w:tab/>
        <w:t>Buyer Driven Commodity Chains</w:t>
      </w:r>
    </w:p>
    <w:p w:rsidR="00147024" w:rsidRPr="00111F33" w:rsidRDefault="00147024" w:rsidP="00147024">
      <w:pPr>
        <w:pStyle w:val="Acronyms"/>
        <w:tabs>
          <w:tab w:val="left" w:pos="1701"/>
        </w:tabs>
        <w:suppressAutoHyphens/>
        <w:ind w:left="1701" w:hanging="1701"/>
      </w:pPr>
      <w:r w:rsidRPr="00111F33">
        <w:t>CABOLQUI</w:t>
      </w:r>
      <w:r w:rsidRPr="00111F33">
        <w:tab/>
        <w:t xml:space="preserve">Bolivian Chamber of Royal </w:t>
      </w:r>
      <w:proofErr w:type="spellStart"/>
      <w:r w:rsidRPr="00111F33">
        <w:t>Quinoa</w:t>
      </w:r>
      <w:proofErr w:type="spellEnd"/>
      <w:r w:rsidRPr="00111F33">
        <w:t xml:space="preserve"> and Organic Product Exporters</w:t>
      </w:r>
    </w:p>
    <w:p w:rsidR="00147024" w:rsidRPr="00111F33" w:rsidRDefault="00147024" w:rsidP="00147024">
      <w:pPr>
        <w:pStyle w:val="Acronyms"/>
        <w:tabs>
          <w:tab w:val="left" w:pos="1701"/>
        </w:tabs>
        <w:suppressAutoHyphens/>
        <w:ind w:left="1701" w:hanging="1701"/>
      </w:pPr>
      <w:r w:rsidRPr="00111F33">
        <w:t>FAO</w:t>
      </w:r>
      <w:r w:rsidRPr="00111F33">
        <w:tab/>
        <w:t xml:space="preserve">Food and Agriculture Organization of the United Nations </w:t>
      </w:r>
    </w:p>
    <w:p w:rsidR="00147024" w:rsidRPr="00111F33" w:rsidRDefault="00147024" w:rsidP="00147024">
      <w:pPr>
        <w:pStyle w:val="Acronyms"/>
        <w:tabs>
          <w:tab w:val="left" w:pos="1701"/>
        </w:tabs>
        <w:suppressAutoHyphens/>
        <w:ind w:left="1701" w:hanging="1701"/>
      </w:pPr>
      <w:r w:rsidRPr="00111F33">
        <w:t>GCC</w:t>
      </w:r>
      <w:r w:rsidRPr="00111F33">
        <w:tab/>
        <w:t>Global Commodity Chains</w:t>
      </w:r>
    </w:p>
    <w:p w:rsidR="00147024" w:rsidRPr="00111F33" w:rsidRDefault="00147024" w:rsidP="00147024">
      <w:pPr>
        <w:pStyle w:val="Acronyms"/>
        <w:tabs>
          <w:tab w:val="left" w:pos="1701"/>
        </w:tabs>
        <w:suppressAutoHyphens/>
        <w:ind w:left="1701" w:hanging="1701"/>
      </w:pPr>
      <w:r w:rsidRPr="00111F33">
        <w:t>IYQ</w:t>
      </w:r>
      <w:r w:rsidRPr="00111F33">
        <w:tab/>
        <w:t xml:space="preserve">International Year of the </w:t>
      </w:r>
      <w:proofErr w:type="spellStart"/>
      <w:r w:rsidRPr="00111F33">
        <w:t>Quinoa</w:t>
      </w:r>
      <w:proofErr w:type="spellEnd"/>
      <w:r w:rsidRPr="00111F33">
        <w:t xml:space="preserve"> </w:t>
      </w:r>
    </w:p>
    <w:p w:rsidR="00147024" w:rsidRPr="00111F33" w:rsidRDefault="00147024" w:rsidP="00147024">
      <w:pPr>
        <w:pStyle w:val="Acronyms"/>
        <w:tabs>
          <w:tab w:val="left" w:pos="1701"/>
        </w:tabs>
        <w:suppressAutoHyphens/>
        <w:ind w:left="1701" w:hanging="1701"/>
      </w:pPr>
      <w:r w:rsidRPr="00111F33">
        <w:t>HA</w:t>
      </w:r>
      <w:r w:rsidRPr="00111F33">
        <w:tab/>
        <w:t>Hectares</w:t>
      </w:r>
    </w:p>
    <w:p w:rsidR="00147024" w:rsidRPr="00111F33" w:rsidRDefault="00147024" w:rsidP="00147024">
      <w:pPr>
        <w:pStyle w:val="Acronyms"/>
        <w:tabs>
          <w:tab w:val="left" w:pos="1701"/>
        </w:tabs>
        <w:suppressAutoHyphens/>
        <w:ind w:left="1701" w:hanging="1701"/>
      </w:pPr>
      <w:r w:rsidRPr="00111F33">
        <w:t xml:space="preserve">ICA </w:t>
      </w:r>
      <w:r w:rsidRPr="00111F33">
        <w:tab/>
        <w:t xml:space="preserve">International Coffee Agreements </w:t>
      </w:r>
    </w:p>
    <w:p w:rsidR="00147024" w:rsidRPr="00111F33" w:rsidRDefault="00147024" w:rsidP="00147024">
      <w:pPr>
        <w:pStyle w:val="Acronyms"/>
        <w:tabs>
          <w:tab w:val="left" w:pos="1701"/>
        </w:tabs>
        <w:suppressAutoHyphens/>
        <w:ind w:left="1701" w:hanging="1701"/>
      </w:pPr>
      <w:r w:rsidRPr="00111F33">
        <w:t>IYA</w:t>
      </w:r>
      <w:r w:rsidRPr="00111F33">
        <w:tab/>
        <w:t xml:space="preserve">International Year of the </w:t>
      </w:r>
      <w:proofErr w:type="spellStart"/>
      <w:r w:rsidRPr="00111F33">
        <w:t>Quinoa</w:t>
      </w:r>
      <w:proofErr w:type="spellEnd"/>
      <w:r w:rsidRPr="00111F33">
        <w:t xml:space="preserve"> </w:t>
      </w:r>
    </w:p>
    <w:p w:rsidR="00147024" w:rsidRPr="00111F33" w:rsidRDefault="00147024" w:rsidP="00147024">
      <w:pPr>
        <w:pStyle w:val="Acronyms"/>
        <w:tabs>
          <w:tab w:val="left" w:pos="1701"/>
        </w:tabs>
        <w:suppressAutoHyphens/>
        <w:ind w:left="1701" w:hanging="1701"/>
      </w:pPr>
      <w:r w:rsidRPr="00111F33">
        <w:t xml:space="preserve">MNC </w:t>
      </w:r>
      <w:r w:rsidRPr="00111F33">
        <w:tab/>
        <w:t>Multinational Corporations</w:t>
      </w:r>
    </w:p>
    <w:p w:rsidR="00147024" w:rsidRPr="00111F33" w:rsidRDefault="00147024" w:rsidP="00147024">
      <w:pPr>
        <w:pStyle w:val="Acronyms"/>
        <w:tabs>
          <w:tab w:val="left" w:pos="1701"/>
        </w:tabs>
        <w:suppressAutoHyphens/>
        <w:ind w:left="1701" w:hanging="1701"/>
      </w:pPr>
      <w:r w:rsidRPr="00111F33">
        <w:t>MT</w:t>
      </w:r>
      <w:r w:rsidRPr="00111F33">
        <w:tab/>
        <w:t>Metric Tons</w:t>
      </w:r>
    </w:p>
    <w:p w:rsidR="00147024" w:rsidRPr="00111F33" w:rsidRDefault="00147024" w:rsidP="00147024">
      <w:pPr>
        <w:pStyle w:val="Acronyms"/>
        <w:tabs>
          <w:tab w:val="left" w:pos="1701"/>
        </w:tabs>
        <w:suppressAutoHyphens/>
        <w:ind w:left="1701" w:hanging="1701"/>
      </w:pPr>
      <w:r w:rsidRPr="00111F33">
        <w:t xml:space="preserve">NAFTA </w:t>
      </w:r>
      <w:r w:rsidRPr="00111F33">
        <w:tab/>
        <w:t xml:space="preserve">North American Free Trade Agreement </w:t>
      </w:r>
    </w:p>
    <w:p w:rsidR="00147024" w:rsidRPr="00111F33" w:rsidRDefault="00147024" w:rsidP="00147024">
      <w:pPr>
        <w:pStyle w:val="Acronyms"/>
        <w:tabs>
          <w:tab w:val="left" w:pos="1701"/>
        </w:tabs>
        <w:suppressAutoHyphens/>
        <w:ind w:left="1701" w:hanging="1701"/>
      </w:pPr>
      <w:r w:rsidRPr="00111F33">
        <w:t>NGO’s</w:t>
      </w:r>
      <w:r w:rsidRPr="00111F33">
        <w:tab/>
        <w:t>Non-governmental Organizations</w:t>
      </w:r>
    </w:p>
    <w:p w:rsidR="00147024" w:rsidRPr="00111F33" w:rsidRDefault="00147024" w:rsidP="00147024">
      <w:pPr>
        <w:pStyle w:val="Acronyms"/>
        <w:tabs>
          <w:tab w:val="left" w:pos="1701"/>
        </w:tabs>
        <w:suppressAutoHyphens/>
        <w:ind w:left="1701" w:hanging="1701"/>
      </w:pPr>
      <w:r w:rsidRPr="00111F33">
        <w:t>PO</w:t>
      </w:r>
      <w:r w:rsidRPr="00111F33">
        <w:tab/>
        <w:t>Producer Organizations</w:t>
      </w:r>
    </w:p>
    <w:p w:rsidR="00147024" w:rsidRPr="00111F33" w:rsidRDefault="00147024" w:rsidP="00147024">
      <w:pPr>
        <w:pStyle w:val="Acronyms"/>
        <w:tabs>
          <w:tab w:val="left" w:pos="1701"/>
        </w:tabs>
        <w:suppressAutoHyphens/>
        <w:ind w:left="1701" w:hanging="1701"/>
      </w:pPr>
      <w:r w:rsidRPr="00111F33">
        <w:t>PDCC</w:t>
      </w:r>
      <w:r w:rsidRPr="00111F33">
        <w:tab/>
        <w:t>Producer Driven Commodity Chains</w:t>
      </w:r>
    </w:p>
    <w:p w:rsidR="00147024" w:rsidRDefault="00147024" w:rsidP="00147024">
      <w:pPr>
        <w:pStyle w:val="Acronyms"/>
        <w:tabs>
          <w:tab w:val="left" w:pos="1701"/>
        </w:tabs>
        <w:suppressAutoHyphens/>
        <w:ind w:left="1701" w:hanging="1701"/>
      </w:pPr>
      <w:r w:rsidRPr="00111F33">
        <w:t xml:space="preserve">SBPC </w:t>
      </w:r>
      <w:r w:rsidRPr="00111F33">
        <w:tab/>
        <w:t xml:space="preserve">Bolivian System of Productivity and Competitiveness  </w:t>
      </w:r>
    </w:p>
    <w:p w:rsidR="00A86885" w:rsidRPr="00111F33" w:rsidRDefault="00A86885" w:rsidP="00A86885">
      <w:pPr>
        <w:pStyle w:val="Acronyms"/>
        <w:tabs>
          <w:tab w:val="left" w:pos="1701"/>
        </w:tabs>
        <w:suppressAutoHyphens/>
        <w:ind w:left="1701" w:hanging="1701"/>
      </w:pPr>
      <w:r>
        <w:t>WSA</w:t>
      </w:r>
      <w:r w:rsidRPr="00111F33">
        <w:t xml:space="preserve"> </w:t>
      </w:r>
      <w:r w:rsidRPr="00111F33">
        <w:tab/>
      </w:r>
      <w:r>
        <w:t>World System Approach</w:t>
      </w:r>
      <w:r w:rsidRPr="00111F33">
        <w:t xml:space="preserve"> </w:t>
      </w:r>
    </w:p>
    <w:p w:rsidR="00CB0C8E" w:rsidRPr="00D34CE3" w:rsidRDefault="00A351F9" w:rsidP="00E06E16">
      <w:pPr>
        <w:pStyle w:val="Heading1NOTchapter"/>
        <w:spacing w:after="200"/>
        <w:outlineLvl w:val="0"/>
      </w:pPr>
      <w:r>
        <w:rPr>
          <w:b w:val="0"/>
          <w:lang w:val="en-US"/>
        </w:rPr>
        <w:br w:type="page"/>
      </w:r>
      <w:bookmarkStart w:id="12" w:name="_Toc342160070"/>
      <w:bookmarkStart w:id="13" w:name="_Toc342160088"/>
      <w:r w:rsidR="00CB0C8E" w:rsidRPr="00E06E16">
        <w:rPr>
          <w:rFonts w:eastAsiaTheme="minorHAnsi" w:cstheme="minorBidi"/>
          <w:kern w:val="0"/>
          <w:szCs w:val="36"/>
          <w:lang w:val="en-US" w:eastAsia="en-US"/>
        </w:rPr>
        <w:lastRenderedPageBreak/>
        <w:t>Abstract</w:t>
      </w:r>
      <w:bookmarkEnd w:id="12"/>
      <w:bookmarkEnd w:id="13"/>
    </w:p>
    <w:p w:rsidR="00CB0C8E" w:rsidRDefault="00CB0C8E" w:rsidP="00CB0C8E">
      <w:pPr>
        <w:jc w:val="both"/>
        <w:rPr>
          <w:lang w:val="en-US"/>
        </w:rPr>
      </w:pPr>
      <w:r>
        <w:rPr>
          <w:lang w:val="en-US"/>
        </w:rPr>
        <w:t xml:space="preserve">This thesis analyzes the implications of the current quinoa market structure on some aspects of the farmers’ income such as producer prices and bargaining power through an alternative approach to mainstream economics. The increased demand for quinoa during the last few years, </w:t>
      </w:r>
      <w:r w:rsidR="008573B8">
        <w:rPr>
          <w:lang w:val="en-US"/>
        </w:rPr>
        <w:t>e</w:t>
      </w:r>
      <w:r>
        <w:rPr>
          <w:lang w:val="en-US"/>
        </w:rPr>
        <w:t xml:space="preserve">specially since 2006 have led to an increase in the value and volume of the transactions related to this market. As a result new private firms have entered the quinoa market seduced by the potential profits.   The entry of these new private firms has changed the structure of the quinoa market, which through new business practices have displaced the monopoly that the peasant producer organizations had in the market for organic quinoa exports. </w:t>
      </w:r>
    </w:p>
    <w:p w:rsidR="00CB0C8E" w:rsidRDefault="00CB0C8E" w:rsidP="00E06E16">
      <w:pPr>
        <w:ind w:firstLine="720"/>
        <w:jc w:val="both"/>
        <w:rPr>
          <w:lang w:val="en-US"/>
        </w:rPr>
      </w:pPr>
      <w:r>
        <w:rPr>
          <w:lang w:val="en-US"/>
        </w:rPr>
        <w:t xml:space="preserve">The implications of such changes on the farmers’ income are studied in this paper through the Global Commodity Chain analytical framework which puts at the center of the discussion issues surrounding the power relations within a production process. While </w:t>
      </w:r>
      <w:r w:rsidR="009E2C25">
        <w:rPr>
          <w:lang w:val="en-US"/>
        </w:rPr>
        <w:t xml:space="preserve">under </w:t>
      </w:r>
      <w:r>
        <w:rPr>
          <w:lang w:val="en-US"/>
        </w:rPr>
        <w:t xml:space="preserve">mainstream economics </w:t>
      </w:r>
      <w:r w:rsidRPr="009E2C25">
        <w:rPr>
          <w:lang w:val="en-US"/>
        </w:rPr>
        <w:t>efficient price discovery</w:t>
      </w:r>
      <w:r w:rsidR="009E2C25" w:rsidRPr="009E2C25">
        <w:rPr>
          <w:lang w:val="en-US"/>
        </w:rPr>
        <w:t xml:space="preserve"> is thought possible </w:t>
      </w:r>
      <w:r w:rsidRPr="009E2C25">
        <w:rPr>
          <w:lang w:val="en-US"/>
        </w:rPr>
        <w:t xml:space="preserve">through market clearing at each stage of the production process, the GCC analytical </w:t>
      </w:r>
      <w:r>
        <w:rPr>
          <w:lang w:val="en-US"/>
        </w:rPr>
        <w:t>framework is more careful in drawing conclusions from market data and challenges us to inquire into the types of relationships amongst the different participants in a particular production process; which is why, this paper starts the analysis by mapping out the Quinoa Value Chain looking to uncover the power relations at work therefore the bargaining power of each actor and ultimately the distribution of profits.</w:t>
      </w:r>
    </w:p>
    <w:p w:rsidR="00CB0C8E" w:rsidRDefault="00CB0C8E" w:rsidP="00E06E16">
      <w:pPr>
        <w:ind w:firstLine="720"/>
        <w:jc w:val="both"/>
        <w:rPr>
          <w:lang w:val="en-US"/>
        </w:rPr>
      </w:pPr>
      <w:r>
        <w:rPr>
          <w:lang w:val="en-US"/>
        </w:rPr>
        <w:t xml:space="preserve">For the case of the quinoa farmer in Bolivia, this paper shows that the new business practices brought by the private firms manifested in vertical integration strategies which include “contract systems” have limited the bargaining power of the farmer to its contract specifications.   Hence the possibilities that quinoa farmers have to profit from the booming demand for their crop are seriously circumscribed by those who are able to more successfully enter the models of vertical coordination.  </w:t>
      </w:r>
    </w:p>
    <w:p w:rsidR="00CB0C8E" w:rsidRDefault="00CB0C8E" w:rsidP="00E06E16">
      <w:pPr>
        <w:ind w:firstLine="720"/>
        <w:jc w:val="both"/>
        <w:rPr>
          <w:lang w:val="en-US"/>
        </w:rPr>
      </w:pPr>
      <w:r>
        <w:rPr>
          <w:lang w:val="en-US"/>
        </w:rPr>
        <w:t xml:space="preserve">Lastly, this thesis bears in mind that a limitation in its analysis is the lack of sufficient knowledge regarding the type of relationship between the peasant producer organizations and the farmers, since this information could bring light on explaining some recurrent themes mentioned by the farmers interviewed during the fieldwork and that is the issues of price volatility. Often farmers would mention their frustration about a lack of knowledge regarding how prices are set in the quinoa market, which often caused them significant losses. Furthermore, despite the increasing difficulty that the producer organizations have in fulfilling their role of “protecting the farmer” under  the new quinoa market structure,  these remain important for the lives of the farmers, which is why this paper recommends the need for state policy  on control mechanisms to help stabilize prices in the quinoa market (currently characterize by high levels of volatility) as well as a greater support for the producer organizations since these represent a point of reference and buffer between the quinoa farmer and the private firms. </w:t>
      </w:r>
    </w:p>
    <w:p w:rsidR="00CB0C8E" w:rsidRDefault="00CB0C8E" w:rsidP="00E06E16">
      <w:pPr>
        <w:ind w:firstLine="720"/>
        <w:jc w:val="both"/>
        <w:rPr>
          <w:lang w:val="en-US"/>
        </w:rPr>
      </w:pPr>
      <w:r>
        <w:rPr>
          <w:lang w:val="en-US"/>
        </w:rPr>
        <w:t xml:space="preserve">Concluding, the data presented in this paper is a combination of desk research and fieldwork interviews to a wide spectrum of actors which include: government personnel, university lecturers, private firm and producer organization representatives as well as quinoa farmers.  </w:t>
      </w:r>
    </w:p>
    <w:p w:rsidR="00CB0C8E" w:rsidRPr="00E06E16" w:rsidRDefault="00CB0C8E" w:rsidP="00E06E16">
      <w:pPr>
        <w:pStyle w:val="Heading1"/>
        <w:rPr>
          <w:rFonts w:ascii="Garamond" w:hAnsi="Garamond"/>
          <w:b w:val="0"/>
          <w:sz w:val="36"/>
          <w:szCs w:val="36"/>
          <w:lang w:val="en-US"/>
        </w:rPr>
      </w:pPr>
      <w:bookmarkStart w:id="14" w:name="_Toc342160071"/>
      <w:bookmarkStart w:id="15" w:name="_Toc342160089"/>
      <w:r w:rsidRPr="00E06E16">
        <w:rPr>
          <w:rFonts w:ascii="Garamond" w:hAnsi="Garamond"/>
          <w:color w:val="auto"/>
          <w:sz w:val="36"/>
          <w:szCs w:val="36"/>
          <w:lang w:val="en-US"/>
        </w:rPr>
        <w:lastRenderedPageBreak/>
        <w:t>Relevance to Development Studies</w:t>
      </w:r>
      <w:bookmarkEnd w:id="14"/>
      <w:bookmarkEnd w:id="15"/>
    </w:p>
    <w:p w:rsidR="00CB0C8E" w:rsidRPr="00E322F1" w:rsidRDefault="00CB0C8E" w:rsidP="00CB0C8E">
      <w:pPr>
        <w:jc w:val="both"/>
        <w:rPr>
          <w:lang w:val="en-US"/>
        </w:rPr>
      </w:pPr>
      <w:r>
        <w:rPr>
          <w:lang w:val="en-US"/>
        </w:rPr>
        <w:t xml:space="preserve">The recent boom in food type commodity prices between 2006 and 2008 has reopened the opportunity to analyze how do farmers fair under what are presumed to be favorable market conditions – that is high crop prices. </w:t>
      </w:r>
    </w:p>
    <w:p w:rsidR="00CB0C8E" w:rsidRDefault="00CB0C8E" w:rsidP="00E06E16">
      <w:pPr>
        <w:ind w:firstLine="720"/>
        <w:jc w:val="both"/>
        <w:rPr>
          <w:lang w:val="en-US"/>
        </w:rPr>
      </w:pPr>
      <w:r>
        <w:rPr>
          <w:lang w:val="en-US"/>
        </w:rPr>
        <w:t>This thesis focuses on the quinoa farmers in Bolivia and analyzes the implication of high quinoa prices on the farmers’ income in a more holistic way that the Global Commodity Chain (GCC) analytical framework allow</w:t>
      </w:r>
      <w:r w:rsidRPr="00DB5376">
        <w:rPr>
          <w:lang w:val="en-US"/>
        </w:rPr>
        <w:t xml:space="preserve">s </w:t>
      </w:r>
      <w:r w:rsidR="00DB5376" w:rsidRPr="00DB5376">
        <w:rPr>
          <w:lang w:val="en-US"/>
        </w:rPr>
        <w:t>in contrast</w:t>
      </w:r>
      <w:r w:rsidRPr="00DB5376">
        <w:rPr>
          <w:lang w:val="en-US"/>
        </w:rPr>
        <w:t xml:space="preserve"> to mainstream economics. </w:t>
      </w:r>
      <w:r>
        <w:rPr>
          <w:lang w:val="en-US"/>
        </w:rPr>
        <w:t>Although producer prices data was taken into consideration as a point of departure for the analysis, this paper does not rely on these figures to draw conclusions from.</w:t>
      </w:r>
    </w:p>
    <w:p w:rsidR="00CB0C8E" w:rsidRDefault="00CB0C8E" w:rsidP="00E06E16">
      <w:pPr>
        <w:ind w:firstLine="720"/>
        <w:jc w:val="both"/>
        <w:rPr>
          <w:lang w:val="en-US"/>
        </w:rPr>
      </w:pPr>
      <w:r>
        <w:rPr>
          <w:lang w:val="en-US"/>
        </w:rPr>
        <w:t xml:space="preserve">Instead, through its analysis attempts to uncover the power relations governing the Quinoa Value Chain and in this way contribute to the economic literature on the quinoa case with a more challenging and thought provoking debate. </w:t>
      </w:r>
    </w:p>
    <w:p w:rsidR="00CB0C8E" w:rsidRDefault="00CB0C8E" w:rsidP="00E06E16">
      <w:pPr>
        <w:ind w:firstLine="720"/>
        <w:jc w:val="both"/>
        <w:rPr>
          <w:lang w:val="en-US"/>
        </w:rPr>
      </w:pPr>
      <w:r>
        <w:rPr>
          <w:lang w:val="en-US"/>
        </w:rPr>
        <w:t xml:space="preserve">Lastly, not much research and data is available on the current market structure post the changes in its demand. Most academic works on the subject date back to 2005, which is precisely when the craze for quinoa and its prices start to shoot up. Hence this work aims to contribute with more up to date data as well as fieldwork interviews that have captured the current sentiment of the different actors’ participants of the Quinoa Value Chain. </w:t>
      </w:r>
    </w:p>
    <w:p w:rsidR="00CB0C8E" w:rsidRPr="00E06E16" w:rsidRDefault="00CB0C8E" w:rsidP="00CB0C8E">
      <w:pPr>
        <w:rPr>
          <w:lang w:val="en-US"/>
        </w:rPr>
      </w:pPr>
    </w:p>
    <w:p w:rsidR="00CB0C8E" w:rsidRPr="00E06E16" w:rsidRDefault="00CB0C8E" w:rsidP="00E06E16">
      <w:pPr>
        <w:pStyle w:val="Heading1"/>
        <w:rPr>
          <w:rFonts w:ascii="Garamond" w:hAnsi="Garamond"/>
          <w:b w:val="0"/>
          <w:sz w:val="36"/>
          <w:szCs w:val="36"/>
          <w:lang w:val="en-US"/>
        </w:rPr>
      </w:pPr>
      <w:bookmarkStart w:id="16" w:name="_Toc342160072"/>
      <w:bookmarkStart w:id="17" w:name="_Toc342160090"/>
      <w:r w:rsidRPr="00E06E16">
        <w:rPr>
          <w:rFonts w:ascii="Garamond" w:hAnsi="Garamond"/>
          <w:color w:val="auto"/>
          <w:sz w:val="36"/>
          <w:szCs w:val="36"/>
          <w:lang w:val="en-US"/>
        </w:rPr>
        <w:t>Keywords</w:t>
      </w:r>
      <w:bookmarkEnd w:id="16"/>
      <w:bookmarkEnd w:id="17"/>
    </w:p>
    <w:p w:rsidR="00CB0C8E" w:rsidRPr="009D311D" w:rsidRDefault="00CB0C8E" w:rsidP="00CB0C8E">
      <w:pPr>
        <w:spacing w:after="0" w:line="240" w:lineRule="auto"/>
        <w:jc w:val="both"/>
        <w:rPr>
          <w:rFonts w:ascii="Calibri" w:eastAsia="Times New Roman" w:hAnsi="Calibri" w:cs="Times New Roman"/>
          <w:bCs/>
          <w:color w:val="FF0000"/>
          <w:lang w:val="en-US"/>
        </w:rPr>
      </w:pPr>
      <w:r w:rsidRPr="009D311D">
        <w:rPr>
          <w:rFonts w:ascii="Calibri" w:eastAsia="Times New Roman" w:hAnsi="Calibri" w:cs="Times New Roman"/>
          <w:bCs/>
          <w:lang w:val="en-US"/>
        </w:rPr>
        <w:t xml:space="preserve">Bolivia, </w:t>
      </w:r>
      <w:r w:rsidR="009D311D">
        <w:rPr>
          <w:rFonts w:ascii="Calibri" w:eastAsia="Times New Roman" w:hAnsi="Calibri" w:cs="Times New Roman"/>
          <w:bCs/>
          <w:lang w:val="en-US"/>
        </w:rPr>
        <w:t>q</w:t>
      </w:r>
      <w:r w:rsidRPr="009D311D">
        <w:rPr>
          <w:rFonts w:ascii="Calibri" w:eastAsia="Times New Roman" w:hAnsi="Calibri" w:cs="Times New Roman"/>
          <w:bCs/>
          <w:lang w:val="en-US"/>
        </w:rPr>
        <w:t xml:space="preserve">uinoa, </w:t>
      </w:r>
      <w:r w:rsidR="009D311D">
        <w:rPr>
          <w:rFonts w:ascii="Calibri" w:eastAsia="Times New Roman" w:hAnsi="Calibri" w:cs="Times New Roman"/>
          <w:bCs/>
          <w:lang w:val="en-US"/>
        </w:rPr>
        <w:t>v</w:t>
      </w:r>
      <w:r w:rsidRPr="009D311D">
        <w:rPr>
          <w:rFonts w:ascii="Calibri" w:eastAsia="Times New Roman" w:hAnsi="Calibri" w:cs="Times New Roman"/>
          <w:bCs/>
          <w:lang w:val="en-US"/>
        </w:rPr>
        <w:t xml:space="preserve">alue </w:t>
      </w:r>
      <w:r w:rsidR="009D311D">
        <w:rPr>
          <w:rFonts w:ascii="Calibri" w:eastAsia="Times New Roman" w:hAnsi="Calibri" w:cs="Times New Roman"/>
          <w:bCs/>
          <w:lang w:val="en-US"/>
        </w:rPr>
        <w:t>c</w:t>
      </w:r>
      <w:r w:rsidRPr="009D311D">
        <w:rPr>
          <w:rFonts w:ascii="Calibri" w:eastAsia="Times New Roman" w:hAnsi="Calibri" w:cs="Times New Roman"/>
          <w:bCs/>
          <w:lang w:val="en-US"/>
        </w:rPr>
        <w:t xml:space="preserve">hain, </w:t>
      </w:r>
      <w:r w:rsidR="009D311D">
        <w:rPr>
          <w:rFonts w:ascii="Calibri" w:eastAsia="Times New Roman" w:hAnsi="Calibri" w:cs="Times New Roman"/>
          <w:bCs/>
          <w:lang w:val="en-US"/>
        </w:rPr>
        <w:t>o</w:t>
      </w:r>
      <w:r w:rsidRPr="009D311D">
        <w:rPr>
          <w:rFonts w:ascii="Calibri" w:eastAsia="Times New Roman" w:hAnsi="Calibri" w:cs="Times New Roman"/>
          <w:bCs/>
          <w:lang w:val="en-US"/>
        </w:rPr>
        <w:t xml:space="preserve">rganic, prices, </w:t>
      </w:r>
      <w:r w:rsidR="009D311D" w:rsidRPr="009D311D">
        <w:rPr>
          <w:rFonts w:ascii="Calibri" w:eastAsia="Times New Roman" w:hAnsi="Calibri" w:cs="Times New Roman"/>
          <w:bCs/>
          <w:lang w:val="en-US"/>
        </w:rPr>
        <w:t>vertical integration,</w:t>
      </w:r>
      <w:r w:rsidR="009D311D">
        <w:rPr>
          <w:rFonts w:ascii="Calibri" w:eastAsia="Times New Roman" w:hAnsi="Calibri" w:cs="Times New Roman"/>
          <w:bCs/>
          <w:lang w:val="en-US"/>
        </w:rPr>
        <w:t xml:space="preserve"> farmers</w:t>
      </w:r>
      <w:r w:rsidRPr="009D311D">
        <w:rPr>
          <w:rFonts w:ascii="Calibri" w:eastAsia="Times New Roman" w:hAnsi="Calibri" w:cs="Times New Roman"/>
          <w:bCs/>
          <w:lang w:val="en-US"/>
        </w:rPr>
        <w:t>, ANAPQUI</w:t>
      </w:r>
    </w:p>
    <w:p w:rsidR="00CB0C8E" w:rsidRDefault="00CB0C8E" w:rsidP="00CB0C8E">
      <w:pPr>
        <w:pStyle w:val="Normalfirstparagraph"/>
      </w:pPr>
    </w:p>
    <w:p w:rsidR="00CB0C8E" w:rsidRDefault="00CB0C8E">
      <w:pPr>
        <w:rPr>
          <w:b/>
          <w:lang w:val="en-US"/>
        </w:rPr>
      </w:pPr>
      <w:r>
        <w:rPr>
          <w:b/>
          <w:lang w:val="en-US"/>
        </w:rPr>
        <w:br w:type="page"/>
      </w:r>
    </w:p>
    <w:p w:rsidR="006E6E05" w:rsidRPr="00874FB2" w:rsidRDefault="006E6E05" w:rsidP="006E6E05">
      <w:pPr>
        <w:spacing w:after="0"/>
        <w:jc w:val="center"/>
        <w:rPr>
          <w:b/>
          <w:lang w:val="en-US"/>
        </w:rPr>
      </w:pPr>
      <w:bookmarkStart w:id="18" w:name="_Ref342157490"/>
      <w:r w:rsidRPr="00874FB2">
        <w:rPr>
          <w:b/>
          <w:lang w:val="en-US"/>
        </w:rPr>
        <w:lastRenderedPageBreak/>
        <w:t xml:space="preserve">Image </w:t>
      </w:r>
      <w:r>
        <w:rPr>
          <w:b/>
          <w:lang w:val="en-US"/>
        </w:rPr>
        <w:fldChar w:fldCharType="begin"/>
      </w:r>
      <w:r>
        <w:rPr>
          <w:b/>
          <w:lang w:val="en-US"/>
        </w:rPr>
        <w:instrText xml:space="preserve"> SEQ Image \* ARABIC </w:instrText>
      </w:r>
      <w:r>
        <w:rPr>
          <w:b/>
          <w:lang w:val="en-US"/>
        </w:rPr>
        <w:fldChar w:fldCharType="separate"/>
      </w:r>
      <w:r>
        <w:rPr>
          <w:b/>
          <w:noProof/>
          <w:lang w:val="en-US"/>
        </w:rPr>
        <w:t>1</w:t>
      </w:r>
      <w:r>
        <w:rPr>
          <w:b/>
          <w:lang w:val="en-US"/>
        </w:rPr>
        <w:fldChar w:fldCharType="end"/>
      </w:r>
      <w:r w:rsidRPr="00874FB2">
        <w:rPr>
          <w:b/>
          <w:lang w:val="en-US"/>
        </w:rPr>
        <w:t>:  Bolivia/Quinoa stand at the “</w:t>
      </w:r>
      <w:proofErr w:type="spellStart"/>
      <w:r w:rsidRPr="00874FB2">
        <w:rPr>
          <w:b/>
          <w:lang w:val="en-US"/>
        </w:rPr>
        <w:t>Floriade</w:t>
      </w:r>
      <w:proofErr w:type="spellEnd"/>
      <w:r w:rsidRPr="00874FB2">
        <w:rPr>
          <w:b/>
          <w:lang w:val="en-US"/>
        </w:rPr>
        <w:t>” event.</w:t>
      </w:r>
      <w:bookmarkEnd w:id="18"/>
    </w:p>
    <w:p w:rsidR="00DC1922" w:rsidRPr="00D30530" w:rsidRDefault="00CB0C8E" w:rsidP="00DC1922">
      <w:pPr>
        <w:pStyle w:val="ListParagraph"/>
        <w:ind w:left="1080"/>
        <w:rPr>
          <w:lang w:val="en-US"/>
        </w:rPr>
      </w:pPr>
      <w:r>
        <w:rPr>
          <w:b/>
          <w:noProof/>
          <w:lang w:val="en-US"/>
        </w:rPr>
        <w:drawing>
          <wp:anchor distT="0" distB="0" distL="114300" distR="114300" simplePos="0" relativeHeight="251662336" behindDoc="0" locked="0" layoutInCell="1" allowOverlap="1" wp14:anchorId="630484E9" wp14:editId="3F6BD3AF">
            <wp:simplePos x="0" y="0"/>
            <wp:positionH relativeFrom="column">
              <wp:posOffset>-56515</wp:posOffset>
            </wp:positionH>
            <wp:positionV relativeFrom="paragraph">
              <wp:posOffset>-78740</wp:posOffset>
            </wp:positionV>
            <wp:extent cx="5943600" cy="444754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1003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447540"/>
                    </a:xfrm>
                    <a:prstGeom prst="rect">
                      <a:avLst/>
                    </a:prstGeom>
                  </pic:spPr>
                </pic:pic>
              </a:graphicData>
            </a:graphic>
            <wp14:sizeRelH relativeFrom="page">
              <wp14:pctWidth>0</wp14:pctWidth>
            </wp14:sizeRelH>
            <wp14:sizeRelV relativeFrom="page">
              <wp14:pctHeight>0</wp14:pctHeight>
            </wp14:sizeRelV>
          </wp:anchor>
        </w:drawing>
      </w:r>
      <w:r w:rsidR="00334DA8" w:rsidRPr="00D30530">
        <w:rPr>
          <w:lang w:val="en-US"/>
        </w:rPr>
        <w:t xml:space="preserve">*Source: Picture taken by the author at the </w:t>
      </w:r>
      <w:r w:rsidR="00D30530">
        <w:rPr>
          <w:lang w:val="en-US"/>
        </w:rPr>
        <w:t>“</w:t>
      </w:r>
      <w:proofErr w:type="spellStart"/>
      <w:r w:rsidR="00334DA8" w:rsidRPr="00D30530">
        <w:rPr>
          <w:lang w:val="en-US"/>
        </w:rPr>
        <w:t>Floriade</w:t>
      </w:r>
      <w:proofErr w:type="spellEnd"/>
      <w:r w:rsidR="00D30530">
        <w:rPr>
          <w:lang w:val="en-US"/>
        </w:rPr>
        <w:t>”</w:t>
      </w:r>
      <w:r w:rsidR="00334DA8" w:rsidRPr="00D30530">
        <w:rPr>
          <w:lang w:val="en-US"/>
        </w:rPr>
        <w:t xml:space="preserve"> event on June 12</w:t>
      </w:r>
      <w:r w:rsidR="00334DA8" w:rsidRPr="00D30530">
        <w:rPr>
          <w:vertAlign w:val="superscript"/>
          <w:lang w:val="en-US"/>
        </w:rPr>
        <w:t>th</w:t>
      </w:r>
      <w:r w:rsidR="00334DA8" w:rsidRPr="00D30530">
        <w:rPr>
          <w:lang w:val="en-US"/>
        </w:rPr>
        <w:t xml:space="preserve">, 2012. </w:t>
      </w:r>
    </w:p>
    <w:p w:rsidR="00DC1922" w:rsidRDefault="00DC1922" w:rsidP="00DC1922">
      <w:pPr>
        <w:pStyle w:val="ListParagraph"/>
        <w:ind w:left="1080"/>
        <w:rPr>
          <w:b/>
          <w:lang w:val="en-US"/>
        </w:rPr>
      </w:pPr>
    </w:p>
    <w:p w:rsidR="006E6E05" w:rsidRDefault="006E6E05" w:rsidP="00DC1922">
      <w:pPr>
        <w:pStyle w:val="ListParagraph"/>
        <w:ind w:left="1080"/>
        <w:rPr>
          <w:b/>
          <w:lang w:val="en-US"/>
        </w:rPr>
      </w:pPr>
    </w:p>
    <w:p w:rsidR="006E6E05" w:rsidRDefault="006E6E05" w:rsidP="00DC1922">
      <w:pPr>
        <w:pStyle w:val="ListParagraph"/>
        <w:ind w:left="1080"/>
        <w:rPr>
          <w:b/>
          <w:lang w:val="en-US"/>
        </w:rPr>
      </w:pPr>
    </w:p>
    <w:p w:rsidR="002A5D7C" w:rsidRDefault="002A5D7C" w:rsidP="00FA122F">
      <w:pPr>
        <w:spacing w:after="0"/>
        <w:outlineLvl w:val="0"/>
        <w:rPr>
          <w:rFonts w:ascii="Garamond" w:hAnsi="Garamond"/>
          <w:b/>
          <w:sz w:val="36"/>
          <w:szCs w:val="36"/>
          <w:lang w:val="en-US"/>
        </w:rPr>
      </w:pPr>
      <w:bookmarkStart w:id="19" w:name="_Toc342160091"/>
      <w:r>
        <w:rPr>
          <w:rFonts w:ascii="Garamond" w:hAnsi="Garamond"/>
          <w:b/>
          <w:sz w:val="36"/>
          <w:szCs w:val="36"/>
          <w:lang w:val="en-US"/>
        </w:rPr>
        <w:t xml:space="preserve">Chapter 1 </w:t>
      </w:r>
    </w:p>
    <w:p w:rsidR="00E11FA5" w:rsidRDefault="00E11FA5" w:rsidP="00FA122F">
      <w:pPr>
        <w:spacing w:after="0"/>
        <w:outlineLvl w:val="0"/>
        <w:rPr>
          <w:rFonts w:ascii="Garamond" w:hAnsi="Garamond"/>
          <w:b/>
          <w:sz w:val="36"/>
          <w:szCs w:val="36"/>
          <w:lang w:val="en-US"/>
        </w:rPr>
      </w:pPr>
      <w:r w:rsidRPr="00FA122F">
        <w:rPr>
          <w:rFonts w:ascii="Garamond" w:hAnsi="Garamond"/>
          <w:b/>
          <w:sz w:val="36"/>
          <w:szCs w:val="36"/>
          <w:lang w:val="en-US"/>
        </w:rPr>
        <w:t>INTRODUCTION</w:t>
      </w:r>
      <w:bookmarkEnd w:id="19"/>
    </w:p>
    <w:p w:rsidR="00920D91" w:rsidRPr="00FA122F" w:rsidRDefault="00920D91" w:rsidP="00FA122F">
      <w:pPr>
        <w:spacing w:after="0"/>
        <w:outlineLvl w:val="0"/>
        <w:rPr>
          <w:rFonts w:ascii="Garamond" w:hAnsi="Garamond"/>
          <w:b/>
          <w:sz w:val="36"/>
          <w:szCs w:val="36"/>
          <w:lang w:val="en-US"/>
        </w:rPr>
      </w:pPr>
    </w:p>
    <w:p w:rsidR="00B52E59" w:rsidRDefault="00B52E59" w:rsidP="00FA122F">
      <w:pPr>
        <w:ind w:firstLine="720"/>
        <w:jc w:val="both"/>
        <w:rPr>
          <w:i/>
          <w:lang w:val="en-US"/>
        </w:rPr>
      </w:pPr>
      <w:r w:rsidRPr="00B52E59">
        <w:rPr>
          <w:i/>
          <w:lang w:val="en-US"/>
        </w:rPr>
        <w:t xml:space="preserve">‘In 2006, the production </w:t>
      </w:r>
      <w:r w:rsidR="00550AE1">
        <w:rPr>
          <w:i/>
          <w:lang w:val="en-US"/>
        </w:rPr>
        <w:t xml:space="preserve">(of quinoa) </w:t>
      </w:r>
      <w:r w:rsidRPr="00B52E59">
        <w:rPr>
          <w:i/>
          <w:lang w:val="en-US"/>
        </w:rPr>
        <w:t>was barely of 7.000 tones but as of last year, we don’t have data for this year yet, the production went up to 20.336 metric tons. From 7.0000 to 20.000 in very little time is the growth of quinoa production. The producers export primarily to Europe but also to USA and Asia. The exports have gone up from $8 million in 2006 to $63 million in 2011. Since it is a new product for the world</w:t>
      </w:r>
      <w:r w:rsidR="00E324BB">
        <w:rPr>
          <w:i/>
          <w:lang w:val="en-US"/>
        </w:rPr>
        <w:t>,</w:t>
      </w:r>
      <w:r w:rsidRPr="00B52E59">
        <w:rPr>
          <w:i/>
          <w:lang w:val="en-US"/>
        </w:rPr>
        <w:t xml:space="preserve"> the market is growing’</w:t>
      </w:r>
    </w:p>
    <w:p w:rsidR="005271EA" w:rsidRDefault="005271EA" w:rsidP="00550AE1">
      <w:pPr>
        <w:pStyle w:val="NoSpacing"/>
        <w:jc w:val="right"/>
        <w:rPr>
          <w:lang w:val="en-US"/>
        </w:rPr>
      </w:pPr>
      <w:r>
        <w:rPr>
          <w:i/>
          <w:lang w:val="en-US"/>
        </w:rPr>
        <w:tab/>
      </w:r>
      <w:r>
        <w:rPr>
          <w:i/>
          <w:lang w:val="en-US"/>
        </w:rPr>
        <w:tab/>
      </w:r>
      <w:r>
        <w:rPr>
          <w:i/>
          <w:lang w:val="en-US"/>
        </w:rPr>
        <w:tab/>
      </w:r>
      <w:r>
        <w:rPr>
          <w:i/>
          <w:lang w:val="en-US"/>
        </w:rPr>
        <w:tab/>
      </w:r>
      <w:r>
        <w:rPr>
          <w:i/>
          <w:lang w:val="en-US"/>
        </w:rPr>
        <w:tab/>
      </w:r>
      <w:r>
        <w:rPr>
          <w:i/>
          <w:lang w:val="en-US"/>
        </w:rPr>
        <w:tab/>
      </w:r>
      <w:r>
        <w:rPr>
          <w:i/>
          <w:lang w:val="en-US"/>
        </w:rPr>
        <w:tab/>
      </w:r>
      <w:r>
        <w:rPr>
          <w:i/>
          <w:lang w:val="en-US"/>
        </w:rPr>
        <w:tab/>
      </w:r>
      <w:r>
        <w:rPr>
          <w:i/>
          <w:lang w:val="en-US"/>
        </w:rPr>
        <w:tab/>
        <w:t xml:space="preserve">  </w:t>
      </w:r>
      <w:r>
        <w:rPr>
          <w:lang w:val="en-US"/>
        </w:rPr>
        <w:t xml:space="preserve">Bolivian president </w:t>
      </w:r>
      <w:proofErr w:type="spellStart"/>
      <w:r>
        <w:rPr>
          <w:lang w:val="en-US"/>
        </w:rPr>
        <w:t>Evo</w:t>
      </w:r>
      <w:proofErr w:type="spellEnd"/>
      <w:r>
        <w:rPr>
          <w:lang w:val="en-US"/>
        </w:rPr>
        <w:t xml:space="preserve"> Morales</w:t>
      </w:r>
    </w:p>
    <w:p w:rsidR="00550AE1" w:rsidRDefault="00550AE1" w:rsidP="00550AE1">
      <w:pPr>
        <w:pStyle w:val="NoSpacing"/>
        <w:jc w:val="right"/>
        <w:rPr>
          <w:lang w:val="en-US"/>
        </w:rPr>
      </w:pPr>
      <w:r>
        <w:rPr>
          <w:lang w:val="en-US"/>
        </w:rPr>
        <w:lastRenderedPageBreak/>
        <w:tab/>
      </w:r>
      <w:r>
        <w:rPr>
          <w:lang w:val="en-US"/>
        </w:rPr>
        <w:tab/>
      </w:r>
      <w:r>
        <w:rPr>
          <w:lang w:val="en-US"/>
        </w:rPr>
        <w:tab/>
      </w:r>
      <w:r w:rsidR="005271EA">
        <w:rPr>
          <w:lang w:val="en-US"/>
        </w:rPr>
        <w:tab/>
      </w:r>
      <w:r w:rsidR="005271EA">
        <w:rPr>
          <w:lang w:val="en-US"/>
        </w:rPr>
        <w:tab/>
      </w:r>
      <w:r w:rsidR="005271EA">
        <w:rPr>
          <w:lang w:val="en-US"/>
        </w:rPr>
        <w:tab/>
      </w:r>
      <w:r w:rsidR="005271EA">
        <w:rPr>
          <w:lang w:val="en-US"/>
        </w:rPr>
        <w:tab/>
      </w:r>
      <w:r w:rsidR="005271EA">
        <w:rPr>
          <w:lang w:val="en-US"/>
        </w:rPr>
        <w:tab/>
      </w:r>
      <w:r w:rsidR="005271EA">
        <w:rPr>
          <w:lang w:val="en-US"/>
        </w:rPr>
        <w:tab/>
      </w:r>
      <w:r w:rsidR="005271EA">
        <w:rPr>
          <w:lang w:val="en-US"/>
        </w:rPr>
        <w:tab/>
        <w:t xml:space="preserve">  At the </w:t>
      </w:r>
      <w:proofErr w:type="spellStart"/>
      <w:r w:rsidR="005271EA">
        <w:rPr>
          <w:lang w:val="en-US"/>
        </w:rPr>
        <w:t>Floriade</w:t>
      </w:r>
      <w:proofErr w:type="spellEnd"/>
      <w:r w:rsidR="00851769">
        <w:rPr>
          <w:rStyle w:val="FootnoteReference"/>
          <w:lang w:val="en-US"/>
        </w:rPr>
        <w:footnoteReference w:id="1"/>
      </w:r>
      <w:r w:rsidR="005271EA">
        <w:rPr>
          <w:lang w:val="en-US"/>
        </w:rPr>
        <w:t xml:space="preserve"> </w:t>
      </w:r>
      <w:r w:rsidR="0034183B">
        <w:rPr>
          <w:lang w:val="en-US"/>
        </w:rPr>
        <w:t>e</w:t>
      </w:r>
      <w:r w:rsidR="005271EA">
        <w:rPr>
          <w:lang w:val="en-US"/>
        </w:rPr>
        <w:t>vent</w:t>
      </w:r>
    </w:p>
    <w:p w:rsidR="005271EA" w:rsidRDefault="005271EA" w:rsidP="00550AE1">
      <w:pPr>
        <w:pStyle w:val="NoSpacing"/>
        <w:ind w:left="6480"/>
        <w:jc w:val="right"/>
        <w:rPr>
          <w:lang w:val="en-US"/>
        </w:rPr>
      </w:pPr>
      <w:r>
        <w:rPr>
          <w:lang w:val="en-US"/>
        </w:rPr>
        <w:t xml:space="preserve"> Venlo</w:t>
      </w:r>
      <w:r w:rsidR="00550AE1">
        <w:rPr>
          <w:lang w:val="en-US"/>
        </w:rPr>
        <w:t xml:space="preserve">, </w:t>
      </w:r>
      <w:r>
        <w:rPr>
          <w:lang w:val="en-US"/>
        </w:rPr>
        <w:t>The Netherlands</w:t>
      </w:r>
    </w:p>
    <w:p w:rsidR="007B458E" w:rsidRPr="009D311D" w:rsidRDefault="005271EA" w:rsidP="007B458E">
      <w:pPr>
        <w:pStyle w:val="NoSpacing"/>
        <w:ind w:left="7920"/>
        <w:jc w:val="right"/>
        <w:rPr>
          <w:lang w:val="en-US"/>
        </w:rPr>
      </w:pPr>
      <w:r w:rsidRPr="009D311D">
        <w:rPr>
          <w:lang w:val="en-US"/>
        </w:rPr>
        <w:t xml:space="preserve">    June 12, 2012</w:t>
      </w:r>
    </w:p>
    <w:p w:rsidR="007B458E" w:rsidRPr="005271EA" w:rsidRDefault="007B458E" w:rsidP="007B458E">
      <w:pPr>
        <w:pStyle w:val="NoSpacing"/>
        <w:rPr>
          <w:lang w:val="en-US"/>
        </w:rPr>
      </w:pPr>
    </w:p>
    <w:p w:rsidR="00550AE1" w:rsidRDefault="004C66DB" w:rsidP="00E06E16">
      <w:pPr>
        <w:ind w:firstLine="720"/>
        <w:jc w:val="both"/>
        <w:rPr>
          <w:lang w:val="en-US"/>
        </w:rPr>
      </w:pPr>
      <w:r>
        <w:rPr>
          <w:lang w:val="en-US"/>
        </w:rPr>
        <w:t xml:space="preserve">The Bolivian president </w:t>
      </w:r>
      <w:proofErr w:type="spellStart"/>
      <w:r>
        <w:rPr>
          <w:lang w:val="en-US"/>
        </w:rPr>
        <w:t>Evo</w:t>
      </w:r>
      <w:proofErr w:type="spellEnd"/>
      <w:r>
        <w:rPr>
          <w:lang w:val="en-US"/>
        </w:rPr>
        <w:t xml:space="preserve"> Morales participated </w:t>
      </w:r>
      <w:r w:rsidR="002E2C18">
        <w:rPr>
          <w:lang w:val="en-US"/>
        </w:rPr>
        <w:t>at</w:t>
      </w:r>
      <w:r>
        <w:rPr>
          <w:lang w:val="en-US"/>
        </w:rPr>
        <w:t xml:space="preserve"> the </w:t>
      </w:r>
      <w:proofErr w:type="spellStart"/>
      <w:r>
        <w:rPr>
          <w:lang w:val="en-US"/>
        </w:rPr>
        <w:t>Floriade</w:t>
      </w:r>
      <w:proofErr w:type="spellEnd"/>
      <w:r>
        <w:rPr>
          <w:lang w:val="en-US"/>
        </w:rPr>
        <w:t xml:space="preserve"> event during the month of June of this year, as part of the activities surrounding the International Year of the Quinoa (IYQ). The Organization of the United Nations for Food and Agriculture (FAO) has declared next year 2013</w:t>
      </w:r>
      <w:r w:rsidR="00282A11">
        <w:rPr>
          <w:lang w:val="en-US"/>
        </w:rPr>
        <w:t>,</w:t>
      </w:r>
      <w:r>
        <w:rPr>
          <w:lang w:val="en-US"/>
        </w:rPr>
        <w:t xml:space="preserve"> as the Year of the Quinoa. </w:t>
      </w:r>
      <w:r w:rsidR="002E2C18">
        <w:rPr>
          <w:lang w:val="en-US"/>
        </w:rPr>
        <w:t xml:space="preserve">This </w:t>
      </w:r>
      <w:r w:rsidR="00C1452E">
        <w:rPr>
          <w:lang w:val="en-US"/>
        </w:rPr>
        <w:t>has been</w:t>
      </w:r>
      <w:r w:rsidR="002E2C18">
        <w:rPr>
          <w:lang w:val="en-US"/>
        </w:rPr>
        <w:t xml:space="preserve"> the result </w:t>
      </w:r>
      <w:r w:rsidR="00204539">
        <w:rPr>
          <w:lang w:val="en-US"/>
        </w:rPr>
        <w:t>of a pursu</w:t>
      </w:r>
      <w:r w:rsidR="0019045C">
        <w:rPr>
          <w:lang w:val="en-US"/>
        </w:rPr>
        <w:t>it</w:t>
      </w:r>
      <w:r w:rsidR="00204539">
        <w:rPr>
          <w:lang w:val="en-US"/>
        </w:rPr>
        <w:t xml:space="preserve"> by the Bolivian government that started </w:t>
      </w:r>
      <w:r w:rsidR="0019045C">
        <w:rPr>
          <w:lang w:val="en-US"/>
        </w:rPr>
        <w:t xml:space="preserve">in </w:t>
      </w:r>
      <w:r w:rsidR="00204539">
        <w:rPr>
          <w:lang w:val="en-US"/>
        </w:rPr>
        <w:t>the 70’s</w:t>
      </w:r>
      <w:r w:rsidR="00C70378">
        <w:rPr>
          <w:lang w:val="en-US"/>
        </w:rPr>
        <w:t xml:space="preserve"> to promote the consumption of quinoa </w:t>
      </w:r>
      <w:r w:rsidR="0019045C">
        <w:rPr>
          <w:lang w:val="en-US"/>
        </w:rPr>
        <w:t>both national</w:t>
      </w:r>
      <w:r w:rsidR="00157CC7">
        <w:rPr>
          <w:lang w:val="en-US"/>
        </w:rPr>
        <w:t>ly</w:t>
      </w:r>
      <w:r w:rsidR="0019045C">
        <w:rPr>
          <w:lang w:val="en-US"/>
        </w:rPr>
        <w:t xml:space="preserve"> and internationally. </w:t>
      </w:r>
      <w:r w:rsidR="001A7EB3">
        <w:rPr>
          <w:lang w:val="en-US"/>
        </w:rPr>
        <w:t>In the year 2002</w:t>
      </w:r>
      <w:r w:rsidR="00702FE7">
        <w:rPr>
          <w:lang w:val="en-US"/>
        </w:rPr>
        <w:t>,</w:t>
      </w:r>
      <w:r w:rsidR="0019045C">
        <w:rPr>
          <w:lang w:val="en-US"/>
        </w:rPr>
        <w:t xml:space="preserve"> </w:t>
      </w:r>
      <w:r w:rsidR="001A7EB3">
        <w:rPr>
          <w:lang w:val="en-US"/>
        </w:rPr>
        <w:t>the Bolivian System of Productivity and Competitiveness (SBPC)</w:t>
      </w:r>
      <w:r w:rsidR="00EA30FC">
        <w:rPr>
          <w:lang w:val="en-US"/>
        </w:rPr>
        <w:t xml:space="preserve"> laid out a plan which in addition to the goal of having a year designated by the FAO </w:t>
      </w:r>
      <w:r w:rsidR="0068164C">
        <w:rPr>
          <w:lang w:val="en-US"/>
        </w:rPr>
        <w:t>for</w:t>
      </w:r>
      <w:r w:rsidR="00EA30FC">
        <w:rPr>
          <w:lang w:val="en-US"/>
        </w:rPr>
        <w:t xml:space="preserve"> the promotion of </w:t>
      </w:r>
      <w:r w:rsidR="0068164C">
        <w:rPr>
          <w:lang w:val="en-US"/>
        </w:rPr>
        <w:t xml:space="preserve">the </w:t>
      </w:r>
      <w:r w:rsidR="00EA30FC">
        <w:rPr>
          <w:lang w:val="en-US"/>
        </w:rPr>
        <w:t xml:space="preserve">quinoa </w:t>
      </w:r>
      <w:r w:rsidR="0068164C">
        <w:rPr>
          <w:lang w:val="en-US"/>
        </w:rPr>
        <w:t>it also included the</w:t>
      </w:r>
      <w:r w:rsidR="0068164C" w:rsidRPr="009D311D">
        <w:rPr>
          <w:lang w:val="en-US"/>
        </w:rPr>
        <w:t xml:space="preserve"> </w:t>
      </w:r>
      <w:r w:rsidR="00DC1922" w:rsidRPr="009D311D">
        <w:rPr>
          <w:lang w:val="en-US"/>
        </w:rPr>
        <w:t>target</w:t>
      </w:r>
      <w:r w:rsidR="0068164C" w:rsidRPr="009D311D">
        <w:rPr>
          <w:lang w:val="en-US"/>
        </w:rPr>
        <w:t xml:space="preserve"> </w:t>
      </w:r>
      <w:r w:rsidR="0068164C">
        <w:rPr>
          <w:lang w:val="en-US"/>
        </w:rPr>
        <w:t xml:space="preserve">of having 50% of the total quinoa production to be produced and managed by the </w:t>
      </w:r>
      <w:r w:rsidR="009D311D">
        <w:rPr>
          <w:lang w:val="en-US"/>
        </w:rPr>
        <w:t xml:space="preserve">peasant </w:t>
      </w:r>
      <w:r w:rsidR="00172254">
        <w:rPr>
          <w:lang w:val="en-US"/>
        </w:rPr>
        <w:t xml:space="preserve">Producer Organizations (PO’s). </w:t>
      </w:r>
      <w:r w:rsidR="0068164C">
        <w:rPr>
          <w:lang w:val="en-US"/>
        </w:rPr>
        <w:t xml:space="preserve"> </w:t>
      </w:r>
      <w:r w:rsidR="00EA30FC">
        <w:rPr>
          <w:lang w:val="en-US"/>
        </w:rPr>
        <w:t xml:space="preserve"> </w:t>
      </w:r>
    </w:p>
    <w:p w:rsidR="00B52E59" w:rsidRPr="00376C57" w:rsidRDefault="009D743C" w:rsidP="00E06E16">
      <w:pPr>
        <w:ind w:firstLine="720"/>
        <w:jc w:val="both"/>
        <w:rPr>
          <w:lang w:val="en-US"/>
        </w:rPr>
      </w:pPr>
      <w:r>
        <w:rPr>
          <w:lang w:val="en-US"/>
        </w:rPr>
        <w:t xml:space="preserve">The creation of the producer organizations during the 1980’s came in </w:t>
      </w:r>
      <w:r w:rsidRPr="00703497">
        <w:rPr>
          <w:lang w:val="en-US"/>
        </w:rPr>
        <w:t xml:space="preserve">handy </w:t>
      </w:r>
      <w:r>
        <w:rPr>
          <w:lang w:val="en-US"/>
        </w:rPr>
        <w:t>and facilitat</w:t>
      </w:r>
      <w:r w:rsidR="00984302">
        <w:rPr>
          <w:lang w:val="en-US"/>
        </w:rPr>
        <w:t>ed</w:t>
      </w:r>
      <w:r>
        <w:rPr>
          <w:lang w:val="en-US"/>
        </w:rPr>
        <w:t xml:space="preserve"> the commercialization of quinoa</w:t>
      </w:r>
      <w:r w:rsidR="00FE51A0">
        <w:rPr>
          <w:lang w:val="en-US"/>
        </w:rPr>
        <w:t xml:space="preserve">. </w:t>
      </w:r>
      <w:r>
        <w:rPr>
          <w:lang w:val="en-US"/>
        </w:rPr>
        <w:t xml:space="preserve"> </w:t>
      </w:r>
      <w:r w:rsidR="00CB3BA8" w:rsidRPr="00703497">
        <w:rPr>
          <w:lang w:val="en-US"/>
        </w:rPr>
        <w:t xml:space="preserve">Now there was also a “social” cause behind its promotion. </w:t>
      </w:r>
      <w:r w:rsidR="00CB3BA8">
        <w:rPr>
          <w:lang w:val="en-US"/>
        </w:rPr>
        <w:t xml:space="preserve">However, it is during the </w:t>
      </w:r>
      <w:r w:rsidR="00CB3BA8" w:rsidRPr="002F491C">
        <w:rPr>
          <w:lang w:val="en-US"/>
        </w:rPr>
        <w:t xml:space="preserve">decade of the 2000’s that the volumes of </w:t>
      </w:r>
      <w:r w:rsidR="00517A7B" w:rsidRPr="002F491C">
        <w:rPr>
          <w:lang w:val="en-US"/>
        </w:rPr>
        <w:t xml:space="preserve">quinoa </w:t>
      </w:r>
      <w:r w:rsidR="00CB3BA8" w:rsidRPr="002F491C">
        <w:rPr>
          <w:lang w:val="en-US"/>
        </w:rPr>
        <w:t>production and commercialization reach</w:t>
      </w:r>
      <w:r w:rsidR="00517A7B" w:rsidRPr="002F491C">
        <w:rPr>
          <w:lang w:val="en-US"/>
        </w:rPr>
        <w:t>ed</w:t>
      </w:r>
      <w:r w:rsidR="00CB3BA8" w:rsidRPr="002F491C">
        <w:rPr>
          <w:lang w:val="en-US"/>
        </w:rPr>
        <w:t xml:space="preserve"> significant levels </w:t>
      </w:r>
      <w:r w:rsidR="00517A7B" w:rsidRPr="002F491C">
        <w:rPr>
          <w:lang w:val="en-US"/>
        </w:rPr>
        <w:t xml:space="preserve">in Bolivia </w:t>
      </w:r>
      <w:r w:rsidR="00FE51A0" w:rsidRPr="002F491C">
        <w:rPr>
          <w:lang w:val="en-US"/>
        </w:rPr>
        <w:t xml:space="preserve">(Caceres, 2005). </w:t>
      </w:r>
      <w:r w:rsidR="00376C57" w:rsidRPr="002F491C">
        <w:rPr>
          <w:lang w:val="en-US"/>
        </w:rPr>
        <w:t xml:space="preserve">Below </w:t>
      </w:r>
      <w:r w:rsidR="00376C57">
        <w:rPr>
          <w:lang w:val="en-US"/>
        </w:rPr>
        <w:t xml:space="preserve">is a quote from Freddy </w:t>
      </w:r>
      <w:proofErr w:type="spellStart"/>
      <w:r w:rsidR="00376C57">
        <w:rPr>
          <w:lang w:val="en-US"/>
        </w:rPr>
        <w:t>Mamani</w:t>
      </w:r>
      <w:proofErr w:type="spellEnd"/>
      <w:r w:rsidR="00376C57">
        <w:rPr>
          <w:lang w:val="en-US"/>
        </w:rPr>
        <w:t>, second secretary for the Bolivian Mission at the United Nations that sums up the transition that the quinoa grain has experienced in the market over the last 20 years:</w:t>
      </w:r>
    </w:p>
    <w:p w:rsidR="00E11FA5" w:rsidRDefault="00E11FA5" w:rsidP="00E06E16">
      <w:pPr>
        <w:ind w:firstLine="720"/>
        <w:jc w:val="both"/>
        <w:rPr>
          <w:i/>
          <w:lang w:val="en-US"/>
        </w:rPr>
      </w:pPr>
      <w:r>
        <w:rPr>
          <w:i/>
          <w:lang w:val="en-US"/>
        </w:rPr>
        <w:t xml:space="preserve">“I think that the quinoa has had three phases. Up until the </w:t>
      </w:r>
      <w:r w:rsidRPr="00376C57">
        <w:rPr>
          <w:i/>
          <w:lang w:val="en-US"/>
        </w:rPr>
        <w:t xml:space="preserve">1990’s, </w:t>
      </w:r>
      <w:r w:rsidR="00376C57">
        <w:rPr>
          <w:i/>
          <w:lang w:val="en-US"/>
        </w:rPr>
        <w:t xml:space="preserve">the quinoa was simply “comida de </w:t>
      </w:r>
      <w:proofErr w:type="spellStart"/>
      <w:r w:rsidR="00376C57">
        <w:rPr>
          <w:i/>
          <w:lang w:val="en-US"/>
        </w:rPr>
        <w:t>indio</w:t>
      </w:r>
      <w:proofErr w:type="spellEnd"/>
      <w:r w:rsidR="00376C57">
        <w:rPr>
          <w:i/>
          <w:lang w:val="en-US"/>
        </w:rPr>
        <w:t>”</w:t>
      </w:r>
      <w:r>
        <w:rPr>
          <w:i/>
          <w:lang w:val="en-US"/>
        </w:rPr>
        <w:t xml:space="preserve"> (food of and for the indigenous). Derogatorily, it was referred as food that only the indigenous could eat. Hence the </w:t>
      </w:r>
      <w:r w:rsidR="009D311D">
        <w:rPr>
          <w:i/>
          <w:lang w:val="en-US"/>
        </w:rPr>
        <w:t>quinoa along with the llama meat was</w:t>
      </w:r>
      <w:r>
        <w:rPr>
          <w:i/>
          <w:lang w:val="en-US"/>
        </w:rPr>
        <w:t xml:space="preserve"> only produced for self-consumption of the producing families. On a second phase, in the </w:t>
      </w:r>
      <w:r w:rsidRPr="00376C57">
        <w:rPr>
          <w:i/>
          <w:lang w:val="en-US"/>
        </w:rPr>
        <w:t xml:space="preserve">early 2000’s, </w:t>
      </w:r>
      <w:r>
        <w:rPr>
          <w:i/>
          <w:lang w:val="en-US"/>
        </w:rPr>
        <w:t>the quinoa starts to become a product for exchange. For example, farmers would exchange two kilos of quinoa for one kilo of rice. Currently, on a third phase, we see a reversal of the situation where there is actually a high demand for quinoa. The quinoa is no longer just the food of the indigenous and it is being exported and so on”</w:t>
      </w:r>
    </w:p>
    <w:p w:rsidR="00E11FA5" w:rsidRDefault="00E11FA5" w:rsidP="00376C57">
      <w:pPr>
        <w:pStyle w:val="NoSpacing"/>
        <w:jc w:val="right"/>
        <w:rPr>
          <w:lang w:val="en-US"/>
        </w:rPr>
      </w:pPr>
      <w:r>
        <w:rPr>
          <w:i/>
          <w:lang w:val="en-US"/>
        </w:rPr>
        <w:tab/>
      </w:r>
      <w:r>
        <w:rPr>
          <w:i/>
          <w:lang w:val="en-US"/>
        </w:rPr>
        <w:tab/>
      </w:r>
      <w:r>
        <w:rPr>
          <w:i/>
          <w:lang w:val="en-US"/>
        </w:rPr>
        <w:tab/>
      </w:r>
      <w:r>
        <w:rPr>
          <w:i/>
          <w:lang w:val="en-US"/>
        </w:rPr>
        <w:tab/>
      </w:r>
      <w:r>
        <w:rPr>
          <w:i/>
          <w:lang w:val="en-US"/>
        </w:rPr>
        <w:tab/>
      </w:r>
      <w:r>
        <w:rPr>
          <w:i/>
          <w:lang w:val="en-US"/>
        </w:rPr>
        <w:tab/>
      </w:r>
      <w:r>
        <w:rPr>
          <w:i/>
          <w:lang w:val="en-US"/>
        </w:rPr>
        <w:tab/>
      </w:r>
      <w:r>
        <w:rPr>
          <w:i/>
          <w:lang w:val="en-US"/>
        </w:rPr>
        <w:tab/>
      </w:r>
      <w:r>
        <w:rPr>
          <w:i/>
          <w:lang w:val="en-US"/>
        </w:rPr>
        <w:tab/>
      </w:r>
      <w:r>
        <w:rPr>
          <w:lang w:val="en-US"/>
        </w:rPr>
        <w:t xml:space="preserve">Freddy </w:t>
      </w:r>
      <w:proofErr w:type="spellStart"/>
      <w:r>
        <w:rPr>
          <w:lang w:val="en-US"/>
        </w:rPr>
        <w:t>Mamani</w:t>
      </w:r>
      <w:proofErr w:type="spellEnd"/>
    </w:p>
    <w:p w:rsidR="00E11FA5" w:rsidRDefault="00E11FA5" w:rsidP="00376C57">
      <w:pPr>
        <w:pStyle w:val="NoSpacing"/>
        <w:jc w:val="right"/>
        <w:rPr>
          <w:lang w:val="en-US"/>
        </w:rPr>
      </w:pPr>
      <w:r>
        <w:rPr>
          <w:lang w:val="en-US"/>
        </w:rPr>
        <w:tab/>
      </w:r>
      <w:r>
        <w:rPr>
          <w:lang w:val="en-US"/>
        </w:rPr>
        <w:tab/>
      </w:r>
      <w:r>
        <w:rPr>
          <w:lang w:val="en-US"/>
        </w:rPr>
        <w:tab/>
      </w:r>
      <w:r>
        <w:rPr>
          <w:lang w:val="en-US"/>
        </w:rPr>
        <w:tab/>
        <w:t>Second Secretary, Permanent Mission of Bolivia to the United Nations</w:t>
      </w:r>
    </w:p>
    <w:p w:rsidR="00376C57" w:rsidRDefault="00376C57" w:rsidP="00376C57">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      Interviewed on July 26, 2012</w:t>
      </w:r>
    </w:p>
    <w:p w:rsidR="00E11FA5" w:rsidRDefault="00376C57" w:rsidP="00376C57">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UN Headquarters – New York, USA </w:t>
      </w:r>
    </w:p>
    <w:p w:rsidR="001F1ED3" w:rsidRDefault="001F1ED3" w:rsidP="001F1ED3">
      <w:pPr>
        <w:pStyle w:val="ListParagraph"/>
        <w:ind w:left="1080"/>
        <w:rPr>
          <w:b/>
          <w:lang w:val="en-US"/>
        </w:rPr>
      </w:pPr>
    </w:p>
    <w:p w:rsidR="005661D6" w:rsidRDefault="0033118D" w:rsidP="00FA122F">
      <w:pPr>
        <w:ind w:firstLine="720"/>
        <w:jc w:val="both"/>
        <w:rPr>
          <w:lang w:val="en-US"/>
        </w:rPr>
      </w:pPr>
      <w:r w:rsidRPr="0033118D">
        <w:rPr>
          <w:lang w:val="en-US"/>
        </w:rPr>
        <w:t xml:space="preserve">The </w:t>
      </w:r>
      <w:r>
        <w:rPr>
          <w:lang w:val="en-US"/>
        </w:rPr>
        <w:t xml:space="preserve">fairly recent </w:t>
      </w:r>
      <w:r w:rsidR="005E2780" w:rsidRPr="00703497">
        <w:rPr>
          <w:lang w:val="en-US"/>
        </w:rPr>
        <w:t>spike</w:t>
      </w:r>
      <w:r w:rsidR="00517A7B" w:rsidRPr="00703497">
        <w:rPr>
          <w:lang w:val="en-US"/>
        </w:rPr>
        <w:t>,</w:t>
      </w:r>
      <w:r w:rsidR="005E2780" w:rsidRPr="00703497">
        <w:rPr>
          <w:lang w:val="en-US"/>
        </w:rPr>
        <w:t xml:space="preserve"> </w:t>
      </w:r>
      <w:r w:rsidR="00336E83" w:rsidRPr="00703497">
        <w:rPr>
          <w:lang w:val="en-US"/>
        </w:rPr>
        <w:t>as of</w:t>
      </w:r>
      <w:r w:rsidR="005E2780" w:rsidRPr="00703497">
        <w:rPr>
          <w:lang w:val="en-US"/>
        </w:rPr>
        <w:t xml:space="preserve"> 2006</w:t>
      </w:r>
      <w:r w:rsidR="00517A7B">
        <w:rPr>
          <w:lang w:val="en-US"/>
        </w:rPr>
        <w:t>,</w:t>
      </w:r>
      <w:r w:rsidR="005E2780">
        <w:rPr>
          <w:lang w:val="en-US"/>
        </w:rPr>
        <w:t xml:space="preserve"> in the figures related to the </w:t>
      </w:r>
      <w:r w:rsidR="005E2780" w:rsidRPr="0071130E">
        <w:rPr>
          <w:lang w:val="en-US"/>
        </w:rPr>
        <w:t>quinoa market has</w:t>
      </w:r>
      <w:r w:rsidRPr="0071130E">
        <w:rPr>
          <w:lang w:val="en-US"/>
        </w:rPr>
        <w:t xml:space="preserve"> to do primarily </w:t>
      </w:r>
      <w:r>
        <w:rPr>
          <w:lang w:val="en-US"/>
        </w:rPr>
        <w:t xml:space="preserve">with a </w:t>
      </w:r>
      <w:r w:rsidRPr="0033118D">
        <w:rPr>
          <w:lang w:val="en-US"/>
        </w:rPr>
        <w:t>change in</w:t>
      </w:r>
      <w:r>
        <w:rPr>
          <w:lang w:val="en-US"/>
        </w:rPr>
        <w:t xml:space="preserve"> </w:t>
      </w:r>
      <w:r w:rsidR="00517A7B">
        <w:rPr>
          <w:lang w:val="en-US"/>
        </w:rPr>
        <w:t xml:space="preserve">the </w:t>
      </w:r>
      <w:r>
        <w:rPr>
          <w:lang w:val="en-US"/>
        </w:rPr>
        <w:t>preference</w:t>
      </w:r>
      <w:r w:rsidR="00517A7B">
        <w:rPr>
          <w:lang w:val="en-US"/>
        </w:rPr>
        <w:t>s</w:t>
      </w:r>
      <w:r>
        <w:rPr>
          <w:lang w:val="en-US"/>
        </w:rPr>
        <w:t xml:space="preserve"> </w:t>
      </w:r>
      <w:r w:rsidR="00517A7B">
        <w:rPr>
          <w:lang w:val="en-US"/>
        </w:rPr>
        <w:t xml:space="preserve">of </w:t>
      </w:r>
      <w:r w:rsidRPr="0033118D">
        <w:rPr>
          <w:lang w:val="en-US"/>
        </w:rPr>
        <w:t>consumers in the industrialized countries for organic and fair trade related products.</w:t>
      </w:r>
      <w:r>
        <w:rPr>
          <w:lang w:val="en-US"/>
        </w:rPr>
        <w:t xml:space="preserve"> In addition, the increasing demand for grain</w:t>
      </w:r>
      <w:r w:rsidR="001560E1">
        <w:rPr>
          <w:lang w:val="en-US"/>
        </w:rPr>
        <w:t>s</w:t>
      </w:r>
      <w:r>
        <w:rPr>
          <w:lang w:val="en-US"/>
        </w:rPr>
        <w:t xml:space="preserve"> with no gluten</w:t>
      </w:r>
      <w:r w:rsidR="005E2780">
        <w:rPr>
          <w:rStyle w:val="FootnoteReference"/>
          <w:lang w:val="en-US"/>
        </w:rPr>
        <w:footnoteReference w:id="2"/>
      </w:r>
      <w:r>
        <w:rPr>
          <w:lang w:val="en-US"/>
        </w:rPr>
        <w:t xml:space="preserve"> </w:t>
      </w:r>
      <w:r w:rsidR="001560E1">
        <w:rPr>
          <w:lang w:val="en-US"/>
        </w:rPr>
        <w:t>content such as the quinoa have played a role in its increas</w:t>
      </w:r>
      <w:r w:rsidR="00517A7B">
        <w:rPr>
          <w:lang w:val="en-US"/>
        </w:rPr>
        <w:t>ing</w:t>
      </w:r>
      <w:r w:rsidR="001560E1">
        <w:rPr>
          <w:lang w:val="en-US"/>
        </w:rPr>
        <w:t xml:space="preserve"> demand; as well as the creation of food security programs by international organizations like the FAO, which have included the quinoa in their programs due to its high nutritional content and adaptability to different and harsh </w:t>
      </w:r>
      <w:r w:rsidR="001560E1" w:rsidRPr="00FA122F">
        <w:rPr>
          <w:lang w:val="en-US"/>
        </w:rPr>
        <w:t>climates (</w:t>
      </w:r>
      <w:proofErr w:type="spellStart"/>
      <w:r w:rsidR="001560E1" w:rsidRPr="00FA122F">
        <w:rPr>
          <w:lang w:val="en-US"/>
        </w:rPr>
        <w:t>Birbuet</w:t>
      </w:r>
      <w:proofErr w:type="spellEnd"/>
      <w:r w:rsidR="00703497" w:rsidRPr="00FA122F">
        <w:rPr>
          <w:lang w:val="en-US"/>
        </w:rPr>
        <w:t xml:space="preserve"> and </w:t>
      </w:r>
      <w:proofErr w:type="spellStart"/>
      <w:r w:rsidR="00703497" w:rsidRPr="00FA122F">
        <w:rPr>
          <w:lang w:val="en-US"/>
        </w:rPr>
        <w:t>Machicado</w:t>
      </w:r>
      <w:proofErr w:type="spellEnd"/>
      <w:r w:rsidR="001560E1" w:rsidRPr="00FA122F">
        <w:rPr>
          <w:lang w:val="en-US"/>
        </w:rPr>
        <w:t xml:space="preserve">, 2009). </w:t>
      </w:r>
    </w:p>
    <w:p w:rsidR="00FF5C5D" w:rsidRDefault="00FF5C5D" w:rsidP="00B46976">
      <w:pPr>
        <w:rPr>
          <w:lang w:val="en-US"/>
        </w:rPr>
      </w:pPr>
      <w:r w:rsidRPr="00FA122F">
        <w:rPr>
          <w:lang w:val="en-US"/>
        </w:rPr>
        <w:lastRenderedPageBreak/>
        <w:t xml:space="preserve">As a result, quinoa </w:t>
      </w:r>
      <w:r>
        <w:rPr>
          <w:lang w:val="en-US"/>
        </w:rPr>
        <w:t xml:space="preserve">prices have more than tripled over the last 20 years: </w:t>
      </w:r>
    </w:p>
    <w:p w:rsidR="00CB709D" w:rsidRDefault="00CB709D" w:rsidP="00B46976">
      <w:pPr>
        <w:rPr>
          <w:lang w:val="en-US"/>
        </w:rPr>
      </w:pPr>
    </w:p>
    <w:p w:rsidR="00C561A0" w:rsidRPr="00E06E16" w:rsidRDefault="00C561A0" w:rsidP="00E06E16">
      <w:pPr>
        <w:jc w:val="center"/>
        <w:rPr>
          <w:b/>
          <w:lang w:val="en-US"/>
        </w:rPr>
      </w:pPr>
      <w:bookmarkStart w:id="20" w:name="_Ref342240971"/>
      <w:r w:rsidRPr="00E06E16">
        <w:rPr>
          <w:b/>
          <w:lang w:val="en-US"/>
        </w:rPr>
        <w:t xml:space="preserve">Table </w:t>
      </w:r>
      <w:r w:rsidRPr="00E06E16">
        <w:rPr>
          <w:b/>
          <w:lang w:val="en-US"/>
        </w:rPr>
        <w:fldChar w:fldCharType="begin"/>
      </w:r>
      <w:r w:rsidRPr="00E06E16">
        <w:rPr>
          <w:b/>
          <w:lang w:val="en-US"/>
        </w:rPr>
        <w:instrText xml:space="preserve"> SEQ Table \* ARABIC </w:instrText>
      </w:r>
      <w:r w:rsidRPr="00E06E16">
        <w:rPr>
          <w:b/>
          <w:lang w:val="en-US"/>
        </w:rPr>
        <w:fldChar w:fldCharType="separate"/>
      </w:r>
      <w:r w:rsidR="00B906BF">
        <w:rPr>
          <w:b/>
          <w:noProof/>
          <w:lang w:val="en-US"/>
        </w:rPr>
        <w:t>1</w:t>
      </w:r>
      <w:r w:rsidRPr="00E06E16">
        <w:rPr>
          <w:b/>
          <w:lang w:val="en-US"/>
        </w:rPr>
        <w:fldChar w:fldCharType="end"/>
      </w:r>
      <w:r w:rsidRPr="00E06E16">
        <w:rPr>
          <w:b/>
          <w:lang w:val="en-US"/>
        </w:rPr>
        <w:t>: Trend in Quinoa Prices (FOB) between 1990 and 2010</w:t>
      </w:r>
      <w:bookmarkEnd w:id="20"/>
    </w:p>
    <w:tbl>
      <w:tblPr>
        <w:tblStyle w:val="TableGrid"/>
        <w:tblW w:w="0" w:type="auto"/>
        <w:tblInd w:w="108" w:type="dxa"/>
        <w:tblLook w:val="04A0" w:firstRow="1" w:lastRow="0" w:firstColumn="1" w:lastColumn="0" w:noHBand="0" w:noVBand="1"/>
      </w:tblPr>
      <w:tblGrid>
        <w:gridCol w:w="4388"/>
        <w:gridCol w:w="4496"/>
      </w:tblGrid>
      <w:tr w:rsidR="00FF5C5D" w:rsidTr="00010B78">
        <w:trPr>
          <w:trHeight w:val="299"/>
        </w:trPr>
        <w:tc>
          <w:tcPr>
            <w:tcW w:w="4388" w:type="dxa"/>
            <w:shd w:val="clear" w:color="auto" w:fill="FFFF00"/>
          </w:tcPr>
          <w:p w:rsidR="00FF5C5D" w:rsidRPr="0006666A" w:rsidRDefault="00FF5C5D" w:rsidP="00F94F28">
            <w:pPr>
              <w:jc w:val="center"/>
              <w:rPr>
                <w:b/>
                <w:lang w:val="en-US"/>
              </w:rPr>
            </w:pPr>
            <w:r w:rsidRPr="0006666A">
              <w:rPr>
                <w:b/>
                <w:lang w:val="en-US"/>
              </w:rPr>
              <w:t>Year</w:t>
            </w:r>
          </w:p>
        </w:tc>
        <w:tc>
          <w:tcPr>
            <w:tcW w:w="4496" w:type="dxa"/>
            <w:shd w:val="clear" w:color="auto" w:fill="FFFF00"/>
          </w:tcPr>
          <w:p w:rsidR="00FF5C5D" w:rsidRPr="0006666A" w:rsidRDefault="00FF5C5D" w:rsidP="00F94F28">
            <w:pPr>
              <w:jc w:val="center"/>
              <w:rPr>
                <w:b/>
                <w:lang w:val="en-US"/>
              </w:rPr>
            </w:pPr>
            <w:r w:rsidRPr="0006666A">
              <w:rPr>
                <w:b/>
                <w:lang w:val="en-US"/>
              </w:rPr>
              <w:t>Price of Quinoa (FOB)</w:t>
            </w:r>
          </w:p>
        </w:tc>
      </w:tr>
      <w:tr w:rsidR="00FF5C5D" w:rsidTr="00010B78">
        <w:trPr>
          <w:trHeight w:val="283"/>
        </w:trPr>
        <w:tc>
          <w:tcPr>
            <w:tcW w:w="4388" w:type="dxa"/>
          </w:tcPr>
          <w:p w:rsidR="00FF5C5D" w:rsidRDefault="00FF5C5D" w:rsidP="00F94F28">
            <w:pPr>
              <w:jc w:val="center"/>
              <w:rPr>
                <w:lang w:val="en-US"/>
              </w:rPr>
            </w:pPr>
            <w:r>
              <w:rPr>
                <w:lang w:val="en-US"/>
              </w:rPr>
              <w:t>1990</w:t>
            </w:r>
          </w:p>
        </w:tc>
        <w:tc>
          <w:tcPr>
            <w:tcW w:w="4496" w:type="dxa"/>
          </w:tcPr>
          <w:p w:rsidR="00FF5C5D" w:rsidRDefault="0006666A" w:rsidP="00B46976">
            <w:pPr>
              <w:rPr>
                <w:lang w:val="en-US"/>
              </w:rPr>
            </w:pPr>
            <w:r>
              <w:rPr>
                <w:lang w:val="en-US"/>
              </w:rPr>
              <w:t xml:space="preserve">    </w:t>
            </w:r>
            <w:r w:rsidR="00FF5C5D">
              <w:rPr>
                <w:lang w:val="en-US"/>
              </w:rPr>
              <w:t>$830 (US$/MT)</w:t>
            </w:r>
          </w:p>
        </w:tc>
      </w:tr>
      <w:tr w:rsidR="00FF5C5D" w:rsidTr="00010B78">
        <w:trPr>
          <w:trHeight w:val="299"/>
        </w:trPr>
        <w:tc>
          <w:tcPr>
            <w:tcW w:w="4388" w:type="dxa"/>
          </w:tcPr>
          <w:p w:rsidR="00FF5C5D" w:rsidRDefault="00FF5C5D" w:rsidP="00F94F28">
            <w:pPr>
              <w:jc w:val="center"/>
              <w:rPr>
                <w:lang w:val="en-US"/>
              </w:rPr>
            </w:pPr>
            <w:r>
              <w:rPr>
                <w:lang w:val="en-US"/>
              </w:rPr>
              <w:t>2000</w:t>
            </w:r>
          </w:p>
        </w:tc>
        <w:tc>
          <w:tcPr>
            <w:tcW w:w="4496" w:type="dxa"/>
          </w:tcPr>
          <w:p w:rsidR="00FF5C5D" w:rsidRDefault="0006666A" w:rsidP="00B46976">
            <w:pPr>
              <w:rPr>
                <w:lang w:val="en-US"/>
              </w:rPr>
            </w:pPr>
            <w:r>
              <w:rPr>
                <w:lang w:val="en-US"/>
              </w:rPr>
              <w:t>$1.259 (US$/MT)</w:t>
            </w:r>
          </w:p>
        </w:tc>
      </w:tr>
      <w:tr w:rsidR="0006666A" w:rsidTr="00010B78">
        <w:trPr>
          <w:trHeight w:val="299"/>
        </w:trPr>
        <w:tc>
          <w:tcPr>
            <w:tcW w:w="4388" w:type="dxa"/>
          </w:tcPr>
          <w:p w:rsidR="0006666A" w:rsidRDefault="0006666A" w:rsidP="00F94F28">
            <w:pPr>
              <w:jc w:val="center"/>
              <w:rPr>
                <w:lang w:val="en-US"/>
              </w:rPr>
            </w:pPr>
            <w:r>
              <w:rPr>
                <w:lang w:val="en-US"/>
              </w:rPr>
              <w:t>2010</w:t>
            </w:r>
          </w:p>
        </w:tc>
        <w:tc>
          <w:tcPr>
            <w:tcW w:w="4496" w:type="dxa"/>
          </w:tcPr>
          <w:p w:rsidR="0006666A" w:rsidRDefault="0006666A" w:rsidP="00B46976">
            <w:pPr>
              <w:rPr>
                <w:lang w:val="en-US"/>
              </w:rPr>
            </w:pPr>
            <w:r>
              <w:rPr>
                <w:lang w:val="en-US"/>
              </w:rPr>
              <w:t>$3.061 (US$/MT)</w:t>
            </w:r>
          </w:p>
        </w:tc>
      </w:tr>
    </w:tbl>
    <w:p w:rsidR="00FF5C5D" w:rsidRDefault="00FF5C5D" w:rsidP="00B46976">
      <w:pPr>
        <w:rPr>
          <w:lang w:val="en-US"/>
        </w:rPr>
      </w:pPr>
    </w:p>
    <w:p w:rsidR="000D7F62" w:rsidRDefault="00E91ED1" w:rsidP="00E06E16">
      <w:pPr>
        <w:keepNext/>
      </w:pPr>
      <w:r>
        <w:rPr>
          <w:noProof/>
          <w:color w:val="FF0000"/>
          <w:lang w:val="en-US"/>
        </w:rPr>
        <w:drawing>
          <wp:inline distT="0" distB="0" distL="0" distR="0" wp14:anchorId="26A4AFC6" wp14:editId="16F8188C">
            <wp:extent cx="5619750" cy="3200400"/>
            <wp:effectExtent l="0" t="0" r="19050" b="1905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9202B" w:rsidRDefault="000D7F62" w:rsidP="00E06E16">
      <w:pPr>
        <w:jc w:val="center"/>
        <w:rPr>
          <w:b/>
          <w:lang w:val="en-US"/>
        </w:rPr>
      </w:pPr>
      <w:bookmarkStart w:id="21" w:name="_Ref342140314"/>
      <w:bookmarkStart w:id="22" w:name="_Ref342140327"/>
      <w:r w:rsidRPr="00E06E16">
        <w:rPr>
          <w:b/>
          <w:lang w:val="en-US"/>
        </w:rPr>
        <w:t xml:space="preserve">Figure </w:t>
      </w:r>
      <w:r w:rsidR="005F131E">
        <w:rPr>
          <w:b/>
          <w:lang w:val="en-US"/>
        </w:rPr>
        <w:fldChar w:fldCharType="begin"/>
      </w:r>
      <w:r w:rsidR="005F131E">
        <w:rPr>
          <w:b/>
          <w:lang w:val="en-US"/>
        </w:rPr>
        <w:instrText xml:space="preserve"> SEQ Figure \* ARABIC </w:instrText>
      </w:r>
      <w:r w:rsidR="005F131E">
        <w:rPr>
          <w:b/>
          <w:lang w:val="en-US"/>
        </w:rPr>
        <w:fldChar w:fldCharType="separate"/>
      </w:r>
      <w:r w:rsidR="00A26AAC">
        <w:rPr>
          <w:b/>
          <w:noProof/>
          <w:lang w:val="en-US"/>
        </w:rPr>
        <w:t>1</w:t>
      </w:r>
      <w:r w:rsidR="005F131E">
        <w:rPr>
          <w:b/>
          <w:lang w:val="en-US"/>
        </w:rPr>
        <w:fldChar w:fldCharType="end"/>
      </w:r>
      <w:bookmarkEnd w:id="21"/>
      <w:r w:rsidRPr="00E06E16">
        <w:rPr>
          <w:b/>
          <w:lang w:val="en-US"/>
        </w:rPr>
        <w:t>: Trend in Quinoa Prices (FOB) between 1990 and 2010.</w:t>
      </w:r>
      <w:bookmarkEnd w:id="22"/>
    </w:p>
    <w:p w:rsidR="00D9202B" w:rsidRDefault="00D9202B">
      <w:pPr>
        <w:rPr>
          <w:b/>
          <w:lang w:val="en-US"/>
        </w:rPr>
      </w:pPr>
      <w:r>
        <w:rPr>
          <w:b/>
          <w:lang w:val="en-US"/>
        </w:rPr>
        <w:br w:type="page"/>
      </w:r>
    </w:p>
    <w:p w:rsidR="003665F3" w:rsidRDefault="003665F3" w:rsidP="001F1ED3">
      <w:pPr>
        <w:rPr>
          <w:lang w:val="en-US"/>
        </w:rPr>
      </w:pPr>
      <w:r>
        <w:rPr>
          <w:lang w:val="en-US"/>
        </w:rPr>
        <w:lastRenderedPageBreak/>
        <w:t xml:space="preserve">Similarly, the volume of quinoa exports has more than quadrupled: </w:t>
      </w:r>
    </w:p>
    <w:p w:rsidR="009C6520" w:rsidRPr="00E06E16" w:rsidRDefault="009C6520" w:rsidP="00E06E16">
      <w:pPr>
        <w:jc w:val="center"/>
        <w:rPr>
          <w:b/>
          <w:lang w:val="en-US"/>
        </w:rPr>
      </w:pPr>
      <w:bookmarkStart w:id="23" w:name="_Ref342157597"/>
      <w:bookmarkStart w:id="24" w:name="_Ref342157593"/>
      <w:r w:rsidRPr="00E06E16">
        <w:rPr>
          <w:b/>
          <w:lang w:val="en-US"/>
        </w:rPr>
        <w:t xml:space="preserve">Table </w:t>
      </w:r>
      <w:r w:rsidRPr="00E06E16">
        <w:rPr>
          <w:b/>
          <w:lang w:val="en-US"/>
        </w:rPr>
        <w:fldChar w:fldCharType="begin"/>
      </w:r>
      <w:r w:rsidRPr="00E06E16">
        <w:rPr>
          <w:b/>
          <w:lang w:val="en-US"/>
        </w:rPr>
        <w:instrText xml:space="preserve"> SEQ Table \* ARABIC </w:instrText>
      </w:r>
      <w:r w:rsidRPr="00E06E16">
        <w:rPr>
          <w:b/>
          <w:lang w:val="en-US"/>
        </w:rPr>
        <w:fldChar w:fldCharType="separate"/>
      </w:r>
      <w:r w:rsidR="00B906BF">
        <w:rPr>
          <w:b/>
          <w:noProof/>
          <w:lang w:val="en-US"/>
        </w:rPr>
        <w:t>2</w:t>
      </w:r>
      <w:r w:rsidRPr="00E06E16">
        <w:rPr>
          <w:b/>
          <w:lang w:val="en-US"/>
        </w:rPr>
        <w:fldChar w:fldCharType="end"/>
      </w:r>
      <w:bookmarkEnd w:id="23"/>
      <w:r w:rsidRPr="00E06E16">
        <w:rPr>
          <w:b/>
          <w:lang w:val="en-US"/>
        </w:rPr>
        <w:t>: Volume trend of quinoa exports between 1990 and 2010.</w:t>
      </w:r>
      <w:bookmarkEnd w:id="24"/>
    </w:p>
    <w:tbl>
      <w:tblPr>
        <w:tblStyle w:val="TableGrid"/>
        <w:tblW w:w="0" w:type="auto"/>
        <w:tblInd w:w="108" w:type="dxa"/>
        <w:tblLook w:val="04A0" w:firstRow="1" w:lastRow="0" w:firstColumn="1" w:lastColumn="0" w:noHBand="0" w:noVBand="1"/>
      </w:tblPr>
      <w:tblGrid>
        <w:gridCol w:w="4293"/>
        <w:gridCol w:w="4401"/>
      </w:tblGrid>
      <w:tr w:rsidR="003665F3" w:rsidTr="00010B78">
        <w:trPr>
          <w:trHeight w:val="277"/>
        </w:trPr>
        <w:tc>
          <w:tcPr>
            <w:tcW w:w="4293" w:type="dxa"/>
            <w:shd w:val="clear" w:color="auto" w:fill="FFFF00"/>
          </w:tcPr>
          <w:p w:rsidR="003665F3" w:rsidRDefault="003665F3" w:rsidP="003665F3">
            <w:pPr>
              <w:jc w:val="center"/>
              <w:rPr>
                <w:b/>
                <w:lang w:val="en-US"/>
              </w:rPr>
            </w:pPr>
            <w:r>
              <w:rPr>
                <w:b/>
                <w:lang w:val="en-US"/>
              </w:rPr>
              <w:t>Year</w:t>
            </w:r>
          </w:p>
        </w:tc>
        <w:tc>
          <w:tcPr>
            <w:tcW w:w="4401" w:type="dxa"/>
            <w:shd w:val="clear" w:color="auto" w:fill="FFFF00"/>
          </w:tcPr>
          <w:p w:rsidR="003665F3" w:rsidRDefault="003665F3" w:rsidP="003665F3">
            <w:pPr>
              <w:jc w:val="center"/>
              <w:rPr>
                <w:b/>
                <w:lang w:val="en-US"/>
              </w:rPr>
            </w:pPr>
            <w:r>
              <w:rPr>
                <w:b/>
                <w:lang w:val="en-US"/>
              </w:rPr>
              <w:t>Volume of Exports (MT)</w:t>
            </w:r>
          </w:p>
        </w:tc>
      </w:tr>
      <w:tr w:rsidR="003665F3" w:rsidTr="00010B78">
        <w:trPr>
          <w:trHeight w:val="292"/>
        </w:trPr>
        <w:tc>
          <w:tcPr>
            <w:tcW w:w="4293" w:type="dxa"/>
          </w:tcPr>
          <w:p w:rsidR="003665F3" w:rsidRPr="00407F11" w:rsidRDefault="003665F3" w:rsidP="003665F3">
            <w:pPr>
              <w:rPr>
                <w:lang w:val="en-US"/>
              </w:rPr>
            </w:pPr>
            <w:r w:rsidRPr="00407F11">
              <w:rPr>
                <w:lang w:val="en-US"/>
              </w:rPr>
              <w:t xml:space="preserve">                              2000</w:t>
            </w:r>
          </w:p>
        </w:tc>
        <w:tc>
          <w:tcPr>
            <w:tcW w:w="4401" w:type="dxa"/>
          </w:tcPr>
          <w:p w:rsidR="003665F3" w:rsidRPr="00407F11" w:rsidRDefault="003665F3" w:rsidP="003665F3">
            <w:pPr>
              <w:jc w:val="center"/>
              <w:rPr>
                <w:lang w:val="en-US"/>
              </w:rPr>
            </w:pPr>
            <w:r w:rsidRPr="00407F11">
              <w:rPr>
                <w:lang w:val="en-US"/>
              </w:rPr>
              <w:t>1.431 (MT)</w:t>
            </w:r>
          </w:p>
        </w:tc>
      </w:tr>
      <w:tr w:rsidR="003665F3" w:rsidTr="00010B78">
        <w:trPr>
          <w:trHeight w:val="277"/>
        </w:trPr>
        <w:tc>
          <w:tcPr>
            <w:tcW w:w="4293" w:type="dxa"/>
          </w:tcPr>
          <w:p w:rsidR="003665F3" w:rsidRPr="00407F11" w:rsidRDefault="00010B78" w:rsidP="003665F3">
            <w:pPr>
              <w:jc w:val="center"/>
              <w:rPr>
                <w:lang w:val="en-US"/>
              </w:rPr>
            </w:pPr>
            <w:r w:rsidRPr="00407F11">
              <w:rPr>
                <w:lang w:val="en-US"/>
              </w:rPr>
              <w:t xml:space="preserve">        </w:t>
            </w:r>
            <w:r w:rsidR="003665F3" w:rsidRPr="00407F11">
              <w:rPr>
                <w:lang w:val="en-US"/>
              </w:rPr>
              <w:t>2009 (peak year)</w:t>
            </w:r>
          </w:p>
        </w:tc>
        <w:tc>
          <w:tcPr>
            <w:tcW w:w="4401" w:type="dxa"/>
          </w:tcPr>
          <w:p w:rsidR="003665F3" w:rsidRPr="00407F11" w:rsidRDefault="003665F3" w:rsidP="003665F3">
            <w:pPr>
              <w:jc w:val="center"/>
              <w:rPr>
                <w:lang w:val="en-US"/>
              </w:rPr>
            </w:pPr>
            <w:r w:rsidRPr="00407F11">
              <w:rPr>
                <w:lang w:val="en-US"/>
              </w:rPr>
              <w:t>14.376 (MT)</w:t>
            </w:r>
          </w:p>
        </w:tc>
      </w:tr>
      <w:tr w:rsidR="003665F3" w:rsidTr="00010B78">
        <w:trPr>
          <w:trHeight w:val="306"/>
        </w:trPr>
        <w:tc>
          <w:tcPr>
            <w:tcW w:w="4293" w:type="dxa"/>
          </w:tcPr>
          <w:p w:rsidR="003665F3" w:rsidRPr="00407F11" w:rsidRDefault="003665F3" w:rsidP="003665F3">
            <w:pPr>
              <w:rPr>
                <w:lang w:val="en-US"/>
              </w:rPr>
            </w:pPr>
            <w:r w:rsidRPr="00407F11">
              <w:rPr>
                <w:lang w:val="en-US"/>
              </w:rPr>
              <w:t xml:space="preserve">                              2010</w:t>
            </w:r>
          </w:p>
        </w:tc>
        <w:tc>
          <w:tcPr>
            <w:tcW w:w="4401" w:type="dxa"/>
          </w:tcPr>
          <w:p w:rsidR="003665F3" w:rsidRPr="00407F11" w:rsidRDefault="003665F3" w:rsidP="003665F3">
            <w:pPr>
              <w:jc w:val="center"/>
              <w:rPr>
                <w:lang w:val="en-US"/>
              </w:rPr>
            </w:pPr>
            <w:r w:rsidRPr="00407F11">
              <w:rPr>
                <w:lang w:val="en-US"/>
              </w:rPr>
              <w:t>8.378 (MT)</w:t>
            </w:r>
          </w:p>
        </w:tc>
      </w:tr>
    </w:tbl>
    <w:p w:rsidR="003665F3" w:rsidRDefault="003665F3" w:rsidP="003665F3">
      <w:pPr>
        <w:jc w:val="center"/>
        <w:rPr>
          <w:b/>
          <w:lang w:val="en-US"/>
        </w:rPr>
      </w:pPr>
    </w:p>
    <w:p w:rsidR="009C6520" w:rsidRDefault="009F0A19" w:rsidP="00E06E16">
      <w:pPr>
        <w:keepNext/>
      </w:pPr>
      <w:r>
        <w:rPr>
          <w:noProof/>
          <w:color w:val="FF0000"/>
          <w:lang w:val="en-US"/>
        </w:rPr>
        <w:drawing>
          <wp:inline distT="0" distB="0" distL="0" distR="0" wp14:anchorId="46D26FA0" wp14:editId="121132E1">
            <wp:extent cx="5486400" cy="3200400"/>
            <wp:effectExtent l="0" t="0" r="19050" b="1905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665F3" w:rsidRPr="00E06E16" w:rsidRDefault="009C6520" w:rsidP="00E06E16">
      <w:pPr>
        <w:jc w:val="center"/>
        <w:rPr>
          <w:b/>
          <w:lang w:val="en-US"/>
        </w:rPr>
      </w:pPr>
      <w:bookmarkStart w:id="25" w:name="_Ref342156355"/>
      <w:r w:rsidRPr="00E06E16">
        <w:rPr>
          <w:b/>
          <w:lang w:val="en-US"/>
        </w:rPr>
        <w:t xml:space="preserve">Figure </w:t>
      </w:r>
      <w:r w:rsidR="005F131E">
        <w:rPr>
          <w:b/>
          <w:lang w:val="en-US"/>
        </w:rPr>
        <w:fldChar w:fldCharType="begin"/>
      </w:r>
      <w:r w:rsidR="005F131E">
        <w:rPr>
          <w:b/>
          <w:lang w:val="en-US"/>
        </w:rPr>
        <w:instrText xml:space="preserve"> SEQ Figure \* ARABIC </w:instrText>
      </w:r>
      <w:r w:rsidR="005F131E">
        <w:rPr>
          <w:b/>
          <w:lang w:val="en-US"/>
        </w:rPr>
        <w:fldChar w:fldCharType="separate"/>
      </w:r>
      <w:r w:rsidR="00A26AAC">
        <w:rPr>
          <w:b/>
          <w:noProof/>
          <w:lang w:val="en-US"/>
        </w:rPr>
        <w:t>2</w:t>
      </w:r>
      <w:r w:rsidR="005F131E">
        <w:rPr>
          <w:b/>
          <w:lang w:val="en-US"/>
        </w:rPr>
        <w:fldChar w:fldCharType="end"/>
      </w:r>
      <w:r w:rsidRPr="00E06E16">
        <w:rPr>
          <w:b/>
          <w:lang w:val="en-US"/>
        </w:rPr>
        <w:t>: Volume</w:t>
      </w:r>
      <w:r>
        <w:rPr>
          <w:rStyle w:val="FootnoteReference"/>
          <w:b/>
          <w:lang w:val="en-US"/>
        </w:rPr>
        <w:footnoteReference w:id="3"/>
      </w:r>
      <w:r w:rsidRPr="00E06E16">
        <w:rPr>
          <w:b/>
          <w:lang w:val="en-US"/>
        </w:rPr>
        <w:t xml:space="preserve"> trend of quinoa exports between 1990 and 2010.</w:t>
      </w:r>
      <w:bookmarkEnd w:id="25"/>
    </w:p>
    <w:p w:rsidR="009F0A19" w:rsidRDefault="009F0A19" w:rsidP="00E06E16">
      <w:pPr>
        <w:ind w:firstLine="720"/>
        <w:jc w:val="both"/>
        <w:rPr>
          <w:lang w:val="en-US"/>
        </w:rPr>
      </w:pPr>
      <w:r>
        <w:rPr>
          <w:lang w:val="en-US"/>
        </w:rPr>
        <w:t>The main international market destinations are the US which imports almost half of the total Bolivian quinoa exports with a 48% market share, followed by France with 16%, the Netherlands with 11%, Germany at 9%, Canada and Brazil</w:t>
      </w:r>
      <w:r>
        <w:rPr>
          <w:rStyle w:val="FootnoteReference"/>
          <w:lang w:val="en-US"/>
        </w:rPr>
        <w:footnoteReference w:id="4"/>
      </w:r>
      <w:r>
        <w:rPr>
          <w:lang w:val="en-US"/>
        </w:rPr>
        <w:t xml:space="preserve"> at 4%. The last 8% is covered by a few other countries which import quinoa on a smaller scale such as England, Israel and Peru</w:t>
      </w:r>
      <w:r>
        <w:rPr>
          <w:rStyle w:val="FootnoteReference"/>
          <w:lang w:val="en-US"/>
        </w:rPr>
        <w:footnoteReference w:id="5"/>
      </w:r>
      <w:r>
        <w:rPr>
          <w:lang w:val="en-US"/>
        </w:rPr>
        <w:t xml:space="preserve">. </w:t>
      </w:r>
    </w:p>
    <w:p w:rsidR="006E12BE" w:rsidRDefault="006E12BE" w:rsidP="00B47E97">
      <w:pPr>
        <w:jc w:val="both"/>
        <w:rPr>
          <w:lang w:val="en-US"/>
        </w:rPr>
      </w:pPr>
    </w:p>
    <w:p w:rsidR="006E12BE" w:rsidRDefault="006E12BE" w:rsidP="001F1ED3">
      <w:pPr>
        <w:rPr>
          <w:lang w:val="en-US"/>
        </w:rPr>
      </w:pPr>
    </w:p>
    <w:p w:rsidR="005F131E" w:rsidRDefault="00FB351E" w:rsidP="00E06E16">
      <w:pPr>
        <w:keepNext/>
      </w:pPr>
      <w:r>
        <w:rPr>
          <w:noProof/>
          <w:lang w:val="en-US"/>
        </w:rPr>
        <w:lastRenderedPageBreak/>
        <w:drawing>
          <wp:inline distT="0" distB="0" distL="0" distR="0" wp14:anchorId="38D9AED7" wp14:editId="1215446D">
            <wp:extent cx="5486400" cy="3200400"/>
            <wp:effectExtent l="0" t="0" r="19050" b="1905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1696C" w:rsidRPr="00E06E16" w:rsidRDefault="005F131E" w:rsidP="00E06E16">
      <w:pPr>
        <w:jc w:val="center"/>
        <w:rPr>
          <w:b/>
          <w:lang w:val="en-US"/>
        </w:rPr>
      </w:pPr>
      <w:bookmarkStart w:id="26" w:name="_Ref342157893"/>
      <w:r w:rsidRPr="00E06E16">
        <w:rPr>
          <w:b/>
          <w:lang w:val="en-US"/>
        </w:rPr>
        <w:t xml:space="preserve">Figure </w:t>
      </w:r>
      <w:r>
        <w:rPr>
          <w:b/>
          <w:lang w:val="en-US"/>
        </w:rPr>
        <w:fldChar w:fldCharType="begin"/>
      </w:r>
      <w:r>
        <w:rPr>
          <w:b/>
          <w:lang w:val="en-US"/>
        </w:rPr>
        <w:instrText xml:space="preserve"> SEQ Figure \* ARABIC </w:instrText>
      </w:r>
      <w:r>
        <w:rPr>
          <w:b/>
          <w:lang w:val="en-US"/>
        </w:rPr>
        <w:fldChar w:fldCharType="separate"/>
      </w:r>
      <w:r w:rsidR="00A26AAC">
        <w:rPr>
          <w:b/>
          <w:noProof/>
          <w:lang w:val="en-US"/>
        </w:rPr>
        <w:t>3</w:t>
      </w:r>
      <w:r>
        <w:rPr>
          <w:b/>
          <w:lang w:val="en-US"/>
        </w:rPr>
        <w:fldChar w:fldCharType="end"/>
      </w:r>
      <w:r w:rsidRPr="00E06E16">
        <w:rPr>
          <w:b/>
          <w:lang w:val="en-US"/>
        </w:rPr>
        <w:t>: Quinoa Export Destinations</w:t>
      </w:r>
      <w:bookmarkEnd w:id="26"/>
    </w:p>
    <w:p w:rsidR="003665F3" w:rsidRDefault="00256AA7" w:rsidP="00E06E16">
      <w:pPr>
        <w:ind w:firstLine="720"/>
        <w:jc w:val="both"/>
        <w:rPr>
          <w:lang w:val="en-US"/>
        </w:rPr>
      </w:pPr>
      <w:r>
        <w:rPr>
          <w:lang w:val="en-US"/>
        </w:rPr>
        <w:t>As shown above through the tables and graphs, the increased demand for this grain has led to a spike in the value and volume of the transactions related to its market. Yet in addition to an increase in the figures, there has also been an interesting dynamic in the quinoa market structure since the late 1990’s</w:t>
      </w:r>
      <w:r w:rsidR="009D4FB9">
        <w:rPr>
          <w:lang w:val="en-US"/>
        </w:rPr>
        <w:t>,</w:t>
      </w:r>
      <w:r>
        <w:rPr>
          <w:lang w:val="en-US"/>
        </w:rPr>
        <w:t xml:space="preserve"> and that </w:t>
      </w:r>
      <w:r w:rsidR="009D4FB9">
        <w:rPr>
          <w:lang w:val="en-US"/>
        </w:rPr>
        <w:t>has to do with</w:t>
      </w:r>
      <w:r>
        <w:rPr>
          <w:lang w:val="en-US"/>
        </w:rPr>
        <w:t xml:space="preserve"> the immersion of new actors in the form of private firms seduced by the potential profits its market appears to offer. </w:t>
      </w:r>
      <w:r w:rsidR="00E5313B">
        <w:rPr>
          <w:lang w:val="en-US"/>
        </w:rPr>
        <w:t xml:space="preserve">The graph below shows the evolution </w:t>
      </w:r>
      <w:r w:rsidR="0055780F">
        <w:rPr>
          <w:lang w:val="en-US"/>
        </w:rPr>
        <w:t xml:space="preserve">in </w:t>
      </w:r>
      <w:r w:rsidR="0055780F" w:rsidRPr="004F3AD4">
        <w:rPr>
          <w:lang w:val="en-US"/>
        </w:rPr>
        <w:t xml:space="preserve">the number </w:t>
      </w:r>
      <w:r w:rsidR="00E5313B">
        <w:rPr>
          <w:lang w:val="en-US"/>
        </w:rPr>
        <w:t xml:space="preserve">of quinoa exporters between 1990 and 2004. </w:t>
      </w: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F8528B" w:rsidRDefault="00F8528B" w:rsidP="008E1258">
      <w:pPr>
        <w:jc w:val="center"/>
        <w:rPr>
          <w:b/>
          <w:lang w:val="en-US"/>
        </w:rPr>
      </w:pPr>
    </w:p>
    <w:p w:rsidR="005F131E" w:rsidRDefault="00F8528B" w:rsidP="00E06E16">
      <w:pPr>
        <w:keepNext/>
        <w:jc w:val="center"/>
      </w:pPr>
      <w:r>
        <w:rPr>
          <w:noProof/>
          <w:color w:val="FF0000"/>
          <w:lang w:val="en-US"/>
        </w:rPr>
        <w:lastRenderedPageBreak/>
        <w:drawing>
          <wp:inline distT="0" distB="0" distL="0" distR="0" wp14:anchorId="54EEC6AA" wp14:editId="67484305">
            <wp:extent cx="5486400" cy="3200400"/>
            <wp:effectExtent l="0" t="0" r="19050" b="1905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61CD4" w:rsidRDefault="005F131E" w:rsidP="003C536B">
      <w:pPr>
        <w:jc w:val="center"/>
        <w:rPr>
          <w:b/>
          <w:lang w:val="en-US"/>
        </w:rPr>
      </w:pPr>
      <w:bookmarkStart w:id="27" w:name="_Ref342157904"/>
      <w:r w:rsidRPr="00E06E16">
        <w:rPr>
          <w:b/>
          <w:lang w:val="en-US"/>
        </w:rPr>
        <w:t xml:space="preserve">Figure </w:t>
      </w:r>
      <w:r>
        <w:rPr>
          <w:b/>
          <w:lang w:val="en-US"/>
        </w:rPr>
        <w:fldChar w:fldCharType="begin"/>
      </w:r>
      <w:r>
        <w:rPr>
          <w:b/>
          <w:lang w:val="en-US"/>
        </w:rPr>
        <w:instrText xml:space="preserve"> SEQ Figure \* ARABIC </w:instrText>
      </w:r>
      <w:r>
        <w:rPr>
          <w:b/>
          <w:lang w:val="en-US"/>
        </w:rPr>
        <w:fldChar w:fldCharType="separate"/>
      </w:r>
      <w:r w:rsidR="00A26AAC">
        <w:rPr>
          <w:b/>
          <w:noProof/>
          <w:lang w:val="en-US"/>
        </w:rPr>
        <w:t>4</w:t>
      </w:r>
      <w:r>
        <w:rPr>
          <w:b/>
          <w:lang w:val="en-US"/>
        </w:rPr>
        <w:fldChar w:fldCharType="end"/>
      </w:r>
      <w:r w:rsidRPr="00E06E16">
        <w:rPr>
          <w:b/>
          <w:lang w:val="en-US"/>
        </w:rPr>
        <w:t>: Evolution of Quinoa Exporters between 1990 and 2004.</w:t>
      </w:r>
      <w:bookmarkEnd w:id="27"/>
    </w:p>
    <w:p w:rsidR="004F3AD4" w:rsidRPr="00173449" w:rsidRDefault="004F3AD4" w:rsidP="004F3AD4">
      <w:pPr>
        <w:jc w:val="both"/>
        <w:rPr>
          <w:lang w:val="en-US"/>
        </w:rPr>
      </w:pPr>
      <w:r>
        <w:rPr>
          <w:lang w:val="en-US"/>
        </w:rPr>
        <w:t xml:space="preserve">       </w:t>
      </w:r>
      <w:r w:rsidRPr="00173449">
        <w:rPr>
          <w:lang w:val="en-US"/>
        </w:rPr>
        <w:t xml:space="preserve">*Source: </w:t>
      </w:r>
      <w:r>
        <w:rPr>
          <w:lang w:val="en-US"/>
        </w:rPr>
        <w:t xml:space="preserve">(Laguna 2005, as </w:t>
      </w:r>
      <w:r w:rsidRPr="00E67695">
        <w:rPr>
          <w:lang w:val="en-US"/>
        </w:rPr>
        <w:t>cited in Ton 2006).</w:t>
      </w:r>
    </w:p>
    <w:p w:rsidR="004F3AD4" w:rsidRPr="004F3AD4" w:rsidRDefault="004F3AD4" w:rsidP="004F3AD4">
      <w:pPr>
        <w:jc w:val="center"/>
        <w:rPr>
          <w:b/>
          <w:lang w:val="en-US"/>
        </w:rPr>
      </w:pPr>
    </w:p>
    <w:p w:rsidR="003668FF" w:rsidRDefault="0055780F" w:rsidP="0071130E">
      <w:pPr>
        <w:ind w:firstLine="720"/>
        <w:jc w:val="both"/>
        <w:rPr>
          <w:lang w:val="en-US"/>
        </w:rPr>
      </w:pPr>
      <w:r>
        <w:rPr>
          <w:lang w:val="en-US"/>
        </w:rPr>
        <w:t xml:space="preserve">The entry of these new private firms has dramatically changed the structure of the quinoa market </w:t>
      </w:r>
      <w:r w:rsidRPr="0071130E">
        <w:rPr>
          <w:lang w:val="en-US"/>
        </w:rPr>
        <w:t xml:space="preserve">as will </w:t>
      </w:r>
      <w:r w:rsidR="009E7C80" w:rsidRPr="0071130E">
        <w:rPr>
          <w:lang w:val="en-US"/>
        </w:rPr>
        <w:t xml:space="preserve">be </w:t>
      </w:r>
      <w:r w:rsidR="0032762F" w:rsidRPr="0071130E">
        <w:rPr>
          <w:lang w:val="en-US"/>
        </w:rPr>
        <w:t>illustrated in</w:t>
      </w:r>
      <w:r w:rsidRPr="0071130E">
        <w:rPr>
          <w:lang w:val="en-US"/>
        </w:rPr>
        <w:t xml:space="preserve"> </w:t>
      </w:r>
      <w:r w:rsidR="0032762F" w:rsidRPr="0071130E">
        <w:rPr>
          <w:lang w:val="en-US"/>
        </w:rPr>
        <w:t xml:space="preserve">the </w:t>
      </w:r>
      <w:r w:rsidR="0067407D">
        <w:rPr>
          <w:lang w:val="en-US"/>
        </w:rPr>
        <w:t xml:space="preserve">coming </w:t>
      </w:r>
      <w:r>
        <w:rPr>
          <w:lang w:val="en-US"/>
        </w:rPr>
        <w:t xml:space="preserve">chapters. The ways in which the quinoa </w:t>
      </w:r>
      <w:r w:rsidR="00C54C95" w:rsidRPr="0071130E">
        <w:rPr>
          <w:lang w:val="en-US"/>
        </w:rPr>
        <w:t>market has</w:t>
      </w:r>
      <w:r w:rsidRPr="0071130E">
        <w:rPr>
          <w:lang w:val="en-US"/>
        </w:rPr>
        <w:t xml:space="preserve"> changed </w:t>
      </w:r>
      <w:r>
        <w:rPr>
          <w:lang w:val="en-US"/>
        </w:rPr>
        <w:t xml:space="preserve">has serious implications for </w:t>
      </w:r>
      <w:r w:rsidR="0032762F">
        <w:rPr>
          <w:lang w:val="en-US"/>
        </w:rPr>
        <w:t xml:space="preserve">the </w:t>
      </w:r>
      <w:r>
        <w:rPr>
          <w:lang w:val="en-US"/>
        </w:rPr>
        <w:t>quinoa farmers</w:t>
      </w:r>
      <w:r w:rsidRPr="0071130E">
        <w:rPr>
          <w:lang w:val="en-US"/>
        </w:rPr>
        <w:t xml:space="preserve">. </w:t>
      </w:r>
      <w:r w:rsidR="009E7C80" w:rsidRPr="0071130E">
        <w:rPr>
          <w:lang w:val="en-US"/>
        </w:rPr>
        <w:t>The aim of this paper is to find out</w:t>
      </w:r>
      <w:r w:rsidR="003668FF" w:rsidRPr="0071130E">
        <w:rPr>
          <w:lang w:val="en-US"/>
        </w:rPr>
        <w:t>:</w:t>
      </w:r>
      <w:r w:rsidR="009E7C80" w:rsidRPr="0071130E">
        <w:rPr>
          <w:lang w:val="en-US"/>
        </w:rPr>
        <w:t xml:space="preserve"> </w:t>
      </w:r>
    </w:p>
    <w:p w:rsidR="00391CC8" w:rsidRDefault="009E7C80" w:rsidP="00E06E16">
      <w:pPr>
        <w:rPr>
          <w:b/>
          <w:i/>
          <w:color w:val="FF0000"/>
          <w:lang w:val="en-US"/>
        </w:rPr>
      </w:pPr>
      <w:r>
        <w:rPr>
          <w:lang w:val="en-US"/>
        </w:rPr>
        <w:t>“</w:t>
      </w:r>
      <w:r w:rsidR="003668FF">
        <w:rPr>
          <w:b/>
          <w:i/>
          <w:lang w:val="en-US"/>
        </w:rPr>
        <w:t>How do</w:t>
      </w:r>
      <w:r w:rsidRPr="009E7C80">
        <w:rPr>
          <w:b/>
          <w:i/>
          <w:lang w:val="en-US"/>
        </w:rPr>
        <w:t xml:space="preserve"> changes in the quinoa market structure </w:t>
      </w:r>
      <w:r w:rsidR="005B6A73">
        <w:rPr>
          <w:b/>
          <w:i/>
          <w:lang w:val="en-US"/>
        </w:rPr>
        <w:t xml:space="preserve">mediate </w:t>
      </w:r>
      <w:r w:rsidRPr="009E7C80">
        <w:rPr>
          <w:b/>
          <w:i/>
          <w:lang w:val="en-US"/>
        </w:rPr>
        <w:t>aspects of the farmers’ income</w:t>
      </w:r>
      <w:r w:rsidR="007E0829">
        <w:rPr>
          <w:b/>
          <w:i/>
          <w:lang w:val="en-US"/>
        </w:rPr>
        <w:t>”</w:t>
      </w:r>
      <w:r w:rsidR="003668FF">
        <w:rPr>
          <w:b/>
          <w:i/>
          <w:lang w:val="en-US"/>
        </w:rPr>
        <w:t>?</w:t>
      </w:r>
    </w:p>
    <w:p w:rsidR="00391CC8" w:rsidRDefault="00391CC8" w:rsidP="00E06E16">
      <w:pPr>
        <w:rPr>
          <w:b/>
          <w:i/>
          <w:color w:val="FF0000"/>
          <w:lang w:val="en-US"/>
        </w:rPr>
      </w:pPr>
    </w:p>
    <w:p w:rsidR="000B0BDE" w:rsidRDefault="00D172D8" w:rsidP="00E06E16">
      <w:pPr>
        <w:ind w:firstLine="360"/>
        <w:rPr>
          <w:lang w:val="en-US"/>
        </w:rPr>
      </w:pPr>
      <w:r w:rsidRPr="005572BA">
        <w:rPr>
          <w:lang w:val="en-US"/>
        </w:rPr>
        <w:t xml:space="preserve">In light of </w:t>
      </w:r>
      <w:r w:rsidR="0071130E">
        <w:rPr>
          <w:lang w:val="en-US"/>
        </w:rPr>
        <w:t xml:space="preserve">all of </w:t>
      </w:r>
      <w:r w:rsidRPr="005572BA">
        <w:rPr>
          <w:lang w:val="en-US"/>
        </w:rPr>
        <w:t xml:space="preserve">this, </w:t>
      </w:r>
      <w:r w:rsidRPr="003758CC">
        <w:rPr>
          <w:lang w:val="en-US"/>
        </w:rPr>
        <w:t>t</w:t>
      </w:r>
      <w:r w:rsidR="00C3603A" w:rsidRPr="003758CC">
        <w:rPr>
          <w:lang w:val="en-US"/>
        </w:rPr>
        <w:t xml:space="preserve">he thesis </w:t>
      </w:r>
      <w:r w:rsidRPr="003758CC">
        <w:rPr>
          <w:lang w:val="en-US"/>
        </w:rPr>
        <w:t xml:space="preserve">that </w:t>
      </w:r>
      <w:r w:rsidR="00C3603A" w:rsidRPr="005572BA">
        <w:rPr>
          <w:lang w:val="en-US"/>
        </w:rPr>
        <w:t>this paper</w:t>
      </w:r>
      <w:r w:rsidRPr="005572BA">
        <w:rPr>
          <w:lang w:val="en-US"/>
        </w:rPr>
        <w:t xml:space="preserve"> will put to the test </w:t>
      </w:r>
      <w:r w:rsidR="00686E8E" w:rsidRPr="005572BA">
        <w:rPr>
          <w:lang w:val="en-US"/>
        </w:rPr>
        <w:t xml:space="preserve">is as follows: </w:t>
      </w:r>
    </w:p>
    <w:p w:rsidR="009E7C80" w:rsidRDefault="000B0BDE" w:rsidP="00E06E16">
      <w:pPr>
        <w:ind w:firstLine="360"/>
        <w:jc w:val="both"/>
        <w:rPr>
          <w:i/>
          <w:color w:val="FF0000"/>
          <w:lang w:val="en-US"/>
        </w:rPr>
      </w:pPr>
      <w:r w:rsidRPr="00096F20">
        <w:rPr>
          <w:i/>
          <w:lang w:val="en-US"/>
        </w:rPr>
        <w:t>“</w:t>
      </w:r>
      <w:r w:rsidR="00686E8E" w:rsidRPr="00096F20">
        <w:rPr>
          <w:i/>
          <w:lang w:val="en-US"/>
        </w:rPr>
        <w:t xml:space="preserve">The immersion of new and more private firms into the quinoa market structure during the late 1990’s, lured by the potential profits its market appears to offer have displaced the producer organizations from the quasi-monopoly they had </w:t>
      </w:r>
      <w:r w:rsidRPr="00096F20">
        <w:rPr>
          <w:i/>
          <w:lang w:val="en-US"/>
        </w:rPr>
        <w:t>in</w:t>
      </w:r>
      <w:r w:rsidR="00686E8E" w:rsidRPr="00096F20">
        <w:rPr>
          <w:i/>
          <w:lang w:val="en-US"/>
        </w:rPr>
        <w:t xml:space="preserve"> the market for organic </w:t>
      </w:r>
      <w:r w:rsidR="002D29DA" w:rsidRPr="00096F20">
        <w:rPr>
          <w:i/>
          <w:lang w:val="en-US"/>
        </w:rPr>
        <w:t>quinoa exports</w:t>
      </w:r>
      <w:r w:rsidRPr="00096F20">
        <w:rPr>
          <w:i/>
          <w:lang w:val="en-US"/>
        </w:rPr>
        <w:t xml:space="preserve">. The entry of these new private firms have </w:t>
      </w:r>
      <w:r w:rsidR="002D29DA" w:rsidRPr="00096F20">
        <w:rPr>
          <w:i/>
          <w:lang w:val="en-US"/>
        </w:rPr>
        <w:t>br</w:t>
      </w:r>
      <w:r w:rsidRPr="00096F20">
        <w:rPr>
          <w:i/>
          <w:lang w:val="en-US"/>
        </w:rPr>
        <w:t>ought</w:t>
      </w:r>
      <w:r w:rsidR="002D29DA" w:rsidRPr="00096F20">
        <w:rPr>
          <w:i/>
          <w:lang w:val="en-US"/>
        </w:rPr>
        <w:t xml:space="preserve"> </w:t>
      </w:r>
      <w:r w:rsidR="00686E8E" w:rsidRPr="00096F20">
        <w:rPr>
          <w:i/>
          <w:lang w:val="en-US"/>
        </w:rPr>
        <w:t xml:space="preserve">new </w:t>
      </w:r>
      <w:r w:rsidR="002D29DA" w:rsidRPr="00096F20">
        <w:rPr>
          <w:i/>
          <w:lang w:val="en-US"/>
        </w:rPr>
        <w:t xml:space="preserve">and more </w:t>
      </w:r>
      <w:r w:rsidR="00686E8E" w:rsidRPr="00096F20">
        <w:rPr>
          <w:i/>
          <w:lang w:val="en-US"/>
        </w:rPr>
        <w:t xml:space="preserve">business oriented principles to its market manifested in vertical integration strategies which include “contract </w:t>
      </w:r>
      <w:r w:rsidR="00686E8E" w:rsidRPr="003758CC">
        <w:rPr>
          <w:i/>
          <w:lang w:val="en-US"/>
        </w:rPr>
        <w:t xml:space="preserve">systems” in its interaction with the farmers. </w:t>
      </w:r>
      <w:r w:rsidR="005572BA" w:rsidRPr="003758CC">
        <w:rPr>
          <w:i/>
          <w:lang w:val="en-US"/>
        </w:rPr>
        <w:t>Under the new market structure</w:t>
      </w:r>
      <w:r w:rsidR="00B71433" w:rsidRPr="003758CC">
        <w:rPr>
          <w:i/>
          <w:lang w:val="en-US"/>
        </w:rPr>
        <w:t>,</w:t>
      </w:r>
      <w:r w:rsidR="005572BA" w:rsidRPr="003758CC">
        <w:rPr>
          <w:i/>
          <w:lang w:val="en-US"/>
        </w:rPr>
        <w:t xml:space="preserve"> the </w:t>
      </w:r>
      <w:r w:rsidR="002D29DA" w:rsidRPr="003758CC">
        <w:rPr>
          <w:i/>
          <w:lang w:val="en-US"/>
        </w:rPr>
        <w:t xml:space="preserve">ability of the </w:t>
      </w:r>
      <w:r w:rsidR="005572BA" w:rsidRPr="003758CC">
        <w:rPr>
          <w:i/>
          <w:lang w:val="en-US"/>
        </w:rPr>
        <w:t xml:space="preserve">farmer </w:t>
      </w:r>
      <w:r w:rsidR="002D29DA" w:rsidRPr="003758CC">
        <w:rPr>
          <w:i/>
          <w:lang w:val="en-US"/>
        </w:rPr>
        <w:t>to profit from the booming quinoa market is seriously limited by contract specifications</w:t>
      </w:r>
      <w:r w:rsidR="00104C2E" w:rsidRPr="003758CC">
        <w:rPr>
          <w:i/>
          <w:lang w:val="en-US"/>
        </w:rPr>
        <w:t xml:space="preserve"> which do not offer </w:t>
      </w:r>
      <w:r w:rsidR="00104C2E" w:rsidRPr="00096F20">
        <w:rPr>
          <w:i/>
          <w:lang w:val="en-US"/>
        </w:rPr>
        <w:t xml:space="preserve">the farmer the opportunity to participate in more profitable upgrading activities along the </w:t>
      </w:r>
      <w:r w:rsidR="00104C2E" w:rsidRPr="00E13661">
        <w:rPr>
          <w:i/>
          <w:lang w:val="en-US"/>
        </w:rPr>
        <w:t>chain</w:t>
      </w:r>
      <w:r w:rsidR="002D29DA" w:rsidRPr="00E13661">
        <w:rPr>
          <w:i/>
          <w:lang w:val="en-US"/>
        </w:rPr>
        <w:t xml:space="preserve">. </w:t>
      </w:r>
      <w:r w:rsidR="00104C2E" w:rsidRPr="00E13661">
        <w:rPr>
          <w:i/>
          <w:lang w:val="en-US"/>
        </w:rPr>
        <w:t>Lastly</w:t>
      </w:r>
      <w:r w:rsidR="00104C2E" w:rsidRPr="00096F20">
        <w:rPr>
          <w:i/>
          <w:lang w:val="en-US"/>
        </w:rPr>
        <w:t xml:space="preserve">, the </w:t>
      </w:r>
      <w:r w:rsidR="00A62766" w:rsidRPr="00096F20">
        <w:rPr>
          <w:i/>
          <w:lang w:val="en-US"/>
        </w:rPr>
        <w:t>continuous</w:t>
      </w:r>
      <w:r w:rsidR="00104C2E" w:rsidRPr="00096F20">
        <w:rPr>
          <w:i/>
          <w:lang w:val="en-US"/>
        </w:rPr>
        <w:t xml:space="preserve"> loss of market share by the producer organizations to the private firms </w:t>
      </w:r>
      <w:r w:rsidR="00A62766" w:rsidRPr="00096F20">
        <w:rPr>
          <w:i/>
          <w:lang w:val="en-US"/>
        </w:rPr>
        <w:t>reinforces the</w:t>
      </w:r>
      <w:r w:rsidR="00322E0F" w:rsidRPr="00096F20">
        <w:rPr>
          <w:i/>
          <w:lang w:val="en-US"/>
        </w:rPr>
        <w:t>se</w:t>
      </w:r>
      <w:r w:rsidR="00A62766" w:rsidRPr="00096F20">
        <w:rPr>
          <w:i/>
          <w:lang w:val="en-US"/>
        </w:rPr>
        <w:t xml:space="preserve"> practices threatening </w:t>
      </w:r>
      <w:r w:rsidR="00322E0F" w:rsidRPr="00096F20">
        <w:rPr>
          <w:i/>
          <w:lang w:val="en-US"/>
        </w:rPr>
        <w:t xml:space="preserve">the expansion of “wage worker” types of farmers </w:t>
      </w:r>
      <w:r w:rsidR="005C6B60" w:rsidRPr="003758CC">
        <w:rPr>
          <w:i/>
          <w:lang w:val="en-US"/>
        </w:rPr>
        <w:t xml:space="preserve">throughout the quinoa fields in Bolivia, dangerously </w:t>
      </w:r>
      <w:r w:rsidRPr="003758CC">
        <w:rPr>
          <w:i/>
          <w:lang w:val="en-US"/>
        </w:rPr>
        <w:t xml:space="preserve">challenging </w:t>
      </w:r>
      <w:r w:rsidR="005C6B60" w:rsidRPr="003758CC">
        <w:rPr>
          <w:i/>
          <w:lang w:val="en-US"/>
        </w:rPr>
        <w:t xml:space="preserve">the </w:t>
      </w:r>
      <w:r w:rsidRPr="003758CC">
        <w:rPr>
          <w:i/>
          <w:lang w:val="en-US"/>
        </w:rPr>
        <w:t xml:space="preserve">country’s ability to benefit from its booming sector”. </w:t>
      </w:r>
    </w:p>
    <w:p w:rsidR="006323C9" w:rsidRDefault="00F601A8" w:rsidP="00E06E16">
      <w:pPr>
        <w:ind w:firstLine="360"/>
        <w:jc w:val="both"/>
        <w:rPr>
          <w:lang w:val="en-US"/>
        </w:rPr>
      </w:pPr>
      <w:r>
        <w:rPr>
          <w:lang w:val="en-US"/>
        </w:rPr>
        <w:lastRenderedPageBreak/>
        <w:t xml:space="preserve">The </w:t>
      </w:r>
      <w:r w:rsidR="000A447E">
        <w:rPr>
          <w:lang w:val="en-US"/>
        </w:rPr>
        <w:t xml:space="preserve">questions set out on this paper have been formulated </w:t>
      </w:r>
      <w:r w:rsidR="006323C9">
        <w:rPr>
          <w:lang w:val="en-US"/>
        </w:rPr>
        <w:t>following</w:t>
      </w:r>
      <w:r w:rsidR="000A447E">
        <w:rPr>
          <w:lang w:val="en-US"/>
        </w:rPr>
        <w:t xml:space="preserve"> the Global Commodity Chain </w:t>
      </w:r>
      <w:r w:rsidR="006323C9">
        <w:rPr>
          <w:lang w:val="en-US"/>
        </w:rPr>
        <w:t xml:space="preserve">analytical framework, </w:t>
      </w:r>
      <w:r w:rsidR="008A6933">
        <w:rPr>
          <w:lang w:val="en-US"/>
        </w:rPr>
        <w:t>which will be described at l</w:t>
      </w:r>
      <w:r w:rsidR="006323C9">
        <w:rPr>
          <w:lang w:val="en-US"/>
        </w:rPr>
        <w:t>ength in the following chapter.</w:t>
      </w:r>
    </w:p>
    <w:p w:rsidR="006323C9" w:rsidRDefault="006323C9" w:rsidP="00E06E16">
      <w:pPr>
        <w:ind w:firstLine="360"/>
        <w:jc w:val="both"/>
        <w:rPr>
          <w:lang w:val="en-US"/>
        </w:rPr>
      </w:pPr>
      <w:r w:rsidRPr="00FA122F">
        <w:rPr>
          <w:lang w:val="en-US"/>
        </w:rPr>
        <w:t xml:space="preserve">Chapter 3 starts </w:t>
      </w:r>
      <w:r w:rsidR="006F19F9">
        <w:rPr>
          <w:lang w:val="en-US"/>
        </w:rPr>
        <w:t xml:space="preserve">by mapping out the Quinoa Value </w:t>
      </w:r>
      <w:r w:rsidR="00BD2EB5">
        <w:rPr>
          <w:lang w:val="en-US"/>
        </w:rPr>
        <w:t xml:space="preserve">Chain </w:t>
      </w:r>
      <w:r w:rsidR="00381895">
        <w:rPr>
          <w:lang w:val="en-US"/>
        </w:rPr>
        <w:t>looking</w:t>
      </w:r>
      <w:r w:rsidR="006F19F9">
        <w:rPr>
          <w:lang w:val="en-US"/>
        </w:rPr>
        <w:t xml:space="preserve"> to first identify the full set of actors involved in the Bolivian quinoa market</w:t>
      </w:r>
      <w:r>
        <w:rPr>
          <w:lang w:val="en-US"/>
        </w:rPr>
        <w:t>. Distinguishing in the process the ways in which the quinoa market structure has changed</w:t>
      </w:r>
      <w:r w:rsidR="00F86713">
        <w:rPr>
          <w:lang w:val="en-US"/>
        </w:rPr>
        <w:t xml:space="preserve"> post the increased demand for this grain and with</w:t>
      </w:r>
      <w:r>
        <w:rPr>
          <w:lang w:val="en-US"/>
        </w:rPr>
        <w:t xml:space="preserve"> the entry of </w:t>
      </w:r>
      <w:r w:rsidR="00F86713">
        <w:rPr>
          <w:lang w:val="en-US"/>
        </w:rPr>
        <w:t xml:space="preserve">the </w:t>
      </w:r>
      <w:r>
        <w:rPr>
          <w:lang w:val="en-US"/>
        </w:rPr>
        <w:t xml:space="preserve">new private </w:t>
      </w:r>
      <w:r w:rsidR="00F86713">
        <w:rPr>
          <w:lang w:val="en-US"/>
        </w:rPr>
        <w:t xml:space="preserve">firms into its market structure. </w:t>
      </w:r>
      <w:r w:rsidR="00BD2EB5">
        <w:rPr>
          <w:lang w:val="en-US"/>
        </w:rPr>
        <w:t>While up until the 1970’s quinoa farmers pretty much had only one venue where to sell their quinoa production, starting from the 80’s and onward</w:t>
      </w:r>
      <w:r w:rsidR="006D52FB">
        <w:rPr>
          <w:lang w:val="en-US"/>
        </w:rPr>
        <w:t xml:space="preserve">s </w:t>
      </w:r>
      <w:r w:rsidR="00BD2EB5">
        <w:rPr>
          <w:lang w:val="en-US"/>
        </w:rPr>
        <w:t xml:space="preserve">new quinoa buyers enter the quinoa market structure in the form of peasant producer organizations as well as new and more private firms. Each one of these selling points has different incentives (identified during the fieldwork) that the farmers take into consideration for their decision-making process. </w:t>
      </w:r>
      <w:r w:rsidR="006D52FB">
        <w:rPr>
          <w:lang w:val="en-US"/>
        </w:rPr>
        <w:t xml:space="preserve">The characteristics surrounding each selling venue will be illustrated in this chapter. </w:t>
      </w:r>
    </w:p>
    <w:p w:rsidR="000C5DDD" w:rsidRDefault="00C374FC" w:rsidP="00686E8E">
      <w:pPr>
        <w:jc w:val="both"/>
        <w:rPr>
          <w:lang w:val="en-US"/>
        </w:rPr>
      </w:pPr>
      <w:r>
        <w:rPr>
          <w:lang w:val="en-US"/>
        </w:rPr>
        <w:tab/>
      </w:r>
      <w:r w:rsidR="000C5DDD">
        <w:rPr>
          <w:lang w:val="en-US"/>
        </w:rPr>
        <w:t xml:space="preserve">Chapter 4 and 5 </w:t>
      </w:r>
      <w:r w:rsidR="003668FF">
        <w:rPr>
          <w:lang w:val="en-US"/>
        </w:rPr>
        <w:t>will be dedicated to analytically answer</w:t>
      </w:r>
      <w:r w:rsidR="00075773">
        <w:rPr>
          <w:lang w:val="en-US"/>
        </w:rPr>
        <w:t>ing</w:t>
      </w:r>
      <w:r w:rsidR="003668FF">
        <w:rPr>
          <w:lang w:val="en-US"/>
        </w:rPr>
        <w:t xml:space="preserve"> the main question as well as the related sub-questions:</w:t>
      </w:r>
    </w:p>
    <w:p w:rsidR="003668FF" w:rsidRDefault="003668FF" w:rsidP="003668FF">
      <w:pPr>
        <w:pStyle w:val="ListParagraph"/>
        <w:numPr>
          <w:ilvl w:val="0"/>
          <w:numId w:val="13"/>
        </w:numPr>
        <w:jc w:val="both"/>
        <w:rPr>
          <w:b/>
          <w:lang w:val="en-US"/>
        </w:rPr>
      </w:pPr>
      <w:r w:rsidRPr="00CB5B35">
        <w:rPr>
          <w:b/>
          <w:lang w:val="en-US"/>
        </w:rPr>
        <w:t xml:space="preserve">“How have changes in demand affected the </w:t>
      </w:r>
      <w:r w:rsidR="00CB5B35" w:rsidRPr="00CB5B35">
        <w:rPr>
          <w:b/>
          <w:lang w:val="en-US"/>
        </w:rPr>
        <w:t>quinoa market</w:t>
      </w:r>
      <w:r w:rsidRPr="00CB5B35">
        <w:rPr>
          <w:b/>
          <w:lang w:val="en-US"/>
        </w:rPr>
        <w:t xml:space="preserve"> structure during the last 20 years?</w:t>
      </w:r>
    </w:p>
    <w:p w:rsidR="006D52FB" w:rsidRDefault="006D52FB" w:rsidP="006D52FB">
      <w:pPr>
        <w:pStyle w:val="ListParagraph"/>
        <w:jc w:val="both"/>
        <w:rPr>
          <w:lang w:val="en-US"/>
        </w:rPr>
      </w:pPr>
      <w:r>
        <w:rPr>
          <w:lang w:val="en-US"/>
        </w:rPr>
        <w:t xml:space="preserve">The time scope of the analysis in this thesis is on the last twenty years since the </w:t>
      </w:r>
      <w:r w:rsidR="008C4D30">
        <w:rPr>
          <w:lang w:val="en-US"/>
        </w:rPr>
        <w:t xml:space="preserve">quinoa market structure starts to fundamentally change since the 1990’s. As the quote from Mr. Freddy </w:t>
      </w:r>
      <w:proofErr w:type="spellStart"/>
      <w:r w:rsidR="008C4D30">
        <w:rPr>
          <w:lang w:val="en-US"/>
        </w:rPr>
        <w:t>Mammani</w:t>
      </w:r>
      <w:proofErr w:type="spellEnd"/>
      <w:r w:rsidR="008C4D30">
        <w:rPr>
          <w:lang w:val="en-US"/>
        </w:rPr>
        <w:t xml:space="preserve">, Second Secretary of the Permanent Mission of Bolivia in the United Nations illustrated, up until the 1980’s, the quinoa had pretty much no value in the market. At most, it was a product for exchange yet starting in the 1990’s, the demand for this grain increases dramatically thanks to a change in the preference for organic and fair trade related products, by the consumers in the industrialized countries. </w:t>
      </w:r>
    </w:p>
    <w:p w:rsidR="008C4D30" w:rsidRDefault="008C4D30" w:rsidP="006D52FB">
      <w:pPr>
        <w:pStyle w:val="ListParagraph"/>
        <w:jc w:val="both"/>
        <w:rPr>
          <w:lang w:val="en-US"/>
        </w:rPr>
      </w:pPr>
    </w:p>
    <w:p w:rsidR="00695D2D" w:rsidRDefault="00695D2D" w:rsidP="006D52FB">
      <w:pPr>
        <w:pStyle w:val="ListParagraph"/>
        <w:jc w:val="both"/>
        <w:rPr>
          <w:lang w:val="en-US"/>
        </w:rPr>
      </w:pPr>
      <w:r>
        <w:rPr>
          <w:lang w:val="en-US"/>
        </w:rPr>
        <w:t xml:space="preserve">The first set of actors that enter the quinoa market in response to the changes in the demand for this grain were the peasant producer organizations which pretty much held a monopoly over the market for organic quinoa exports during the 1990’s. Yet, starting in the decade of the 2000’s, new private firms enter the quinoa market displacing the monopoly that the peasant producer organizations had and threaten their dominance in the chain. The implications of such changes will be studied </w:t>
      </w:r>
      <w:r w:rsidRPr="002E27EB">
        <w:rPr>
          <w:lang w:val="en-US"/>
        </w:rPr>
        <w:t xml:space="preserve">in detail in Chapter 4. </w:t>
      </w:r>
    </w:p>
    <w:p w:rsidR="008C4D30" w:rsidRPr="006D52FB" w:rsidRDefault="00695D2D" w:rsidP="006D52FB">
      <w:pPr>
        <w:pStyle w:val="ListParagraph"/>
        <w:jc w:val="both"/>
        <w:rPr>
          <w:lang w:val="en-US"/>
        </w:rPr>
      </w:pPr>
      <w:r>
        <w:rPr>
          <w:lang w:val="en-US"/>
        </w:rPr>
        <w:t xml:space="preserve"> </w:t>
      </w:r>
    </w:p>
    <w:p w:rsidR="003668FF" w:rsidRDefault="003668FF" w:rsidP="003668FF">
      <w:pPr>
        <w:pStyle w:val="ListParagraph"/>
        <w:numPr>
          <w:ilvl w:val="0"/>
          <w:numId w:val="13"/>
        </w:numPr>
        <w:jc w:val="both"/>
        <w:rPr>
          <w:b/>
          <w:lang w:val="en-US"/>
        </w:rPr>
      </w:pPr>
      <w:r w:rsidRPr="00CB5B35">
        <w:rPr>
          <w:b/>
          <w:lang w:val="en-US"/>
        </w:rPr>
        <w:t>“How have these changes in the quinoa market structure affected aspects of income such as producer prices, their bargaining power?</w:t>
      </w:r>
    </w:p>
    <w:p w:rsidR="00695D2D" w:rsidRPr="003B0635" w:rsidRDefault="003B0635" w:rsidP="00695D2D">
      <w:pPr>
        <w:pStyle w:val="ListParagraph"/>
        <w:jc w:val="both"/>
        <w:rPr>
          <w:lang w:val="en-US"/>
        </w:rPr>
      </w:pPr>
      <w:r>
        <w:rPr>
          <w:lang w:val="en-US"/>
        </w:rPr>
        <w:t xml:space="preserve">The entry of new private firms into the quinoa market structure have brought novels forms of competition to the chain such as vertical integration strategies which include “contract systems” that limit the farmers’ bargaining power to its contract specifications. Furthermore, the closed nature of such vertical integration strategies has exacerbated the market loss by the producer organizations which contribute to reinforce the entry of the quinoa farmers into such “contract systems” despite the not so favorable conditions.   The implications of such new business practices on the farmers and producer organizations will be studied in more </w:t>
      </w:r>
      <w:r w:rsidRPr="002E27EB">
        <w:rPr>
          <w:lang w:val="en-US"/>
        </w:rPr>
        <w:t xml:space="preserve">detail in chapter 5. </w:t>
      </w:r>
    </w:p>
    <w:p w:rsidR="00F601A8" w:rsidRDefault="00B26A81" w:rsidP="00E06E16">
      <w:pPr>
        <w:ind w:firstLine="360"/>
        <w:jc w:val="both"/>
        <w:rPr>
          <w:color w:val="FF0000"/>
          <w:lang w:val="en-US"/>
        </w:rPr>
      </w:pPr>
      <w:r>
        <w:rPr>
          <w:lang w:val="en-US"/>
        </w:rPr>
        <w:lastRenderedPageBreak/>
        <w:t>Lastly, the data presented in this paper has been gathered through a combination of desk research and fieldwork in Bolivia where a wide spectrum of actors were interviewed following the GCC analytical framework. These include</w:t>
      </w:r>
      <w:r w:rsidR="00772718">
        <w:rPr>
          <w:lang w:val="en-US"/>
        </w:rPr>
        <w:t xml:space="preserve">: quinoa farmers, </w:t>
      </w:r>
      <w:r w:rsidR="00772718" w:rsidRPr="00772718">
        <w:rPr>
          <w:lang w:val="en-US"/>
        </w:rPr>
        <w:t>producer organizations representatives</w:t>
      </w:r>
      <w:r w:rsidR="00772718">
        <w:rPr>
          <w:lang w:val="en-US"/>
        </w:rPr>
        <w:t xml:space="preserve">, </w:t>
      </w:r>
      <w:r w:rsidR="00772718" w:rsidRPr="00772718">
        <w:rPr>
          <w:lang w:val="en-US"/>
        </w:rPr>
        <w:t>private firms personn</w:t>
      </w:r>
      <w:r w:rsidR="00772718">
        <w:rPr>
          <w:lang w:val="en-US"/>
        </w:rPr>
        <w:t xml:space="preserve">el and </w:t>
      </w:r>
      <w:r w:rsidR="00772718" w:rsidRPr="00772718">
        <w:rPr>
          <w:lang w:val="en-US"/>
        </w:rPr>
        <w:t xml:space="preserve">university lecturers, </w:t>
      </w:r>
      <w:r w:rsidR="00772718">
        <w:rPr>
          <w:lang w:val="en-US"/>
        </w:rPr>
        <w:t xml:space="preserve">located in the cities of Oruro and Potosi in Bolivia. </w:t>
      </w:r>
      <w:r w:rsidR="0014557B">
        <w:rPr>
          <w:lang w:val="en-US"/>
        </w:rPr>
        <w:t xml:space="preserve">In addition, </w:t>
      </w:r>
      <w:r w:rsidR="00772718">
        <w:rPr>
          <w:lang w:val="en-US"/>
        </w:rPr>
        <w:t xml:space="preserve">government officials were interviewed at the UN Headquarters in New York, USA. </w:t>
      </w:r>
      <w:r>
        <w:rPr>
          <w:lang w:val="en-US"/>
        </w:rPr>
        <w:t xml:space="preserve"> </w:t>
      </w:r>
      <w:r w:rsidR="005B7CA8">
        <w:rPr>
          <w:lang w:val="en-US"/>
        </w:rPr>
        <w:t xml:space="preserve">A </w:t>
      </w:r>
      <w:r w:rsidR="005B7CA8" w:rsidRPr="00816B0E">
        <w:rPr>
          <w:lang w:val="en-US"/>
        </w:rPr>
        <w:t xml:space="preserve">total of 35 people </w:t>
      </w:r>
      <w:r w:rsidR="005B7CA8">
        <w:rPr>
          <w:lang w:val="en-US"/>
        </w:rPr>
        <w:t xml:space="preserve">were interviewed. </w:t>
      </w:r>
    </w:p>
    <w:p w:rsidR="001A212C" w:rsidRPr="00D83CC4" w:rsidRDefault="001A212C" w:rsidP="00E06E16">
      <w:pPr>
        <w:ind w:firstLine="360"/>
        <w:jc w:val="both"/>
        <w:rPr>
          <w:lang w:val="en-US"/>
        </w:rPr>
      </w:pPr>
      <w:r w:rsidRPr="002E27EB">
        <w:rPr>
          <w:lang w:val="en-US"/>
        </w:rPr>
        <w:t xml:space="preserve">Fieldwork interviews were </w:t>
      </w:r>
      <w:r w:rsidRPr="00D83CC4">
        <w:rPr>
          <w:lang w:val="en-US"/>
        </w:rPr>
        <w:t xml:space="preserve">conducted looking to gather the </w:t>
      </w:r>
      <w:r w:rsidRPr="00BB7F47">
        <w:rPr>
          <w:lang w:val="en-US"/>
        </w:rPr>
        <w:t xml:space="preserve">current sentiment </w:t>
      </w:r>
      <w:r w:rsidRPr="00D83CC4">
        <w:rPr>
          <w:lang w:val="en-US"/>
        </w:rPr>
        <w:t xml:space="preserve">of the </w:t>
      </w:r>
      <w:r w:rsidR="00D83CC4" w:rsidRPr="00D83CC4">
        <w:rPr>
          <w:lang w:val="en-US"/>
        </w:rPr>
        <w:t xml:space="preserve">different participants </w:t>
      </w:r>
      <w:r w:rsidR="00D83CC4">
        <w:rPr>
          <w:lang w:val="en-US"/>
        </w:rPr>
        <w:t>in</w:t>
      </w:r>
      <w:r w:rsidR="00D83CC4" w:rsidRPr="00D83CC4">
        <w:rPr>
          <w:lang w:val="en-US"/>
        </w:rPr>
        <w:t xml:space="preserve"> the Quinoa Value Chain with a focus on the quinoa farmer. Following the GCC analytical framework to be described next, the questions asked during the fieldwork aimed to uncover the power relations within this chain </w:t>
      </w:r>
      <w:r w:rsidR="00D83CC4">
        <w:rPr>
          <w:lang w:val="en-US"/>
        </w:rPr>
        <w:t xml:space="preserve">looking to bring clarity to what the current quinoa market structure means for the farmers’ income. </w:t>
      </w:r>
    </w:p>
    <w:p w:rsidR="00772718" w:rsidRDefault="00772718">
      <w:pPr>
        <w:rPr>
          <w:b/>
          <w:lang w:val="en-US"/>
        </w:rPr>
      </w:pPr>
    </w:p>
    <w:p w:rsidR="00920D91" w:rsidRDefault="00920D91" w:rsidP="00FA122F">
      <w:pPr>
        <w:spacing w:after="0"/>
        <w:outlineLvl w:val="0"/>
        <w:rPr>
          <w:rFonts w:ascii="Garamond" w:hAnsi="Garamond"/>
          <w:b/>
          <w:sz w:val="36"/>
          <w:szCs w:val="36"/>
          <w:lang w:val="en-US"/>
        </w:rPr>
      </w:pPr>
      <w:bookmarkStart w:id="28" w:name="_Toc342160092"/>
      <w:r>
        <w:rPr>
          <w:rFonts w:ascii="Garamond" w:hAnsi="Garamond"/>
          <w:b/>
          <w:sz w:val="36"/>
          <w:szCs w:val="36"/>
          <w:lang w:val="en-US"/>
        </w:rPr>
        <w:t>Chapter 2</w:t>
      </w:r>
    </w:p>
    <w:p w:rsidR="00BE4DFD" w:rsidRDefault="001661C2" w:rsidP="00FA122F">
      <w:pPr>
        <w:spacing w:after="0"/>
        <w:outlineLvl w:val="0"/>
        <w:rPr>
          <w:rFonts w:ascii="Garamond" w:hAnsi="Garamond"/>
          <w:b/>
          <w:sz w:val="36"/>
          <w:szCs w:val="36"/>
          <w:lang w:val="en-US"/>
        </w:rPr>
      </w:pPr>
      <w:r w:rsidRPr="00FA122F">
        <w:rPr>
          <w:rFonts w:ascii="Garamond" w:hAnsi="Garamond"/>
          <w:b/>
          <w:sz w:val="36"/>
          <w:szCs w:val="36"/>
          <w:lang w:val="en-US"/>
        </w:rPr>
        <w:t xml:space="preserve">Changes in the Quinoa Value Chain analyzed through the Global Commodity Chain </w:t>
      </w:r>
      <w:r w:rsidR="0075079F" w:rsidRPr="00FA122F">
        <w:rPr>
          <w:rFonts w:ascii="Garamond" w:hAnsi="Garamond"/>
          <w:b/>
          <w:sz w:val="36"/>
          <w:szCs w:val="36"/>
          <w:lang w:val="en-US"/>
        </w:rPr>
        <w:t>lens</w:t>
      </w:r>
      <w:bookmarkEnd w:id="28"/>
    </w:p>
    <w:p w:rsidR="00920D91" w:rsidRPr="00FA122F" w:rsidRDefault="00920D91" w:rsidP="00FA122F">
      <w:pPr>
        <w:outlineLvl w:val="0"/>
        <w:rPr>
          <w:rFonts w:ascii="Garamond" w:hAnsi="Garamond"/>
          <w:b/>
          <w:sz w:val="36"/>
          <w:szCs w:val="36"/>
          <w:lang w:val="en-US"/>
        </w:rPr>
      </w:pPr>
    </w:p>
    <w:p w:rsidR="00420D50" w:rsidRPr="00CB0F9C" w:rsidRDefault="00420D50" w:rsidP="00420D50">
      <w:pPr>
        <w:jc w:val="both"/>
        <w:rPr>
          <w:lang w:val="en-US"/>
        </w:rPr>
      </w:pPr>
      <w:r w:rsidRPr="00CB0F9C">
        <w:rPr>
          <w:lang w:val="en-US"/>
        </w:rPr>
        <w:t xml:space="preserve">The ways in which the world communicates and </w:t>
      </w:r>
      <w:r w:rsidRPr="00E13661">
        <w:rPr>
          <w:lang w:val="en-US"/>
        </w:rPr>
        <w:t xml:space="preserve">trades have </w:t>
      </w:r>
      <w:r w:rsidRPr="00CB0F9C">
        <w:rPr>
          <w:lang w:val="en-US"/>
        </w:rPr>
        <w:t xml:space="preserve">significantly changed over the past 20 years, and so have </w:t>
      </w:r>
      <w:r w:rsidR="00634771">
        <w:rPr>
          <w:lang w:val="en-US"/>
        </w:rPr>
        <w:t xml:space="preserve">the rules of the game under what is known as </w:t>
      </w:r>
      <w:r w:rsidRPr="00CB0F9C">
        <w:rPr>
          <w:lang w:val="en-US"/>
        </w:rPr>
        <w:t xml:space="preserve">Globalization. </w:t>
      </w:r>
    </w:p>
    <w:p w:rsidR="00FF5B3F" w:rsidRDefault="0042466A" w:rsidP="00E06E16">
      <w:pPr>
        <w:ind w:firstLine="720"/>
        <w:jc w:val="both"/>
        <w:rPr>
          <w:lang w:val="en-US"/>
        </w:rPr>
      </w:pPr>
      <w:r>
        <w:rPr>
          <w:lang w:val="en-US"/>
        </w:rPr>
        <w:t>In economic terms</w:t>
      </w:r>
      <w:r w:rsidR="005210EB">
        <w:rPr>
          <w:lang w:val="en-US"/>
        </w:rPr>
        <w:t>,</w:t>
      </w:r>
      <w:r>
        <w:rPr>
          <w:lang w:val="en-US"/>
        </w:rPr>
        <w:t xml:space="preserve"> there have </w:t>
      </w:r>
      <w:r w:rsidRPr="00E13661">
        <w:rPr>
          <w:lang w:val="en-US"/>
        </w:rPr>
        <w:t xml:space="preserve">been important shifts in the global production and trading system, which </w:t>
      </w:r>
      <w:r>
        <w:rPr>
          <w:lang w:val="en-US"/>
        </w:rPr>
        <w:t xml:space="preserve">are characterized by: a) the disintegration of the stages of the production process </w:t>
      </w:r>
      <w:r w:rsidR="005210EB">
        <w:rPr>
          <w:lang w:val="en-US"/>
        </w:rPr>
        <w:t xml:space="preserve">and </w:t>
      </w:r>
      <w:r>
        <w:rPr>
          <w:lang w:val="en-US"/>
        </w:rPr>
        <w:t xml:space="preserve">consumption across national boundaries, b) the increasing spread between producer prices and consumer prices; while producer prices go down, consumer prices do not, c) </w:t>
      </w:r>
      <w:r w:rsidR="00EA3111">
        <w:rPr>
          <w:lang w:val="en-US"/>
        </w:rPr>
        <w:t xml:space="preserve">it is common for products to be produced in developing countries and be consumed in the industrialized </w:t>
      </w:r>
      <w:r w:rsidR="00FD01B5">
        <w:rPr>
          <w:lang w:val="en-US"/>
        </w:rPr>
        <w:t>on</w:t>
      </w:r>
      <w:r w:rsidR="00EA3111">
        <w:rPr>
          <w:lang w:val="en-US"/>
        </w:rPr>
        <w:t>es, d) intangible aspects of the production process such as marketing, brand development and design are key factors in securing real profits, e) Multinational Corporations (MNC) exert powerful influence in the coordination and governance of global production and trade, lastly f</w:t>
      </w:r>
      <w:r w:rsidR="00EA3111" w:rsidRPr="00634771">
        <w:rPr>
          <w:lang w:val="en-US"/>
        </w:rPr>
        <w:t>) “flexible systems of production” characterized by sub-contracting and off-loading less profitable activities onto smaller and weaker firms</w:t>
      </w:r>
      <w:r w:rsidR="00F730A3" w:rsidRPr="00634771">
        <w:rPr>
          <w:lang w:val="en-US"/>
        </w:rPr>
        <w:t xml:space="preserve"> </w:t>
      </w:r>
      <w:r w:rsidR="00435A53" w:rsidRPr="00634771">
        <w:rPr>
          <w:lang w:val="en-US"/>
        </w:rPr>
        <w:t xml:space="preserve">are more and </w:t>
      </w:r>
      <w:r w:rsidR="00D45974" w:rsidRPr="00634771">
        <w:rPr>
          <w:lang w:val="en-US"/>
        </w:rPr>
        <w:t xml:space="preserve">more prominent in today’s global production and trading </w:t>
      </w:r>
      <w:r w:rsidR="00D45974" w:rsidRPr="00046BF3">
        <w:rPr>
          <w:lang w:val="en-US"/>
        </w:rPr>
        <w:t xml:space="preserve">system </w:t>
      </w:r>
      <w:r w:rsidR="00046BF3" w:rsidRPr="00046BF3">
        <w:rPr>
          <w:lang w:val="en-US"/>
        </w:rPr>
        <w:t>(Newman, 2009</w:t>
      </w:r>
      <w:r w:rsidR="00D45974" w:rsidRPr="00046BF3">
        <w:rPr>
          <w:lang w:val="en-US"/>
        </w:rPr>
        <w:t xml:space="preserve">). </w:t>
      </w:r>
    </w:p>
    <w:p w:rsidR="00DE5ADE" w:rsidRPr="00CB0F9C" w:rsidRDefault="009D2BFD" w:rsidP="00E06E16">
      <w:pPr>
        <w:ind w:firstLine="720"/>
        <w:jc w:val="both"/>
        <w:rPr>
          <w:lang w:val="en-US"/>
        </w:rPr>
      </w:pPr>
      <w:r w:rsidRPr="00CB0F9C">
        <w:rPr>
          <w:lang w:val="en-US"/>
        </w:rPr>
        <w:t xml:space="preserve">Interestingly, the changes that the quinoa market </w:t>
      </w:r>
      <w:r w:rsidR="00CB0F9C" w:rsidRPr="00CB0F9C">
        <w:rPr>
          <w:lang w:val="en-US"/>
        </w:rPr>
        <w:t>structure has</w:t>
      </w:r>
      <w:r w:rsidR="00EB5DCD" w:rsidRPr="00CB0F9C">
        <w:rPr>
          <w:lang w:val="en-US"/>
        </w:rPr>
        <w:t xml:space="preserve"> </w:t>
      </w:r>
      <w:r w:rsidR="004623BC" w:rsidRPr="00CB0F9C">
        <w:rPr>
          <w:lang w:val="en-US"/>
        </w:rPr>
        <w:t xml:space="preserve">undergone </w:t>
      </w:r>
      <w:r w:rsidRPr="00CB0F9C">
        <w:rPr>
          <w:lang w:val="en-US"/>
        </w:rPr>
        <w:t>during the last 20 years follow similar pattern</w:t>
      </w:r>
      <w:r w:rsidR="005D3926" w:rsidRPr="00CB0F9C">
        <w:rPr>
          <w:lang w:val="en-US"/>
        </w:rPr>
        <w:t>s</w:t>
      </w:r>
      <w:r w:rsidRPr="00CB0F9C">
        <w:rPr>
          <w:lang w:val="en-US"/>
        </w:rPr>
        <w:t xml:space="preserve"> and characteristics. </w:t>
      </w:r>
      <w:r w:rsidR="00DE5ADE" w:rsidRPr="00CB0F9C">
        <w:rPr>
          <w:lang w:val="en-US"/>
        </w:rPr>
        <w:t xml:space="preserve">For example: </w:t>
      </w:r>
    </w:p>
    <w:p w:rsidR="009D2BFD" w:rsidRPr="000F3946" w:rsidRDefault="000F3946" w:rsidP="00DE5ADE">
      <w:pPr>
        <w:pStyle w:val="ListParagraph"/>
        <w:numPr>
          <w:ilvl w:val="0"/>
          <w:numId w:val="14"/>
        </w:numPr>
        <w:jc w:val="both"/>
        <w:rPr>
          <w:lang w:val="en-US"/>
        </w:rPr>
      </w:pPr>
      <w:r w:rsidRPr="000F3946">
        <w:rPr>
          <w:lang w:val="en-US"/>
        </w:rPr>
        <w:t>The</w:t>
      </w:r>
      <w:r w:rsidR="00514D54" w:rsidRPr="000F3946">
        <w:rPr>
          <w:lang w:val="en-US"/>
        </w:rPr>
        <w:t xml:space="preserve"> disintegration of the production process </w:t>
      </w:r>
      <w:r w:rsidR="00BF1D1E" w:rsidRPr="000F3946">
        <w:rPr>
          <w:lang w:val="en-US"/>
        </w:rPr>
        <w:t xml:space="preserve">(flexible systems of production) </w:t>
      </w:r>
      <w:r w:rsidRPr="000F3946">
        <w:rPr>
          <w:lang w:val="en-US"/>
        </w:rPr>
        <w:t>and consumption</w:t>
      </w:r>
      <w:r w:rsidR="00514D54" w:rsidRPr="000F3946">
        <w:rPr>
          <w:lang w:val="en-US"/>
        </w:rPr>
        <w:t xml:space="preserve"> across national </w:t>
      </w:r>
      <w:r w:rsidRPr="000F3946">
        <w:rPr>
          <w:lang w:val="en-US"/>
        </w:rPr>
        <w:t>boundaries</w:t>
      </w:r>
      <w:r w:rsidR="00514D54" w:rsidRPr="000F3946">
        <w:rPr>
          <w:lang w:val="en-US"/>
        </w:rPr>
        <w:t xml:space="preserve"> is manifested in the fact that </w:t>
      </w:r>
      <w:r w:rsidR="009931EC" w:rsidRPr="000F3946">
        <w:rPr>
          <w:lang w:val="en-US"/>
        </w:rPr>
        <w:t>although the production of the qui</w:t>
      </w:r>
      <w:r w:rsidR="00514D54" w:rsidRPr="000F3946">
        <w:rPr>
          <w:lang w:val="en-US"/>
        </w:rPr>
        <w:t xml:space="preserve">noa product </w:t>
      </w:r>
      <w:r w:rsidR="002F338E" w:rsidRPr="000F3946">
        <w:rPr>
          <w:lang w:val="en-US"/>
        </w:rPr>
        <w:t>starts in Bolivian processing centers, the final stages of the process are usually finished in the destination country, closer to the consumer.</w:t>
      </w:r>
      <w:r w:rsidR="002F338E" w:rsidRPr="000F3946" w:rsidDel="002F338E">
        <w:rPr>
          <w:lang w:val="en-US"/>
        </w:rPr>
        <w:t xml:space="preserve"> </w:t>
      </w:r>
    </w:p>
    <w:p w:rsidR="00B57861" w:rsidRPr="000F3946" w:rsidRDefault="00B57861" w:rsidP="00B57861">
      <w:pPr>
        <w:pStyle w:val="ListParagraph"/>
        <w:ind w:left="1125"/>
        <w:jc w:val="both"/>
        <w:rPr>
          <w:lang w:val="en-US"/>
        </w:rPr>
      </w:pPr>
    </w:p>
    <w:p w:rsidR="00DE5ADE" w:rsidRDefault="000F3946" w:rsidP="00DE5ADE">
      <w:pPr>
        <w:pStyle w:val="ListParagraph"/>
        <w:numPr>
          <w:ilvl w:val="0"/>
          <w:numId w:val="14"/>
        </w:numPr>
        <w:jc w:val="both"/>
        <w:rPr>
          <w:i/>
          <w:lang w:val="en-US"/>
        </w:rPr>
      </w:pPr>
      <w:r w:rsidRPr="000F3946">
        <w:rPr>
          <w:lang w:val="en-US"/>
        </w:rPr>
        <w:lastRenderedPageBreak/>
        <w:t>The</w:t>
      </w:r>
      <w:r w:rsidR="00B57861" w:rsidRPr="000F3946">
        <w:rPr>
          <w:lang w:val="en-US"/>
        </w:rPr>
        <w:t xml:space="preserve"> increasing spread between producer prices and consumer prices can also be seen in the quinoa case. As demonstrated earlier</w:t>
      </w:r>
      <w:r w:rsidR="002F338E" w:rsidRPr="000F3946">
        <w:rPr>
          <w:lang w:val="en-US"/>
        </w:rPr>
        <w:t>,</w:t>
      </w:r>
      <w:r w:rsidR="00B57861" w:rsidRPr="000F3946">
        <w:rPr>
          <w:lang w:val="en-US"/>
        </w:rPr>
        <w:t xml:space="preserve"> quinoa</w:t>
      </w:r>
      <w:r w:rsidR="002F338E" w:rsidRPr="000F3946">
        <w:rPr>
          <w:lang w:val="en-US"/>
        </w:rPr>
        <w:t xml:space="preserve"> export</w:t>
      </w:r>
      <w:r w:rsidR="00B57861" w:rsidRPr="000F3946">
        <w:rPr>
          <w:lang w:val="en-US"/>
        </w:rPr>
        <w:t xml:space="preserve"> prices have shot up </w:t>
      </w:r>
      <w:r w:rsidR="002F338E" w:rsidRPr="000F3946">
        <w:rPr>
          <w:lang w:val="en-US"/>
        </w:rPr>
        <w:t xml:space="preserve">significantly </w:t>
      </w:r>
      <w:r w:rsidR="00B57861" w:rsidRPr="000F3946">
        <w:rPr>
          <w:lang w:val="en-US"/>
        </w:rPr>
        <w:t>over the last 20 years</w:t>
      </w:r>
      <w:r w:rsidR="002F338E" w:rsidRPr="000F3946">
        <w:rPr>
          <w:lang w:val="en-US"/>
        </w:rPr>
        <w:t>.</w:t>
      </w:r>
      <w:r w:rsidR="00CE4BB5" w:rsidRPr="000F3946">
        <w:rPr>
          <w:lang w:val="en-US"/>
        </w:rPr>
        <w:t xml:space="preserve"> </w:t>
      </w:r>
      <w:r w:rsidR="002F338E" w:rsidRPr="000F3946">
        <w:rPr>
          <w:lang w:val="en-US"/>
        </w:rPr>
        <w:t>H</w:t>
      </w:r>
      <w:r w:rsidR="00B57861" w:rsidRPr="000F3946">
        <w:rPr>
          <w:lang w:val="en-US"/>
        </w:rPr>
        <w:t>owever</w:t>
      </w:r>
      <w:r w:rsidR="002F338E" w:rsidRPr="000F3946">
        <w:rPr>
          <w:lang w:val="en-US"/>
        </w:rPr>
        <w:t>,</w:t>
      </w:r>
      <w:r w:rsidR="00B57861" w:rsidRPr="000F3946">
        <w:rPr>
          <w:lang w:val="en-US"/>
        </w:rPr>
        <w:t xml:space="preserve"> </w:t>
      </w:r>
      <w:r w:rsidR="00BF4AA7" w:rsidRPr="000F3946">
        <w:rPr>
          <w:lang w:val="en-US"/>
        </w:rPr>
        <w:t>quinoa</w:t>
      </w:r>
      <w:r w:rsidR="00B57861" w:rsidRPr="000F3946">
        <w:rPr>
          <w:lang w:val="en-US"/>
        </w:rPr>
        <w:t xml:space="preserve"> </w:t>
      </w:r>
      <w:r w:rsidR="00B57861" w:rsidRPr="000F3946">
        <w:rPr>
          <w:u w:val="single"/>
          <w:lang w:val="en-US"/>
        </w:rPr>
        <w:t>producer</w:t>
      </w:r>
      <w:r w:rsidR="00B57861" w:rsidRPr="000F3946">
        <w:rPr>
          <w:lang w:val="en-US"/>
        </w:rPr>
        <w:t xml:space="preserve"> prices </w:t>
      </w:r>
      <w:r w:rsidR="00BF4AA7" w:rsidRPr="000F3946">
        <w:rPr>
          <w:lang w:val="en-US"/>
        </w:rPr>
        <w:t>seem to actually be on a downward trend with an increasing gap between producer prices and export prices as the following</w:t>
      </w:r>
      <w:r w:rsidR="00BF4AA7">
        <w:rPr>
          <w:i/>
          <w:lang w:val="en-US"/>
        </w:rPr>
        <w:t xml:space="preserve"> </w:t>
      </w:r>
      <w:r>
        <w:rPr>
          <w:lang w:val="en-US"/>
        </w:rPr>
        <w:t>figure</w:t>
      </w:r>
      <w:r w:rsidR="00BF4AA7" w:rsidRPr="000F3946">
        <w:rPr>
          <w:lang w:val="en-US"/>
        </w:rPr>
        <w:t>s illustrate.</w:t>
      </w:r>
      <w:r w:rsidR="00BF4AA7">
        <w:rPr>
          <w:i/>
          <w:lang w:val="en-US"/>
        </w:rPr>
        <w:t xml:space="preserve"> </w:t>
      </w:r>
    </w:p>
    <w:p w:rsidR="00A365CE" w:rsidRPr="00A365CE" w:rsidRDefault="00A365CE" w:rsidP="00A365CE">
      <w:pPr>
        <w:pStyle w:val="ListParagraph"/>
        <w:rPr>
          <w:i/>
          <w:lang w:val="en-US"/>
        </w:rPr>
      </w:pPr>
    </w:p>
    <w:p w:rsidR="00C82D94" w:rsidRPr="00A365CE" w:rsidRDefault="00C82D94" w:rsidP="00A365CE">
      <w:pPr>
        <w:pStyle w:val="ListParagraph"/>
        <w:ind w:left="1125"/>
        <w:jc w:val="center"/>
        <w:rPr>
          <w:b/>
          <w:i/>
          <w:lang w:val="en-US"/>
        </w:rPr>
      </w:pPr>
    </w:p>
    <w:p w:rsidR="005F131E" w:rsidRDefault="00967F17" w:rsidP="00E06E16">
      <w:pPr>
        <w:pStyle w:val="ListParagraph"/>
        <w:keepNext/>
        <w:ind w:left="1125"/>
        <w:jc w:val="both"/>
      </w:pPr>
      <w:r>
        <w:rPr>
          <w:i/>
          <w:noProof/>
          <w:lang w:val="en-US"/>
        </w:rPr>
        <w:drawing>
          <wp:inline distT="0" distB="0" distL="0" distR="0" wp14:anchorId="5A3FF9CC" wp14:editId="635EDEEC">
            <wp:extent cx="5486400" cy="3200400"/>
            <wp:effectExtent l="0" t="0" r="19050" b="1905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365CE" w:rsidRPr="00E06E16" w:rsidRDefault="005F131E" w:rsidP="00E06E16">
      <w:pPr>
        <w:pStyle w:val="ListParagraph"/>
        <w:ind w:left="1125"/>
        <w:jc w:val="center"/>
        <w:rPr>
          <w:b/>
          <w:i/>
          <w:lang w:val="en-US"/>
        </w:rPr>
      </w:pPr>
      <w:bookmarkStart w:id="29" w:name="_Ref342157913"/>
      <w:r w:rsidRPr="00E06E16">
        <w:rPr>
          <w:b/>
          <w:i/>
          <w:lang w:val="en-US"/>
        </w:rPr>
        <w:t xml:space="preserve">Figure </w:t>
      </w:r>
      <w:r>
        <w:rPr>
          <w:b/>
          <w:i/>
          <w:lang w:val="en-US"/>
        </w:rPr>
        <w:fldChar w:fldCharType="begin"/>
      </w:r>
      <w:r>
        <w:rPr>
          <w:b/>
          <w:i/>
          <w:lang w:val="en-US"/>
        </w:rPr>
        <w:instrText xml:space="preserve"> SEQ Figure \* ARABIC </w:instrText>
      </w:r>
      <w:r>
        <w:rPr>
          <w:b/>
          <w:i/>
          <w:lang w:val="en-US"/>
        </w:rPr>
        <w:fldChar w:fldCharType="separate"/>
      </w:r>
      <w:r w:rsidR="00A26AAC">
        <w:rPr>
          <w:b/>
          <w:i/>
          <w:noProof/>
          <w:lang w:val="en-US"/>
        </w:rPr>
        <w:t>5</w:t>
      </w:r>
      <w:r>
        <w:rPr>
          <w:b/>
          <w:i/>
          <w:lang w:val="en-US"/>
        </w:rPr>
        <w:fldChar w:fldCharType="end"/>
      </w:r>
      <w:r w:rsidRPr="00E06E16">
        <w:rPr>
          <w:b/>
          <w:i/>
          <w:lang w:val="en-US"/>
        </w:rPr>
        <w:t>: Producer prices as a share of exporter prices (US$/MT)</w:t>
      </w:r>
      <w:bookmarkEnd w:id="29"/>
    </w:p>
    <w:p w:rsidR="00C82D94" w:rsidRDefault="00C82D94" w:rsidP="00A365CE">
      <w:pPr>
        <w:pStyle w:val="ListParagraph"/>
        <w:ind w:left="1125"/>
        <w:jc w:val="both"/>
        <w:rPr>
          <w:i/>
          <w:lang w:val="en-US"/>
        </w:rPr>
      </w:pPr>
    </w:p>
    <w:p w:rsidR="00294999" w:rsidRDefault="00294999" w:rsidP="00294999">
      <w:pPr>
        <w:pStyle w:val="ListParagraph"/>
        <w:ind w:left="1125"/>
        <w:jc w:val="center"/>
        <w:rPr>
          <w:b/>
          <w:i/>
          <w:lang w:val="en-US"/>
        </w:rPr>
      </w:pPr>
    </w:p>
    <w:p w:rsidR="00294999" w:rsidRDefault="00294999" w:rsidP="00294999">
      <w:pPr>
        <w:pStyle w:val="ListParagraph"/>
        <w:ind w:left="1125"/>
        <w:jc w:val="center"/>
        <w:rPr>
          <w:b/>
          <w:i/>
          <w:lang w:val="en-US"/>
        </w:rPr>
      </w:pPr>
    </w:p>
    <w:p w:rsidR="00294999" w:rsidRDefault="00294999" w:rsidP="00294999">
      <w:pPr>
        <w:pStyle w:val="ListParagraph"/>
        <w:ind w:left="1125"/>
        <w:jc w:val="center"/>
        <w:rPr>
          <w:b/>
          <w:i/>
          <w:lang w:val="en-US"/>
        </w:rPr>
      </w:pPr>
    </w:p>
    <w:p w:rsidR="00F63296" w:rsidRDefault="00F63296" w:rsidP="00294999">
      <w:pPr>
        <w:pStyle w:val="ListParagraph"/>
        <w:ind w:left="1125"/>
        <w:jc w:val="center"/>
        <w:rPr>
          <w:b/>
          <w:i/>
          <w:lang w:val="en-US"/>
        </w:rPr>
      </w:pPr>
    </w:p>
    <w:p w:rsidR="00294999" w:rsidRDefault="00294999" w:rsidP="00294999">
      <w:pPr>
        <w:pStyle w:val="ListParagraph"/>
        <w:ind w:left="1125"/>
        <w:jc w:val="center"/>
        <w:rPr>
          <w:b/>
          <w:i/>
          <w:lang w:val="en-US"/>
        </w:rPr>
      </w:pPr>
    </w:p>
    <w:p w:rsidR="00294999" w:rsidRDefault="00294999" w:rsidP="00294999">
      <w:pPr>
        <w:pStyle w:val="ListParagraph"/>
        <w:ind w:left="1125"/>
        <w:jc w:val="center"/>
        <w:rPr>
          <w:b/>
          <w:i/>
          <w:lang w:val="en-US"/>
        </w:rPr>
      </w:pPr>
    </w:p>
    <w:p w:rsidR="005F131E" w:rsidRDefault="00294999" w:rsidP="00E06E16">
      <w:pPr>
        <w:pStyle w:val="ListParagraph"/>
        <w:keepNext/>
        <w:ind w:left="1125"/>
        <w:jc w:val="center"/>
      </w:pPr>
      <w:r>
        <w:rPr>
          <w:b/>
          <w:i/>
          <w:noProof/>
          <w:lang w:val="en-US"/>
        </w:rPr>
        <w:lastRenderedPageBreak/>
        <w:drawing>
          <wp:inline distT="0" distB="0" distL="0" distR="0" wp14:anchorId="499AFF71" wp14:editId="5A46679E">
            <wp:extent cx="5486400" cy="3200400"/>
            <wp:effectExtent l="0" t="0" r="19050" b="1905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94999" w:rsidRPr="00294999" w:rsidRDefault="005F131E" w:rsidP="003C536B">
      <w:pPr>
        <w:pStyle w:val="ListParagraph"/>
        <w:ind w:left="1125"/>
        <w:jc w:val="center"/>
        <w:rPr>
          <w:b/>
          <w:i/>
          <w:lang w:val="en-US"/>
        </w:rPr>
      </w:pPr>
      <w:bookmarkStart w:id="30" w:name="_Ref342157920"/>
      <w:r w:rsidRPr="00E06E16">
        <w:rPr>
          <w:b/>
          <w:i/>
          <w:lang w:val="en-US"/>
        </w:rPr>
        <w:t xml:space="preserve">Figure </w:t>
      </w:r>
      <w:r>
        <w:rPr>
          <w:b/>
          <w:i/>
          <w:lang w:val="en-US"/>
        </w:rPr>
        <w:fldChar w:fldCharType="begin"/>
      </w:r>
      <w:r>
        <w:rPr>
          <w:b/>
          <w:i/>
          <w:lang w:val="en-US"/>
        </w:rPr>
        <w:instrText xml:space="preserve"> SEQ Figure \* ARABIC </w:instrText>
      </w:r>
      <w:r>
        <w:rPr>
          <w:b/>
          <w:i/>
          <w:lang w:val="en-US"/>
        </w:rPr>
        <w:fldChar w:fldCharType="separate"/>
      </w:r>
      <w:r w:rsidR="00A26AAC">
        <w:rPr>
          <w:b/>
          <w:i/>
          <w:noProof/>
          <w:lang w:val="en-US"/>
        </w:rPr>
        <w:t>6</w:t>
      </w:r>
      <w:r>
        <w:rPr>
          <w:b/>
          <w:i/>
          <w:lang w:val="en-US"/>
        </w:rPr>
        <w:fldChar w:fldCharType="end"/>
      </w:r>
      <w:r w:rsidRPr="00E06E16">
        <w:rPr>
          <w:b/>
          <w:i/>
          <w:lang w:val="en-US"/>
        </w:rPr>
        <w:t>: Producer prices versus exporter prices (US$/MT)</w:t>
      </w:r>
      <w:bookmarkEnd w:id="30"/>
    </w:p>
    <w:p w:rsidR="00294999" w:rsidRDefault="00294999" w:rsidP="00A365CE">
      <w:pPr>
        <w:pStyle w:val="ListParagraph"/>
        <w:ind w:left="1125"/>
        <w:jc w:val="both"/>
        <w:rPr>
          <w:i/>
          <w:lang w:val="en-US"/>
        </w:rPr>
      </w:pPr>
    </w:p>
    <w:p w:rsidR="00A365CE" w:rsidRPr="000F3946" w:rsidRDefault="002F338E" w:rsidP="004061BA">
      <w:pPr>
        <w:pStyle w:val="ListParagraph"/>
        <w:numPr>
          <w:ilvl w:val="0"/>
          <w:numId w:val="14"/>
        </w:numPr>
        <w:jc w:val="both"/>
        <w:rPr>
          <w:i/>
          <w:lang w:val="en-US"/>
        </w:rPr>
      </w:pPr>
      <w:r w:rsidRPr="000F3946">
        <w:rPr>
          <w:i/>
          <w:lang w:val="en-US"/>
        </w:rPr>
        <w:t>I</w:t>
      </w:r>
      <w:r w:rsidR="0046541D" w:rsidRPr="000F3946">
        <w:rPr>
          <w:i/>
          <w:lang w:val="en-US"/>
        </w:rPr>
        <w:t>t is common for products to be produced in developing countries and</w:t>
      </w:r>
      <w:r w:rsidR="00CB0F9C" w:rsidRPr="000F3946">
        <w:rPr>
          <w:i/>
          <w:lang w:val="en-US"/>
        </w:rPr>
        <w:t xml:space="preserve"> consumed in i</w:t>
      </w:r>
      <w:r w:rsidR="0046541D" w:rsidRPr="000F3946">
        <w:rPr>
          <w:i/>
          <w:lang w:val="en-US"/>
        </w:rPr>
        <w:t>ndustrialized ones</w:t>
      </w:r>
      <w:r w:rsidRPr="000F3946">
        <w:rPr>
          <w:i/>
          <w:lang w:val="en-US"/>
        </w:rPr>
        <w:t>.</w:t>
      </w:r>
      <w:r w:rsidR="0046541D" w:rsidRPr="000F3946">
        <w:rPr>
          <w:i/>
          <w:lang w:val="en-US"/>
        </w:rPr>
        <w:t xml:space="preserve"> </w:t>
      </w:r>
      <w:r w:rsidRPr="000F3946">
        <w:rPr>
          <w:i/>
          <w:lang w:val="en-US"/>
        </w:rPr>
        <w:t xml:space="preserve">In fact, </w:t>
      </w:r>
      <w:r w:rsidR="007672DA" w:rsidRPr="000F3946">
        <w:rPr>
          <w:i/>
          <w:lang w:val="en-US"/>
        </w:rPr>
        <w:t>internal quinoa consumption in Bo</w:t>
      </w:r>
      <w:r w:rsidR="00EB0524" w:rsidRPr="000F3946">
        <w:rPr>
          <w:i/>
          <w:lang w:val="en-US"/>
        </w:rPr>
        <w:t xml:space="preserve">livia is quite low compared to </w:t>
      </w:r>
      <w:r w:rsidR="007672DA" w:rsidRPr="000F3946">
        <w:rPr>
          <w:i/>
          <w:lang w:val="en-US"/>
        </w:rPr>
        <w:t xml:space="preserve">its demand and consumption in the industrialized countries. </w:t>
      </w:r>
      <w:r w:rsidR="00F63296" w:rsidRPr="000F3946">
        <w:rPr>
          <w:i/>
          <w:lang w:val="en-US"/>
        </w:rPr>
        <w:t>Accordin</w:t>
      </w:r>
      <w:r w:rsidRPr="000F3946">
        <w:rPr>
          <w:i/>
          <w:lang w:val="en-US"/>
        </w:rPr>
        <w:t>g</w:t>
      </w:r>
      <w:r w:rsidR="007E4B25" w:rsidRPr="000F3946">
        <w:rPr>
          <w:i/>
          <w:lang w:val="en-US"/>
        </w:rPr>
        <w:t xml:space="preserve"> to the </w:t>
      </w:r>
      <w:r w:rsidR="00EB0524" w:rsidRPr="000F3946">
        <w:rPr>
          <w:i/>
          <w:lang w:val="en-US"/>
        </w:rPr>
        <w:t xml:space="preserve">Bolivian </w:t>
      </w:r>
      <w:r w:rsidR="007E4B25" w:rsidRPr="000F3946">
        <w:rPr>
          <w:i/>
          <w:lang w:val="en-US"/>
        </w:rPr>
        <w:t xml:space="preserve">Vice Minister of Rural Development Victor Hugo Vazquez, internal quinoa consumption for this year (2012) will be limited to a total of 12.000 tons which is considered a very low figure. In a </w:t>
      </w:r>
      <w:r w:rsidR="00326DE9">
        <w:rPr>
          <w:i/>
          <w:lang w:val="en-US"/>
        </w:rPr>
        <w:t>very different</w:t>
      </w:r>
      <w:r w:rsidR="00CC3E2C" w:rsidRPr="000F3946">
        <w:rPr>
          <w:i/>
          <w:lang w:val="en-US"/>
        </w:rPr>
        <w:t xml:space="preserve"> manner </w:t>
      </w:r>
      <w:r w:rsidR="007E4B25" w:rsidRPr="000F3946">
        <w:rPr>
          <w:i/>
          <w:lang w:val="en-US"/>
        </w:rPr>
        <w:t xml:space="preserve">to the external consumption of quinoa, the internal consumption has barely increased by a </w:t>
      </w:r>
      <w:r w:rsidR="00EB0524" w:rsidRPr="000F3946">
        <w:rPr>
          <w:i/>
          <w:lang w:val="en-US"/>
        </w:rPr>
        <w:t>little</w:t>
      </w:r>
      <w:r w:rsidR="007E4B25" w:rsidRPr="000F3946">
        <w:rPr>
          <w:i/>
          <w:lang w:val="en-US"/>
        </w:rPr>
        <w:t xml:space="preserve"> more than a kilo per capita over the past few years</w:t>
      </w:r>
      <w:r w:rsidR="002D3FD5" w:rsidRPr="000F3946">
        <w:rPr>
          <w:i/>
          <w:lang w:val="en-US"/>
        </w:rPr>
        <w:t xml:space="preserve"> </w:t>
      </w:r>
      <w:r w:rsidR="007E4B25" w:rsidRPr="002E27EB">
        <w:rPr>
          <w:i/>
          <w:lang w:val="en-US"/>
        </w:rPr>
        <w:t>(</w:t>
      </w:r>
      <w:proofErr w:type="spellStart"/>
      <w:r w:rsidR="00E13661" w:rsidRPr="002E27EB">
        <w:rPr>
          <w:i/>
          <w:lang w:val="en-US"/>
        </w:rPr>
        <w:t>Exportacio</w:t>
      </w:r>
      <w:r w:rsidR="00D9561A" w:rsidRPr="002E27EB">
        <w:rPr>
          <w:i/>
          <w:lang w:val="en-US"/>
        </w:rPr>
        <w:t>n</w:t>
      </w:r>
      <w:proofErr w:type="spellEnd"/>
      <w:r w:rsidR="00D9561A" w:rsidRPr="002E27EB">
        <w:rPr>
          <w:i/>
          <w:lang w:val="en-US"/>
        </w:rPr>
        <w:t xml:space="preserve"> de Quinoa se </w:t>
      </w:r>
      <w:proofErr w:type="spellStart"/>
      <w:r w:rsidR="00D9561A" w:rsidRPr="002E27EB">
        <w:rPr>
          <w:i/>
          <w:lang w:val="en-US"/>
        </w:rPr>
        <w:t>duplicara</w:t>
      </w:r>
      <w:proofErr w:type="spellEnd"/>
      <w:r w:rsidR="00D9561A" w:rsidRPr="002E27EB">
        <w:rPr>
          <w:i/>
          <w:lang w:val="en-US"/>
        </w:rPr>
        <w:t xml:space="preserve"> el </w:t>
      </w:r>
      <w:r w:rsidR="007E4B25" w:rsidRPr="002E27EB">
        <w:rPr>
          <w:i/>
          <w:lang w:val="en-US"/>
        </w:rPr>
        <w:t xml:space="preserve">2012). </w:t>
      </w:r>
    </w:p>
    <w:p w:rsidR="004061BA" w:rsidRPr="000F3946" w:rsidRDefault="004061BA" w:rsidP="004061BA">
      <w:pPr>
        <w:pStyle w:val="ListParagraph"/>
        <w:ind w:left="1125"/>
        <w:jc w:val="both"/>
        <w:rPr>
          <w:i/>
          <w:lang w:val="en-US"/>
        </w:rPr>
      </w:pPr>
    </w:p>
    <w:p w:rsidR="004061BA" w:rsidRDefault="00CC3E2C" w:rsidP="004061BA">
      <w:pPr>
        <w:pStyle w:val="ListParagraph"/>
        <w:numPr>
          <w:ilvl w:val="0"/>
          <w:numId w:val="14"/>
        </w:numPr>
        <w:jc w:val="both"/>
        <w:rPr>
          <w:i/>
          <w:lang w:val="en-US"/>
        </w:rPr>
      </w:pPr>
      <w:r>
        <w:rPr>
          <w:i/>
          <w:lang w:val="en-US"/>
        </w:rPr>
        <w:t>I</w:t>
      </w:r>
      <w:r w:rsidR="00AA5C4B" w:rsidRPr="00314E54">
        <w:rPr>
          <w:i/>
          <w:lang w:val="en-US"/>
        </w:rPr>
        <w:t>ntangible aspects of the production process such as marketing, brand development and design are key f</w:t>
      </w:r>
      <w:r w:rsidR="00314E54" w:rsidRPr="00314E54">
        <w:rPr>
          <w:i/>
          <w:lang w:val="en-US"/>
        </w:rPr>
        <w:t xml:space="preserve">actors in securing real profits: an example of this can be found in the price distribution under </w:t>
      </w:r>
      <w:r w:rsidR="00314E54">
        <w:rPr>
          <w:i/>
          <w:lang w:val="en-US"/>
        </w:rPr>
        <w:t xml:space="preserve">the French company </w:t>
      </w:r>
      <w:proofErr w:type="spellStart"/>
      <w:r w:rsidR="00314E54">
        <w:rPr>
          <w:i/>
          <w:lang w:val="en-US"/>
        </w:rPr>
        <w:t>Jatary</w:t>
      </w:r>
      <w:proofErr w:type="spellEnd"/>
      <w:r w:rsidR="00314E54">
        <w:rPr>
          <w:i/>
          <w:lang w:val="en-US"/>
        </w:rPr>
        <w:t xml:space="preserve">. While the Bolivian quinoa farmer receives 10% of the final price paid by the French consumer; </w:t>
      </w:r>
      <w:proofErr w:type="spellStart"/>
      <w:r w:rsidR="00314E54">
        <w:rPr>
          <w:i/>
          <w:lang w:val="en-US"/>
        </w:rPr>
        <w:t>Jatary</w:t>
      </w:r>
      <w:proofErr w:type="spellEnd"/>
      <w:r>
        <w:rPr>
          <w:i/>
          <w:lang w:val="en-US"/>
        </w:rPr>
        <w:t>,</w:t>
      </w:r>
      <w:r w:rsidR="00314E54">
        <w:rPr>
          <w:i/>
          <w:lang w:val="en-US"/>
        </w:rPr>
        <w:t xml:space="preserve"> which </w:t>
      </w:r>
      <w:r>
        <w:rPr>
          <w:i/>
          <w:lang w:val="en-US"/>
        </w:rPr>
        <w:t xml:space="preserve">is </w:t>
      </w:r>
      <w:r w:rsidR="00314E54">
        <w:rPr>
          <w:i/>
          <w:lang w:val="en-US"/>
        </w:rPr>
        <w:t>position</w:t>
      </w:r>
      <w:r>
        <w:rPr>
          <w:i/>
          <w:lang w:val="en-US"/>
        </w:rPr>
        <w:t>ed</w:t>
      </w:r>
      <w:r w:rsidR="00314E54">
        <w:rPr>
          <w:i/>
          <w:lang w:val="en-US"/>
        </w:rPr>
        <w:t xml:space="preserve"> </w:t>
      </w:r>
      <w:r>
        <w:rPr>
          <w:i/>
          <w:lang w:val="en-US"/>
        </w:rPr>
        <w:t>c</w:t>
      </w:r>
      <w:r w:rsidR="00CB0F9C">
        <w:rPr>
          <w:i/>
          <w:lang w:val="en-US"/>
        </w:rPr>
        <w:t>loser in the chain to the intan</w:t>
      </w:r>
      <w:r>
        <w:rPr>
          <w:i/>
          <w:lang w:val="en-US"/>
        </w:rPr>
        <w:t>g</w:t>
      </w:r>
      <w:r w:rsidR="00CB0F9C">
        <w:rPr>
          <w:i/>
          <w:lang w:val="en-US"/>
        </w:rPr>
        <w:t>ib</w:t>
      </w:r>
      <w:r>
        <w:rPr>
          <w:i/>
          <w:lang w:val="en-US"/>
        </w:rPr>
        <w:t xml:space="preserve">les of the production process, </w:t>
      </w:r>
      <w:r w:rsidR="00314E54">
        <w:rPr>
          <w:i/>
          <w:lang w:val="en-US"/>
        </w:rPr>
        <w:t xml:space="preserve">receives more than double the percentage received by the farmer, specifically 24%. </w:t>
      </w:r>
      <w:r w:rsidR="00F406A0">
        <w:rPr>
          <w:i/>
          <w:lang w:val="en-US"/>
        </w:rPr>
        <w:t xml:space="preserve">Furthermore, the next set of actors downstream the chain, such as </w:t>
      </w:r>
      <w:r w:rsidR="00D06466">
        <w:rPr>
          <w:i/>
          <w:lang w:val="en-US"/>
        </w:rPr>
        <w:t xml:space="preserve">the importing </w:t>
      </w:r>
      <w:r w:rsidR="00D06466" w:rsidRPr="00D9561A">
        <w:rPr>
          <w:i/>
          <w:lang w:val="en-US"/>
        </w:rPr>
        <w:t xml:space="preserve">company </w:t>
      </w:r>
      <w:r w:rsidR="00F406A0" w:rsidRPr="00D9561A">
        <w:rPr>
          <w:i/>
          <w:lang w:val="en-US"/>
        </w:rPr>
        <w:t>EURONAT</w:t>
      </w:r>
      <w:r w:rsidR="00DD7EE4" w:rsidRPr="00D9561A">
        <w:rPr>
          <w:i/>
          <w:lang w:val="en-US"/>
        </w:rPr>
        <w:t xml:space="preserve"> (to be analyzed in detail in the following chapters</w:t>
      </w:r>
      <w:r w:rsidR="00654E41" w:rsidRPr="00D9561A">
        <w:rPr>
          <w:i/>
          <w:lang w:val="en-US"/>
        </w:rPr>
        <w:t>) receives</w:t>
      </w:r>
      <w:r w:rsidR="00F406A0" w:rsidRPr="00D9561A">
        <w:rPr>
          <w:i/>
          <w:lang w:val="en-US"/>
        </w:rPr>
        <w:t xml:space="preserve"> 76% of the total price paid by the consumer</w:t>
      </w:r>
      <w:r w:rsidR="00F406A0">
        <w:rPr>
          <w:i/>
          <w:lang w:val="en-US"/>
        </w:rPr>
        <w:t xml:space="preserve">. </w:t>
      </w:r>
      <w:r w:rsidR="00314E54">
        <w:rPr>
          <w:i/>
          <w:lang w:val="en-US"/>
        </w:rPr>
        <w:t>See table</w:t>
      </w:r>
      <w:r w:rsidR="00F406A0">
        <w:rPr>
          <w:i/>
          <w:lang w:val="en-US"/>
        </w:rPr>
        <w:t xml:space="preserve"> below</w:t>
      </w:r>
      <w:r w:rsidR="00314E54">
        <w:rPr>
          <w:i/>
          <w:lang w:val="en-US"/>
        </w:rPr>
        <w:t>:</w:t>
      </w:r>
    </w:p>
    <w:p w:rsidR="00407F11" w:rsidRPr="00407F11" w:rsidRDefault="00407F11" w:rsidP="00407F11">
      <w:pPr>
        <w:pStyle w:val="ListParagraph"/>
        <w:rPr>
          <w:i/>
          <w:lang w:val="en-US"/>
        </w:rPr>
      </w:pPr>
    </w:p>
    <w:p w:rsidR="00407F11" w:rsidRDefault="00407F11" w:rsidP="00407F11">
      <w:pPr>
        <w:jc w:val="both"/>
        <w:rPr>
          <w:i/>
          <w:lang w:val="en-US"/>
        </w:rPr>
      </w:pPr>
    </w:p>
    <w:p w:rsidR="00407F11" w:rsidRDefault="00407F11" w:rsidP="00407F11">
      <w:pPr>
        <w:jc w:val="both"/>
        <w:rPr>
          <w:i/>
          <w:lang w:val="en-US"/>
        </w:rPr>
      </w:pPr>
    </w:p>
    <w:p w:rsidR="005F131E" w:rsidRDefault="005F131E" w:rsidP="00E06E16">
      <w:pPr>
        <w:pStyle w:val="ListParagraph"/>
        <w:ind w:left="1125"/>
        <w:jc w:val="center"/>
      </w:pPr>
      <w:bookmarkStart w:id="31" w:name="_Ref342157608"/>
      <w:r w:rsidRPr="00E06E16">
        <w:rPr>
          <w:b/>
          <w:i/>
          <w:lang w:val="en-US"/>
        </w:rPr>
        <w:lastRenderedPageBreak/>
        <w:t xml:space="preserve">Table </w:t>
      </w:r>
      <w:r w:rsidRPr="00E06E16">
        <w:rPr>
          <w:b/>
          <w:i/>
          <w:lang w:val="en-US"/>
        </w:rPr>
        <w:fldChar w:fldCharType="begin"/>
      </w:r>
      <w:r w:rsidRPr="00E06E16">
        <w:rPr>
          <w:b/>
          <w:i/>
          <w:lang w:val="en-US"/>
        </w:rPr>
        <w:instrText xml:space="preserve"> SEQ Table \* ARABIC </w:instrText>
      </w:r>
      <w:r w:rsidRPr="00E06E16">
        <w:rPr>
          <w:b/>
          <w:i/>
          <w:lang w:val="en-US"/>
        </w:rPr>
        <w:fldChar w:fldCharType="separate"/>
      </w:r>
      <w:r w:rsidR="00B906BF">
        <w:rPr>
          <w:b/>
          <w:i/>
          <w:noProof/>
          <w:lang w:val="en-US"/>
        </w:rPr>
        <w:t>3</w:t>
      </w:r>
      <w:r w:rsidRPr="00E06E16">
        <w:rPr>
          <w:b/>
          <w:i/>
          <w:lang w:val="en-US"/>
        </w:rPr>
        <w:fldChar w:fldCharType="end"/>
      </w:r>
      <w:r w:rsidRPr="00E06E16">
        <w:rPr>
          <w:b/>
          <w:i/>
          <w:lang w:val="en-US"/>
        </w:rPr>
        <w:t xml:space="preserve">: Price distribution under </w:t>
      </w:r>
      <w:proofErr w:type="spellStart"/>
      <w:r w:rsidRPr="00E06E16">
        <w:rPr>
          <w:b/>
          <w:i/>
          <w:lang w:val="en-US"/>
        </w:rPr>
        <w:t>Jatary</w:t>
      </w:r>
      <w:bookmarkEnd w:id="31"/>
      <w:proofErr w:type="spellEnd"/>
    </w:p>
    <w:tbl>
      <w:tblPr>
        <w:tblStyle w:val="TableGrid"/>
        <w:tblW w:w="0" w:type="auto"/>
        <w:tblInd w:w="855" w:type="dxa"/>
        <w:tblLook w:val="04A0" w:firstRow="1" w:lastRow="0" w:firstColumn="1" w:lastColumn="0" w:noHBand="0" w:noVBand="1"/>
      </w:tblPr>
      <w:tblGrid>
        <w:gridCol w:w="1744"/>
        <w:gridCol w:w="1744"/>
        <w:gridCol w:w="1744"/>
        <w:gridCol w:w="1744"/>
        <w:gridCol w:w="1745"/>
      </w:tblGrid>
      <w:tr w:rsidR="00407F11" w:rsidRPr="009E65F1" w:rsidTr="005210EB">
        <w:tc>
          <w:tcPr>
            <w:tcW w:w="8721" w:type="dxa"/>
            <w:gridSpan w:val="5"/>
            <w:shd w:val="clear" w:color="auto" w:fill="FFFF00"/>
          </w:tcPr>
          <w:p w:rsidR="00407F11" w:rsidRPr="00326DE9" w:rsidRDefault="00407F11" w:rsidP="00407F11">
            <w:pPr>
              <w:jc w:val="center"/>
              <w:rPr>
                <w:b/>
                <w:lang w:val="en-US"/>
              </w:rPr>
            </w:pPr>
            <w:r w:rsidRPr="00326DE9">
              <w:rPr>
                <w:b/>
                <w:lang w:val="en-US"/>
              </w:rPr>
              <w:t xml:space="preserve">French market: price distribution under </w:t>
            </w:r>
            <w:proofErr w:type="spellStart"/>
            <w:r w:rsidRPr="00326DE9">
              <w:rPr>
                <w:b/>
                <w:lang w:val="en-US"/>
              </w:rPr>
              <w:t>Jatary</w:t>
            </w:r>
            <w:proofErr w:type="spellEnd"/>
            <w:r w:rsidRPr="00326DE9">
              <w:rPr>
                <w:b/>
                <w:lang w:val="en-US"/>
              </w:rPr>
              <w:t xml:space="preserve"> (2004)</w:t>
            </w:r>
          </w:p>
        </w:tc>
      </w:tr>
      <w:tr w:rsidR="00407F11" w:rsidRPr="00EC067E" w:rsidTr="005210EB">
        <w:trPr>
          <w:trHeight w:val="540"/>
        </w:trPr>
        <w:tc>
          <w:tcPr>
            <w:tcW w:w="1744" w:type="dxa"/>
            <w:vMerge w:val="restart"/>
          </w:tcPr>
          <w:p w:rsidR="00407F11" w:rsidRPr="00407F11" w:rsidRDefault="00407F11" w:rsidP="005210EB">
            <w:pPr>
              <w:jc w:val="both"/>
              <w:rPr>
                <w:lang w:val="en-US"/>
              </w:rPr>
            </w:pPr>
          </w:p>
        </w:tc>
        <w:tc>
          <w:tcPr>
            <w:tcW w:w="1744" w:type="dxa"/>
            <w:vMerge w:val="restart"/>
          </w:tcPr>
          <w:p w:rsidR="00407F11" w:rsidRPr="00407F11" w:rsidRDefault="00407F11" w:rsidP="00D06466">
            <w:pPr>
              <w:jc w:val="both"/>
            </w:pPr>
            <w:proofErr w:type="spellStart"/>
            <w:r w:rsidRPr="00407F11">
              <w:t>Quin</w:t>
            </w:r>
            <w:r w:rsidR="00D06466">
              <w:t>oa</w:t>
            </w:r>
            <w:proofErr w:type="spellEnd"/>
            <w:r w:rsidR="00D06466">
              <w:t xml:space="preserve"> </w:t>
            </w:r>
            <w:proofErr w:type="spellStart"/>
            <w:r w:rsidR="00D06466">
              <w:t>Bolivian</w:t>
            </w:r>
            <w:proofErr w:type="spellEnd"/>
            <w:r w:rsidR="00D06466">
              <w:t xml:space="preserve"> Price (bolivianos) per </w:t>
            </w:r>
            <w:r w:rsidRPr="00407F11">
              <w:t xml:space="preserve">quintal </w:t>
            </w:r>
          </w:p>
        </w:tc>
        <w:tc>
          <w:tcPr>
            <w:tcW w:w="3488" w:type="dxa"/>
            <w:gridSpan w:val="2"/>
          </w:tcPr>
          <w:p w:rsidR="00407F11" w:rsidRPr="00407F11" w:rsidRDefault="00407F11" w:rsidP="005210EB">
            <w:pPr>
              <w:jc w:val="center"/>
            </w:pPr>
            <w:r w:rsidRPr="00407F11">
              <w:t>Price in US$</w:t>
            </w:r>
          </w:p>
        </w:tc>
        <w:tc>
          <w:tcPr>
            <w:tcW w:w="1745" w:type="dxa"/>
            <w:vMerge w:val="restart"/>
          </w:tcPr>
          <w:p w:rsidR="00407F11" w:rsidRPr="00407F11" w:rsidRDefault="00407F11" w:rsidP="005210EB">
            <w:pPr>
              <w:jc w:val="both"/>
            </w:pPr>
            <w:proofErr w:type="spellStart"/>
            <w:r w:rsidRPr="00407F11">
              <w:t>Consumer</w:t>
            </w:r>
            <w:proofErr w:type="spellEnd"/>
            <w:r w:rsidRPr="00407F11">
              <w:t xml:space="preserve"> Price </w:t>
            </w:r>
            <w:proofErr w:type="spellStart"/>
            <w:r w:rsidRPr="00407F11">
              <w:t>distribution</w:t>
            </w:r>
            <w:proofErr w:type="spellEnd"/>
            <w:r w:rsidRPr="00407F11">
              <w:t xml:space="preserve"> (%)</w:t>
            </w:r>
          </w:p>
        </w:tc>
      </w:tr>
      <w:tr w:rsidR="00407F11" w:rsidRPr="00EC067E" w:rsidTr="005210EB">
        <w:trPr>
          <w:trHeight w:val="540"/>
        </w:trPr>
        <w:tc>
          <w:tcPr>
            <w:tcW w:w="1744" w:type="dxa"/>
            <w:vMerge/>
          </w:tcPr>
          <w:p w:rsidR="00407F11" w:rsidRPr="00407F11" w:rsidRDefault="00407F11" w:rsidP="005210EB">
            <w:pPr>
              <w:jc w:val="both"/>
              <w:rPr>
                <w:lang w:val="en-US"/>
              </w:rPr>
            </w:pPr>
          </w:p>
        </w:tc>
        <w:tc>
          <w:tcPr>
            <w:tcW w:w="1744" w:type="dxa"/>
            <w:vMerge/>
          </w:tcPr>
          <w:p w:rsidR="00407F11" w:rsidRPr="00407F11" w:rsidRDefault="00407F11" w:rsidP="005210EB">
            <w:pPr>
              <w:jc w:val="both"/>
            </w:pPr>
          </w:p>
        </w:tc>
        <w:tc>
          <w:tcPr>
            <w:tcW w:w="1744" w:type="dxa"/>
          </w:tcPr>
          <w:p w:rsidR="00407F11" w:rsidRPr="00407F11" w:rsidRDefault="00407F11" w:rsidP="005210EB">
            <w:pPr>
              <w:jc w:val="center"/>
            </w:pPr>
            <w:r w:rsidRPr="00407F11">
              <w:t>Quin</w:t>
            </w:r>
            <w:r w:rsidR="00D06466">
              <w:t xml:space="preserve">tal </w:t>
            </w:r>
          </w:p>
        </w:tc>
        <w:tc>
          <w:tcPr>
            <w:tcW w:w="1744" w:type="dxa"/>
          </w:tcPr>
          <w:p w:rsidR="00407F11" w:rsidRPr="00407F11" w:rsidRDefault="00407F11" w:rsidP="005210EB">
            <w:pPr>
              <w:jc w:val="center"/>
            </w:pPr>
            <w:r w:rsidRPr="00407F11">
              <w:t>Kg</w:t>
            </w:r>
          </w:p>
        </w:tc>
        <w:tc>
          <w:tcPr>
            <w:tcW w:w="1745" w:type="dxa"/>
            <w:vMerge/>
          </w:tcPr>
          <w:p w:rsidR="00407F11" w:rsidRPr="00407F11" w:rsidRDefault="00407F11" w:rsidP="005210EB">
            <w:pPr>
              <w:jc w:val="both"/>
            </w:pPr>
          </w:p>
        </w:tc>
      </w:tr>
      <w:tr w:rsidR="00407F11" w:rsidRPr="00EC067E" w:rsidTr="005210EB">
        <w:tc>
          <w:tcPr>
            <w:tcW w:w="1744" w:type="dxa"/>
          </w:tcPr>
          <w:p w:rsidR="00407F11" w:rsidRPr="00407F11" w:rsidRDefault="00407F11" w:rsidP="00407F11">
            <w:proofErr w:type="spellStart"/>
            <w:r w:rsidRPr="00407F11">
              <w:t>Quinoa</w:t>
            </w:r>
            <w:proofErr w:type="spellEnd"/>
            <w:r w:rsidR="00326DE9">
              <w:t xml:space="preserve"> (1)</w:t>
            </w:r>
            <w:r w:rsidRPr="00407F11">
              <w:t xml:space="preserve"> </w:t>
            </w:r>
            <w:proofErr w:type="spellStart"/>
            <w:r w:rsidRPr="00407F11">
              <w:t>consumer</w:t>
            </w:r>
            <w:proofErr w:type="spellEnd"/>
            <w:r w:rsidRPr="00407F11">
              <w:t xml:space="preserve"> Price</w:t>
            </w:r>
            <w:r w:rsidR="00326DE9">
              <w:t xml:space="preserve"> </w:t>
            </w:r>
          </w:p>
        </w:tc>
        <w:tc>
          <w:tcPr>
            <w:tcW w:w="1744" w:type="dxa"/>
          </w:tcPr>
          <w:p w:rsidR="00407F11" w:rsidRPr="00407F11" w:rsidRDefault="00407F11" w:rsidP="005210EB">
            <w:pPr>
              <w:jc w:val="both"/>
            </w:pPr>
          </w:p>
        </w:tc>
        <w:tc>
          <w:tcPr>
            <w:tcW w:w="1744" w:type="dxa"/>
          </w:tcPr>
          <w:p w:rsidR="00407F11" w:rsidRPr="00407F11" w:rsidRDefault="00407F11" w:rsidP="005210EB">
            <w:pPr>
              <w:jc w:val="both"/>
            </w:pPr>
          </w:p>
        </w:tc>
        <w:tc>
          <w:tcPr>
            <w:tcW w:w="1744" w:type="dxa"/>
          </w:tcPr>
          <w:p w:rsidR="00407F11" w:rsidRPr="00407F11" w:rsidRDefault="00407F11" w:rsidP="00407F11">
            <w:pPr>
              <w:jc w:val="center"/>
            </w:pPr>
            <w:r w:rsidRPr="00407F11">
              <w:t>4.92</w:t>
            </w:r>
          </w:p>
        </w:tc>
        <w:tc>
          <w:tcPr>
            <w:tcW w:w="1745" w:type="dxa"/>
          </w:tcPr>
          <w:p w:rsidR="00407F11" w:rsidRPr="00407F11" w:rsidRDefault="00407F11" w:rsidP="00407F11">
            <w:pPr>
              <w:jc w:val="center"/>
            </w:pPr>
            <w:r w:rsidRPr="00407F11">
              <w:t>100</w:t>
            </w:r>
          </w:p>
        </w:tc>
      </w:tr>
      <w:tr w:rsidR="00407F11" w:rsidRPr="00EC067E" w:rsidTr="005210EB">
        <w:tc>
          <w:tcPr>
            <w:tcW w:w="1744" w:type="dxa"/>
          </w:tcPr>
          <w:p w:rsidR="00407F11" w:rsidRPr="00407F11" w:rsidRDefault="00407F11" w:rsidP="00407F11">
            <w:pPr>
              <w:rPr>
                <w:lang w:val="en-US"/>
              </w:rPr>
            </w:pPr>
            <w:r w:rsidRPr="00407F11">
              <w:rPr>
                <w:lang w:val="en-US"/>
              </w:rPr>
              <w:t>Price paid to the  Bolivian producer</w:t>
            </w:r>
          </w:p>
        </w:tc>
        <w:tc>
          <w:tcPr>
            <w:tcW w:w="1744" w:type="dxa"/>
          </w:tcPr>
          <w:p w:rsidR="00407F11" w:rsidRPr="00407F11" w:rsidRDefault="00407F11" w:rsidP="00407F11">
            <w:pPr>
              <w:jc w:val="center"/>
            </w:pPr>
            <w:r w:rsidRPr="00407F11">
              <w:t>175</w:t>
            </w:r>
          </w:p>
        </w:tc>
        <w:tc>
          <w:tcPr>
            <w:tcW w:w="1744" w:type="dxa"/>
          </w:tcPr>
          <w:p w:rsidR="00407F11" w:rsidRPr="00407F11" w:rsidRDefault="00407F11" w:rsidP="00407F11">
            <w:pPr>
              <w:jc w:val="center"/>
            </w:pPr>
            <w:r w:rsidRPr="00407F11">
              <w:t>22.7</w:t>
            </w:r>
          </w:p>
        </w:tc>
        <w:tc>
          <w:tcPr>
            <w:tcW w:w="1744" w:type="dxa"/>
          </w:tcPr>
          <w:p w:rsidR="00407F11" w:rsidRPr="00407F11" w:rsidRDefault="00407F11" w:rsidP="00407F11">
            <w:pPr>
              <w:jc w:val="center"/>
            </w:pPr>
            <w:r w:rsidRPr="00407F11">
              <w:t>0.49</w:t>
            </w:r>
          </w:p>
        </w:tc>
        <w:tc>
          <w:tcPr>
            <w:tcW w:w="1745" w:type="dxa"/>
          </w:tcPr>
          <w:p w:rsidR="00407F11" w:rsidRPr="00407F11" w:rsidRDefault="00407F11" w:rsidP="00407F11">
            <w:pPr>
              <w:jc w:val="center"/>
              <w:rPr>
                <w:b/>
              </w:rPr>
            </w:pPr>
            <w:r w:rsidRPr="00407F11">
              <w:rPr>
                <w:b/>
              </w:rPr>
              <w:t>10</w:t>
            </w:r>
          </w:p>
        </w:tc>
      </w:tr>
      <w:tr w:rsidR="00407F11" w:rsidRPr="00EC067E" w:rsidTr="005210EB">
        <w:tc>
          <w:tcPr>
            <w:tcW w:w="1744" w:type="dxa"/>
          </w:tcPr>
          <w:p w:rsidR="00407F11" w:rsidRPr="00407F11" w:rsidRDefault="00407F11" w:rsidP="00407F11">
            <w:r w:rsidRPr="00407F11">
              <w:t xml:space="preserve">Challapata </w:t>
            </w:r>
            <w:proofErr w:type="spellStart"/>
            <w:r w:rsidRPr="00407F11">
              <w:t>market</w:t>
            </w:r>
            <w:proofErr w:type="spellEnd"/>
            <w:r w:rsidRPr="00407F11">
              <w:t xml:space="preserve"> Price</w:t>
            </w:r>
          </w:p>
        </w:tc>
        <w:tc>
          <w:tcPr>
            <w:tcW w:w="1744" w:type="dxa"/>
          </w:tcPr>
          <w:p w:rsidR="00407F11" w:rsidRPr="00407F11" w:rsidRDefault="00407F11" w:rsidP="00407F11">
            <w:pPr>
              <w:jc w:val="center"/>
            </w:pPr>
            <w:r w:rsidRPr="00407F11">
              <w:t>150</w:t>
            </w:r>
          </w:p>
        </w:tc>
        <w:tc>
          <w:tcPr>
            <w:tcW w:w="1744" w:type="dxa"/>
          </w:tcPr>
          <w:p w:rsidR="00407F11" w:rsidRPr="00407F11" w:rsidRDefault="00407F11" w:rsidP="00407F11">
            <w:pPr>
              <w:jc w:val="center"/>
            </w:pPr>
            <w:r w:rsidRPr="00407F11">
              <w:t>19.5</w:t>
            </w:r>
          </w:p>
        </w:tc>
        <w:tc>
          <w:tcPr>
            <w:tcW w:w="1744" w:type="dxa"/>
          </w:tcPr>
          <w:p w:rsidR="00407F11" w:rsidRPr="00407F11" w:rsidRDefault="00407F11" w:rsidP="00407F11">
            <w:pPr>
              <w:jc w:val="center"/>
            </w:pPr>
            <w:r w:rsidRPr="00407F11">
              <w:t>0.42</w:t>
            </w:r>
          </w:p>
        </w:tc>
        <w:tc>
          <w:tcPr>
            <w:tcW w:w="1745" w:type="dxa"/>
          </w:tcPr>
          <w:p w:rsidR="00407F11" w:rsidRPr="00407F11" w:rsidRDefault="00407F11" w:rsidP="00407F11">
            <w:pPr>
              <w:jc w:val="center"/>
            </w:pPr>
          </w:p>
        </w:tc>
      </w:tr>
      <w:tr w:rsidR="00407F11" w:rsidRPr="0097456B" w:rsidTr="005210EB">
        <w:tc>
          <w:tcPr>
            <w:tcW w:w="1744" w:type="dxa"/>
          </w:tcPr>
          <w:p w:rsidR="00407F11" w:rsidRPr="00407F11" w:rsidRDefault="00407F11" w:rsidP="00407F11">
            <w:pPr>
              <w:rPr>
                <w:lang w:val="en-US"/>
              </w:rPr>
            </w:pPr>
            <w:r w:rsidRPr="00407F11">
              <w:rPr>
                <w:lang w:val="en-US"/>
              </w:rPr>
              <w:t>FOB Price (ton) received by JATARIY (2)</w:t>
            </w:r>
          </w:p>
        </w:tc>
        <w:tc>
          <w:tcPr>
            <w:tcW w:w="1744" w:type="dxa"/>
          </w:tcPr>
          <w:p w:rsidR="00407F11" w:rsidRPr="00407F11" w:rsidRDefault="00407F11" w:rsidP="00407F11">
            <w:pPr>
              <w:jc w:val="center"/>
              <w:rPr>
                <w:lang w:val="en-US"/>
              </w:rPr>
            </w:pPr>
          </w:p>
        </w:tc>
        <w:tc>
          <w:tcPr>
            <w:tcW w:w="1744" w:type="dxa"/>
          </w:tcPr>
          <w:p w:rsidR="00407F11" w:rsidRPr="00407F11" w:rsidRDefault="00407F11" w:rsidP="00407F11">
            <w:pPr>
              <w:jc w:val="center"/>
              <w:rPr>
                <w:lang w:val="en-US"/>
              </w:rPr>
            </w:pPr>
            <w:r w:rsidRPr="00407F11">
              <w:rPr>
                <w:lang w:val="en-US"/>
              </w:rPr>
              <w:t>1,200</w:t>
            </w:r>
          </w:p>
        </w:tc>
        <w:tc>
          <w:tcPr>
            <w:tcW w:w="1744" w:type="dxa"/>
          </w:tcPr>
          <w:p w:rsidR="00407F11" w:rsidRPr="00407F11" w:rsidRDefault="00407F11" w:rsidP="00407F11">
            <w:pPr>
              <w:jc w:val="center"/>
              <w:rPr>
                <w:lang w:val="en-US"/>
              </w:rPr>
            </w:pPr>
            <w:r w:rsidRPr="00407F11">
              <w:rPr>
                <w:lang w:val="en-US"/>
              </w:rPr>
              <w:t>1.20</w:t>
            </w:r>
          </w:p>
        </w:tc>
        <w:tc>
          <w:tcPr>
            <w:tcW w:w="1745" w:type="dxa"/>
          </w:tcPr>
          <w:p w:rsidR="00407F11" w:rsidRPr="00407F11" w:rsidRDefault="00407F11" w:rsidP="00407F11">
            <w:pPr>
              <w:jc w:val="center"/>
              <w:rPr>
                <w:b/>
                <w:lang w:val="en-US"/>
              </w:rPr>
            </w:pPr>
            <w:r w:rsidRPr="00407F11">
              <w:rPr>
                <w:b/>
                <w:lang w:val="en-US"/>
              </w:rPr>
              <w:t>24</w:t>
            </w:r>
          </w:p>
        </w:tc>
      </w:tr>
      <w:tr w:rsidR="00407F11" w:rsidRPr="0097456B" w:rsidTr="005210EB">
        <w:tc>
          <w:tcPr>
            <w:tcW w:w="1744" w:type="dxa"/>
          </w:tcPr>
          <w:p w:rsidR="00407F11" w:rsidRPr="00407F11" w:rsidRDefault="00D06466" w:rsidP="00407F11">
            <w:pPr>
              <w:rPr>
                <w:lang w:val="en-US"/>
              </w:rPr>
            </w:pPr>
            <w:r>
              <w:rPr>
                <w:lang w:val="en-US"/>
              </w:rPr>
              <w:t>Differe</w:t>
            </w:r>
            <w:r w:rsidR="00407F11" w:rsidRPr="00407F11">
              <w:rPr>
                <w:lang w:val="en-US"/>
              </w:rPr>
              <w:t>nce (1-2) =northern margin</w:t>
            </w:r>
          </w:p>
        </w:tc>
        <w:tc>
          <w:tcPr>
            <w:tcW w:w="1744" w:type="dxa"/>
          </w:tcPr>
          <w:p w:rsidR="00407F11" w:rsidRPr="00407F11" w:rsidRDefault="00407F11" w:rsidP="005210EB">
            <w:pPr>
              <w:jc w:val="both"/>
              <w:rPr>
                <w:lang w:val="en-US"/>
              </w:rPr>
            </w:pPr>
          </w:p>
        </w:tc>
        <w:tc>
          <w:tcPr>
            <w:tcW w:w="1744" w:type="dxa"/>
          </w:tcPr>
          <w:p w:rsidR="00407F11" w:rsidRPr="00407F11" w:rsidRDefault="00407F11" w:rsidP="005210EB">
            <w:pPr>
              <w:jc w:val="both"/>
              <w:rPr>
                <w:lang w:val="en-US"/>
              </w:rPr>
            </w:pPr>
          </w:p>
        </w:tc>
        <w:tc>
          <w:tcPr>
            <w:tcW w:w="1744" w:type="dxa"/>
          </w:tcPr>
          <w:p w:rsidR="00407F11" w:rsidRPr="00407F11" w:rsidRDefault="00407F11" w:rsidP="00407F11">
            <w:pPr>
              <w:jc w:val="center"/>
              <w:rPr>
                <w:lang w:val="en-US"/>
              </w:rPr>
            </w:pPr>
            <w:r w:rsidRPr="00407F11">
              <w:rPr>
                <w:lang w:val="en-US"/>
              </w:rPr>
              <w:t>3.72</w:t>
            </w:r>
          </w:p>
        </w:tc>
        <w:tc>
          <w:tcPr>
            <w:tcW w:w="1745" w:type="dxa"/>
          </w:tcPr>
          <w:p w:rsidR="00407F11" w:rsidRPr="00407F11" w:rsidRDefault="00407F11" w:rsidP="00407F11">
            <w:pPr>
              <w:jc w:val="center"/>
              <w:rPr>
                <w:lang w:val="en-US"/>
              </w:rPr>
            </w:pPr>
            <w:r w:rsidRPr="00407F11">
              <w:rPr>
                <w:lang w:val="en-US"/>
              </w:rPr>
              <w:t>76</w:t>
            </w:r>
          </w:p>
        </w:tc>
      </w:tr>
    </w:tbl>
    <w:p w:rsidR="009C6BCA" w:rsidRDefault="00407F11" w:rsidP="00407F11">
      <w:pPr>
        <w:jc w:val="both"/>
        <w:rPr>
          <w:i/>
          <w:lang w:val="en-US"/>
        </w:rPr>
      </w:pPr>
      <w:r>
        <w:rPr>
          <w:i/>
          <w:lang w:val="en-US"/>
        </w:rPr>
        <w:tab/>
        <w:t xml:space="preserve">* </w:t>
      </w:r>
      <w:r w:rsidRPr="002E27EB">
        <w:rPr>
          <w:i/>
          <w:lang w:val="en-US"/>
        </w:rPr>
        <w:t>Source: (</w:t>
      </w:r>
      <w:proofErr w:type="spellStart"/>
      <w:r w:rsidR="00D9561A" w:rsidRPr="002E27EB">
        <w:rPr>
          <w:i/>
          <w:lang w:val="en-US"/>
        </w:rPr>
        <w:t>R</w:t>
      </w:r>
      <w:r w:rsidR="002E27EB">
        <w:rPr>
          <w:i/>
          <w:lang w:val="en-US"/>
        </w:rPr>
        <w:t>a</w:t>
      </w:r>
      <w:r w:rsidR="00D9561A" w:rsidRPr="002E27EB">
        <w:rPr>
          <w:i/>
          <w:lang w:val="en-US"/>
        </w:rPr>
        <w:t>ynolds</w:t>
      </w:r>
      <w:proofErr w:type="spellEnd"/>
      <w:r w:rsidR="00D9561A" w:rsidRPr="002E27EB">
        <w:rPr>
          <w:i/>
          <w:lang w:val="en-US"/>
        </w:rPr>
        <w:t>, 2007</w:t>
      </w:r>
      <w:r w:rsidRPr="002E27EB">
        <w:rPr>
          <w:i/>
          <w:lang w:val="en-US"/>
        </w:rPr>
        <w:t>)</w:t>
      </w:r>
    </w:p>
    <w:p w:rsidR="007542BA" w:rsidRPr="00407F11" w:rsidRDefault="007542BA" w:rsidP="00407F11">
      <w:pPr>
        <w:jc w:val="both"/>
        <w:rPr>
          <w:i/>
          <w:lang w:val="en-US"/>
        </w:rPr>
      </w:pPr>
    </w:p>
    <w:p w:rsidR="00AA5C4B" w:rsidRDefault="00AA5C4B" w:rsidP="00AA5C4B">
      <w:pPr>
        <w:pStyle w:val="ListParagraph"/>
        <w:numPr>
          <w:ilvl w:val="0"/>
          <w:numId w:val="14"/>
        </w:numPr>
        <w:jc w:val="both"/>
        <w:rPr>
          <w:lang w:val="en-US"/>
        </w:rPr>
      </w:pPr>
      <w:r w:rsidRPr="00AA5C4B">
        <w:rPr>
          <w:lang w:val="en-US"/>
        </w:rPr>
        <w:t>Multinational Corporations (MNC) exert powerful influence in the coordination and governance of global production and trade</w:t>
      </w:r>
      <w:r w:rsidR="007542BA">
        <w:rPr>
          <w:lang w:val="en-US"/>
        </w:rPr>
        <w:t xml:space="preserve">: the French retailers EURONAT and MARKAL represent those big players in the </w:t>
      </w:r>
      <w:r w:rsidR="00326DE9">
        <w:rPr>
          <w:lang w:val="en-US"/>
        </w:rPr>
        <w:t>Q</w:t>
      </w:r>
      <w:r w:rsidR="007542BA">
        <w:rPr>
          <w:lang w:val="en-US"/>
        </w:rPr>
        <w:t xml:space="preserve">uinoa </w:t>
      </w:r>
      <w:r w:rsidR="00326DE9">
        <w:rPr>
          <w:lang w:val="en-US"/>
        </w:rPr>
        <w:t>V</w:t>
      </w:r>
      <w:r w:rsidR="007542BA">
        <w:rPr>
          <w:lang w:val="en-US"/>
        </w:rPr>
        <w:t xml:space="preserve">alue </w:t>
      </w:r>
      <w:r w:rsidR="00326DE9">
        <w:rPr>
          <w:lang w:val="en-US"/>
        </w:rPr>
        <w:t>C</w:t>
      </w:r>
      <w:r w:rsidR="007542BA">
        <w:rPr>
          <w:lang w:val="en-US"/>
        </w:rPr>
        <w:t xml:space="preserve">hain that are challenging and changing its market </w:t>
      </w:r>
      <w:r w:rsidR="007542BA" w:rsidRPr="00B82FAF">
        <w:rPr>
          <w:lang w:val="en-US"/>
        </w:rPr>
        <w:t xml:space="preserve">structure as will be discussed in the following chapters.  </w:t>
      </w:r>
      <w:r w:rsidRPr="00B82FAF">
        <w:rPr>
          <w:lang w:val="en-US"/>
        </w:rPr>
        <w:t xml:space="preserve"> </w:t>
      </w:r>
    </w:p>
    <w:p w:rsidR="00326DE9" w:rsidRDefault="00326DE9" w:rsidP="00326DE9">
      <w:pPr>
        <w:pStyle w:val="ListParagraph"/>
        <w:ind w:left="1125"/>
        <w:jc w:val="both"/>
        <w:rPr>
          <w:lang w:val="en-US"/>
        </w:rPr>
      </w:pPr>
    </w:p>
    <w:p w:rsidR="00933EF3" w:rsidRDefault="00111748" w:rsidP="00E06E16">
      <w:pPr>
        <w:ind w:firstLine="720"/>
        <w:jc w:val="both"/>
        <w:rPr>
          <w:lang w:val="en-US"/>
        </w:rPr>
      </w:pPr>
      <w:r>
        <w:rPr>
          <w:lang w:val="en-US"/>
        </w:rPr>
        <w:t>There is a strand of s</w:t>
      </w:r>
      <w:r w:rsidR="005336A7">
        <w:rPr>
          <w:lang w:val="en-US"/>
        </w:rPr>
        <w:t xml:space="preserve">cholars </w:t>
      </w:r>
      <w:r w:rsidR="0036487A">
        <w:rPr>
          <w:lang w:val="en-US"/>
        </w:rPr>
        <w:t>who are interested in s</w:t>
      </w:r>
      <w:r w:rsidR="00055128">
        <w:rPr>
          <w:lang w:val="en-US"/>
        </w:rPr>
        <w:t xml:space="preserve">tudying this processes resulting from </w:t>
      </w:r>
      <w:r w:rsidR="00933EF3">
        <w:rPr>
          <w:lang w:val="en-US"/>
        </w:rPr>
        <w:t xml:space="preserve">Globalization acknowledging that there are winners and losers under what has been named by them </w:t>
      </w:r>
      <w:r w:rsidR="00FD01B5">
        <w:rPr>
          <w:lang w:val="en-US"/>
        </w:rPr>
        <w:t xml:space="preserve">as </w:t>
      </w:r>
      <w:r w:rsidR="00933EF3">
        <w:rPr>
          <w:lang w:val="en-US"/>
        </w:rPr>
        <w:t xml:space="preserve">Global </w:t>
      </w:r>
      <w:r w:rsidR="00FD01B5">
        <w:rPr>
          <w:lang w:val="en-US"/>
        </w:rPr>
        <w:t>Commodity</w:t>
      </w:r>
      <w:r w:rsidR="00933EF3">
        <w:rPr>
          <w:lang w:val="en-US"/>
        </w:rPr>
        <w:t xml:space="preserve"> Chains</w:t>
      </w:r>
      <w:r w:rsidR="00FD01B5">
        <w:rPr>
          <w:lang w:val="en-US"/>
        </w:rPr>
        <w:t xml:space="preserve"> (GCC)</w:t>
      </w:r>
      <w:r w:rsidR="00933EF3">
        <w:rPr>
          <w:lang w:val="en-US"/>
        </w:rPr>
        <w:t>.</w:t>
      </w:r>
      <w:r w:rsidR="00FD01B5">
        <w:rPr>
          <w:lang w:val="en-US"/>
        </w:rPr>
        <w:t xml:space="preserve"> According to </w:t>
      </w:r>
      <w:r w:rsidR="00D226B4" w:rsidRPr="002E27EB">
        <w:rPr>
          <w:lang w:val="en-US"/>
        </w:rPr>
        <w:t xml:space="preserve">Jennifer </w:t>
      </w:r>
      <w:r w:rsidR="00B82FAF" w:rsidRPr="002E27EB">
        <w:rPr>
          <w:lang w:val="en-US"/>
        </w:rPr>
        <w:t>Bair (2005</w:t>
      </w:r>
      <w:r w:rsidR="00FD01B5" w:rsidRPr="002E27EB">
        <w:rPr>
          <w:lang w:val="en-US"/>
        </w:rPr>
        <w:t xml:space="preserve">), a </w:t>
      </w:r>
      <w:r w:rsidR="00FD01B5">
        <w:rPr>
          <w:lang w:val="en-US"/>
        </w:rPr>
        <w:t>leading scholar in this literature</w:t>
      </w:r>
      <w:r w:rsidR="00933EF3">
        <w:rPr>
          <w:lang w:val="en-US"/>
        </w:rPr>
        <w:t xml:space="preserve"> “GCC helps us analyze the local consequences of globalization for firms and workers”</w:t>
      </w:r>
      <w:r w:rsidR="00FD01B5">
        <w:rPr>
          <w:lang w:val="en-US"/>
        </w:rPr>
        <w:t xml:space="preserve">. </w:t>
      </w:r>
    </w:p>
    <w:p w:rsidR="008C3A26" w:rsidRDefault="008C3A26" w:rsidP="00E06E16">
      <w:pPr>
        <w:ind w:firstLine="720"/>
        <w:jc w:val="both"/>
        <w:rPr>
          <w:color w:val="FF0000"/>
          <w:lang w:val="en-US"/>
        </w:rPr>
      </w:pPr>
      <w:r>
        <w:rPr>
          <w:lang w:val="en-US"/>
        </w:rPr>
        <w:t xml:space="preserve">Although this </w:t>
      </w:r>
      <w:r w:rsidRPr="00B7363B">
        <w:rPr>
          <w:lang w:val="en-US"/>
        </w:rPr>
        <w:t xml:space="preserve">strand of literature is </w:t>
      </w:r>
      <w:r>
        <w:rPr>
          <w:lang w:val="en-US"/>
        </w:rPr>
        <w:t xml:space="preserve">fairly recent (dating back to the 1990’s), the </w:t>
      </w:r>
      <w:r w:rsidR="0009066C">
        <w:rPr>
          <w:lang w:val="en-US"/>
        </w:rPr>
        <w:t xml:space="preserve">commodity chain as a concept was originally thought of in the World Systems Approach (WSA) literature </w:t>
      </w:r>
      <w:r w:rsidR="00DD4AC7">
        <w:rPr>
          <w:lang w:val="en-US"/>
        </w:rPr>
        <w:t>(</w:t>
      </w:r>
      <w:r w:rsidR="0009066C">
        <w:rPr>
          <w:lang w:val="en-US"/>
        </w:rPr>
        <w:t>back in the 70’s</w:t>
      </w:r>
      <w:r w:rsidR="00DD4AC7">
        <w:rPr>
          <w:lang w:val="en-US"/>
        </w:rPr>
        <w:t>)</w:t>
      </w:r>
      <w:r w:rsidR="0009066C">
        <w:rPr>
          <w:lang w:val="en-US"/>
        </w:rPr>
        <w:t xml:space="preserve">. </w:t>
      </w:r>
      <w:r w:rsidR="00DD4AC7">
        <w:rPr>
          <w:lang w:val="en-US"/>
        </w:rPr>
        <w:t xml:space="preserve">Immanuel </w:t>
      </w:r>
      <w:proofErr w:type="spellStart"/>
      <w:r w:rsidR="00DD4AC7">
        <w:rPr>
          <w:lang w:val="en-US"/>
        </w:rPr>
        <w:t>Wallerstein</w:t>
      </w:r>
      <w:proofErr w:type="spellEnd"/>
      <w:r w:rsidR="00DD4AC7">
        <w:rPr>
          <w:lang w:val="en-US"/>
        </w:rPr>
        <w:t xml:space="preserve">, (one of its founders) </w:t>
      </w:r>
      <w:r w:rsidR="00DD4AC7" w:rsidRPr="00533C8F">
        <w:rPr>
          <w:lang w:val="en-US"/>
        </w:rPr>
        <w:t xml:space="preserve">conceives the </w:t>
      </w:r>
      <w:r w:rsidR="00DD4AC7">
        <w:rPr>
          <w:lang w:val="en-US"/>
        </w:rPr>
        <w:t xml:space="preserve">commodity chain “as a network of labor and production processes whose end result is a finished commodity”. For the WSA, the </w:t>
      </w:r>
      <w:r w:rsidR="009D378F">
        <w:rPr>
          <w:lang w:val="en-US"/>
        </w:rPr>
        <w:t>totality of all commodity chains makes</w:t>
      </w:r>
      <w:r w:rsidR="00DD4AC7">
        <w:rPr>
          <w:lang w:val="en-US"/>
        </w:rPr>
        <w:t xml:space="preserve"> up the global production </w:t>
      </w:r>
      <w:r w:rsidR="00DD4AC7" w:rsidRPr="002E27EB">
        <w:rPr>
          <w:lang w:val="en-US"/>
        </w:rPr>
        <w:t xml:space="preserve">system (Hopkins and </w:t>
      </w:r>
      <w:proofErr w:type="spellStart"/>
      <w:r w:rsidR="00DD4AC7" w:rsidRPr="002E27EB">
        <w:rPr>
          <w:lang w:val="en-US"/>
        </w:rPr>
        <w:t>Wallerstein</w:t>
      </w:r>
      <w:proofErr w:type="spellEnd"/>
      <w:r w:rsidR="00DD4AC7" w:rsidRPr="002E27EB">
        <w:rPr>
          <w:lang w:val="en-US"/>
        </w:rPr>
        <w:t xml:space="preserve">, 1982).  </w:t>
      </w:r>
    </w:p>
    <w:p w:rsidR="0033352D" w:rsidRDefault="009502F1" w:rsidP="00E06E16">
      <w:pPr>
        <w:ind w:firstLine="720"/>
        <w:jc w:val="both"/>
        <w:rPr>
          <w:lang w:val="en-US"/>
        </w:rPr>
      </w:pPr>
      <w:r>
        <w:rPr>
          <w:lang w:val="en-US"/>
        </w:rPr>
        <w:t xml:space="preserve">This concept would later be retaken by Gary </w:t>
      </w:r>
      <w:proofErr w:type="spellStart"/>
      <w:r>
        <w:rPr>
          <w:lang w:val="en-US"/>
        </w:rPr>
        <w:t>Gereffi</w:t>
      </w:r>
      <w:proofErr w:type="spellEnd"/>
      <w:r>
        <w:rPr>
          <w:lang w:val="en-US"/>
        </w:rPr>
        <w:t xml:space="preserve"> who in 1994, through his work titled “The Organization of Buyer-Driven Global Commodity Chains: How U.S. retailers shape overseas production networks” would establish the concept of commodity chain as one unit of analysis through what he called Global Commodity Chains (GCC). </w:t>
      </w:r>
      <w:r w:rsidR="00D226B4">
        <w:rPr>
          <w:lang w:val="en-US"/>
        </w:rPr>
        <w:t xml:space="preserve">Under GCC, concepts drawn from the international business </w:t>
      </w:r>
      <w:r w:rsidR="00D226B4">
        <w:rPr>
          <w:lang w:val="en-US"/>
        </w:rPr>
        <w:lastRenderedPageBreak/>
        <w:t xml:space="preserve">literature </w:t>
      </w:r>
      <w:r w:rsidR="00F40687">
        <w:rPr>
          <w:lang w:val="en-US"/>
        </w:rPr>
        <w:t>(</w:t>
      </w:r>
      <w:r w:rsidR="00D226B4">
        <w:rPr>
          <w:lang w:val="en-US"/>
        </w:rPr>
        <w:t>such as industry structure, governance and value added</w:t>
      </w:r>
      <w:r w:rsidR="00F40687">
        <w:rPr>
          <w:lang w:val="en-US"/>
        </w:rPr>
        <w:t>)</w:t>
      </w:r>
      <w:r w:rsidR="00D226B4">
        <w:rPr>
          <w:lang w:val="en-US"/>
        </w:rPr>
        <w:t xml:space="preserve"> are emphasized over others coming from the dependency theory, which WSA </w:t>
      </w:r>
      <w:r w:rsidR="00A0073D">
        <w:rPr>
          <w:lang w:val="en-US"/>
        </w:rPr>
        <w:t>was</w:t>
      </w:r>
      <w:r w:rsidR="00D226B4">
        <w:rPr>
          <w:lang w:val="en-US"/>
        </w:rPr>
        <w:t xml:space="preserve"> influenced by. </w:t>
      </w:r>
    </w:p>
    <w:p w:rsidR="00DD7A38" w:rsidRPr="005B25B3" w:rsidRDefault="0033352D" w:rsidP="00E06E16">
      <w:pPr>
        <w:ind w:firstLine="720"/>
        <w:jc w:val="both"/>
        <w:rPr>
          <w:lang w:val="en-US"/>
        </w:rPr>
      </w:pPr>
      <w:proofErr w:type="spellStart"/>
      <w:r>
        <w:rPr>
          <w:lang w:val="en-US"/>
        </w:rPr>
        <w:t>Gereffi</w:t>
      </w:r>
      <w:proofErr w:type="spellEnd"/>
      <w:r>
        <w:rPr>
          <w:lang w:val="en-US"/>
        </w:rPr>
        <w:t xml:space="preserve"> starts by identifying four key dimensions with respect to which every commodity chain can be analyzed: 1) a physical input-output structure (which is the process of transforming the raw material into a final product), 2) a territoriality (or geographical scope), 3) a governance structure and 4) an institutional context. However, the focal point of its analysis is on the third dimension</w:t>
      </w:r>
      <w:r w:rsidR="002E4C62">
        <w:rPr>
          <w:lang w:val="en-US"/>
        </w:rPr>
        <w:t>:</w:t>
      </w:r>
      <w:r>
        <w:rPr>
          <w:lang w:val="en-US"/>
        </w:rPr>
        <w:t xml:space="preserve"> governance structure</w:t>
      </w:r>
      <w:r w:rsidR="005B25B3">
        <w:rPr>
          <w:lang w:val="en-US"/>
        </w:rPr>
        <w:t xml:space="preserve">, since </w:t>
      </w:r>
      <w:r>
        <w:rPr>
          <w:lang w:val="en-US"/>
        </w:rPr>
        <w:t xml:space="preserve">as </w:t>
      </w:r>
      <w:r w:rsidR="005B25B3">
        <w:rPr>
          <w:lang w:val="en-US"/>
        </w:rPr>
        <w:t xml:space="preserve">for </w:t>
      </w:r>
      <w:proofErr w:type="spellStart"/>
      <w:r w:rsidR="005B25B3" w:rsidRPr="005B25B3">
        <w:rPr>
          <w:lang w:val="en-US"/>
        </w:rPr>
        <w:t>Gereffi</w:t>
      </w:r>
      <w:proofErr w:type="spellEnd"/>
      <w:r w:rsidR="00163CCB" w:rsidRPr="005B25B3">
        <w:rPr>
          <w:lang w:val="en-US"/>
        </w:rPr>
        <w:t xml:space="preserve"> there are power relations embedded within each stage of the production process which set apart the winners and losers </w:t>
      </w:r>
      <w:r w:rsidR="002E4C62" w:rsidRPr="005B25B3">
        <w:rPr>
          <w:lang w:val="en-US"/>
        </w:rPr>
        <w:t xml:space="preserve">of </w:t>
      </w:r>
      <w:r w:rsidR="00163CCB" w:rsidRPr="005B25B3">
        <w:rPr>
          <w:lang w:val="en-US"/>
        </w:rPr>
        <w:t xml:space="preserve">globalization. </w:t>
      </w:r>
    </w:p>
    <w:p w:rsidR="009502F1" w:rsidRPr="002E27EB" w:rsidRDefault="00DD7A38" w:rsidP="00E06E16">
      <w:pPr>
        <w:ind w:firstLine="720"/>
        <w:jc w:val="both"/>
        <w:rPr>
          <w:lang w:val="en-US"/>
        </w:rPr>
      </w:pPr>
      <w:r>
        <w:rPr>
          <w:lang w:val="en-US"/>
        </w:rPr>
        <w:t xml:space="preserve">It is in this context that GCC is interested in determining which the </w:t>
      </w:r>
      <w:r w:rsidR="005B25B3">
        <w:rPr>
          <w:lang w:val="en-US"/>
        </w:rPr>
        <w:t>‘</w:t>
      </w:r>
      <w:r w:rsidRPr="005B25B3">
        <w:rPr>
          <w:lang w:val="en-US"/>
        </w:rPr>
        <w:t>driving firms</w:t>
      </w:r>
      <w:r w:rsidR="005B25B3">
        <w:rPr>
          <w:lang w:val="en-US"/>
        </w:rPr>
        <w:t>’</w:t>
      </w:r>
      <w:r>
        <w:rPr>
          <w:lang w:val="en-US"/>
        </w:rPr>
        <w:t xml:space="preserve"> in a chain</w:t>
      </w:r>
      <w:r w:rsidR="003240FF">
        <w:rPr>
          <w:lang w:val="en-US"/>
        </w:rPr>
        <w:t xml:space="preserve"> are</w:t>
      </w:r>
      <w:r>
        <w:rPr>
          <w:lang w:val="en-US"/>
        </w:rPr>
        <w:t>, since this will speak about their ability to control the various aspects of the production process and therefore about how value is created, appropriated and/or distributed</w:t>
      </w:r>
      <w:r w:rsidR="003240FF">
        <w:rPr>
          <w:lang w:val="en-US"/>
        </w:rPr>
        <w:t xml:space="preserve"> within the </w:t>
      </w:r>
      <w:r w:rsidR="003240FF" w:rsidRPr="002E27EB">
        <w:rPr>
          <w:lang w:val="en-US"/>
        </w:rPr>
        <w:t>chain</w:t>
      </w:r>
      <w:r w:rsidRPr="002E27EB">
        <w:rPr>
          <w:lang w:val="en-US"/>
        </w:rPr>
        <w:t xml:space="preserve"> (Bair, 2005). </w:t>
      </w:r>
    </w:p>
    <w:p w:rsidR="003240FF" w:rsidRPr="002E27EB" w:rsidRDefault="003240FF" w:rsidP="00E06E16">
      <w:pPr>
        <w:ind w:firstLine="720"/>
        <w:jc w:val="both"/>
        <w:rPr>
          <w:lang w:val="en-US"/>
        </w:rPr>
      </w:pPr>
      <w:r w:rsidRPr="002E27EB">
        <w:rPr>
          <w:lang w:val="en-US"/>
        </w:rPr>
        <w:t xml:space="preserve">For </w:t>
      </w:r>
      <w:proofErr w:type="spellStart"/>
      <w:r w:rsidRPr="002E27EB">
        <w:rPr>
          <w:lang w:val="en-US"/>
        </w:rPr>
        <w:t>Gereffi</w:t>
      </w:r>
      <w:proofErr w:type="spellEnd"/>
      <w:r w:rsidRPr="002E27EB">
        <w:rPr>
          <w:lang w:val="en-US"/>
        </w:rPr>
        <w:t xml:space="preserve"> and </w:t>
      </w:r>
      <w:proofErr w:type="spellStart"/>
      <w:r w:rsidRPr="002E27EB">
        <w:rPr>
          <w:lang w:val="en-US"/>
        </w:rPr>
        <w:t>Korzeniewicz</w:t>
      </w:r>
      <w:proofErr w:type="spellEnd"/>
      <w:r w:rsidRPr="002E27EB">
        <w:rPr>
          <w:lang w:val="en-US"/>
        </w:rPr>
        <w:t xml:space="preserve"> (1994), there are two types of governance structures based on this “</w:t>
      </w:r>
      <w:proofErr w:type="spellStart"/>
      <w:r w:rsidRPr="002E27EB">
        <w:rPr>
          <w:lang w:val="en-US"/>
        </w:rPr>
        <w:t>driveness</w:t>
      </w:r>
      <w:proofErr w:type="spellEnd"/>
      <w:r w:rsidRPr="002E27EB">
        <w:rPr>
          <w:lang w:val="en-US"/>
        </w:rPr>
        <w:t xml:space="preserve">” factor: buyer driven and producer driven commodity chains (BDCC’s and PDCC’s, respectively). </w:t>
      </w:r>
    </w:p>
    <w:p w:rsidR="009B07F1" w:rsidRPr="002E27EB" w:rsidRDefault="00DF1372" w:rsidP="00E06E16">
      <w:pPr>
        <w:ind w:firstLine="720"/>
        <w:jc w:val="both"/>
        <w:rPr>
          <w:lang w:val="en-US"/>
        </w:rPr>
      </w:pPr>
      <w:r w:rsidRPr="002E27EB">
        <w:rPr>
          <w:lang w:val="en-US"/>
        </w:rPr>
        <w:t>BDCC’s (buyer driven) are essentially found in labor-intensive production processes where “production itself is contracted out to a network of independent firms that obtain necessary inputs and organize supply to hegemonic retailers” (</w:t>
      </w:r>
      <w:proofErr w:type="spellStart"/>
      <w:r w:rsidRPr="002E27EB">
        <w:rPr>
          <w:lang w:val="en-US"/>
        </w:rPr>
        <w:t>Gereffi</w:t>
      </w:r>
      <w:proofErr w:type="spellEnd"/>
      <w:r w:rsidRPr="002E27EB">
        <w:rPr>
          <w:lang w:val="en-US"/>
        </w:rPr>
        <w:t xml:space="preserve"> and </w:t>
      </w:r>
      <w:proofErr w:type="spellStart"/>
      <w:r w:rsidRPr="002E27EB">
        <w:rPr>
          <w:lang w:val="en-US"/>
        </w:rPr>
        <w:t>Korzeniewicz</w:t>
      </w:r>
      <w:proofErr w:type="spellEnd"/>
      <w:r w:rsidRPr="002E27EB">
        <w:rPr>
          <w:lang w:val="en-US"/>
        </w:rPr>
        <w:t xml:space="preserve">, 1994). </w:t>
      </w:r>
      <w:r w:rsidR="008831FA" w:rsidRPr="002E27EB">
        <w:rPr>
          <w:lang w:val="en-US"/>
        </w:rPr>
        <w:t xml:space="preserve">As mentioned </w:t>
      </w:r>
      <w:r w:rsidR="00002381" w:rsidRPr="002E27EB">
        <w:rPr>
          <w:lang w:val="en-US"/>
        </w:rPr>
        <w:t>at</w:t>
      </w:r>
      <w:r w:rsidR="008831FA" w:rsidRPr="002E27EB">
        <w:rPr>
          <w:lang w:val="en-US"/>
        </w:rPr>
        <w:t xml:space="preserve"> the beginning, this is the process where the sub-contractors “themselves begin to transfer the least profitable parts of their new portfolio of functions to other nodes”. </w:t>
      </w:r>
      <w:r w:rsidR="00D11822" w:rsidRPr="002E27EB">
        <w:rPr>
          <w:lang w:val="en-US"/>
        </w:rPr>
        <w:t xml:space="preserve">The </w:t>
      </w:r>
      <w:r w:rsidR="00CD6098" w:rsidRPr="002E27EB">
        <w:rPr>
          <w:lang w:val="en-US"/>
        </w:rPr>
        <w:t>driving firms</w:t>
      </w:r>
      <w:r w:rsidR="00D11822" w:rsidRPr="002E27EB">
        <w:rPr>
          <w:lang w:val="en-US"/>
        </w:rPr>
        <w:t xml:space="preserve"> in BDCC’s are Retailers and Branded Marketers which specialize in design, branding, marketing, financial services and are usually found in consumer goods industries</w:t>
      </w:r>
      <w:r w:rsidR="00B64749" w:rsidRPr="002E27EB">
        <w:rPr>
          <w:lang w:val="en-US"/>
        </w:rPr>
        <w:t>,</w:t>
      </w:r>
      <w:r w:rsidR="00D11822" w:rsidRPr="002E27EB">
        <w:rPr>
          <w:lang w:val="en-US"/>
        </w:rPr>
        <w:t xml:space="preserve"> such as garment and </w:t>
      </w:r>
      <w:r w:rsidR="00DE42A5" w:rsidRPr="002E27EB">
        <w:rPr>
          <w:lang w:val="en-US"/>
        </w:rPr>
        <w:t xml:space="preserve">footwear </w:t>
      </w:r>
      <w:r w:rsidR="00D11822" w:rsidRPr="002E27EB">
        <w:rPr>
          <w:lang w:val="en-US"/>
        </w:rPr>
        <w:t xml:space="preserve">(Gibbon, 2001). </w:t>
      </w:r>
      <w:r w:rsidR="00E327EB" w:rsidRPr="002E27EB">
        <w:rPr>
          <w:lang w:val="en-US"/>
        </w:rPr>
        <w:t xml:space="preserve">“International subcontracting of </w:t>
      </w:r>
      <w:r w:rsidR="00B64749" w:rsidRPr="002E27EB">
        <w:rPr>
          <w:lang w:val="en-US"/>
        </w:rPr>
        <w:t>more labor-intensive manufacturing</w:t>
      </w:r>
      <w:r w:rsidR="00E327EB" w:rsidRPr="002E27EB">
        <w:rPr>
          <w:lang w:val="en-US"/>
        </w:rPr>
        <w:t xml:space="preserve"> is common</w:t>
      </w:r>
      <w:r w:rsidR="00B64749" w:rsidRPr="002E27EB">
        <w:rPr>
          <w:lang w:val="en-US"/>
        </w:rPr>
        <w:t>;</w:t>
      </w:r>
      <w:r w:rsidR="00E327EB" w:rsidRPr="002E27EB">
        <w:rPr>
          <w:lang w:val="en-US"/>
        </w:rPr>
        <w:t xml:space="preserve"> as are strategic alliances between international rivals</w:t>
      </w:r>
      <w:r w:rsidR="003E0473" w:rsidRPr="002E27EB">
        <w:rPr>
          <w:lang w:val="en-US"/>
        </w:rPr>
        <w:t>”</w:t>
      </w:r>
      <w:r w:rsidR="00E327EB" w:rsidRPr="002E27EB">
        <w:rPr>
          <w:lang w:val="en-US"/>
        </w:rPr>
        <w:t xml:space="preserve"> (Gibbon, 2001). </w:t>
      </w:r>
      <w:r w:rsidR="00CD6098" w:rsidRPr="002E27EB">
        <w:rPr>
          <w:lang w:val="en-US"/>
        </w:rPr>
        <w:t>S</w:t>
      </w:r>
      <w:r w:rsidR="00D11822" w:rsidRPr="002E27EB">
        <w:rPr>
          <w:lang w:val="en-US"/>
        </w:rPr>
        <w:t>imilar governance structures are found in the commodity chain of some agricultural products</w:t>
      </w:r>
      <w:r w:rsidR="00B64749" w:rsidRPr="002E27EB">
        <w:rPr>
          <w:lang w:val="en-US"/>
        </w:rPr>
        <w:t>. This</w:t>
      </w:r>
      <w:r w:rsidR="00D11822" w:rsidRPr="002E27EB">
        <w:rPr>
          <w:lang w:val="en-US"/>
        </w:rPr>
        <w:t xml:space="preserve"> reflect</w:t>
      </w:r>
      <w:r w:rsidR="00B64749" w:rsidRPr="002E27EB">
        <w:rPr>
          <w:lang w:val="en-US"/>
        </w:rPr>
        <w:t>s</w:t>
      </w:r>
      <w:r w:rsidR="00D11822" w:rsidRPr="002E27EB">
        <w:rPr>
          <w:lang w:val="en-US"/>
        </w:rPr>
        <w:t xml:space="preserve"> the power </w:t>
      </w:r>
      <w:r w:rsidR="00E327EB" w:rsidRPr="002E27EB">
        <w:rPr>
          <w:lang w:val="en-US"/>
        </w:rPr>
        <w:t>of supermarkets over the producers (Bair, 2005)</w:t>
      </w:r>
      <w:r w:rsidR="003E0473" w:rsidRPr="002E27EB">
        <w:rPr>
          <w:lang w:val="en-US"/>
        </w:rPr>
        <w:t xml:space="preserve"> (Dolan and Humphrey</w:t>
      </w:r>
      <w:r w:rsidR="00901A52" w:rsidRPr="002E27EB">
        <w:rPr>
          <w:lang w:val="en-US"/>
        </w:rPr>
        <w:t>,</w:t>
      </w:r>
      <w:r w:rsidR="003E0473" w:rsidRPr="002E27EB">
        <w:rPr>
          <w:lang w:val="en-US"/>
        </w:rPr>
        <w:t xml:space="preserve"> 2000)</w:t>
      </w:r>
      <w:r w:rsidR="00E327EB" w:rsidRPr="002E27EB">
        <w:rPr>
          <w:lang w:val="en-US"/>
        </w:rPr>
        <w:t>.</w:t>
      </w:r>
    </w:p>
    <w:p w:rsidR="00DF1372" w:rsidRDefault="001C7FD5" w:rsidP="00E06E16">
      <w:pPr>
        <w:ind w:firstLine="720"/>
        <w:jc w:val="both"/>
        <w:rPr>
          <w:lang w:val="en-US"/>
        </w:rPr>
      </w:pPr>
      <w:r>
        <w:rPr>
          <w:lang w:val="en-US"/>
        </w:rPr>
        <w:t xml:space="preserve">On the other hand, </w:t>
      </w:r>
      <w:r w:rsidR="009B07F1">
        <w:rPr>
          <w:lang w:val="en-US"/>
        </w:rPr>
        <w:t>PDCC’s (producer driven)</w:t>
      </w:r>
      <w:r>
        <w:rPr>
          <w:lang w:val="en-US"/>
        </w:rPr>
        <w:t xml:space="preserve"> are usually found in capital</w:t>
      </w:r>
      <w:r w:rsidR="00B9144B">
        <w:rPr>
          <w:lang w:val="en-US"/>
        </w:rPr>
        <w:t xml:space="preserve"> and </w:t>
      </w:r>
      <w:r>
        <w:rPr>
          <w:lang w:val="en-US"/>
        </w:rPr>
        <w:t xml:space="preserve">technology intensive industries. In this case, the coordination of production takes place amongst heavy transnational corporates and through a wide network of subsidiaries, suppliers and subcontractors </w:t>
      </w:r>
      <w:r w:rsidRPr="00046BF3">
        <w:rPr>
          <w:lang w:val="en-US"/>
        </w:rPr>
        <w:t xml:space="preserve">(Newman, 2012). </w:t>
      </w:r>
      <w:r>
        <w:rPr>
          <w:lang w:val="en-US"/>
        </w:rPr>
        <w:t>These tend to be multilayered (first, second and third tier suppliers) and involve thousands of firms (including parents, subsidiaries and subcontractors)</w:t>
      </w:r>
      <w:r w:rsidR="00627681">
        <w:rPr>
          <w:lang w:val="en-US"/>
        </w:rPr>
        <w:t>. Capital and proprietary know-</w:t>
      </w:r>
      <w:r w:rsidR="003C451A">
        <w:rPr>
          <w:lang w:val="en-US"/>
        </w:rPr>
        <w:t>how represent</w:t>
      </w:r>
      <w:r w:rsidR="00627681">
        <w:rPr>
          <w:lang w:val="en-US"/>
        </w:rPr>
        <w:t xml:space="preserve"> the main barriers to entry into the “producer node”. </w:t>
      </w:r>
      <w:r w:rsidRPr="002E27EB">
        <w:rPr>
          <w:lang w:val="en-US"/>
        </w:rPr>
        <w:t xml:space="preserve">(Gibbon, 2001).   </w:t>
      </w:r>
      <w:r w:rsidR="009B07F1" w:rsidRPr="002E27EB">
        <w:rPr>
          <w:lang w:val="en-US"/>
        </w:rPr>
        <w:t xml:space="preserve"> </w:t>
      </w:r>
      <w:r w:rsidR="00E327EB" w:rsidRPr="002E27EB">
        <w:rPr>
          <w:lang w:val="en-US"/>
        </w:rPr>
        <w:t xml:space="preserve"> </w:t>
      </w:r>
    </w:p>
    <w:p w:rsidR="00C66320" w:rsidRPr="00533C8F" w:rsidRDefault="009D57B5" w:rsidP="00E06E16">
      <w:pPr>
        <w:ind w:firstLine="720"/>
        <w:jc w:val="both"/>
        <w:rPr>
          <w:lang w:val="en-US"/>
        </w:rPr>
      </w:pPr>
      <w:r w:rsidRPr="00533C8F">
        <w:rPr>
          <w:lang w:val="en-US"/>
        </w:rPr>
        <w:t xml:space="preserve">Yet, </w:t>
      </w:r>
      <w:r w:rsidR="00F63296" w:rsidRPr="00533C8F">
        <w:rPr>
          <w:lang w:val="en-US"/>
        </w:rPr>
        <w:t>for some opposing</w:t>
      </w:r>
      <w:r w:rsidR="00C66320" w:rsidRPr="00533C8F">
        <w:rPr>
          <w:lang w:val="en-US"/>
        </w:rPr>
        <w:t xml:space="preserve"> scholars these categorizations reveal the descriptive nature of the GCC analytical framework. For these</w:t>
      </w:r>
      <w:r w:rsidR="002D796D" w:rsidRPr="00533C8F">
        <w:rPr>
          <w:lang w:val="en-US"/>
        </w:rPr>
        <w:t>,</w:t>
      </w:r>
      <w:r w:rsidR="00C66320" w:rsidRPr="00533C8F">
        <w:rPr>
          <w:lang w:val="en-US"/>
        </w:rPr>
        <w:t xml:space="preserve"> GCC is poor in the analysis and reliant on chain typologies that do not adequately account for the diversity in empirical case studies </w:t>
      </w:r>
      <w:r w:rsidR="00C66320" w:rsidRPr="00046BF3">
        <w:rPr>
          <w:lang w:val="en-US"/>
        </w:rPr>
        <w:t xml:space="preserve">(Newman, </w:t>
      </w:r>
      <w:r w:rsidR="00046BF3" w:rsidRPr="00046BF3">
        <w:rPr>
          <w:lang w:val="en-US"/>
        </w:rPr>
        <w:t>2009</w:t>
      </w:r>
      <w:r w:rsidR="00C66320" w:rsidRPr="00046BF3">
        <w:rPr>
          <w:lang w:val="en-US"/>
        </w:rPr>
        <w:t>)</w:t>
      </w:r>
    </w:p>
    <w:p w:rsidR="009D57B5" w:rsidRPr="002E27EB" w:rsidRDefault="00C66320" w:rsidP="00E06E16">
      <w:pPr>
        <w:ind w:firstLine="720"/>
        <w:jc w:val="both"/>
        <w:rPr>
          <w:lang w:val="en-US"/>
        </w:rPr>
      </w:pPr>
      <w:r w:rsidRPr="00574CC6">
        <w:rPr>
          <w:lang w:val="en-US"/>
        </w:rPr>
        <w:t xml:space="preserve">Furthermore, GCC has been accused for being somewhat deterministic when depicting the industrial organization of chains, its governance and upgrading. </w:t>
      </w:r>
      <w:r w:rsidR="002D796D" w:rsidRPr="00574CC6">
        <w:rPr>
          <w:lang w:val="en-US"/>
        </w:rPr>
        <w:t xml:space="preserve">It is also </w:t>
      </w:r>
      <w:r w:rsidR="005B25B3" w:rsidRPr="00574CC6">
        <w:rPr>
          <w:lang w:val="en-US"/>
        </w:rPr>
        <w:t>accused</w:t>
      </w:r>
      <w:r w:rsidR="002D796D" w:rsidRPr="00574CC6">
        <w:rPr>
          <w:lang w:val="en-US"/>
        </w:rPr>
        <w:t xml:space="preserve"> of being </w:t>
      </w:r>
      <w:r w:rsidRPr="00574CC6">
        <w:rPr>
          <w:lang w:val="en-US"/>
        </w:rPr>
        <w:t>“</w:t>
      </w:r>
      <w:r w:rsidR="002C1B3D" w:rsidRPr="00574CC6">
        <w:rPr>
          <w:lang w:val="en-US"/>
        </w:rPr>
        <w:t>f</w:t>
      </w:r>
      <w:r w:rsidRPr="00574CC6">
        <w:rPr>
          <w:lang w:val="en-US"/>
        </w:rPr>
        <w:t xml:space="preserve">atalistic”, </w:t>
      </w:r>
      <w:r w:rsidRPr="00574CC6">
        <w:rPr>
          <w:lang w:val="en-US"/>
        </w:rPr>
        <w:lastRenderedPageBreak/>
        <w:t xml:space="preserve">since it </w:t>
      </w:r>
      <w:r w:rsidR="004633C6" w:rsidRPr="00574CC6">
        <w:rPr>
          <w:lang w:val="en-US"/>
        </w:rPr>
        <w:t xml:space="preserve">suggests </w:t>
      </w:r>
      <w:r w:rsidRPr="00574CC6">
        <w:rPr>
          <w:lang w:val="en-US"/>
        </w:rPr>
        <w:t xml:space="preserve">that the limits of economic activity in developing countries are determined almost </w:t>
      </w:r>
      <w:r w:rsidR="004633C6" w:rsidRPr="00574CC6">
        <w:rPr>
          <w:lang w:val="en-US"/>
        </w:rPr>
        <w:t xml:space="preserve">entirely </w:t>
      </w:r>
      <w:r w:rsidRPr="00574CC6">
        <w:rPr>
          <w:lang w:val="en-US"/>
        </w:rPr>
        <w:t xml:space="preserve">by the economic structures and behavior in OECD </w:t>
      </w:r>
      <w:r w:rsidRPr="002E27EB">
        <w:rPr>
          <w:lang w:val="en-US"/>
        </w:rPr>
        <w:t xml:space="preserve">countries (Gibbon, 2001).  </w:t>
      </w:r>
    </w:p>
    <w:p w:rsidR="000B2DAB" w:rsidRPr="002E27EB" w:rsidRDefault="00C66320" w:rsidP="00E06E16">
      <w:pPr>
        <w:ind w:firstLine="720"/>
        <w:jc w:val="both"/>
        <w:rPr>
          <w:lang w:val="en-US"/>
        </w:rPr>
      </w:pPr>
      <w:r w:rsidRPr="002E27EB">
        <w:rPr>
          <w:lang w:val="en-US"/>
        </w:rPr>
        <w:t xml:space="preserve">Another </w:t>
      </w:r>
      <w:r w:rsidR="009D065D" w:rsidRPr="002E27EB">
        <w:rPr>
          <w:lang w:val="en-US"/>
        </w:rPr>
        <w:t xml:space="preserve">concept that is extensively used in the GCC literature </w:t>
      </w:r>
      <w:r w:rsidRPr="002E27EB">
        <w:rPr>
          <w:lang w:val="en-US"/>
        </w:rPr>
        <w:t xml:space="preserve">in addition to governance </w:t>
      </w:r>
      <w:r w:rsidR="009D065D" w:rsidRPr="002E27EB">
        <w:rPr>
          <w:lang w:val="en-US"/>
        </w:rPr>
        <w:t xml:space="preserve">is the one related to upgrading. </w:t>
      </w:r>
      <w:r w:rsidR="00A90193" w:rsidRPr="002E27EB">
        <w:rPr>
          <w:lang w:val="en-US"/>
        </w:rPr>
        <w:t>This concept makes reference to the processes through which actors’ upstream (that is closer to the production side) can move along the chain towards higher added value activities (closer to the final consumer). Upgrading can be done in different ways, such as: intra-chain (</w:t>
      </w:r>
      <w:r w:rsidR="008630F2" w:rsidRPr="002E27EB">
        <w:rPr>
          <w:lang w:val="en-US"/>
        </w:rPr>
        <w:t>also called</w:t>
      </w:r>
      <w:r w:rsidR="00A90193" w:rsidRPr="002E27EB">
        <w:rPr>
          <w:lang w:val="en-US"/>
        </w:rPr>
        <w:t xml:space="preserve"> functional), </w:t>
      </w:r>
      <w:r w:rsidR="005B25B3" w:rsidRPr="002E27EB">
        <w:rPr>
          <w:lang w:val="en-US"/>
        </w:rPr>
        <w:t xml:space="preserve">or </w:t>
      </w:r>
      <w:r w:rsidR="00A90193" w:rsidRPr="002E27EB">
        <w:rPr>
          <w:lang w:val="en-US"/>
        </w:rPr>
        <w:t xml:space="preserve">by product, </w:t>
      </w:r>
      <w:r w:rsidR="00A16726" w:rsidRPr="002E27EB">
        <w:rPr>
          <w:lang w:val="en-US"/>
        </w:rPr>
        <w:t xml:space="preserve">by process or inter-chain. </w:t>
      </w:r>
    </w:p>
    <w:p w:rsidR="00A16726" w:rsidRPr="002E27EB" w:rsidRDefault="00A16726" w:rsidP="00E06E16">
      <w:pPr>
        <w:ind w:firstLine="720"/>
        <w:jc w:val="both"/>
        <w:rPr>
          <w:lang w:val="en-US"/>
        </w:rPr>
      </w:pPr>
      <w:r w:rsidRPr="002E27EB">
        <w:rPr>
          <w:lang w:val="en-US"/>
        </w:rPr>
        <w:t>Intra-chain upgrading</w:t>
      </w:r>
      <w:r w:rsidR="00B220CB" w:rsidRPr="002E27EB">
        <w:rPr>
          <w:lang w:val="en-US"/>
        </w:rPr>
        <w:t>,</w:t>
      </w:r>
      <w:r w:rsidRPr="002E27EB">
        <w:rPr>
          <w:lang w:val="en-US"/>
        </w:rPr>
        <w:t xml:space="preserve"> is when a firm takes on additional functions beyond basic production such as design or logistics management</w:t>
      </w:r>
      <w:r w:rsidR="000A214A" w:rsidRPr="002E27EB">
        <w:rPr>
          <w:lang w:val="en-US"/>
        </w:rPr>
        <w:t>,</w:t>
      </w:r>
      <w:r w:rsidRPr="002E27EB">
        <w:rPr>
          <w:lang w:val="en-US"/>
        </w:rPr>
        <w:t xml:space="preserve"> securing in this way its position within the chain. </w:t>
      </w:r>
      <w:r w:rsidR="009C6228" w:rsidRPr="002E27EB">
        <w:rPr>
          <w:lang w:val="en-US"/>
        </w:rPr>
        <w:t xml:space="preserve">“Full-package manufacturers” are an example of this. Product </w:t>
      </w:r>
      <w:r w:rsidR="00B220CB" w:rsidRPr="002E27EB">
        <w:rPr>
          <w:lang w:val="en-US"/>
        </w:rPr>
        <w:t>upgrading</w:t>
      </w:r>
      <w:r w:rsidR="009C6228" w:rsidRPr="002E27EB">
        <w:rPr>
          <w:lang w:val="en-US"/>
        </w:rPr>
        <w:t xml:space="preserve"> is when more sophisticated products are produced with higher unit prices. </w:t>
      </w:r>
      <w:r w:rsidR="007826D8" w:rsidRPr="002E27EB">
        <w:rPr>
          <w:lang w:val="en-US"/>
        </w:rPr>
        <w:t>Process upgrading, happens when the technology or production systems are improved. Finally, inter-chain upgrading takes place when there is a move from one industry to another (Bair, 2005) (</w:t>
      </w:r>
      <w:proofErr w:type="spellStart"/>
      <w:r w:rsidR="007826D8" w:rsidRPr="002E27EB">
        <w:rPr>
          <w:lang w:val="en-US"/>
        </w:rPr>
        <w:t>Gereffi</w:t>
      </w:r>
      <w:proofErr w:type="spellEnd"/>
      <w:r w:rsidR="007826D8" w:rsidRPr="002E27EB">
        <w:rPr>
          <w:lang w:val="en-US"/>
        </w:rPr>
        <w:t xml:space="preserve"> et al. 2001b; </w:t>
      </w:r>
      <w:proofErr w:type="spellStart"/>
      <w:r w:rsidR="007826D8" w:rsidRPr="002E27EB">
        <w:rPr>
          <w:lang w:val="en-US"/>
        </w:rPr>
        <w:t>Humpfrey</w:t>
      </w:r>
      <w:proofErr w:type="spellEnd"/>
      <w:r w:rsidR="007826D8" w:rsidRPr="002E27EB">
        <w:rPr>
          <w:lang w:val="en-US"/>
        </w:rPr>
        <w:t xml:space="preserve"> and Schmitz (2001). </w:t>
      </w:r>
    </w:p>
    <w:p w:rsidR="00A90193" w:rsidRPr="002E27EB" w:rsidRDefault="008778BB" w:rsidP="00E06E16">
      <w:pPr>
        <w:ind w:firstLine="720"/>
        <w:jc w:val="both"/>
        <w:rPr>
          <w:lang w:val="en-US"/>
        </w:rPr>
      </w:pPr>
      <w:r w:rsidRPr="002E27EB">
        <w:rPr>
          <w:lang w:val="en-US"/>
        </w:rPr>
        <w:t xml:space="preserve">However, several studies suggest that the ability of firms to upgrade in any of the </w:t>
      </w:r>
      <w:r>
        <w:rPr>
          <w:lang w:val="en-US"/>
        </w:rPr>
        <w:t xml:space="preserve">ways mentioned above is more and more </w:t>
      </w:r>
      <w:r w:rsidRPr="002E51BF">
        <w:rPr>
          <w:lang w:val="en-US"/>
        </w:rPr>
        <w:t xml:space="preserve">difficult due to increasing entry barriers as we </w:t>
      </w:r>
      <w:r>
        <w:rPr>
          <w:lang w:val="en-US"/>
        </w:rPr>
        <w:t xml:space="preserve">move along the chain </w:t>
      </w:r>
      <w:r w:rsidRPr="00046BF3">
        <w:rPr>
          <w:lang w:val="en-US"/>
        </w:rPr>
        <w:t>(Newman, 201</w:t>
      </w:r>
      <w:r w:rsidR="00046BF3" w:rsidRPr="00046BF3">
        <w:rPr>
          <w:lang w:val="en-US"/>
        </w:rPr>
        <w:t>2</w:t>
      </w:r>
      <w:r w:rsidRPr="00046BF3">
        <w:rPr>
          <w:lang w:val="en-US"/>
        </w:rPr>
        <w:t xml:space="preserve">). </w:t>
      </w:r>
      <w:r w:rsidR="000A214A" w:rsidRPr="00046BF3">
        <w:rPr>
          <w:lang w:val="en-US"/>
        </w:rPr>
        <w:t>Interestingly</w:t>
      </w:r>
      <w:r w:rsidR="000A214A">
        <w:rPr>
          <w:lang w:val="en-US"/>
        </w:rPr>
        <w:t>, it seems to be that the barriers of entry to the intangible aspects of the production process (</w:t>
      </w:r>
      <w:r w:rsidR="00161DF5">
        <w:rPr>
          <w:lang w:val="en-US"/>
        </w:rPr>
        <w:t xml:space="preserve">such as </w:t>
      </w:r>
      <w:r w:rsidR="000A214A">
        <w:rPr>
          <w:lang w:val="en-US"/>
        </w:rPr>
        <w:t xml:space="preserve">marketing, design and brand development) are much greater than the barriers of entry to the tangible </w:t>
      </w:r>
      <w:r w:rsidR="00930917">
        <w:rPr>
          <w:lang w:val="en-US"/>
        </w:rPr>
        <w:t>ones</w:t>
      </w:r>
      <w:r w:rsidR="000A214A">
        <w:rPr>
          <w:lang w:val="en-US"/>
        </w:rPr>
        <w:t xml:space="preserve"> (</w:t>
      </w:r>
      <w:r w:rsidR="00161DF5">
        <w:rPr>
          <w:lang w:val="en-US"/>
        </w:rPr>
        <w:t xml:space="preserve">meaning </w:t>
      </w:r>
      <w:r w:rsidR="000A214A">
        <w:rPr>
          <w:lang w:val="en-US"/>
        </w:rPr>
        <w:t>production and manufacturing)</w:t>
      </w:r>
      <w:r w:rsidR="003C4E6D">
        <w:rPr>
          <w:lang w:val="en-US"/>
        </w:rPr>
        <w:t xml:space="preserve">, </w:t>
      </w:r>
      <w:r w:rsidR="003C4E6D" w:rsidRPr="00086364">
        <w:rPr>
          <w:lang w:val="en-US"/>
        </w:rPr>
        <w:t>the least profitable</w:t>
      </w:r>
      <w:r w:rsidR="000A214A" w:rsidRPr="00086364">
        <w:rPr>
          <w:lang w:val="en-US"/>
        </w:rPr>
        <w:t xml:space="preserve"> </w:t>
      </w:r>
      <w:r w:rsidR="000A214A" w:rsidRPr="002E27EB">
        <w:rPr>
          <w:lang w:val="en-US"/>
        </w:rPr>
        <w:t>(Bair, 2005) (</w:t>
      </w:r>
      <w:proofErr w:type="spellStart"/>
      <w:r w:rsidR="000A214A" w:rsidRPr="002E27EB">
        <w:rPr>
          <w:lang w:val="en-US"/>
        </w:rPr>
        <w:t>Gereffi</w:t>
      </w:r>
      <w:proofErr w:type="spellEnd"/>
      <w:r w:rsidR="000A214A" w:rsidRPr="002E27EB">
        <w:rPr>
          <w:lang w:val="en-US"/>
        </w:rPr>
        <w:t xml:space="preserve"> et al. 2001b)</w:t>
      </w:r>
      <w:r w:rsidR="00930917" w:rsidRPr="002E27EB">
        <w:rPr>
          <w:lang w:val="en-US"/>
        </w:rPr>
        <w:t>.</w:t>
      </w:r>
    </w:p>
    <w:p w:rsidR="00D74236" w:rsidRDefault="00301B08" w:rsidP="00E06E16">
      <w:pPr>
        <w:ind w:firstLine="720"/>
        <w:jc w:val="both"/>
        <w:rPr>
          <w:lang w:val="en-US"/>
        </w:rPr>
      </w:pPr>
      <w:r>
        <w:rPr>
          <w:lang w:val="en-US"/>
        </w:rPr>
        <w:t>Furthermore</w:t>
      </w:r>
      <w:r w:rsidR="00100C95">
        <w:rPr>
          <w:lang w:val="en-US"/>
        </w:rPr>
        <w:t>,</w:t>
      </w:r>
      <w:r w:rsidR="00930917">
        <w:rPr>
          <w:lang w:val="en-US"/>
        </w:rPr>
        <w:t xml:space="preserve"> although upgrading </w:t>
      </w:r>
      <w:r w:rsidR="0034202E">
        <w:rPr>
          <w:lang w:val="en-US"/>
        </w:rPr>
        <w:t xml:space="preserve">is </w:t>
      </w:r>
      <w:r>
        <w:rPr>
          <w:lang w:val="en-US"/>
        </w:rPr>
        <w:t>thought of</w:t>
      </w:r>
      <w:r w:rsidR="0034202E">
        <w:rPr>
          <w:lang w:val="en-US"/>
        </w:rPr>
        <w:t xml:space="preserve"> as a positive for those involved</w:t>
      </w:r>
      <w:r w:rsidR="00100C95">
        <w:rPr>
          <w:lang w:val="en-US"/>
        </w:rPr>
        <w:t>,</w:t>
      </w:r>
      <w:r w:rsidR="0034202E">
        <w:rPr>
          <w:lang w:val="en-US"/>
        </w:rPr>
        <w:t xml:space="preserve"> this is not always the case. </w:t>
      </w:r>
      <w:r w:rsidR="00100C95">
        <w:rPr>
          <w:lang w:val="en-US"/>
        </w:rPr>
        <w:t>In fact, upgrading (intra-chain) can often simply mean the increased competitiveness of the firm, as it takes on additional responsibilities</w:t>
      </w:r>
      <w:r w:rsidR="00353775">
        <w:rPr>
          <w:lang w:val="en-US"/>
        </w:rPr>
        <w:t xml:space="preserve"> without reaping the benefits associated with </w:t>
      </w:r>
      <w:r>
        <w:rPr>
          <w:lang w:val="en-US"/>
        </w:rPr>
        <w:t xml:space="preserve">upgrading, </w:t>
      </w:r>
      <w:r w:rsidR="00353775">
        <w:rPr>
          <w:lang w:val="en-US"/>
        </w:rPr>
        <w:t xml:space="preserve">such as increased security within the chain and/or greater profitability. </w:t>
      </w:r>
      <w:r w:rsidR="00D74236">
        <w:rPr>
          <w:lang w:val="en-US"/>
        </w:rPr>
        <w:t xml:space="preserve">What’s more, smaller firms within the country are </w:t>
      </w:r>
      <w:r>
        <w:rPr>
          <w:lang w:val="en-US"/>
        </w:rPr>
        <w:t xml:space="preserve">often </w:t>
      </w:r>
      <w:r w:rsidR="00D74236">
        <w:rPr>
          <w:lang w:val="en-US"/>
        </w:rPr>
        <w:t xml:space="preserve">excluded in this process. </w:t>
      </w:r>
    </w:p>
    <w:p w:rsidR="00735ACA" w:rsidRDefault="00735ACA" w:rsidP="00E06E16">
      <w:pPr>
        <w:ind w:firstLine="720"/>
        <w:jc w:val="both"/>
        <w:rPr>
          <w:lang w:val="en-US"/>
        </w:rPr>
      </w:pPr>
      <w:r>
        <w:rPr>
          <w:lang w:val="en-US"/>
        </w:rPr>
        <w:t xml:space="preserve">For example, a comparative study of Kenyan horticulture and Indian textile value chains by Dolan and </w:t>
      </w:r>
      <w:proofErr w:type="spellStart"/>
      <w:r>
        <w:rPr>
          <w:lang w:val="en-US"/>
        </w:rPr>
        <w:t>Tewari</w:t>
      </w:r>
      <w:proofErr w:type="spellEnd"/>
      <w:r>
        <w:rPr>
          <w:lang w:val="en-US"/>
        </w:rPr>
        <w:t xml:space="preserve">, concluded that “changes in both value chains associated </w:t>
      </w:r>
      <w:r w:rsidRPr="002E27EB">
        <w:rPr>
          <w:lang w:val="en-US"/>
        </w:rPr>
        <w:t xml:space="preserve">with </w:t>
      </w:r>
      <w:r w:rsidR="003F39D7" w:rsidRPr="002E27EB">
        <w:rPr>
          <w:lang w:val="en-US"/>
        </w:rPr>
        <w:t>processes</w:t>
      </w:r>
      <w:r w:rsidRPr="002E27EB">
        <w:rPr>
          <w:lang w:val="en-US"/>
        </w:rPr>
        <w:t xml:space="preserve"> of </w:t>
      </w:r>
      <w:r>
        <w:rPr>
          <w:lang w:val="en-US"/>
        </w:rPr>
        <w:t xml:space="preserve">upgrading on the part of the largest firms severely circumscribed the future upgrading prospects of smaller producers and pose the danger of excluding a large </w:t>
      </w:r>
      <w:r w:rsidRPr="00B220CB">
        <w:rPr>
          <w:lang w:val="en-US"/>
        </w:rPr>
        <w:t>swathe</w:t>
      </w:r>
      <w:r w:rsidRPr="001A0EF9">
        <w:rPr>
          <w:color w:val="FF0000"/>
          <w:lang w:val="en-US"/>
        </w:rPr>
        <w:t xml:space="preserve"> </w:t>
      </w:r>
      <w:r>
        <w:rPr>
          <w:lang w:val="en-US"/>
        </w:rPr>
        <w:t xml:space="preserve">of low-performing domestic firms from the circles where new skills and learning are being </w:t>
      </w:r>
      <w:r w:rsidRPr="002E27EB">
        <w:rPr>
          <w:lang w:val="en-US"/>
        </w:rPr>
        <w:t xml:space="preserve">generated” (Bair, 2005) </w:t>
      </w:r>
    </w:p>
    <w:p w:rsidR="00BD61E9" w:rsidRPr="002E51BF" w:rsidRDefault="00301B08" w:rsidP="00E06E16">
      <w:pPr>
        <w:ind w:firstLine="720"/>
        <w:jc w:val="both"/>
        <w:rPr>
          <w:color w:val="FF0000"/>
          <w:lang w:val="en-US"/>
        </w:rPr>
      </w:pPr>
      <w:r>
        <w:rPr>
          <w:lang w:val="en-US"/>
        </w:rPr>
        <w:t xml:space="preserve">Similarly, </w:t>
      </w:r>
      <w:r w:rsidR="00A73A5D">
        <w:rPr>
          <w:lang w:val="en-US"/>
        </w:rPr>
        <w:t>for</w:t>
      </w:r>
      <w:r w:rsidR="00BD61E9">
        <w:rPr>
          <w:lang w:val="en-US"/>
        </w:rPr>
        <w:t xml:space="preserve"> the case of the workers, upgrading does not necessarily translate into higher wa</w:t>
      </w:r>
      <w:r w:rsidR="00A73A5D">
        <w:rPr>
          <w:lang w:val="en-US"/>
        </w:rPr>
        <w:t>ges</w:t>
      </w:r>
      <w:r w:rsidR="00BD61E9">
        <w:rPr>
          <w:lang w:val="en-US"/>
        </w:rPr>
        <w:t xml:space="preserve">, greater job security or improved working </w:t>
      </w:r>
      <w:r w:rsidR="00BD61E9" w:rsidRPr="00046BF3">
        <w:rPr>
          <w:lang w:val="en-US"/>
        </w:rPr>
        <w:t>conditions (Newman, 201</w:t>
      </w:r>
      <w:r w:rsidR="00046BF3" w:rsidRPr="00046BF3">
        <w:rPr>
          <w:lang w:val="en-US"/>
        </w:rPr>
        <w:t>2</w:t>
      </w:r>
      <w:r w:rsidR="00BD61E9" w:rsidRPr="00046BF3">
        <w:rPr>
          <w:lang w:val="en-US"/>
        </w:rPr>
        <w:t xml:space="preserve">) (Ponte </w:t>
      </w:r>
      <w:r w:rsidR="00BD61E9" w:rsidRPr="002E27EB">
        <w:rPr>
          <w:lang w:val="en-US"/>
        </w:rPr>
        <w:t xml:space="preserve">2002; </w:t>
      </w:r>
      <w:proofErr w:type="spellStart"/>
      <w:r w:rsidR="00BD61E9" w:rsidRPr="002E27EB">
        <w:rPr>
          <w:lang w:val="en-US"/>
        </w:rPr>
        <w:t>Schurman</w:t>
      </w:r>
      <w:proofErr w:type="spellEnd"/>
      <w:r w:rsidR="00BD61E9" w:rsidRPr="002E27EB">
        <w:rPr>
          <w:lang w:val="en-US"/>
        </w:rPr>
        <w:t xml:space="preserve"> 2001; Talbot 1997</w:t>
      </w:r>
      <w:r w:rsidR="002E27EB">
        <w:rPr>
          <w:lang w:val="en-US"/>
        </w:rPr>
        <w:t xml:space="preserve">) </w:t>
      </w:r>
      <w:r w:rsidR="00BD61E9" w:rsidRPr="002E51BF">
        <w:rPr>
          <w:color w:val="FF0000"/>
          <w:lang w:val="en-US"/>
        </w:rPr>
        <w:t xml:space="preserve"> </w:t>
      </w:r>
    </w:p>
    <w:p w:rsidR="00752A9A" w:rsidRPr="002E27EB" w:rsidRDefault="00752A9A" w:rsidP="00E06E16">
      <w:pPr>
        <w:ind w:firstLine="720"/>
        <w:jc w:val="both"/>
        <w:rPr>
          <w:lang w:val="en-US"/>
        </w:rPr>
      </w:pPr>
      <w:r>
        <w:rPr>
          <w:lang w:val="en-US"/>
        </w:rPr>
        <w:t xml:space="preserve">Yet, according </w:t>
      </w:r>
      <w:r w:rsidRPr="002E27EB">
        <w:rPr>
          <w:lang w:val="en-US"/>
        </w:rPr>
        <w:t xml:space="preserve">to Cramer (1999) another </w:t>
      </w:r>
      <w:r>
        <w:rPr>
          <w:lang w:val="en-US"/>
        </w:rPr>
        <w:t xml:space="preserve">opponent scholar, GCC analysis over-emphasize what it refers as the “rigidly exploitative terms” set by the multinational corporations. For some </w:t>
      </w:r>
      <w:r w:rsidRPr="00E67695">
        <w:rPr>
          <w:lang w:val="en-US"/>
        </w:rPr>
        <w:t>scholars (</w:t>
      </w:r>
      <w:r w:rsidR="00E67695" w:rsidRPr="00E67695">
        <w:rPr>
          <w:lang w:val="en-US"/>
        </w:rPr>
        <w:t>GCC</w:t>
      </w:r>
      <w:r w:rsidRPr="00E67695">
        <w:rPr>
          <w:lang w:val="en-US"/>
        </w:rPr>
        <w:t xml:space="preserve">), </w:t>
      </w:r>
      <w:r>
        <w:rPr>
          <w:lang w:val="en-US"/>
        </w:rPr>
        <w:t xml:space="preserve">places the firm at the center-stage of its analytical work hence firms are thought to be in “uniquely powerful positions in terms of their ability to shape outcomes along the chain and the distribution of value added”. In this sense, </w:t>
      </w:r>
      <w:r w:rsidRPr="002E51BF">
        <w:rPr>
          <w:lang w:val="en-US"/>
        </w:rPr>
        <w:t xml:space="preserve">upgrading </w:t>
      </w:r>
      <w:r>
        <w:rPr>
          <w:lang w:val="en-US"/>
        </w:rPr>
        <w:t xml:space="preserve">is only possible at the firm level. Labor and other social categories </w:t>
      </w:r>
      <w:r>
        <w:rPr>
          <w:lang w:val="en-US"/>
        </w:rPr>
        <w:lastRenderedPageBreak/>
        <w:t xml:space="preserve">are not taken into account for the analysis, which shows the departure of the GCC literature from the </w:t>
      </w:r>
      <w:r w:rsidRPr="002E27EB">
        <w:rPr>
          <w:lang w:val="en-US"/>
        </w:rPr>
        <w:t xml:space="preserve">World System Approach (its origin). Under WSA, labor is thought to be quite important. </w:t>
      </w:r>
    </w:p>
    <w:p w:rsidR="00752A9A" w:rsidRPr="001E6070" w:rsidRDefault="00B220CB" w:rsidP="00E06E16">
      <w:pPr>
        <w:ind w:firstLine="720"/>
        <w:jc w:val="both"/>
        <w:rPr>
          <w:lang w:val="en-US"/>
        </w:rPr>
      </w:pPr>
      <w:r w:rsidRPr="002E27EB">
        <w:rPr>
          <w:lang w:val="en-US"/>
        </w:rPr>
        <w:t>Another set of criticisms</w:t>
      </w:r>
      <w:r w:rsidR="00752A9A" w:rsidRPr="002E27EB">
        <w:rPr>
          <w:lang w:val="en-US"/>
        </w:rPr>
        <w:t xml:space="preserve">, </w:t>
      </w:r>
      <w:r w:rsidRPr="002E27EB">
        <w:rPr>
          <w:lang w:val="en-US"/>
        </w:rPr>
        <w:t>accuse GCC analysi</w:t>
      </w:r>
      <w:r w:rsidR="00752A9A" w:rsidRPr="002E27EB">
        <w:rPr>
          <w:lang w:val="en-US"/>
        </w:rPr>
        <w:t xml:space="preserve">s for being too worried by the vertical nature of the </w:t>
      </w:r>
      <w:r w:rsidR="00752A9A" w:rsidRPr="00046BF3">
        <w:rPr>
          <w:lang w:val="en-US"/>
        </w:rPr>
        <w:t xml:space="preserve">chain and as a consequence </w:t>
      </w:r>
      <w:r w:rsidRPr="00046BF3">
        <w:rPr>
          <w:lang w:val="en-US"/>
        </w:rPr>
        <w:t>ha</w:t>
      </w:r>
      <w:r w:rsidR="001E6070" w:rsidRPr="00046BF3">
        <w:rPr>
          <w:lang w:val="en-US"/>
        </w:rPr>
        <w:t>ve</w:t>
      </w:r>
      <w:r w:rsidR="00752A9A" w:rsidRPr="00046BF3">
        <w:rPr>
          <w:lang w:val="en-US"/>
        </w:rPr>
        <w:t xml:space="preserve"> neglected the inter-chain interactions. </w:t>
      </w:r>
      <w:r w:rsidR="00262C09" w:rsidRPr="00046BF3">
        <w:rPr>
          <w:lang w:val="en-US"/>
        </w:rPr>
        <w:t xml:space="preserve">In addition, </w:t>
      </w:r>
      <w:r w:rsidR="00752A9A" w:rsidRPr="00046BF3">
        <w:rPr>
          <w:lang w:val="en-US"/>
        </w:rPr>
        <w:t xml:space="preserve">according to Newman (2009), there </w:t>
      </w:r>
      <w:r w:rsidR="00752A9A" w:rsidRPr="001E6070">
        <w:rPr>
          <w:lang w:val="en-US"/>
        </w:rPr>
        <w:t>has been an exclusion of finance</w:t>
      </w:r>
      <w:r w:rsidR="00262C09" w:rsidRPr="001E6070">
        <w:rPr>
          <w:lang w:val="en-US"/>
        </w:rPr>
        <w:t>,</w:t>
      </w:r>
      <w:r w:rsidR="00752A9A" w:rsidRPr="001E6070">
        <w:rPr>
          <w:lang w:val="en-US"/>
        </w:rPr>
        <w:t xml:space="preserve"> which </w:t>
      </w:r>
      <w:r w:rsidR="00262C09" w:rsidRPr="001E6070">
        <w:rPr>
          <w:lang w:val="en-US"/>
        </w:rPr>
        <w:t xml:space="preserve">has </w:t>
      </w:r>
      <w:r w:rsidR="00752A9A" w:rsidRPr="001E6070">
        <w:rPr>
          <w:lang w:val="en-US"/>
        </w:rPr>
        <w:t xml:space="preserve">for example left commodity derivatives out of the analysis. </w:t>
      </w:r>
    </w:p>
    <w:p w:rsidR="009E5934" w:rsidRDefault="00752A9A" w:rsidP="00E06E16">
      <w:pPr>
        <w:ind w:firstLine="720"/>
        <w:jc w:val="both"/>
        <w:rPr>
          <w:lang w:val="en-US"/>
        </w:rPr>
      </w:pPr>
      <w:r w:rsidRPr="00AA0FA8">
        <w:rPr>
          <w:lang w:val="en-US"/>
        </w:rPr>
        <w:t>Furthermore, f</w:t>
      </w:r>
      <w:r w:rsidR="000A433E" w:rsidRPr="00AA0FA8">
        <w:rPr>
          <w:lang w:val="en-US"/>
        </w:rPr>
        <w:t>or</w:t>
      </w:r>
      <w:r w:rsidR="000A433E">
        <w:rPr>
          <w:lang w:val="en-US"/>
        </w:rPr>
        <w:t xml:space="preserve"> some authors like </w:t>
      </w:r>
      <w:r w:rsidR="009E5934">
        <w:rPr>
          <w:lang w:val="en-US"/>
        </w:rPr>
        <w:t xml:space="preserve">Bair, the emphasis of the literature on concepts </w:t>
      </w:r>
      <w:r w:rsidR="001961AE">
        <w:rPr>
          <w:lang w:val="en-US"/>
        </w:rPr>
        <w:t>such as upgrading (as mentioned above)</w:t>
      </w:r>
      <w:r w:rsidR="00377F14">
        <w:rPr>
          <w:lang w:val="en-US"/>
        </w:rPr>
        <w:t>,</w:t>
      </w:r>
      <w:r w:rsidR="001961AE">
        <w:rPr>
          <w:lang w:val="en-US"/>
        </w:rPr>
        <w:t xml:space="preserve"> although necessary and </w:t>
      </w:r>
      <w:r w:rsidR="001961AE" w:rsidRPr="002E51BF">
        <w:rPr>
          <w:lang w:val="en-US"/>
        </w:rPr>
        <w:t>useful</w:t>
      </w:r>
      <w:r w:rsidR="00377F14" w:rsidRPr="002E51BF">
        <w:rPr>
          <w:lang w:val="en-US"/>
        </w:rPr>
        <w:t xml:space="preserve">, </w:t>
      </w:r>
      <w:r w:rsidR="00574CC6" w:rsidRPr="002E51BF">
        <w:rPr>
          <w:lang w:val="en-US"/>
        </w:rPr>
        <w:t xml:space="preserve">these </w:t>
      </w:r>
      <w:r w:rsidR="001961AE" w:rsidRPr="002E51BF">
        <w:rPr>
          <w:lang w:val="en-US"/>
        </w:rPr>
        <w:t xml:space="preserve">lack </w:t>
      </w:r>
      <w:r w:rsidR="00574CC6" w:rsidRPr="002E51BF">
        <w:rPr>
          <w:lang w:val="en-US"/>
        </w:rPr>
        <w:t xml:space="preserve">an </w:t>
      </w:r>
      <w:r w:rsidR="000A433E" w:rsidRPr="002E51BF">
        <w:rPr>
          <w:lang w:val="en-US"/>
        </w:rPr>
        <w:t xml:space="preserve">analysis </w:t>
      </w:r>
      <w:r w:rsidR="000A433E">
        <w:rPr>
          <w:lang w:val="en-US"/>
        </w:rPr>
        <w:t>of the social context surrounding these</w:t>
      </w:r>
      <w:r w:rsidR="00323535">
        <w:rPr>
          <w:lang w:val="en-US"/>
        </w:rPr>
        <w:t xml:space="preserve"> upgrading </w:t>
      </w:r>
      <w:r w:rsidR="000A433E">
        <w:rPr>
          <w:lang w:val="en-US"/>
        </w:rPr>
        <w:t>processes</w:t>
      </w:r>
      <w:r w:rsidR="00323535">
        <w:rPr>
          <w:lang w:val="en-US"/>
        </w:rPr>
        <w:t xml:space="preserve"> </w:t>
      </w:r>
      <w:r w:rsidR="000A433E">
        <w:rPr>
          <w:lang w:val="en-US"/>
        </w:rPr>
        <w:t>(</w:t>
      </w:r>
      <w:r w:rsidR="000A433E" w:rsidRPr="00BB7F47">
        <w:rPr>
          <w:lang w:val="en-US"/>
        </w:rPr>
        <w:t xml:space="preserve">or lack thereof). </w:t>
      </w:r>
      <w:r w:rsidR="00A66956" w:rsidRPr="00BB7F47">
        <w:rPr>
          <w:lang w:val="en-US"/>
        </w:rPr>
        <w:t>Hence</w:t>
      </w:r>
      <w:r w:rsidR="00A66956">
        <w:rPr>
          <w:lang w:val="en-US"/>
        </w:rPr>
        <w:t xml:space="preserve">, proposes an agenda for what she has </w:t>
      </w:r>
      <w:r w:rsidR="00377F14" w:rsidRPr="002E51BF">
        <w:rPr>
          <w:lang w:val="en-US"/>
        </w:rPr>
        <w:t xml:space="preserve">called a </w:t>
      </w:r>
      <w:r w:rsidR="00A66956" w:rsidRPr="002E51BF">
        <w:rPr>
          <w:lang w:val="en-US"/>
        </w:rPr>
        <w:t xml:space="preserve">“Second generation of commodity chain research”. </w:t>
      </w:r>
    </w:p>
    <w:p w:rsidR="00A66956" w:rsidRDefault="00750FAD" w:rsidP="00E06E16">
      <w:pPr>
        <w:ind w:firstLine="720"/>
        <w:jc w:val="both"/>
        <w:rPr>
          <w:lang w:val="en-US"/>
        </w:rPr>
      </w:pPr>
      <w:r>
        <w:rPr>
          <w:lang w:val="en-US"/>
        </w:rPr>
        <w:t xml:space="preserve">For Bair, the next generation of commodity chain research should </w:t>
      </w:r>
      <w:r w:rsidR="00605342">
        <w:rPr>
          <w:lang w:val="en-US"/>
        </w:rPr>
        <w:t>pay close attention to the</w:t>
      </w:r>
      <w:r>
        <w:rPr>
          <w:lang w:val="en-US"/>
        </w:rPr>
        <w:t xml:space="preserve"> factors “external” to the chain and by this she </w:t>
      </w:r>
      <w:r w:rsidR="00BA5AAB" w:rsidRPr="002E51BF">
        <w:rPr>
          <w:lang w:val="en-US"/>
        </w:rPr>
        <w:t>means</w:t>
      </w:r>
      <w:r w:rsidRPr="002E51BF">
        <w:rPr>
          <w:lang w:val="en-US"/>
        </w:rPr>
        <w:t xml:space="preserve"> the contextual factors that </w:t>
      </w:r>
      <w:r w:rsidR="00ED5B28">
        <w:rPr>
          <w:lang w:val="en-US"/>
        </w:rPr>
        <w:t xml:space="preserve">affect whether or not the </w:t>
      </w:r>
      <w:r w:rsidR="00ED5B28" w:rsidRPr="002E51BF">
        <w:rPr>
          <w:lang w:val="en-US"/>
        </w:rPr>
        <w:t xml:space="preserve">different </w:t>
      </w:r>
      <w:r w:rsidR="001E6070">
        <w:rPr>
          <w:lang w:val="en-US"/>
        </w:rPr>
        <w:t>participants</w:t>
      </w:r>
      <w:r w:rsidR="00ED5B28" w:rsidRPr="002E51BF">
        <w:rPr>
          <w:lang w:val="en-US"/>
        </w:rPr>
        <w:t xml:space="preserve"> </w:t>
      </w:r>
      <w:r w:rsidR="00ED5B28">
        <w:rPr>
          <w:lang w:val="en-US"/>
        </w:rPr>
        <w:t xml:space="preserve">in the chain benefit </w:t>
      </w:r>
      <w:r w:rsidR="00ED5B28" w:rsidRPr="001E6070">
        <w:rPr>
          <w:lang w:val="en-US"/>
        </w:rPr>
        <w:t xml:space="preserve">and the extent to which </w:t>
      </w:r>
      <w:r w:rsidR="00ED5B28">
        <w:rPr>
          <w:lang w:val="en-US"/>
        </w:rPr>
        <w:t xml:space="preserve">they do. </w:t>
      </w:r>
      <w:r w:rsidR="00ED34DE">
        <w:rPr>
          <w:lang w:val="en-US"/>
        </w:rPr>
        <w:t xml:space="preserve">She highlights the importance of </w:t>
      </w:r>
      <w:r w:rsidR="00AB2F0A" w:rsidRPr="002E51BF">
        <w:rPr>
          <w:lang w:val="en-US"/>
        </w:rPr>
        <w:t xml:space="preserve">market institutions, </w:t>
      </w:r>
      <w:r w:rsidR="00ED34DE" w:rsidRPr="002E51BF">
        <w:rPr>
          <w:lang w:val="en-US"/>
        </w:rPr>
        <w:t xml:space="preserve">regulatory </w:t>
      </w:r>
      <w:r w:rsidR="00ED34DE">
        <w:rPr>
          <w:lang w:val="en-US"/>
        </w:rPr>
        <w:t xml:space="preserve">mechanisms, particularly of trade policy </w:t>
      </w:r>
      <w:r w:rsidR="009A7FB3">
        <w:rPr>
          <w:lang w:val="en-US"/>
        </w:rPr>
        <w:t xml:space="preserve">and how these have an effect on the extent to which developing countries benefit from their participation in commodity chains. </w:t>
      </w:r>
    </w:p>
    <w:p w:rsidR="009A7FB3" w:rsidRPr="002E51BF" w:rsidRDefault="009A7FB3" w:rsidP="00E06E16">
      <w:pPr>
        <w:ind w:firstLine="720"/>
        <w:jc w:val="both"/>
        <w:rPr>
          <w:color w:val="FF0000"/>
          <w:lang w:val="en-US"/>
        </w:rPr>
      </w:pPr>
      <w:r>
        <w:rPr>
          <w:lang w:val="en-US"/>
        </w:rPr>
        <w:t xml:space="preserve">Some examples are found in the context surrounding the International Coffee Agreements (ICA) and the North American Free Trade Agreement (NAFTA). </w:t>
      </w:r>
      <w:r w:rsidR="00C63FC5">
        <w:rPr>
          <w:lang w:val="en-US"/>
        </w:rPr>
        <w:t xml:space="preserve">According to Stefano Ponte, changes in the ICA regime negatively affected developing country exporters: ‘From a balanced context between producing and consuming countries within the politics of international coffee agreements, power relations shifted to the advantage of transnational corporations. A relatively stable institutional environment where proportions of generated income were fairly distributed between producing and consuming countries turned into one that is more informal, unstable and </w:t>
      </w:r>
      <w:r w:rsidR="00C63FC5" w:rsidRPr="002E27EB">
        <w:rPr>
          <w:lang w:val="en-US"/>
        </w:rPr>
        <w:t xml:space="preserve">unequal’ (Bair, 2005)  </w:t>
      </w:r>
    </w:p>
    <w:p w:rsidR="00C63FC5" w:rsidRPr="002E27EB" w:rsidRDefault="006073CF" w:rsidP="00E06E16">
      <w:pPr>
        <w:ind w:firstLine="720"/>
        <w:jc w:val="both"/>
        <w:rPr>
          <w:lang w:val="en-US"/>
        </w:rPr>
      </w:pPr>
      <w:r>
        <w:rPr>
          <w:lang w:val="en-US"/>
        </w:rPr>
        <w:t xml:space="preserve">Similarly, a study done by </w:t>
      </w:r>
      <w:proofErr w:type="spellStart"/>
      <w:r>
        <w:rPr>
          <w:lang w:val="en-US"/>
        </w:rPr>
        <w:t>Plankey</w:t>
      </w:r>
      <w:proofErr w:type="spellEnd"/>
      <w:r>
        <w:rPr>
          <w:lang w:val="en-US"/>
        </w:rPr>
        <w:t xml:space="preserve"> </w:t>
      </w:r>
      <w:proofErr w:type="spellStart"/>
      <w:r>
        <w:rPr>
          <w:lang w:val="en-US"/>
        </w:rPr>
        <w:t>Videla</w:t>
      </w:r>
      <w:proofErr w:type="spellEnd"/>
      <w:r>
        <w:rPr>
          <w:lang w:val="en-US"/>
        </w:rPr>
        <w:t xml:space="preserve"> on ‘</w:t>
      </w:r>
      <w:proofErr w:type="spellStart"/>
      <w:r>
        <w:rPr>
          <w:lang w:val="en-US"/>
        </w:rPr>
        <w:t>Moctezuma</w:t>
      </w:r>
      <w:proofErr w:type="spellEnd"/>
      <w:r>
        <w:rPr>
          <w:lang w:val="en-US"/>
        </w:rPr>
        <w:t>’ a large Mexica</w:t>
      </w:r>
      <w:r w:rsidR="004223D3">
        <w:rPr>
          <w:lang w:val="en-US"/>
        </w:rPr>
        <w:t xml:space="preserve">n apparel firm, concludes that the </w:t>
      </w:r>
      <w:r>
        <w:rPr>
          <w:lang w:val="en-US"/>
        </w:rPr>
        <w:t xml:space="preserve">inability </w:t>
      </w:r>
      <w:r w:rsidR="004223D3">
        <w:rPr>
          <w:lang w:val="en-US"/>
        </w:rPr>
        <w:t xml:space="preserve">of this firm to take advantage of the </w:t>
      </w:r>
      <w:r w:rsidR="001E6070">
        <w:rPr>
          <w:lang w:val="en-US"/>
        </w:rPr>
        <w:t xml:space="preserve">“export environment” (created and </w:t>
      </w:r>
      <w:r>
        <w:rPr>
          <w:lang w:val="en-US"/>
        </w:rPr>
        <w:t xml:space="preserve">brought </w:t>
      </w:r>
      <w:r w:rsidR="008F59C6">
        <w:rPr>
          <w:lang w:val="en-US"/>
        </w:rPr>
        <w:t xml:space="preserve">to the country with NAFTA) </w:t>
      </w:r>
      <w:r>
        <w:rPr>
          <w:lang w:val="en-US"/>
        </w:rPr>
        <w:t>has more to do with the characteristics of Mexico’s contemporary business environment</w:t>
      </w:r>
      <w:r w:rsidR="008F59C6">
        <w:rPr>
          <w:lang w:val="en-US"/>
        </w:rPr>
        <w:t xml:space="preserve"> than with the organizational dynamics of this particular commodity chain. </w:t>
      </w:r>
      <w:r w:rsidR="00DA13A9">
        <w:rPr>
          <w:lang w:val="en-US"/>
        </w:rPr>
        <w:t xml:space="preserve">The lack of </w:t>
      </w:r>
      <w:r w:rsidR="0098062C">
        <w:rPr>
          <w:lang w:val="en-US"/>
        </w:rPr>
        <w:t>friendlier banking rules</w:t>
      </w:r>
      <w:r>
        <w:rPr>
          <w:lang w:val="en-US"/>
        </w:rPr>
        <w:t xml:space="preserve"> that </w:t>
      </w:r>
      <w:r w:rsidR="00DA13A9">
        <w:rPr>
          <w:lang w:val="en-US"/>
        </w:rPr>
        <w:t xml:space="preserve">facilitates </w:t>
      </w:r>
      <w:r>
        <w:rPr>
          <w:lang w:val="en-US"/>
        </w:rPr>
        <w:t xml:space="preserve">credit for domestic firms </w:t>
      </w:r>
      <w:r w:rsidR="00DA13A9">
        <w:rPr>
          <w:lang w:val="en-US"/>
        </w:rPr>
        <w:t xml:space="preserve">impedes these to convert the potentially “favorable conditions” </w:t>
      </w:r>
      <w:r w:rsidR="0098062C">
        <w:rPr>
          <w:lang w:val="en-US"/>
        </w:rPr>
        <w:t xml:space="preserve">into solid </w:t>
      </w:r>
      <w:r w:rsidR="00BA5AAB">
        <w:rPr>
          <w:lang w:val="en-US"/>
        </w:rPr>
        <w:t xml:space="preserve">sustainable </w:t>
      </w:r>
      <w:r w:rsidR="0098062C">
        <w:rPr>
          <w:lang w:val="en-US"/>
        </w:rPr>
        <w:t>growth for t</w:t>
      </w:r>
      <w:r w:rsidR="00502273">
        <w:rPr>
          <w:lang w:val="en-US"/>
        </w:rPr>
        <w:t xml:space="preserve">hese firms and ultimately bring </w:t>
      </w:r>
      <w:r w:rsidR="00502273" w:rsidRPr="002E27EB">
        <w:rPr>
          <w:lang w:val="en-US"/>
        </w:rPr>
        <w:t>benefits to the firm’s owner and its workers</w:t>
      </w:r>
      <w:r w:rsidR="00C30FB1" w:rsidRPr="002E27EB">
        <w:rPr>
          <w:lang w:val="en-US"/>
        </w:rPr>
        <w:t xml:space="preserve"> (Bair, 2005)</w:t>
      </w:r>
      <w:r w:rsidR="00502273" w:rsidRPr="002E27EB">
        <w:rPr>
          <w:lang w:val="en-US"/>
        </w:rPr>
        <w:t xml:space="preserve">. </w:t>
      </w:r>
    </w:p>
    <w:p w:rsidR="00605342" w:rsidRPr="00FF78A3" w:rsidRDefault="00C30FB1" w:rsidP="00E06E16">
      <w:pPr>
        <w:ind w:firstLine="720"/>
        <w:jc w:val="both"/>
        <w:rPr>
          <w:lang w:val="en-US"/>
        </w:rPr>
      </w:pPr>
      <w:r w:rsidRPr="002E27EB">
        <w:rPr>
          <w:lang w:val="en-US"/>
        </w:rPr>
        <w:t xml:space="preserve">Furthermore, </w:t>
      </w:r>
      <w:r w:rsidR="00CE207E" w:rsidRPr="002E27EB">
        <w:rPr>
          <w:lang w:val="en-US"/>
        </w:rPr>
        <w:t xml:space="preserve">a </w:t>
      </w:r>
      <w:r w:rsidRPr="002E27EB">
        <w:rPr>
          <w:lang w:val="en-US"/>
        </w:rPr>
        <w:t xml:space="preserve">study </w:t>
      </w:r>
      <w:r w:rsidR="00CE207E" w:rsidRPr="002E27EB">
        <w:rPr>
          <w:lang w:val="en-US"/>
        </w:rPr>
        <w:t xml:space="preserve">done by </w:t>
      </w:r>
      <w:r w:rsidR="00CE207E" w:rsidRPr="00FF78A3">
        <w:rPr>
          <w:lang w:val="en-US"/>
        </w:rPr>
        <w:t xml:space="preserve">Bair and </w:t>
      </w:r>
      <w:proofErr w:type="spellStart"/>
      <w:r w:rsidR="00CE207E" w:rsidRPr="00FF78A3">
        <w:rPr>
          <w:lang w:val="en-US"/>
        </w:rPr>
        <w:t>Gereffi</w:t>
      </w:r>
      <w:proofErr w:type="spellEnd"/>
      <w:r w:rsidR="00CE207E" w:rsidRPr="00FF78A3">
        <w:rPr>
          <w:lang w:val="en-US"/>
        </w:rPr>
        <w:t xml:space="preserve"> </w:t>
      </w:r>
      <w:r w:rsidRPr="00FF78A3">
        <w:rPr>
          <w:lang w:val="en-US"/>
        </w:rPr>
        <w:t xml:space="preserve">(1998) </w:t>
      </w:r>
      <w:r w:rsidR="00036FD4" w:rsidRPr="00FF78A3">
        <w:rPr>
          <w:lang w:val="en-US"/>
        </w:rPr>
        <w:t xml:space="preserve">explain how the dramatic increase in apparel exports from Mexico after 1994 is a reflection of the response of leading US textile and clothing companies to the new trade regime - NAFTA. In addition, they show how the shift from the </w:t>
      </w:r>
      <w:proofErr w:type="spellStart"/>
      <w:r w:rsidR="00036FD4" w:rsidRPr="00FF78A3">
        <w:rPr>
          <w:lang w:val="en-US"/>
        </w:rPr>
        <w:t>maquila</w:t>
      </w:r>
      <w:proofErr w:type="spellEnd"/>
      <w:r w:rsidR="00036FD4" w:rsidRPr="00FF78A3">
        <w:rPr>
          <w:lang w:val="en-US"/>
        </w:rPr>
        <w:t xml:space="preserve"> to a full-package pr</w:t>
      </w:r>
      <w:r w:rsidR="00CE207E" w:rsidRPr="00FF78A3">
        <w:rPr>
          <w:lang w:val="en-US"/>
        </w:rPr>
        <w:t xml:space="preserve">oduction model (under NAFTA) left </w:t>
      </w:r>
      <w:r w:rsidR="00036FD4" w:rsidRPr="00FF78A3">
        <w:rPr>
          <w:lang w:val="en-US"/>
        </w:rPr>
        <w:t xml:space="preserve">Mexican exporters pretty vulnerable and dependent </w:t>
      </w:r>
      <w:r w:rsidR="00C60482" w:rsidRPr="00FF78A3">
        <w:rPr>
          <w:lang w:val="en-US"/>
        </w:rPr>
        <w:t>on</w:t>
      </w:r>
      <w:r w:rsidR="00036FD4" w:rsidRPr="00FF78A3">
        <w:rPr>
          <w:lang w:val="en-US"/>
        </w:rPr>
        <w:t xml:space="preserve"> the conditions of the US economy. </w:t>
      </w:r>
    </w:p>
    <w:p w:rsidR="00B57329" w:rsidRPr="00574CC6" w:rsidRDefault="00FF78A3" w:rsidP="00E06E16">
      <w:pPr>
        <w:ind w:firstLine="720"/>
        <w:jc w:val="both"/>
        <w:rPr>
          <w:lang w:val="en-US"/>
        </w:rPr>
      </w:pPr>
      <w:r>
        <w:rPr>
          <w:lang w:val="en-US"/>
        </w:rPr>
        <w:t xml:space="preserve">The contextual factors in </w:t>
      </w:r>
      <w:r w:rsidR="00B57329" w:rsidRPr="00574CC6">
        <w:rPr>
          <w:lang w:val="en-US"/>
        </w:rPr>
        <w:t xml:space="preserve">the Quinoa Value Chain seem to be </w:t>
      </w:r>
      <w:r>
        <w:rPr>
          <w:lang w:val="en-US"/>
        </w:rPr>
        <w:t xml:space="preserve">somewhat </w:t>
      </w:r>
      <w:r w:rsidR="00B57329" w:rsidRPr="00574CC6">
        <w:rPr>
          <w:lang w:val="en-US"/>
        </w:rPr>
        <w:t xml:space="preserve">favorable at the moment. For example, in March of last year (2011), the Bolivian president launched the Organic Quinoa </w:t>
      </w:r>
      <w:r w:rsidR="00B57329" w:rsidRPr="00574CC6">
        <w:rPr>
          <w:lang w:val="en-US"/>
        </w:rPr>
        <w:lastRenderedPageBreak/>
        <w:t>Sectori</w:t>
      </w:r>
      <w:r w:rsidR="002E51BF">
        <w:rPr>
          <w:lang w:val="en-US"/>
        </w:rPr>
        <w:t xml:space="preserve">al Credit Program </w:t>
      </w:r>
      <w:r>
        <w:rPr>
          <w:lang w:val="en-US"/>
        </w:rPr>
        <w:t>budgeting</w:t>
      </w:r>
      <w:r w:rsidR="002E51BF">
        <w:rPr>
          <w:lang w:val="en-US"/>
        </w:rPr>
        <w:t xml:space="preserve"> </w:t>
      </w:r>
      <w:proofErr w:type="spellStart"/>
      <w:r w:rsidR="00B57329" w:rsidRPr="00574CC6">
        <w:rPr>
          <w:lang w:val="en-US"/>
        </w:rPr>
        <w:t>Bs</w:t>
      </w:r>
      <w:proofErr w:type="spellEnd"/>
      <w:r w:rsidR="00B57329" w:rsidRPr="00574CC6">
        <w:rPr>
          <w:lang w:val="en-US"/>
        </w:rPr>
        <w:t>. 84million (</w:t>
      </w:r>
      <w:r w:rsidR="008D2687" w:rsidRPr="00574CC6">
        <w:rPr>
          <w:lang w:val="en-US"/>
        </w:rPr>
        <w:t>$12</w:t>
      </w:r>
      <w:r w:rsidR="00B57329" w:rsidRPr="00574CC6">
        <w:rPr>
          <w:lang w:val="en-US"/>
        </w:rPr>
        <w:t xml:space="preserve"> million</w:t>
      </w:r>
      <w:r w:rsidR="008D2687" w:rsidRPr="00574CC6">
        <w:rPr>
          <w:lang w:val="en-US"/>
        </w:rPr>
        <w:t xml:space="preserve"> approx.</w:t>
      </w:r>
      <w:r w:rsidR="00B57329" w:rsidRPr="00574CC6">
        <w:rPr>
          <w:lang w:val="en-US"/>
        </w:rPr>
        <w:t>) coming from the state-run Productive Development Bank. These credits vary in size. Small-size farmers can receive up to Bs.21.000 (</w:t>
      </w:r>
      <w:r w:rsidR="008D2687" w:rsidRPr="00574CC6">
        <w:rPr>
          <w:lang w:val="en-US"/>
        </w:rPr>
        <w:t>$3.0</w:t>
      </w:r>
      <w:r w:rsidR="00B57329" w:rsidRPr="00574CC6">
        <w:rPr>
          <w:lang w:val="en-US"/>
        </w:rPr>
        <w:t xml:space="preserve">00 </w:t>
      </w:r>
      <w:r w:rsidR="00AA0FA8" w:rsidRPr="00574CC6">
        <w:rPr>
          <w:lang w:val="en-US"/>
        </w:rPr>
        <w:t>approx.</w:t>
      </w:r>
      <w:r w:rsidR="00B57329" w:rsidRPr="00574CC6">
        <w:rPr>
          <w:lang w:val="en-US"/>
        </w:rPr>
        <w:t xml:space="preserve">), medium-size farmers can receive between Bs.21.000 </w:t>
      </w:r>
      <w:r w:rsidR="00AA0FA8" w:rsidRPr="00574CC6">
        <w:rPr>
          <w:lang w:val="en-US"/>
        </w:rPr>
        <w:t>-</w:t>
      </w:r>
      <w:r w:rsidR="00B57329" w:rsidRPr="00574CC6">
        <w:rPr>
          <w:lang w:val="en-US"/>
        </w:rPr>
        <w:t xml:space="preserve"> Bs.70.000 (up to</w:t>
      </w:r>
      <w:r w:rsidR="008D2687" w:rsidRPr="00574CC6">
        <w:rPr>
          <w:lang w:val="en-US"/>
        </w:rPr>
        <w:t xml:space="preserve"> $10.0</w:t>
      </w:r>
      <w:r w:rsidR="00B57329" w:rsidRPr="00574CC6">
        <w:rPr>
          <w:lang w:val="en-US"/>
        </w:rPr>
        <w:t xml:space="preserve">00 </w:t>
      </w:r>
      <w:r w:rsidR="00AA0FA8" w:rsidRPr="00574CC6">
        <w:rPr>
          <w:lang w:val="en-US"/>
        </w:rPr>
        <w:t>approx.</w:t>
      </w:r>
      <w:r w:rsidR="00B57329" w:rsidRPr="00574CC6">
        <w:rPr>
          <w:lang w:val="en-US"/>
        </w:rPr>
        <w:t>)</w:t>
      </w:r>
      <w:r>
        <w:rPr>
          <w:lang w:val="en-US"/>
        </w:rPr>
        <w:t>,</w:t>
      </w:r>
      <w:r w:rsidR="00B57329" w:rsidRPr="00574CC6">
        <w:rPr>
          <w:lang w:val="en-US"/>
        </w:rPr>
        <w:t xml:space="preserve"> while producer organizations can obtain between </w:t>
      </w:r>
      <w:proofErr w:type="spellStart"/>
      <w:r w:rsidR="00B57329" w:rsidRPr="00574CC6">
        <w:rPr>
          <w:lang w:val="en-US"/>
        </w:rPr>
        <w:t>Bs</w:t>
      </w:r>
      <w:proofErr w:type="spellEnd"/>
      <w:r w:rsidR="00B57329" w:rsidRPr="00574CC6">
        <w:rPr>
          <w:lang w:val="en-US"/>
        </w:rPr>
        <w:t xml:space="preserve">. 70.000 – </w:t>
      </w:r>
      <w:proofErr w:type="spellStart"/>
      <w:r w:rsidR="00B57329" w:rsidRPr="00574CC6">
        <w:rPr>
          <w:lang w:val="en-US"/>
        </w:rPr>
        <w:t>Bs</w:t>
      </w:r>
      <w:proofErr w:type="spellEnd"/>
      <w:r w:rsidR="00B57329" w:rsidRPr="00574CC6">
        <w:rPr>
          <w:lang w:val="en-US"/>
        </w:rPr>
        <w:t xml:space="preserve">. 350.000 (up to </w:t>
      </w:r>
      <w:r w:rsidR="008D2687" w:rsidRPr="00574CC6">
        <w:rPr>
          <w:lang w:val="en-US"/>
        </w:rPr>
        <w:t>$50</w:t>
      </w:r>
      <w:r w:rsidR="00B57329" w:rsidRPr="00574CC6">
        <w:rPr>
          <w:lang w:val="en-US"/>
        </w:rPr>
        <w:t xml:space="preserve">.000 </w:t>
      </w:r>
      <w:r w:rsidR="00AA0FA8" w:rsidRPr="00574CC6">
        <w:rPr>
          <w:lang w:val="en-US"/>
        </w:rPr>
        <w:t>approx</w:t>
      </w:r>
      <w:r w:rsidR="00AA0FA8" w:rsidRPr="00FF78A3">
        <w:rPr>
          <w:lang w:val="en-US"/>
        </w:rPr>
        <w:t>.</w:t>
      </w:r>
      <w:r w:rsidR="00B57329" w:rsidRPr="00FF78A3">
        <w:rPr>
          <w:lang w:val="en-US"/>
        </w:rPr>
        <w:t>). According to the bank’s general manager, Veronica Ramos, 19.000 farmers ha</w:t>
      </w:r>
      <w:r w:rsidRPr="00FF78A3">
        <w:rPr>
          <w:lang w:val="en-US"/>
        </w:rPr>
        <w:t>d</w:t>
      </w:r>
      <w:r w:rsidR="00B57329" w:rsidRPr="00FF78A3">
        <w:rPr>
          <w:lang w:val="en-US"/>
        </w:rPr>
        <w:t xml:space="preserve"> already received credits</w:t>
      </w:r>
      <w:r w:rsidR="00B57329" w:rsidRPr="00FF78A3">
        <w:rPr>
          <w:vertAlign w:val="superscript"/>
          <w:lang w:val="en-US"/>
        </w:rPr>
        <w:footnoteReference w:id="6"/>
      </w:r>
      <w:r w:rsidR="00B57329" w:rsidRPr="00FF78A3">
        <w:rPr>
          <w:lang w:val="en-US"/>
        </w:rPr>
        <w:t xml:space="preserve"> </w:t>
      </w:r>
      <w:r w:rsidR="00B57329" w:rsidRPr="00BB728F">
        <w:rPr>
          <w:lang w:val="en-US"/>
        </w:rPr>
        <w:t xml:space="preserve">(Ministry of Economy and Public Finance, 2011). </w:t>
      </w:r>
      <w:r w:rsidR="00AA0FA8" w:rsidRPr="00FF78A3">
        <w:rPr>
          <w:lang w:val="en-US"/>
        </w:rPr>
        <w:t xml:space="preserve">In </w:t>
      </w:r>
      <w:r w:rsidR="00AA0FA8" w:rsidRPr="00574CC6">
        <w:rPr>
          <w:lang w:val="en-US"/>
        </w:rPr>
        <w:t xml:space="preserve">addition (as mentioned earlier), some international organizations like the FAO are supporting the Quinoa </w:t>
      </w:r>
      <w:r>
        <w:rPr>
          <w:lang w:val="en-US"/>
        </w:rPr>
        <w:t>Value C</w:t>
      </w:r>
      <w:r w:rsidR="00AA0FA8" w:rsidRPr="00574CC6">
        <w:rPr>
          <w:lang w:val="en-US"/>
        </w:rPr>
        <w:t xml:space="preserve">hain by including this grain into their worldwide food security programs </w:t>
      </w:r>
      <w:r w:rsidR="00F54306" w:rsidRPr="00574CC6">
        <w:rPr>
          <w:lang w:val="en-US"/>
        </w:rPr>
        <w:t xml:space="preserve">and naming the year 2013 as the Year of the </w:t>
      </w:r>
      <w:r w:rsidR="00F54306" w:rsidRPr="00FF78A3">
        <w:rPr>
          <w:lang w:val="en-US"/>
        </w:rPr>
        <w:t xml:space="preserve">Quinoa (IYQ) </w:t>
      </w:r>
      <w:r>
        <w:rPr>
          <w:lang w:val="en-US"/>
        </w:rPr>
        <w:t>helping to</w:t>
      </w:r>
      <w:r w:rsidR="00F54306" w:rsidRPr="00574CC6">
        <w:rPr>
          <w:lang w:val="en-US"/>
        </w:rPr>
        <w:t xml:space="preserve"> promote </w:t>
      </w:r>
      <w:r>
        <w:rPr>
          <w:lang w:val="en-US"/>
        </w:rPr>
        <w:t>this</w:t>
      </w:r>
      <w:r w:rsidR="00F54306" w:rsidRPr="00574CC6">
        <w:rPr>
          <w:lang w:val="en-US"/>
        </w:rPr>
        <w:t xml:space="preserve"> grain around the world. </w:t>
      </w:r>
    </w:p>
    <w:p w:rsidR="00FA3BD1" w:rsidRDefault="00D74236">
      <w:pPr>
        <w:jc w:val="both"/>
        <w:rPr>
          <w:lang w:val="en-US"/>
        </w:rPr>
      </w:pPr>
      <w:r w:rsidRPr="00C30B99">
        <w:rPr>
          <w:color w:val="FF0000"/>
          <w:lang w:val="en-US"/>
        </w:rPr>
        <w:t xml:space="preserve"> </w:t>
      </w:r>
      <w:r w:rsidR="00B76D06">
        <w:rPr>
          <w:lang w:val="en-US"/>
        </w:rPr>
        <w:t xml:space="preserve">Although the GCC literature, (as </w:t>
      </w:r>
      <w:r w:rsidR="00B76D06" w:rsidRPr="00E15334">
        <w:rPr>
          <w:lang w:val="en-US"/>
        </w:rPr>
        <w:t xml:space="preserve">mentioned </w:t>
      </w:r>
      <w:r w:rsidR="00E15334" w:rsidRPr="00E15334">
        <w:rPr>
          <w:lang w:val="en-US"/>
        </w:rPr>
        <w:t>earlier</w:t>
      </w:r>
      <w:r w:rsidR="00B76D06" w:rsidRPr="00E15334">
        <w:rPr>
          <w:lang w:val="en-US"/>
        </w:rPr>
        <w:t xml:space="preserve">) has </w:t>
      </w:r>
      <w:r w:rsidR="00B76D06">
        <w:rPr>
          <w:lang w:val="en-US"/>
        </w:rPr>
        <w:t xml:space="preserve">been criticized for being </w:t>
      </w:r>
      <w:r w:rsidR="00F47521">
        <w:rPr>
          <w:lang w:val="en-US"/>
        </w:rPr>
        <w:t xml:space="preserve">somewhat </w:t>
      </w:r>
      <w:r w:rsidR="00B76D06">
        <w:rPr>
          <w:lang w:val="en-US"/>
        </w:rPr>
        <w:t>descriptive</w:t>
      </w:r>
      <w:r w:rsidR="00B84D62">
        <w:rPr>
          <w:lang w:val="en-US"/>
        </w:rPr>
        <w:t>;</w:t>
      </w:r>
      <w:r w:rsidR="00B76D06">
        <w:rPr>
          <w:lang w:val="en-US"/>
        </w:rPr>
        <w:t xml:space="preserve"> </w:t>
      </w:r>
      <w:r w:rsidR="00F47521" w:rsidRPr="00B47D19">
        <w:rPr>
          <w:lang w:val="en-US"/>
        </w:rPr>
        <w:t xml:space="preserve">in my view this </w:t>
      </w:r>
      <w:r w:rsidR="00B84D62">
        <w:rPr>
          <w:lang w:val="en-US"/>
        </w:rPr>
        <w:t xml:space="preserve">is </w:t>
      </w:r>
      <w:r w:rsidR="003B2119">
        <w:rPr>
          <w:lang w:val="en-US"/>
        </w:rPr>
        <w:t xml:space="preserve">an unfair assessment of GCC </w:t>
      </w:r>
      <w:r w:rsidR="00B84D62">
        <w:rPr>
          <w:lang w:val="en-US"/>
        </w:rPr>
        <w:t>as</w:t>
      </w:r>
      <w:r w:rsidR="00D8732A">
        <w:rPr>
          <w:lang w:val="en-US"/>
        </w:rPr>
        <w:t xml:space="preserve"> an</w:t>
      </w:r>
      <w:r w:rsidR="00B84D62">
        <w:rPr>
          <w:lang w:val="en-US"/>
        </w:rPr>
        <w:t xml:space="preserve"> </w:t>
      </w:r>
      <w:r w:rsidR="003B2119">
        <w:rPr>
          <w:lang w:val="en-US"/>
        </w:rPr>
        <w:t xml:space="preserve">analytical framework given that </w:t>
      </w:r>
      <w:r w:rsidR="00E15334">
        <w:rPr>
          <w:lang w:val="en-US"/>
        </w:rPr>
        <w:t xml:space="preserve">the core of the </w:t>
      </w:r>
      <w:r w:rsidR="00D8732A">
        <w:rPr>
          <w:lang w:val="en-US"/>
        </w:rPr>
        <w:t xml:space="preserve">GCC </w:t>
      </w:r>
      <w:r w:rsidR="00E15334">
        <w:rPr>
          <w:lang w:val="en-US"/>
        </w:rPr>
        <w:t>analysis is</w:t>
      </w:r>
      <w:r w:rsidR="00D8732A">
        <w:rPr>
          <w:lang w:val="en-US"/>
        </w:rPr>
        <w:t xml:space="preserve"> on a </w:t>
      </w:r>
      <w:r w:rsidR="00D8732A" w:rsidRPr="00EB3ECC">
        <w:rPr>
          <w:lang w:val="en-US"/>
        </w:rPr>
        <w:t xml:space="preserve">constant quest to determine the power relations </w:t>
      </w:r>
      <w:r w:rsidR="004614BF" w:rsidRPr="00EB3ECC">
        <w:rPr>
          <w:lang w:val="en-US"/>
        </w:rPr>
        <w:t>within the production process</w:t>
      </w:r>
      <w:r w:rsidR="00E15334">
        <w:rPr>
          <w:lang w:val="en-US"/>
        </w:rPr>
        <w:t>, which by no means is a descriptive endeavor</w:t>
      </w:r>
      <w:r w:rsidR="004614BF" w:rsidRPr="00EB3ECC">
        <w:rPr>
          <w:lang w:val="en-US"/>
        </w:rPr>
        <w:t xml:space="preserve">. </w:t>
      </w:r>
      <w:r w:rsidR="00AC681F">
        <w:rPr>
          <w:lang w:val="en-US"/>
        </w:rPr>
        <w:t xml:space="preserve">The methodology that GCC employs for this purpose is </w:t>
      </w:r>
      <w:r w:rsidR="00271E12">
        <w:rPr>
          <w:lang w:val="en-US"/>
        </w:rPr>
        <w:t>a reflection of this and consists of</w:t>
      </w:r>
      <w:r w:rsidR="00AC681F" w:rsidRPr="00B47D19">
        <w:rPr>
          <w:lang w:val="en-US"/>
        </w:rPr>
        <w:t xml:space="preserve">: </w:t>
      </w:r>
    </w:p>
    <w:p w:rsidR="00FA3BD1" w:rsidRDefault="00AC681F" w:rsidP="00FA3BD1">
      <w:pPr>
        <w:ind w:firstLine="720"/>
        <w:jc w:val="both"/>
        <w:rPr>
          <w:lang w:val="en-US"/>
        </w:rPr>
      </w:pPr>
      <w:r w:rsidRPr="002E27EB">
        <w:rPr>
          <w:lang w:val="en-US"/>
        </w:rPr>
        <w:t>a)</w:t>
      </w:r>
      <w:r w:rsidRPr="002E27EB">
        <w:rPr>
          <w:b/>
          <w:lang w:val="en-US"/>
        </w:rPr>
        <w:t xml:space="preserve"> </w:t>
      </w:r>
      <w:r w:rsidR="00FA3BD1" w:rsidRPr="002E27EB">
        <w:rPr>
          <w:lang w:val="en-US"/>
        </w:rPr>
        <w:t>Determine</w:t>
      </w:r>
      <w:r w:rsidRPr="002E27EB">
        <w:rPr>
          <w:lang w:val="en-US"/>
        </w:rPr>
        <w:t xml:space="preserve"> </w:t>
      </w:r>
      <w:r w:rsidRPr="00B47D19">
        <w:rPr>
          <w:lang w:val="en-US"/>
        </w:rPr>
        <w:t xml:space="preserve">the full set of actors involved from the production stage until its final distribution to the consumer, </w:t>
      </w:r>
    </w:p>
    <w:p w:rsidR="00FA3BD1" w:rsidRDefault="00AC681F" w:rsidP="00FA3BD1">
      <w:pPr>
        <w:ind w:firstLine="720"/>
        <w:jc w:val="both"/>
        <w:rPr>
          <w:lang w:val="en-US"/>
        </w:rPr>
      </w:pPr>
      <w:r w:rsidRPr="00B47D19">
        <w:rPr>
          <w:lang w:val="en-US"/>
        </w:rPr>
        <w:t xml:space="preserve">b) </w:t>
      </w:r>
      <w:r w:rsidR="00FA3BD1" w:rsidRPr="00B47D19">
        <w:rPr>
          <w:lang w:val="en-US"/>
        </w:rPr>
        <w:t>Determine</w:t>
      </w:r>
      <w:r w:rsidRPr="00B47D19">
        <w:rPr>
          <w:lang w:val="en-US"/>
        </w:rPr>
        <w:t xml:space="preserve"> the type of relationships that exist amongst them</w:t>
      </w:r>
      <w:r w:rsidR="00732394" w:rsidRPr="00B47D19">
        <w:rPr>
          <w:lang w:val="en-US"/>
        </w:rPr>
        <w:t>;</w:t>
      </w:r>
      <w:r w:rsidRPr="00B47D19">
        <w:rPr>
          <w:lang w:val="en-US"/>
        </w:rPr>
        <w:t xml:space="preserve"> and finally with the previous information</w:t>
      </w:r>
      <w:r w:rsidR="00FA3BD1">
        <w:rPr>
          <w:lang w:val="en-US"/>
        </w:rPr>
        <w:t>,</w:t>
      </w:r>
    </w:p>
    <w:p w:rsidR="008A4759" w:rsidRPr="00B47D19" w:rsidRDefault="00AC681F" w:rsidP="00FA3BD1">
      <w:pPr>
        <w:ind w:firstLine="720"/>
        <w:jc w:val="both"/>
        <w:rPr>
          <w:lang w:val="en-US"/>
        </w:rPr>
      </w:pPr>
      <w:r w:rsidRPr="00B47D19">
        <w:rPr>
          <w:lang w:val="en-US"/>
        </w:rPr>
        <w:t xml:space="preserve"> c) </w:t>
      </w:r>
      <w:r w:rsidR="00FA3BD1" w:rsidRPr="00B47D19">
        <w:rPr>
          <w:lang w:val="en-US"/>
        </w:rPr>
        <w:t>Find</w:t>
      </w:r>
      <w:r w:rsidRPr="00B47D19">
        <w:rPr>
          <w:lang w:val="en-US"/>
        </w:rPr>
        <w:t xml:space="preserve"> out where and how value is added to the product, the division of labor and the distribution of profits along the chain.</w:t>
      </w:r>
    </w:p>
    <w:p w:rsidR="00A97E91" w:rsidRPr="002E27EB" w:rsidRDefault="008A4759" w:rsidP="00E06E16">
      <w:pPr>
        <w:ind w:firstLine="720"/>
        <w:jc w:val="both"/>
        <w:rPr>
          <w:lang w:val="en-US"/>
        </w:rPr>
      </w:pPr>
      <w:r>
        <w:rPr>
          <w:lang w:val="en-US"/>
        </w:rPr>
        <w:t xml:space="preserve">The purpose of </w:t>
      </w:r>
      <w:r w:rsidR="00F0685B">
        <w:rPr>
          <w:lang w:val="en-US"/>
        </w:rPr>
        <w:t xml:space="preserve">making the </w:t>
      </w:r>
      <w:r w:rsidR="00EB3ECC">
        <w:rPr>
          <w:lang w:val="en-US"/>
        </w:rPr>
        <w:t>mapping of the commodity chain the</w:t>
      </w:r>
      <w:r w:rsidR="00F0685B">
        <w:rPr>
          <w:lang w:val="en-US"/>
        </w:rPr>
        <w:t xml:space="preserve"> starting point for the analysis </w:t>
      </w:r>
      <w:r>
        <w:rPr>
          <w:lang w:val="en-US"/>
        </w:rPr>
        <w:t xml:space="preserve">is </w:t>
      </w:r>
      <w:r w:rsidRPr="00B47D19">
        <w:rPr>
          <w:lang w:val="en-US"/>
        </w:rPr>
        <w:t>intentional</w:t>
      </w:r>
      <w:r w:rsidR="008B23D7" w:rsidRPr="00B47D19">
        <w:rPr>
          <w:lang w:val="en-US"/>
        </w:rPr>
        <w:t>. For commodity chain scholars, to “</w:t>
      </w:r>
      <w:r w:rsidR="008B23D7" w:rsidRPr="002E27EB">
        <w:rPr>
          <w:lang w:val="en-US"/>
        </w:rPr>
        <w:t>describe a chain’s governance structure is to illuminate the nature of power relations that exist along a chain” (Bair, 2005)</w:t>
      </w:r>
      <w:r w:rsidR="00450CAC" w:rsidRPr="002E27EB">
        <w:rPr>
          <w:lang w:val="en-US"/>
        </w:rPr>
        <w:t xml:space="preserve">. </w:t>
      </w:r>
      <w:r w:rsidR="00A97E91" w:rsidRPr="002E27EB">
        <w:rPr>
          <w:lang w:val="en-US"/>
        </w:rPr>
        <w:t xml:space="preserve">Power in GCC is conceived as the ability to coordinate the system (of production) rather than the concentration of ownership of the productive resources (Gibbon, 2001). </w:t>
      </w:r>
    </w:p>
    <w:p w:rsidR="00DF6E6C" w:rsidRPr="00A97E91" w:rsidRDefault="00B100EF" w:rsidP="00E06E16">
      <w:pPr>
        <w:ind w:firstLine="720"/>
        <w:jc w:val="both"/>
        <w:rPr>
          <w:lang w:val="en-US"/>
        </w:rPr>
      </w:pPr>
      <w:r>
        <w:rPr>
          <w:lang w:val="en-US"/>
        </w:rPr>
        <w:t xml:space="preserve">Furthermore, </w:t>
      </w:r>
      <w:r w:rsidR="00DF6E6C">
        <w:rPr>
          <w:lang w:val="en-US"/>
        </w:rPr>
        <w:t xml:space="preserve">GCC scholars recognize the numerous downsides to globalization such as falling </w:t>
      </w:r>
      <w:r w:rsidR="00B57329">
        <w:rPr>
          <w:lang w:val="en-US"/>
        </w:rPr>
        <w:t xml:space="preserve">and volatile </w:t>
      </w:r>
      <w:r w:rsidR="00DF6E6C">
        <w:rPr>
          <w:lang w:val="en-US"/>
        </w:rPr>
        <w:t>producer prices</w:t>
      </w:r>
      <w:r w:rsidR="00DE4FE0">
        <w:rPr>
          <w:lang w:val="en-US"/>
        </w:rPr>
        <w:t xml:space="preserve"> </w:t>
      </w:r>
      <w:r w:rsidR="00DE4FE0" w:rsidRPr="00341B71">
        <w:rPr>
          <w:lang w:val="en-US"/>
        </w:rPr>
        <w:t>(</w:t>
      </w:r>
      <w:r w:rsidR="002F491C" w:rsidRPr="00341B71">
        <w:rPr>
          <w:lang w:val="en-US"/>
        </w:rPr>
        <w:t>Newman, 2009)</w:t>
      </w:r>
      <w:r w:rsidR="00341B71">
        <w:rPr>
          <w:lang w:val="en-US"/>
        </w:rPr>
        <w:t xml:space="preserve">. </w:t>
      </w:r>
      <w:r w:rsidR="00177F3A" w:rsidRPr="00F0685B">
        <w:rPr>
          <w:lang w:val="en-US"/>
        </w:rPr>
        <w:t xml:space="preserve">The quinoa value chain is no exception </w:t>
      </w:r>
      <w:r w:rsidR="00177F3A" w:rsidRPr="00B47D19">
        <w:rPr>
          <w:lang w:val="en-US"/>
        </w:rPr>
        <w:t>and s</w:t>
      </w:r>
      <w:r w:rsidR="004013C9" w:rsidRPr="00B47D19">
        <w:rPr>
          <w:lang w:val="en-US"/>
        </w:rPr>
        <w:t xml:space="preserve">imilar </w:t>
      </w:r>
      <w:r w:rsidR="00DF6E6C" w:rsidRPr="00B47D19">
        <w:rPr>
          <w:lang w:val="en-US"/>
        </w:rPr>
        <w:t>trend</w:t>
      </w:r>
      <w:r w:rsidR="00B57329" w:rsidRPr="00B47D19">
        <w:rPr>
          <w:lang w:val="en-US"/>
        </w:rPr>
        <w:t xml:space="preserve"> (</w:t>
      </w:r>
      <w:r w:rsidR="00B57329" w:rsidRPr="002E27EB">
        <w:rPr>
          <w:lang w:val="en-US"/>
        </w:rPr>
        <w:t xml:space="preserve">refer to </w:t>
      </w:r>
      <w:r w:rsidR="00ED6D79" w:rsidRPr="002E27EB">
        <w:rPr>
          <w:lang w:val="en-US"/>
        </w:rPr>
        <w:t>Figure</w:t>
      </w:r>
      <w:r w:rsidR="00B57329" w:rsidRPr="002E27EB">
        <w:rPr>
          <w:lang w:val="en-US"/>
        </w:rPr>
        <w:t xml:space="preserve"> 5 and 6)</w:t>
      </w:r>
      <w:r w:rsidR="00DF6E6C" w:rsidRPr="002E27EB">
        <w:rPr>
          <w:lang w:val="en-US"/>
        </w:rPr>
        <w:t xml:space="preserve"> </w:t>
      </w:r>
      <w:r w:rsidR="004013C9" w:rsidRPr="002E27EB">
        <w:rPr>
          <w:lang w:val="en-US"/>
        </w:rPr>
        <w:t xml:space="preserve">can </w:t>
      </w:r>
      <w:r w:rsidR="004013C9">
        <w:rPr>
          <w:lang w:val="en-US"/>
        </w:rPr>
        <w:t xml:space="preserve">be found in </w:t>
      </w:r>
      <w:r w:rsidR="004013C9" w:rsidRPr="00B47D19">
        <w:rPr>
          <w:lang w:val="en-US"/>
        </w:rPr>
        <w:t>the</w:t>
      </w:r>
      <w:r w:rsidR="00177F3A" w:rsidRPr="00B47D19">
        <w:rPr>
          <w:lang w:val="en-US"/>
        </w:rPr>
        <w:t>ir</w:t>
      </w:r>
      <w:r w:rsidR="004013C9" w:rsidRPr="00B47D19">
        <w:rPr>
          <w:lang w:val="en-US"/>
        </w:rPr>
        <w:t xml:space="preserve"> </w:t>
      </w:r>
      <w:r w:rsidR="004929EF" w:rsidRPr="00B47D19">
        <w:rPr>
          <w:lang w:val="en-US"/>
        </w:rPr>
        <w:t>producer prices</w:t>
      </w:r>
      <w:r w:rsidR="00DF6E6C">
        <w:rPr>
          <w:lang w:val="en-US"/>
        </w:rPr>
        <w:t xml:space="preserve">, as </w:t>
      </w:r>
      <w:r w:rsidR="00DF6E6C" w:rsidRPr="00B47D19">
        <w:rPr>
          <w:lang w:val="en-US"/>
        </w:rPr>
        <w:t xml:space="preserve">mentioned earlier. </w:t>
      </w:r>
      <w:r w:rsidR="00DF6E6C">
        <w:rPr>
          <w:lang w:val="en-US"/>
        </w:rPr>
        <w:t xml:space="preserve">The gap between producer prices and exporter prices seems to be </w:t>
      </w:r>
      <w:r w:rsidR="004013C9">
        <w:rPr>
          <w:lang w:val="en-US"/>
        </w:rPr>
        <w:t>widening</w:t>
      </w:r>
      <w:r w:rsidR="00DF6E6C">
        <w:rPr>
          <w:lang w:val="en-US"/>
        </w:rPr>
        <w:t xml:space="preserve"> </w:t>
      </w:r>
      <w:r w:rsidR="004013C9">
        <w:rPr>
          <w:lang w:val="en-US"/>
        </w:rPr>
        <w:t>even though</w:t>
      </w:r>
      <w:r w:rsidR="00DF6E6C">
        <w:rPr>
          <w:lang w:val="en-US"/>
        </w:rPr>
        <w:t xml:space="preserve"> quinoa prices</w:t>
      </w:r>
      <w:r w:rsidR="00C014D2">
        <w:rPr>
          <w:lang w:val="en-US"/>
        </w:rPr>
        <w:t xml:space="preserve"> </w:t>
      </w:r>
      <w:r w:rsidR="00F52831">
        <w:rPr>
          <w:lang w:val="en-US"/>
        </w:rPr>
        <w:t xml:space="preserve">have shot up </w:t>
      </w:r>
      <w:r w:rsidR="00E23C02">
        <w:rPr>
          <w:lang w:val="en-US"/>
        </w:rPr>
        <w:t xml:space="preserve">over </w:t>
      </w:r>
      <w:r w:rsidR="00C014D2">
        <w:rPr>
          <w:lang w:val="en-US"/>
        </w:rPr>
        <w:t>the last few years</w:t>
      </w:r>
      <w:r w:rsidR="00DF6E6C">
        <w:rPr>
          <w:lang w:val="en-US"/>
        </w:rPr>
        <w:t xml:space="preserve">. </w:t>
      </w:r>
    </w:p>
    <w:p w:rsidR="00A97E91" w:rsidRDefault="00C87584" w:rsidP="00E06E16">
      <w:pPr>
        <w:ind w:firstLine="720"/>
        <w:jc w:val="both"/>
        <w:rPr>
          <w:lang w:val="en-US"/>
        </w:rPr>
      </w:pPr>
      <w:r w:rsidRPr="00B47D19">
        <w:rPr>
          <w:lang w:val="en-US"/>
        </w:rPr>
        <w:t xml:space="preserve">These imbalances in the distribution of profits amongst </w:t>
      </w:r>
      <w:r>
        <w:rPr>
          <w:lang w:val="en-US"/>
        </w:rPr>
        <w:t xml:space="preserve">the different actors in a commodity chain are a </w:t>
      </w:r>
      <w:r w:rsidRPr="00B47D19">
        <w:rPr>
          <w:lang w:val="en-US"/>
        </w:rPr>
        <w:t xml:space="preserve">manifestation of the power </w:t>
      </w:r>
      <w:r w:rsidR="000021EB" w:rsidRPr="00B47D19">
        <w:rPr>
          <w:lang w:val="en-US"/>
        </w:rPr>
        <w:t xml:space="preserve">relations within </w:t>
      </w:r>
      <w:r w:rsidR="000021EB">
        <w:rPr>
          <w:lang w:val="en-US"/>
        </w:rPr>
        <w:t>it that GCC is interested in studying</w:t>
      </w:r>
      <w:r w:rsidR="00363BDC">
        <w:rPr>
          <w:lang w:val="en-US"/>
        </w:rPr>
        <w:t>,</w:t>
      </w:r>
      <w:r w:rsidR="000021EB">
        <w:rPr>
          <w:lang w:val="en-US"/>
        </w:rPr>
        <w:t xml:space="preserve"> because these will ultimately </w:t>
      </w:r>
      <w:r w:rsidR="008E2A05">
        <w:rPr>
          <w:lang w:val="en-US"/>
        </w:rPr>
        <w:t xml:space="preserve">reflect </w:t>
      </w:r>
      <w:r w:rsidR="000021EB">
        <w:rPr>
          <w:lang w:val="en-US"/>
        </w:rPr>
        <w:t xml:space="preserve">the </w:t>
      </w:r>
      <w:r w:rsidR="000021EB" w:rsidRPr="00B47D19">
        <w:rPr>
          <w:lang w:val="en-US"/>
        </w:rPr>
        <w:t xml:space="preserve">bargaining power </w:t>
      </w:r>
      <w:r w:rsidR="000021EB">
        <w:rPr>
          <w:lang w:val="en-US"/>
        </w:rPr>
        <w:t xml:space="preserve">of each actor involved in </w:t>
      </w:r>
      <w:r w:rsidR="008E2A05">
        <w:rPr>
          <w:lang w:val="en-US"/>
        </w:rPr>
        <w:t xml:space="preserve">the </w:t>
      </w:r>
      <w:r w:rsidR="000021EB">
        <w:rPr>
          <w:lang w:val="en-US"/>
        </w:rPr>
        <w:t xml:space="preserve">production process and therefore will help us understand the processes behind </w:t>
      </w:r>
      <w:r w:rsidR="008E2A05">
        <w:rPr>
          <w:lang w:val="en-US"/>
        </w:rPr>
        <w:t xml:space="preserve">the profit </w:t>
      </w:r>
      <w:r w:rsidR="000021EB">
        <w:rPr>
          <w:lang w:val="en-US"/>
        </w:rPr>
        <w:t>distribution</w:t>
      </w:r>
      <w:r w:rsidR="00F768C5">
        <w:rPr>
          <w:lang w:val="en-US"/>
        </w:rPr>
        <w:t xml:space="preserve"> scheme</w:t>
      </w:r>
      <w:r w:rsidR="000021EB">
        <w:rPr>
          <w:lang w:val="en-US"/>
        </w:rPr>
        <w:t xml:space="preserve">. </w:t>
      </w:r>
    </w:p>
    <w:p w:rsidR="00A97E91" w:rsidRPr="00B47D19" w:rsidRDefault="00177F3A" w:rsidP="00E06E16">
      <w:pPr>
        <w:ind w:firstLine="720"/>
        <w:jc w:val="both"/>
        <w:rPr>
          <w:lang w:val="en-US"/>
        </w:rPr>
      </w:pPr>
      <w:r>
        <w:rPr>
          <w:lang w:val="en-US"/>
        </w:rPr>
        <w:lastRenderedPageBreak/>
        <w:t>During my fieldwork</w:t>
      </w:r>
      <w:r w:rsidR="00181295">
        <w:rPr>
          <w:lang w:val="en-US"/>
        </w:rPr>
        <w:t xml:space="preserve"> and</w:t>
      </w:r>
      <w:r>
        <w:rPr>
          <w:lang w:val="en-US"/>
        </w:rPr>
        <w:t xml:space="preserve"> </w:t>
      </w:r>
      <w:r w:rsidR="00EB707B">
        <w:rPr>
          <w:lang w:val="en-US"/>
        </w:rPr>
        <w:t>while talking to</w:t>
      </w:r>
      <w:r w:rsidR="00C30B99">
        <w:rPr>
          <w:lang w:val="en-US"/>
        </w:rPr>
        <w:t xml:space="preserve"> </w:t>
      </w:r>
      <w:r w:rsidR="00EB707B">
        <w:rPr>
          <w:lang w:val="en-US"/>
        </w:rPr>
        <w:t>farmers</w:t>
      </w:r>
      <w:r w:rsidR="00181295">
        <w:rPr>
          <w:lang w:val="en-US"/>
        </w:rPr>
        <w:t>,</w:t>
      </w:r>
      <w:r w:rsidR="00EB707B">
        <w:rPr>
          <w:lang w:val="en-US"/>
        </w:rPr>
        <w:t xml:space="preserve"> I realized that a constant source of worry for them are the </w:t>
      </w:r>
      <w:r w:rsidR="00EB707B" w:rsidRPr="00B47D19">
        <w:rPr>
          <w:lang w:val="en-US"/>
        </w:rPr>
        <w:t xml:space="preserve">price swings that </w:t>
      </w:r>
      <w:r w:rsidR="00EB707B">
        <w:rPr>
          <w:lang w:val="en-US"/>
        </w:rPr>
        <w:t xml:space="preserve">characterize the quinoa market </w:t>
      </w:r>
      <w:r w:rsidR="00EB707B" w:rsidRPr="00B47D19">
        <w:rPr>
          <w:lang w:val="en-US"/>
        </w:rPr>
        <w:t>nowadays</w:t>
      </w:r>
      <w:r w:rsidR="00EB707B" w:rsidRPr="00EB707B">
        <w:rPr>
          <w:color w:val="FF0000"/>
          <w:lang w:val="en-US"/>
        </w:rPr>
        <w:t xml:space="preserve"> </w:t>
      </w:r>
      <w:r w:rsidR="00EB707B">
        <w:rPr>
          <w:lang w:val="en-US"/>
        </w:rPr>
        <w:t xml:space="preserve">in the context of </w:t>
      </w:r>
      <w:r w:rsidR="00EB707B" w:rsidRPr="00B47D19">
        <w:rPr>
          <w:lang w:val="en-US"/>
        </w:rPr>
        <w:t xml:space="preserve">its changing market structure (which I will </w:t>
      </w:r>
      <w:r w:rsidR="00B57329" w:rsidRPr="00B47D19">
        <w:rPr>
          <w:lang w:val="en-US"/>
        </w:rPr>
        <w:t xml:space="preserve">continue to illustrate </w:t>
      </w:r>
      <w:r w:rsidR="00EB707B" w:rsidRPr="00B47D19">
        <w:rPr>
          <w:lang w:val="en-US"/>
        </w:rPr>
        <w:t>in the following section</w:t>
      </w:r>
      <w:r w:rsidR="00A408BB" w:rsidRPr="00B47D19">
        <w:rPr>
          <w:lang w:val="en-US"/>
        </w:rPr>
        <w:t>s</w:t>
      </w:r>
      <w:r w:rsidR="00EB707B" w:rsidRPr="00B47D19">
        <w:rPr>
          <w:lang w:val="en-US"/>
        </w:rPr>
        <w:t xml:space="preserve">). </w:t>
      </w:r>
    </w:p>
    <w:p w:rsidR="00B00A83" w:rsidRPr="00B00A83" w:rsidRDefault="00B00A83" w:rsidP="00E06E16">
      <w:pPr>
        <w:ind w:firstLine="720"/>
        <w:jc w:val="both"/>
        <w:rPr>
          <w:lang w:val="en-US"/>
        </w:rPr>
      </w:pPr>
      <w:r w:rsidRPr="00B00A83">
        <w:rPr>
          <w:lang w:val="en-US"/>
        </w:rPr>
        <w:t xml:space="preserve">Often, farmers would </w:t>
      </w:r>
      <w:r w:rsidR="00181295">
        <w:rPr>
          <w:lang w:val="en-US"/>
        </w:rPr>
        <w:t>express</w:t>
      </w:r>
      <w:r w:rsidR="00181295" w:rsidRPr="00B00A83">
        <w:rPr>
          <w:lang w:val="en-US"/>
        </w:rPr>
        <w:t xml:space="preserve"> </w:t>
      </w:r>
      <w:r w:rsidRPr="00B00A83">
        <w:rPr>
          <w:lang w:val="en-US"/>
        </w:rPr>
        <w:t xml:space="preserve">their frustration </w:t>
      </w:r>
      <w:r w:rsidR="00181295">
        <w:rPr>
          <w:lang w:val="en-US"/>
        </w:rPr>
        <w:t xml:space="preserve">over a </w:t>
      </w:r>
      <w:r w:rsidRPr="00B00A83">
        <w:rPr>
          <w:lang w:val="en-US"/>
        </w:rPr>
        <w:t>lack of information as to how prices are set</w:t>
      </w:r>
      <w:r>
        <w:rPr>
          <w:lang w:val="en-US"/>
        </w:rPr>
        <w:t xml:space="preserve"> since this cause</w:t>
      </w:r>
      <w:r w:rsidR="00181295">
        <w:rPr>
          <w:lang w:val="en-US"/>
        </w:rPr>
        <w:t>s</w:t>
      </w:r>
      <w:r>
        <w:rPr>
          <w:lang w:val="en-US"/>
        </w:rPr>
        <w:t xml:space="preserve"> them significant losses</w:t>
      </w:r>
      <w:r w:rsidRPr="00B00A83">
        <w:rPr>
          <w:lang w:val="en-US"/>
        </w:rPr>
        <w:t>.</w:t>
      </w:r>
      <w:r w:rsidR="00EA3824">
        <w:rPr>
          <w:lang w:val="en-US"/>
        </w:rPr>
        <w:t xml:space="preserve"> Interestingly, they would often mention that it was the ones in the capital of the country</w:t>
      </w:r>
      <w:r w:rsidR="00875A60">
        <w:rPr>
          <w:lang w:val="en-US"/>
        </w:rPr>
        <w:t xml:space="preserve"> (La Paz), the ones who “knew”:</w:t>
      </w:r>
      <w:r w:rsidRPr="00B00A83">
        <w:rPr>
          <w:lang w:val="en-US"/>
        </w:rPr>
        <w:t xml:space="preserve"> </w:t>
      </w:r>
    </w:p>
    <w:p w:rsidR="00875A60" w:rsidRDefault="00875A60" w:rsidP="00E06E16">
      <w:pPr>
        <w:ind w:firstLine="720"/>
        <w:jc w:val="both"/>
        <w:rPr>
          <w:i/>
          <w:lang w:val="en-US"/>
        </w:rPr>
      </w:pPr>
      <w:r w:rsidRPr="00875A60">
        <w:rPr>
          <w:i/>
          <w:lang w:val="en-US"/>
        </w:rPr>
        <w:t>“[.. a bit hesitant to say..] the ones from La Paz. Well the big entrepreneurs. When we lose</w:t>
      </w:r>
      <w:r w:rsidR="00A30A4A">
        <w:rPr>
          <w:i/>
          <w:lang w:val="en-US"/>
        </w:rPr>
        <w:t>,</w:t>
      </w:r>
      <w:r w:rsidRPr="00875A60">
        <w:rPr>
          <w:i/>
          <w:lang w:val="en-US"/>
        </w:rPr>
        <w:t xml:space="preserve"> we really lose. When we win, we win. I have no clue how they manage this sort of stuff. The price I mean..</w:t>
      </w:r>
      <w:r>
        <w:rPr>
          <w:i/>
          <w:lang w:val="en-US"/>
        </w:rPr>
        <w:t xml:space="preserve"> </w:t>
      </w:r>
      <w:r w:rsidRPr="00875A60">
        <w:rPr>
          <w:i/>
          <w:lang w:val="en-US"/>
        </w:rPr>
        <w:t>I really don’t understand. The big guys (the big entrepreneurs) are the ones who set the price”</w:t>
      </w:r>
      <w:r>
        <w:rPr>
          <w:i/>
          <w:lang w:val="en-US"/>
        </w:rPr>
        <w:t xml:space="preserve"> </w:t>
      </w:r>
      <w:r>
        <w:rPr>
          <w:i/>
          <w:lang w:val="en-US"/>
        </w:rPr>
        <w:tab/>
      </w:r>
      <w:r>
        <w:rPr>
          <w:i/>
          <w:lang w:val="en-US"/>
        </w:rPr>
        <w:tab/>
      </w:r>
      <w:r>
        <w:rPr>
          <w:i/>
          <w:lang w:val="en-US"/>
        </w:rPr>
        <w:tab/>
      </w:r>
      <w:r>
        <w:rPr>
          <w:i/>
          <w:lang w:val="en-US"/>
        </w:rPr>
        <w:tab/>
      </w:r>
      <w:r>
        <w:rPr>
          <w:i/>
          <w:lang w:val="en-US"/>
        </w:rPr>
        <w:tab/>
      </w:r>
    </w:p>
    <w:p w:rsidR="00875A60" w:rsidRDefault="00875A60" w:rsidP="00875A60">
      <w:pPr>
        <w:pStyle w:val="NoSpacing"/>
        <w:jc w:val="right"/>
        <w:rPr>
          <w:lang w:val="en-US"/>
        </w:rPr>
      </w:pPr>
      <w:r>
        <w:rPr>
          <w:lang w:val="en-US"/>
        </w:rPr>
        <w:t xml:space="preserve">Quinoa Farmer from the </w:t>
      </w:r>
      <w:proofErr w:type="spellStart"/>
      <w:r>
        <w:rPr>
          <w:lang w:val="en-US"/>
        </w:rPr>
        <w:t>Quijarro</w:t>
      </w:r>
      <w:proofErr w:type="spellEnd"/>
      <w:r>
        <w:rPr>
          <w:lang w:val="en-US"/>
        </w:rPr>
        <w:t xml:space="preserve"> Province in the city of Oruro</w:t>
      </w:r>
    </w:p>
    <w:p w:rsidR="00875A60" w:rsidRDefault="00875A60" w:rsidP="00875A60">
      <w:pPr>
        <w:pStyle w:val="NoSpacing"/>
        <w:jc w:val="right"/>
        <w:rPr>
          <w:lang w:val="en-US"/>
        </w:rPr>
      </w:pPr>
      <w:r>
        <w:rPr>
          <w:lang w:val="en-US"/>
        </w:rPr>
        <w:t>Interviewed at the “</w:t>
      </w:r>
      <w:proofErr w:type="spellStart"/>
      <w:r>
        <w:rPr>
          <w:lang w:val="en-US"/>
        </w:rPr>
        <w:t>Challapata</w:t>
      </w:r>
      <w:proofErr w:type="spellEnd"/>
      <w:r>
        <w:rPr>
          <w:lang w:val="en-US"/>
        </w:rPr>
        <w:t xml:space="preserve"> Fair”</w:t>
      </w:r>
    </w:p>
    <w:p w:rsidR="00875A60" w:rsidRDefault="00875A60" w:rsidP="00875A60">
      <w:pPr>
        <w:pStyle w:val="NoSpacing"/>
        <w:jc w:val="right"/>
        <w:rPr>
          <w:lang w:val="en-US"/>
        </w:rPr>
      </w:pPr>
      <w:r>
        <w:rPr>
          <w:lang w:val="en-US"/>
        </w:rPr>
        <w:t>August 18</w:t>
      </w:r>
      <w:r w:rsidRPr="00875A60">
        <w:rPr>
          <w:vertAlign w:val="superscript"/>
          <w:lang w:val="en-US"/>
        </w:rPr>
        <w:t>th</w:t>
      </w:r>
      <w:r>
        <w:rPr>
          <w:lang w:val="en-US"/>
        </w:rPr>
        <w:t>, 2012</w:t>
      </w:r>
    </w:p>
    <w:p w:rsidR="00875A60" w:rsidRPr="00B47D19" w:rsidRDefault="00875A60" w:rsidP="0042466A">
      <w:pPr>
        <w:jc w:val="both"/>
        <w:rPr>
          <w:i/>
          <w:lang w:val="en-US"/>
        </w:rPr>
      </w:pPr>
      <w:r>
        <w:rPr>
          <w:i/>
          <w:lang w:val="en-US"/>
        </w:rPr>
        <w:tab/>
      </w:r>
      <w:r>
        <w:rPr>
          <w:i/>
          <w:lang w:val="en-US"/>
        </w:rPr>
        <w:tab/>
      </w:r>
      <w:r>
        <w:rPr>
          <w:i/>
          <w:lang w:val="en-US"/>
        </w:rPr>
        <w:tab/>
      </w:r>
      <w:r>
        <w:rPr>
          <w:i/>
          <w:lang w:val="en-US"/>
        </w:rPr>
        <w:tab/>
      </w:r>
      <w:r>
        <w:rPr>
          <w:i/>
          <w:lang w:val="en-US"/>
        </w:rPr>
        <w:tab/>
      </w:r>
      <w:r>
        <w:rPr>
          <w:i/>
          <w:lang w:val="en-US"/>
        </w:rPr>
        <w:tab/>
      </w:r>
      <w:r>
        <w:rPr>
          <w:i/>
          <w:lang w:val="en-US"/>
        </w:rPr>
        <w:tab/>
      </w:r>
      <w:r w:rsidRPr="00B47D19">
        <w:rPr>
          <w:i/>
          <w:lang w:val="en-US"/>
        </w:rPr>
        <w:tab/>
      </w:r>
      <w:r w:rsidRPr="00B47D19">
        <w:rPr>
          <w:i/>
          <w:lang w:val="en-US"/>
        </w:rPr>
        <w:tab/>
      </w:r>
    </w:p>
    <w:p w:rsidR="00000799" w:rsidRPr="00384B88" w:rsidRDefault="00000799" w:rsidP="00E06E16">
      <w:pPr>
        <w:ind w:firstLine="720"/>
        <w:jc w:val="both"/>
        <w:rPr>
          <w:i/>
          <w:lang w:val="en-US"/>
        </w:rPr>
      </w:pPr>
      <w:r w:rsidRPr="00B47D19">
        <w:rPr>
          <w:lang w:val="en-US"/>
        </w:rPr>
        <w:t xml:space="preserve">While perhaps mainstream economics would </w:t>
      </w:r>
      <w:r w:rsidR="00706899" w:rsidRPr="00B47D19">
        <w:rPr>
          <w:lang w:val="en-US"/>
        </w:rPr>
        <w:t xml:space="preserve">disregard this </w:t>
      </w:r>
      <w:r w:rsidRPr="00B47D19">
        <w:rPr>
          <w:lang w:val="en-US"/>
        </w:rPr>
        <w:t xml:space="preserve">last quote </w:t>
      </w:r>
      <w:r w:rsidR="00706899" w:rsidRPr="00B47D19">
        <w:rPr>
          <w:lang w:val="en-US"/>
        </w:rPr>
        <w:t xml:space="preserve">or at most consider </w:t>
      </w:r>
      <w:r w:rsidR="00BC091A" w:rsidRPr="00B47D19">
        <w:rPr>
          <w:lang w:val="en-US"/>
        </w:rPr>
        <w:t>it</w:t>
      </w:r>
      <w:r w:rsidRPr="00B47D19">
        <w:rPr>
          <w:lang w:val="en-US"/>
        </w:rPr>
        <w:t xml:space="preserve"> anecdotal</w:t>
      </w:r>
      <w:r>
        <w:rPr>
          <w:lang w:val="en-US"/>
        </w:rPr>
        <w:t>, an analysis done through GCC may be more careful and question</w:t>
      </w:r>
      <w:r w:rsidR="002E0BFB">
        <w:rPr>
          <w:lang w:val="en-US"/>
        </w:rPr>
        <w:t xml:space="preserve"> “</w:t>
      </w:r>
      <w:r w:rsidR="002E0BFB" w:rsidRPr="002E0BFB">
        <w:rPr>
          <w:lang w:val="en-US"/>
        </w:rPr>
        <w:t>what this knowledge by the ones in the capital</w:t>
      </w:r>
      <w:r w:rsidR="002E0BFB">
        <w:rPr>
          <w:lang w:val="en-US"/>
        </w:rPr>
        <w:t>”</w:t>
      </w:r>
      <w:r w:rsidR="002E0BFB" w:rsidRPr="002E0BFB">
        <w:rPr>
          <w:lang w:val="en-US"/>
        </w:rPr>
        <w:t xml:space="preserve"> mean</w:t>
      </w:r>
      <w:r w:rsidR="00FC64A0">
        <w:rPr>
          <w:lang w:val="en-US"/>
        </w:rPr>
        <w:t>s</w:t>
      </w:r>
      <w:r w:rsidR="002E0BFB" w:rsidRPr="002E0BFB">
        <w:rPr>
          <w:lang w:val="en-US"/>
        </w:rPr>
        <w:t xml:space="preserve"> </w:t>
      </w:r>
      <w:r w:rsidR="002E0BFB">
        <w:rPr>
          <w:lang w:val="en-US"/>
        </w:rPr>
        <w:t>in terms of uncovering the power relations within the chain</w:t>
      </w:r>
      <w:r w:rsidR="00FC64A0">
        <w:rPr>
          <w:lang w:val="en-US"/>
        </w:rPr>
        <w:t>. This information has</w:t>
      </w:r>
      <w:r w:rsidR="002E0BFB">
        <w:rPr>
          <w:lang w:val="en-US"/>
        </w:rPr>
        <w:t xml:space="preserve"> implications for the bargaining power of the farmers and their ability to </w:t>
      </w:r>
      <w:r w:rsidR="00FC64A0">
        <w:rPr>
          <w:lang w:val="en-US"/>
        </w:rPr>
        <w:t>capture</w:t>
      </w:r>
      <w:r w:rsidR="002E0BFB">
        <w:rPr>
          <w:lang w:val="en-US"/>
        </w:rPr>
        <w:t xml:space="preserve"> profit in the quinoa market. </w:t>
      </w:r>
      <w:r>
        <w:rPr>
          <w:lang w:val="en-US"/>
        </w:rPr>
        <w:t xml:space="preserve"> </w:t>
      </w:r>
    </w:p>
    <w:p w:rsidR="00706899" w:rsidRDefault="00706899" w:rsidP="00E06E16">
      <w:pPr>
        <w:ind w:firstLine="720"/>
        <w:jc w:val="both"/>
        <w:rPr>
          <w:lang w:val="en-US"/>
        </w:rPr>
      </w:pPr>
      <w:r>
        <w:rPr>
          <w:lang w:val="en-US"/>
        </w:rPr>
        <w:t xml:space="preserve">Under mainstream economics, price transmission is basically explained through competitive pricing </w:t>
      </w:r>
      <w:r w:rsidRPr="002E27EB">
        <w:rPr>
          <w:lang w:val="en-US"/>
        </w:rPr>
        <w:t>behavior (</w:t>
      </w:r>
      <w:proofErr w:type="spellStart"/>
      <w:r w:rsidRPr="002E27EB">
        <w:rPr>
          <w:lang w:val="en-US"/>
        </w:rPr>
        <w:t>Ba</w:t>
      </w:r>
      <w:r w:rsidR="002E27EB" w:rsidRPr="002E27EB">
        <w:rPr>
          <w:lang w:val="en-US"/>
        </w:rPr>
        <w:t>r</w:t>
      </w:r>
      <w:r w:rsidRPr="002E27EB">
        <w:rPr>
          <w:lang w:val="en-US"/>
        </w:rPr>
        <w:t>gawi</w:t>
      </w:r>
      <w:proofErr w:type="spellEnd"/>
      <w:r w:rsidRPr="002E27EB">
        <w:rPr>
          <w:lang w:val="en-US"/>
        </w:rPr>
        <w:t xml:space="preserve"> and Newman, 2009). In </w:t>
      </w:r>
      <w:r>
        <w:rPr>
          <w:lang w:val="en-US"/>
        </w:rPr>
        <w:t xml:space="preserve">other words, it assumes </w:t>
      </w:r>
      <w:r w:rsidRPr="00B47D19">
        <w:rPr>
          <w:lang w:val="en-US"/>
        </w:rPr>
        <w:t xml:space="preserve">there is market clearing at each stage of the production process. It does not take into account that actors downstream the chain (closer to the </w:t>
      </w:r>
      <w:r>
        <w:rPr>
          <w:lang w:val="en-US"/>
        </w:rPr>
        <w:t xml:space="preserve">consumer) can heavily influence </w:t>
      </w:r>
      <w:r w:rsidR="00E17967">
        <w:rPr>
          <w:lang w:val="en-US"/>
        </w:rPr>
        <w:t xml:space="preserve">what happens to the actors upstream (closer and ultimately to the producer). Furthermore, mainstream economics does not study the connections between each one of the stage of the production process. It ignores them. </w:t>
      </w:r>
      <w:r>
        <w:rPr>
          <w:lang w:val="en-US"/>
        </w:rPr>
        <w:t xml:space="preserve"> </w:t>
      </w:r>
    </w:p>
    <w:p w:rsidR="00EB3ECC" w:rsidRDefault="00EB3ECC" w:rsidP="00E06E16">
      <w:pPr>
        <w:ind w:firstLine="720"/>
        <w:jc w:val="both"/>
        <w:rPr>
          <w:lang w:val="en-US"/>
        </w:rPr>
      </w:pPr>
      <w:r>
        <w:rPr>
          <w:lang w:val="en-US"/>
        </w:rPr>
        <w:t xml:space="preserve">For </w:t>
      </w:r>
      <w:r w:rsidRPr="00046BF3">
        <w:rPr>
          <w:lang w:val="en-US"/>
        </w:rPr>
        <w:t>Newman (</w:t>
      </w:r>
      <w:r w:rsidR="00046BF3" w:rsidRPr="00046BF3">
        <w:rPr>
          <w:lang w:val="en-US"/>
        </w:rPr>
        <w:t xml:space="preserve">2009), </w:t>
      </w:r>
      <w:r w:rsidR="00BE4DFD" w:rsidRPr="00046BF3">
        <w:rPr>
          <w:lang w:val="en-US"/>
        </w:rPr>
        <w:t xml:space="preserve">“Neoclassical </w:t>
      </w:r>
      <w:r w:rsidR="00BE4DFD">
        <w:rPr>
          <w:lang w:val="en-US"/>
        </w:rPr>
        <w:t xml:space="preserve">economic theory is inherently unable to deal adequately with the existence of vertical supply structures (chains) since it relies on a horizontal model of supply and demand. At best, a supply chain is </w:t>
      </w:r>
      <w:r w:rsidR="00BC091A">
        <w:rPr>
          <w:lang w:val="en-US"/>
        </w:rPr>
        <w:t>conceptualized</w:t>
      </w:r>
      <w:r w:rsidR="00BE4DFD">
        <w:rPr>
          <w:lang w:val="en-US"/>
        </w:rPr>
        <w:t xml:space="preserve"> as a series of stacked supply and demand processes. The relationship between one stage in the vertical production process and another (except as a purchase</w:t>
      </w:r>
      <w:r>
        <w:rPr>
          <w:lang w:val="en-US"/>
        </w:rPr>
        <w:t>r</w:t>
      </w:r>
      <w:r w:rsidR="00BE4DFD">
        <w:rPr>
          <w:lang w:val="en-US"/>
        </w:rPr>
        <w:t xml:space="preserve"> of supplier of inputs) is inherently absent from the framework”</w:t>
      </w:r>
      <w:r>
        <w:rPr>
          <w:lang w:val="en-US"/>
        </w:rPr>
        <w:t xml:space="preserve">. </w:t>
      </w:r>
    </w:p>
    <w:p w:rsidR="002427A4" w:rsidRDefault="002427A4" w:rsidP="0042466A">
      <w:pPr>
        <w:jc w:val="both"/>
        <w:rPr>
          <w:lang w:val="en-US"/>
        </w:rPr>
      </w:pPr>
    </w:p>
    <w:p w:rsidR="00F83078" w:rsidRDefault="00F83078" w:rsidP="0042466A">
      <w:pPr>
        <w:jc w:val="both"/>
        <w:rPr>
          <w:lang w:val="en-US"/>
        </w:rPr>
      </w:pPr>
    </w:p>
    <w:p w:rsidR="002427A4" w:rsidRDefault="002427A4" w:rsidP="0042466A">
      <w:pPr>
        <w:jc w:val="both"/>
        <w:rPr>
          <w:lang w:val="en-US"/>
        </w:rPr>
      </w:pPr>
    </w:p>
    <w:p w:rsidR="00B47D19" w:rsidRDefault="00B47D19" w:rsidP="0042466A">
      <w:pPr>
        <w:jc w:val="both"/>
        <w:rPr>
          <w:b/>
          <w:lang w:val="en-US"/>
        </w:rPr>
      </w:pPr>
    </w:p>
    <w:p w:rsidR="00043988" w:rsidRPr="002E27EB" w:rsidRDefault="002F491C" w:rsidP="002F491C">
      <w:pPr>
        <w:ind w:firstLine="720"/>
        <w:jc w:val="both"/>
        <w:rPr>
          <w:lang w:val="en-US"/>
        </w:rPr>
      </w:pPr>
      <w:r>
        <w:rPr>
          <w:lang w:val="en-US"/>
        </w:rPr>
        <w:lastRenderedPageBreak/>
        <w:t>T</w:t>
      </w:r>
      <w:r w:rsidR="00043988" w:rsidRPr="00FA3BD1">
        <w:rPr>
          <w:lang w:val="en-US"/>
        </w:rPr>
        <w:t xml:space="preserve">he changes that are brought to the structure of domestic marketing systems by financial globalization </w:t>
      </w:r>
      <w:r w:rsidR="00FA3BD1" w:rsidRPr="00FA3BD1">
        <w:rPr>
          <w:lang w:val="en-US"/>
        </w:rPr>
        <w:t xml:space="preserve">(mentioned at the beginning of this chapter) </w:t>
      </w:r>
      <w:r w:rsidR="00734323" w:rsidRPr="00FA3BD1">
        <w:rPr>
          <w:lang w:val="en-US"/>
        </w:rPr>
        <w:t xml:space="preserve">exacerbate either the quick passing  of negative price changes to the farmers versus positive ones </w:t>
      </w:r>
      <w:r w:rsidR="00734323">
        <w:rPr>
          <w:lang w:val="en-US"/>
        </w:rPr>
        <w:t>(</w:t>
      </w:r>
      <w:r w:rsidR="00ED6D79">
        <w:rPr>
          <w:lang w:val="en-US"/>
        </w:rPr>
        <w:t xml:space="preserve">Shepherd, 2004) (Newman, ?) and </w:t>
      </w:r>
      <w:r w:rsidR="00734323">
        <w:rPr>
          <w:lang w:val="en-US"/>
        </w:rPr>
        <w:t>or the quick p</w:t>
      </w:r>
      <w:r w:rsidR="00107379">
        <w:rPr>
          <w:lang w:val="en-US"/>
        </w:rPr>
        <w:t>asses</w:t>
      </w:r>
      <w:r w:rsidR="00734323">
        <w:rPr>
          <w:lang w:val="en-US"/>
        </w:rPr>
        <w:t xml:space="preserve"> </w:t>
      </w:r>
      <w:r w:rsidR="00107379">
        <w:rPr>
          <w:lang w:val="en-US"/>
        </w:rPr>
        <w:t xml:space="preserve">of wholesale price increases </w:t>
      </w:r>
      <w:r w:rsidR="00734323">
        <w:rPr>
          <w:lang w:val="en-US"/>
        </w:rPr>
        <w:t xml:space="preserve">onto consumers versus negative </w:t>
      </w:r>
      <w:r w:rsidR="00734323" w:rsidRPr="002E27EB">
        <w:rPr>
          <w:lang w:val="en-US"/>
        </w:rPr>
        <w:t>downturns (</w:t>
      </w:r>
      <w:proofErr w:type="spellStart"/>
      <w:r w:rsidR="00734323" w:rsidRPr="002E27EB">
        <w:rPr>
          <w:lang w:val="en-US"/>
        </w:rPr>
        <w:t>Morriset</w:t>
      </w:r>
      <w:proofErr w:type="spellEnd"/>
      <w:r w:rsidR="00734323" w:rsidRPr="002E27EB">
        <w:rPr>
          <w:lang w:val="en-US"/>
        </w:rPr>
        <w:t xml:space="preserve"> 1998; </w:t>
      </w:r>
      <w:proofErr w:type="spellStart"/>
      <w:r w:rsidR="00734323" w:rsidRPr="002E27EB">
        <w:rPr>
          <w:lang w:val="en-US"/>
        </w:rPr>
        <w:t>Abdulai</w:t>
      </w:r>
      <w:proofErr w:type="spellEnd"/>
      <w:r w:rsidR="00734323" w:rsidRPr="002E27EB">
        <w:rPr>
          <w:lang w:val="en-US"/>
        </w:rPr>
        <w:t xml:space="preserve"> 2006)</w:t>
      </w:r>
      <w:r w:rsidR="00F83078" w:rsidRPr="002E27EB">
        <w:rPr>
          <w:lang w:val="en-US"/>
        </w:rPr>
        <w:t>.</w:t>
      </w:r>
      <w:r w:rsidR="00734323" w:rsidRPr="002E27EB">
        <w:rPr>
          <w:lang w:val="en-US"/>
        </w:rPr>
        <w:t xml:space="preserve"> </w:t>
      </w:r>
    </w:p>
    <w:p w:rsidR="00ED6D79" w:rsidRPr="00734323" w:rsidRDefault="00ED6D79" w:rsidP="00E06E16">
      <w:pPr>
        <w:ind w:firstLine="720"/>
        <w:jc w:val="both"/>
        <w:rPr>
          <w:color w:val="FF0000"/>
          <w:lang w:val="en-US"/>
        </w:rPr>
      </w:pPr>
      <w:r w:rsidRPr="002E27EB">
        <w:rPr>
          <w:lang w:val="en-US"/>
        </w:rPr>
        <w:t xml:space="preserve">In the </w:t>
      </w:r>
      <w:r w:rsidRPr="00412A9D">
        <w:rPr>
          <w:lang w:val="en-US"/>
        </w:rPr>
        <w:t xml:space="preserve">quinoa case, this is manifested in the fact that while producer prices as a share of exporter prices appears to be on a downward trend, quinoa products in the industrialized countries have </w:t>
      </w:r>
      <w:r w:rsidR="00412A9D" w:rsidRPr="00412A9D">
        <w:rPr>
          <w:lang w:val="en-US"/>
        </w:rPr>
        <w:t xml:space="preserve">more than </w:t>
      </w:r>
      <w:r w:rsidRPr="00412A9D">
        <w:rPr>
          <w:lang w:val="en-US"/>
        </w:rPr>
        <w:t xml:space="preserve">tripled in prices. </w:t>
      </w:r>
      <w:r w:rsidR="00412A9D" w:rsidRPr="00412A9D">
        <w:rPr>
          <w:lang w:val="en-US"/>
        </w:rPr>
        <w:t xml:space="preserve">According to a recent report by NPR, just six years ago American shoppers could purchase quinoa for $1.50 per pound whereas now retailers get between $4.50 and $8, for every pound they sell of </w:t>
      </w:r>
      <w:r w:rsidR="00412A9D" w:rsidRPr="00341B71">
        <w:rPr>
          <w:lang w:val="en-US"/>
        </w:rPr>
        <w:t xml:space="preserve">quinoa (NPR, 2012). </w:t>
      </w:r>
    </w:p>
    <w:p w:rsidR="004A326D" w:rsidRPr="002E27EB" w:rsidRDefault="00B27BE1" w:rsidP="00E06E16">
      <w:pPr>
        <w:ind w:firstLine="720"/>
        <w:jc w:val="both"/>
        <w:rPr>
          <w:lang w:val="en-US"/>
        </w:rPr>
      </w:pPr>
      <w:r w:rsidRPr="00B100EF">
        <w:rPr>
          <w:lang w:val="en-US"/>
        </w:rPr>
        <w:t>Concluding,</w:t>
      </w:r>
      <w:r w:rsidR="00C80CCF" w:rsidRPr="00B100EF">
        <w:rPr>
          <w:lang w:val="en-US"/>
        </w:rPr>
        <w:t xml:space="preserve"> in a nutshell the literature of Global Commodity Chain </w:t>
      </w:r>
      <w:r w:rsidR="00A73A4D" w:rsidRPr="00B100EF">
        <w:rPr>
          <w:lang w:val="en-US"/>
        </w:rPr>
        <w:t xml:space="preserve">(GCC) </w:t>
      </w:r>
      <w:r w:rsidR="00F83078" w:rsidRPr="00B100EF">
        <w:rPr>
          <w:lang w:val="en-US"/>
        </w:rPr>
        <w:t xml:space="preserve">puts at the center of the analysis </w:t>
      </w:r>
      <w:r w:rsidR="00C80CCF" w:rsidRPr="00B100EF">
        <w:rPr>
          <w:lang w:val="en-US"/>
        </w:rPr>
        <w:t>the existence of power relations embedded within each stage of the production process and through it</w:t>
      </w:r>
      <w:r w:rsidR="004A326D" w:rsidRPr="00B100EF">
        <w:rPr>
          <w:lang w:val="en-US"/>
        </w:rPr>
        <w:t>s</w:t>
      </w:r>
      <w:r w:rsidR="00C80CCF" w:rsidRPr="00B100EF">
        <w:rPr>
          <w:lang w:val="en-US"/>
        </w:rPr>
        <w:t xml:space="preserve"> </w:t>
      </w:r>
      <w:r w:rsidR="00F54306" w:rsidRPr="00B100EF">
        <w:rPr>
          <w:lang w:val="en-US"/>
        </w:rPr>
        <w:t>study</w:t>
      </w:r>
      <w:r w:rsidR="00C80CCF" w:rsidRPr="00B100EF">
        <w:rPr>
          <w:lang w:val="en-US"/>
        </w:rPr>
        <w:t xml:space="preserve"> attempts to explore the bargaining power of each actor involved in such production process. </w:t>
      </w:r>
      <w:r w:rsidR="00C80CCF">
        <w:rPr>
          <w:lang w:val="en-US"/>
        </w:rPr>
        <w:t xml:space="preserve">Since the distribution of power amongst the different actors along the chain will </w:t>
      </w:r>
      <w:r w:rsidR="004F592F">
        <w:rPr>
          <w:lang w:val="en-US"/>
        </w:rPr>
        <w:t xml:space="preserve">most likely </w:t>
      </w:r>
      <w:r w:rsidR="00C80CCF">
        <w:rPr>
          <w:lang w:val="en-US"/>
        </w:rPr>
        <w:t>not be equal</w:t>
      </w:r>
      <w:r w:rsidR="004F592F">
        <w:rPr>
          <w:lang w:val="en-US"/>
        </w:rPr>
        <w:t>,</w:t>
      </w:r>
      <w:r w:rsidR="00C80CCF">
        <w:rPr>
          <w:lang w:val="en-US"/>
        </w:rPr>
        <w:t xml:space="preserve"> this will ultimately determine</w:t>
      </w:r>
      <w:r w:rsidR="004F592F">
        <w:rPr>
          <w:lang w:val="en-US"/>
        </w:rPr>
        <w:t>,</w:t>
      </w:r>
      <w:r w:rsidR="00C80CCF">
        <w:rPr>
          <w:lang w:val="en-US"/>
        </w:rPr>
        <w:t xml:space="preserve"> or at the very least influence</w:t>
      </w:r>
      <w:r w:rsidR="004F592F">
        <w:rPr>
          <w:lang w:val="en-US"/>
        </w:rPr>
        <w:t>,</w:t>
      </w:r>
      <w:r w:rsidR="00C80CCF">
        <w:rPr>
          <w:lang w:val="en-US"/>
        </w:rPr>
        <w:t xml:space="preserve"> their level of profits</w:t>
      </w:r>
      <w:r w:rsidR="004A326D">
        <w:rPr>
          <w:lang w:val="en-US"/>
        </w:rPr>
        <w:t xml:space="preserve"> and its distribution</w:t>
      </w:r>
      <w:r w:rsidR="001539C8">
        <w:rPr>
          <w:lang w:val="en-US"/>
        </w:rPr>
        <w:t xml:space="preserve">. </w:t>
      </w:r>
      <w:r w:rsidR="004A326D">
        <w:rPr>
          <w:lang w:val="en-US"/>
        </w:rPr>
        <w:t xml:space="preserve">As illustrated above, </w:t>
      </w:r>
      <w:r w:rsidR="00A73A4D">
        <w:rPr>
          <w:lang w:val="en-US"/>
        </w:rPr>
        <w:t xml:space="preserve">the GCC literature </w:t>
      </w:r>
      <w:r w:rsidR="00366286">
        <w:rPr>
          <w:lang w:val="en-US"/>
        </w:rPr>
        <w:t xml:space="preserve">aims to provide an alternative approach by </w:t>
      </w:r>
      <w:r w:rsidR="00A8694F">
        <w:rPr>
          <w:lang w:val="en-US"/>
        </w:rPr>
        <w:t xml:space="preserve">focusing on </w:t>
      </w:r>
      <w:r w:rsidR="00366286">
        <w:rPr>
          <w:lang w:val="en-US"/>
        </w:rPr>
        <w:t xml:space="preserve">institutional structure and power when analyzing price transmission and income </w:t>
      </w:r>
      <w:r w:rsidR="00366286" w:rsidRPr="002E27EB">
        <w:rPr>
          <w:lang w:val="en-US"/>
        </w:rPr>
        <w:t>shares (</w:t>
      </w:r>
      <w:proofErr w:type="spellStart"/>
      <w:r w:rsidR="00366286" w:rsidRPr="002E27EB">
        <w:rPr>
          <w:lang w:val="en-US"/>
        </w:rPr>
        <w:t>Morisset</w:t>
      </w:r>
      <w:proofErr w:type="spellEnd"/>
      <w:r w:rsidR="00366286" w:rsidRPr="002E27EB">
        <w:rPr>
          <w:lang w:val="en-US"/>
        </w:rPr>
        <w:t xml:space="preserve">, 1998; Shepard, 2004; </w:t>
      </w:r>
      <w:proofErr w:type="spellStart"/>
      <w:r w:rsidR="00366286" w:rsidRPr="002E27EB">
        <w:rPr>
          <w:lang w:val="en-US"/>
        </w:rPr>
        <w:t>Fafchamps</w:t>
      </w:r>
      <w:proofErr w:type="spellEnd"/>
      <w:r w:rsidR="00366286" w:rsidRPr="002E27EB">
        <w:rPr>
          <w:lang w:val="en-US"/>
        </w:rPr>
        <w:t xml:space="preserve"> and Vargas Hill 2008). </w:t>
      </w:r>
      <w:r w:rsidR="00F732D9" w:rsidRPr="002E27EB">
        <w:rPr>
          <w:lang w:val="en-US"/>
        </w:rPr>
        <w:t xml:space="preserve">In this way, the analysis becomes much more complex and thought provoking than what perhaps mainstream economics would allow. </w:t>
      </w:r>
    </w:p>
    <w:p w:rsidR="009E51F5" w:rsidRDefault="00AA0B00" w:rsidP="00E06E16">
      <w:pPr>
        <w:ind w:firstLine="720"/>
        <w:jc w:val="both"/>
        <w:rPr>
          <w:lang w:val="en-US"/>
        </w:rPr>
      </w:pPr>
      <w:r>
        <w:rPr>
          <w:lang w:val="en-US"/>
        </w:rPr>
        <w:t>This paper will attempt to study th</w:t>
      </w:r>
      <w:r w:rsidR="00A8694F">
        <w:rPr>
          <w:lang w:val="en-US"/>
        </w:rPr>
        <w:t>ese</w:t>
      </w:r>
      <w:r>
        <w:rPr>
          <w:lang w:val="en-US"/>
        </w:rPr>
        <w:t xml:space="preserve"> complexities in the more holistic way </w:t>
      </w:r>
      <w:r w:rsidR="00A4713B">
        <w:rPr>
          <w:lang w:val="en-US"/>
        </w:rPr>
        <w:t xml:space="preserve">that </w:t>
      </w:r>
      <w:r>
        <w:rPr>
          <w:lang w:val="en-US"/>
        </w:rPr>
        <w:t>the literature of Global Commodity Chain</w:t>
      </w:r>
      <w:r w:rsidR="00A4713B">
        <w:rPr>
          <w:lang w:val="en-US"/>
        </w:rPr>
        <w:t xml:space="preserve"> </w:t>
      </w:r>
      <w:r w:rsidR="00DA600E">
        <w:rPr>
          <w:lang w:val="en-US"/>
        </w:rPr>
        <w:t>proposes</w:t>
      </w:r>
      <w:r w:rsidR="009E51F5">
        <w:rPr>
          <w:lang w:val="en-US"/>
        </w:rPr>
        <w:t xml:space="preserve"> and</w:t>
      </w:r>
      <w:r w:rsidR="00A8694F">
        <w:rPr>
          <w:lang w:val="en-US"/>
        </w:rPr>
        <w:t>,</w:t>
      </w:r>
      <w:r w:rsidR="009E51F5">
        <w:rPr>
          <w:lang w:val="en-US"/>
        </w:rPr>
        <w:t xml:space="preserve"> through this analytical framework</w:t>
      </w:r>
      <w:r w:rsidR="00A8694F">
        <w:rPr>
          <w:lang w:val="en-US"/>
        </w:rPr>
        <w:t>,</w:t>
      </w:r>
      <w:r w:rsidR="009E51F5">
        <w:rPr>
          <w:lang w:val="en-US"/>
        </w:rPr>
        <w:t xml:space="preserve"> answer the main question set out on this paper: </w:t>
      </w:r>
    </w:p>
    <w:p w:rsidR="00F732D9" w:rsidRPr="009E51F5" w:rsidRDefault="009E51F5" w:rsidP="009E51F5">
      <w:pPr>
        <w:jc w:val="center"/>
        <w:rPr>
          <w:b/>
          <w:lang w:val="en-US"/>
        </w:rPr>
      </w:pPr>
      <w:r w:rsidRPr="009E51F5">
        <w:rPr>
          <w:b/>
          <w:lang w:val="en-US"/>
        </w:rPr>
        <w:t>“How do changes in the quinoa market structure mediate quinoa farmers’ income?”</w:t>
      </w:r>
    </w:p>
    <w:p w:rsidR="004605BA" w:rsidRPr="00824883" w:rsidRDefault="00901A52" w:rsidP="00D30530">
      <w:pPr>
        <w:jc w:val="both"/>
        <w:rPr>
          <w:lang w:val="en-US"/>
        </w:rPr>
      </w:pPr>
      <w:r w:rsidRPr="00341B71">
        <w:rPr>
          <w:lang w:val="en-US"/>
        </w:rPr>
        <w:t>T</w:t>
      </w:r>
      <w:r w:rsidR="004605BA" w:rsidRPr="00341B71">
        <w:rPr>
          <w:lang w:val="en-US"/>
        </w:rPr>
        <w:t xml:space="preserve">he Quinoa </w:t>
      </w:r>
      <w:r w:rsidR="004605BA" w:rsidRPr="00824883">
        <w:rPr>
          <w:lang w:val="en-US"/>
        </w:rPr>
        <w:t xml:space="preserve">Value Chain </w:t>
      </w:r>
      <w:r w:rsidR="00536EE8">
        <w:rPr>
          <w:lang w:val="en-US"/>
        </w:rPr>
        <w:t xml:space="preserve">analyzed </w:t>
      </w:r>
      <w:r w:rsidR="004605BA" w:rsidRPr="00824883">
        <w:rPr>
          <w:lang w:val="en-US"/>
        </w:rPr>
        <w:t xml:space="preserve">through the Global Commodity Chain lens </w:t>
      </w:r>
      <w:r w:rsidR="00824883" w:rsidRPr="00824883">
        <w:rPr>
          <w:lang w:val="en-US"/>
        </w:rPr>
        <w:t xml:space="preserve">informs </w:t>
      </w:r>
      <w:r w:rsidR="00341B71" w:rsidRPr="00341B71">
        <w:rPr>
          <w:lang w:val="en-US"/>
        </w:rPr>
        <w:t>us</w:t>
      </w:r>
      <w:r w:rsidR="00824883" w:rsidRPr="00341B71">
        <w:rPr>
          <w:lang w:val="en-US"/>
        </w:rPr>
        <w:t xml:space="preserve"> that </w:t>
      </w:r>
      <w:r w:rsidR="00824883" w:rsidRPr="00824883">
        <w:rPr>
          <w:lang w:val="en-US"/>
        </w:rPr>
        <w:t xml:space="preserve">the presence of more and new players in the market contesting for the dominance of the chain and the distribution of profits will have impacts upstream – on the farmers and their incomes.  </w:t>
      </w:r>
    </w:p>
    <w:p w:rsidR="002A1823" w:rsidRDefault="002A1823">
      <w:pPr>
        <w:rPr>
          <w:color w:val="FF0000"/>
          <w:lang w:val="en-US"/>
        </w:rPr>
      </w:pPr>
      <w:r>
        <w:rPr>
          <w:color w:val="FF0000"/>
          <w:lang w:val="en-US"/>
        </w:rPr>
        <w:br w:type="page"/>
      </w:r>
    </w:p>
    <w:p w:rsidR="002E4E2C" w:rsidRDefault="002E4E2C" w:rsidP="00FA122F">
      <w:pPr>
        <w:spacing w:after="0"/>
        <w:jc w:val="both"/>
        <w:outlineLvl w:val="0"/>
        <w:rPr>
          <w:rFonts w:ascii="Garamond" w:hAnsi="Garamond"/>
          <w:b/>
          <w:sz w:val="36"/>
          <w:szCs w:val="36"/>
          <w:lang w:val="en-US"/>
        </w:rPr>
      </w:pPr>
      <w:bookmarkStart w:id="32" w:name="_Toc342160093"/>
      <w:r>
        <w:rPr>
          <w:rFonts w:ascii="Garamond" w:hAnsi="Garamond"/>
          <w:b/>
          <w:sz w:val="36"/>
          <w:szCs w:val="36"/>
          <w:lang w:val="en-US"/>
        </w:rPr>
        <w:lastRenderedPageBreak/>
        <w:t>Chapter 3</w:t>
      </w:r>
    </w:p>
    <w:p w:rsidR="00C80CCF" w:rsidRPr="00FA122F" w:rsidRDefault="004202C8" w:rsidP="00FA122F">
      <w:pPr>
        <w:spacing w:after="0"/>
        <w:jc w:val="both"/>
        <w:outlineLvl w:val="0"/>
        <w:rPr>
          <w:rFonts w:ascii="Garamond" w:hAnsi="Garamond"/>
          <w:b/>
          <w:sz w:val="36"/>
          <w:szCs w:val="36"/>
          <w:lang w:val="en-US"/>
        </w:rPr>
      </w:pPr>
      <w:r w:rsidRPr="00FA122F">
        <w:rPr>
          <w:rFonts w:ascii="Garamond" w:hAnsi="Garamond"/>
          <w:b/>
          <w:sz w:val="36"/>
          <w:szCs w:val="36"/>
          <w:lang w:val="en-US"/>
        </w:rPr>
        <w:t>Mapping the Quinoa Value Chain</w:t>
      </w:r>
      <w:bookmarkEnd w:id="32"/>
      <w:r w:rsidRPr="00FA122F">
        <w:rPr>
          <w:rFonts w:ascii="Garamond" w:hAnsi="Garamond"/>
          <w:b/>
          <w:sz w:val="36"/>
          <w:szCs w:val="36"/>
          <w:lang w:val="en-US"/>
        </w:rPr>
        <w:t xml:space="preserve"> </w:t>
      </w:r>
    </w:p>
    <w:p w:rsidR="00F338D7" w:rsidRPr="00E06E16" w:rsidRDefault="00F338D7" w:rsidP="00F338D7">
      <w:pPr>
        <w:pStyle w:val="ListParagraph"/>
        <w:ind w:left="1080"/>
        <w:jc w:val="both"/>
        <w:outlineLvl w:val="0"/>
        <w:rPr>
          <w:rFonts w:ascii="Garamond" w:hAnsi="Garamond"/>
          <w:b/>
          <w:sz w:val="36"/>
          <w:szCs w:val="36"/>
          <w:lang w:val="en-US"/>
        </w:rPr>
      </w:pPr>
    </w:p>
    <w:p w:rsidR="006E13E2" w:rsidRDefault="006E13E2" w:rsidP="00E7566D">
      <w:pPr>
        <w:pStyle w:val="ListParagraph"/>
        <w:ind w:left="1080"/>
        <w:jc w:val="center"/>
        <w:rPr>
          <w:b/>
          <w:lang w:val="en-US"/>
        </w:rPr>
      </w:pPr>
    </w:p>
    <w:p w:rsidR="005F131E" w:rsidRPr="00E06E16" w:rsidRDefault="005F131E" w:rsidP="00E06E16">
      <w:pPr>
        <w:pStyle w:val="ListParagraph"/>
        <w:ind w:left="1080"/>
        <w:jc w:val="center"/>
        <w:rPr>
          <w:lang w:val="en-US"/>
        </w:rPr>
      </w:pPr>
      <w:bookmarkStart w:id="33" w:name="_Ref342159731"/>
      <w:r w:rsidRPr="00E06E16">
        <w:rPr>
          <w:b/>
          <w:lang w:val="en-US"/>
        </w:rPr>
        <w:t xml:space="preserve">Diagram </w:t>
      </w:r>
      <w:r w:rsidRPr="00E06E16">
        <w:rPr>
          <w:b/>
          <w:lang w:val="en-US"/>
        </w:rPr>
        <w:fldChar w:fldCharType="begin"/>
      </w:r>
      <w:r w:rsidRPr="00E06E16">
        <w:rPr>
          <w:b/>
          <w:lang w:val="en-US"/>
        </w:rPr>
        <w:instrText xml:space="preserve"> SEQ Diagram \* ARABIC </w:instrText>
      </w:r>
      <w:r w:rsidRPr="00E06E16">
        <w:rPr>
          <w:b/>
          <w:lang w:val="en-US"/>
        </w:rPr>
        <w:fldChar w:fldCharType="separate"/>
      </w:r>
      <w:r w:rsidR="00B906BF">
        <w:rPr>
          <w:b/>
          <w:noProof/>
          <w:lang w:val="en-US"/>
        </w:rPr>
        <w:t>1</w:t>
      </w:r>
      <w:r w:rsidRPr="00E06E16">
        <w:rPr>
          <w:b/>
          <w:lang w:val="en-US"/>
        </w:rPr>
        <w:fldChar w:fldCharType="end"/>
      </w:r>
      <w:r w:rsidRPr="00E06E16">
        <w:rPr>
          <w:b/>
          <w:lang w:val="en-US"/>
        </w:rPr>
        <w:t>: The Quinoa Value Chain</w:t>
      </w:r>
      <w:bookmarkEnd w:id="33"/>
    </w:p>
    <w:p w:rsidR="006E13E2" w:rsidRDefault="006E13E2" w:rsidP="009F46E9">
      <w:pPr>
        <w:pStyle w:val="ListParagraph"/>
        <w:ind w:left="1080"/>
        <w:rPr>
          <w:b/>
          <w:lang w:val="en-US"/>
        </w:rPr>
      </w:pPr>
      <w:r>
        <w:rPr>
          <w:noProof/>
          <w:lang w:val="en-US"/>
        </w:rPr>
        <w:drawing>
          <wp:inline distT="0" distB="0" distL="0" distR="0" wp14:anchorId="5684FF33" wp14:editId="473F31A0">
            <wp:extent cx="5943600" cy="6124575"/>
            <wp:effectExtent l="0" t="0" r="0" b="47625"/>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6E13E2" w:rsidRPr="00E7566D" w:rsidRDefault="006E13E2" w:rsidP="00E7566D">
      <w:pPr>
        <w:pStyle w:val="ListParagraph"/>
        <w:ind w:left="1080"/>
        <w:jc w:val="center"/>
        <w:rPr>
          <w:b/>
          <w:lang w:val="en-US"/>
        </w:rPr>
      </w:pPr>
    </w:p>
    <w:p w:rsidR="008E40F7" w:rsidRDefault="008E40F7" w:rsidP="0042466A">
      <w:pPr>
        <w:jc w:val="both"/>
        <w:rPr>
          <w:lang w:val="en-US"/>
        </w:rPr>
      </w:pPr>
    </w:p>
    <w:p w:rsidR="00F338D7" w:rsidRDefault="00F338D7" w:rsidP="00F338D7">
      <w:pPr>
        <w:ind w:firstLine="360"/>
        <w:jc w:val="both"/>
        <w:outlineLvl w:val="1"/>
        <w:rPr>
          <w:rFonts w:ascii="Garamond" w:hAnsi="Garamond"/>
          <w:b/>
          <w:color w:val="FF0000"/>
          <w:sz w:val="32"/>
          <w:szCs w:val="32"/>
          <w:lang w:val="en-US"/>
        </w:rPr>
      </w:pPr>
      <w:bookmarkStart w:id="34" w:name="_Toc342160094"/>
    </w:p>
    <w:p w:rsidR="00F338D7" w:rsidRPr="00536EE8" w:rsidRDefault="00F338D7" w:rsidP="00FA122F">
      <w:pPr>
        <w:jc w:val="both"/>
        <w:outlineLvl w:val="1"/>
        <w:rPr>
          <w:rFonts w:ascii="Garamond" w:hAnsi="Garamond"/>
          <w:b/>
          <w:sz w:val="32"/>
          <w:szCs w:val="32"/>
          <w:u w:val="single"/>
          <w:lang w:val="en-US"/>
        </w:rPr>
      </w:pPr>
      <w:r w:rsidRPr="00536EE8">
        <w:rPr>
          <w:rFonts w:ascii="Garamond" w:hAnsi="Garamond"/>
          <w:b/>
          <w:sz w:val="32"/>
          <w:szCs w:val="32"/>
          <w:u w:val="single"/>
          <w:lang w:val="en-US"/>
        </w:rPr>
        <w:t xml:space="preserve">a) </w:t>
      </w:r>
      <w:bookmarkEnd w:id="34"/>
      <w:r w:rsidRPr="00536EE8">
        <w:rPr>
          <w:rFonts w:ascii="Garamond" w:hAnsi="Garamond"/>
          <w:b/>
          <w:sz w:val="32"/>
          <w:szCs w:val="32"/>
          <w:u w:val="single"/>
          <w:lang w:val="en-US"/>
        </w:rPr>
        <w:t xml:space="preserve">Identification of Actors </w:t>
      </w:r>
    </w:p>
    <w:p w:rsidR="00A408BB" w:rsidRDefault="00736776">
      <w:pPr>
        <w:jc w:val="both"/>
        <w:rPr>
          <w:color w:val="FF0000"/>
          <w:lang w:val="en-US"/>
        </w:rPr>
      </w:pPr>
      <w:r>
        <w:rPr>
          <w:lang w:val="en-US"/>
        </w:rPr>
        <w:t>The set of actors</w:t>
      </w:r>
      <w:r w:rsidR="004710C0">
        <w:rPr>
          <w:rStyle w:val="FootnoteReference"/>
          <w:lang w:val="en-US"/>
        </w:rPr>
        <w:footnoteReference w:id="7"/>
      </w:r>
      <w:r>
        <w:rPr>
          <w:lang w:val="en-US"/>
        </w:rPr>
        <w:t xml:space="preserve"> involved in the case of the Quinoa Value Chain in Bolivia are varied and start with the farmers (producers), followed by</w:t>
      </w:r>
      <w:r w:rsidR="0058108F">
        <w:rPr>
          <w:lang w:val="en-US"/>
        </w:rPr>
        <w:t xml:space="preserve"> the</w:t>
      </w:r>
      <w:r>
        <w:rPr>
          <w:lang w:val="en-US"/>
        </w:rPr>
        <w:t xml:space="preserve"> producer organizations, </w:t>
      </w:r>
      <w:r w:rsidRPr="002C24BC">
        <w:rPr>
          <w:lang w:val="en-US"/>
        </w:rPr>
        <w:t>private processing firms, exporters, importers and</w:t>
      </w:r>
      <w:r w:rsidR="0058108F">
        <w:rPr>
          <w:lang w:val="en-US"/>
        </w:rPr>
        <w:t xml:space="preserve"> </w:t>
      </w:r>
      <w:r w:rsidRPr="002C24BC">
        <w:rPr>
          <w:lang w:val="en-US"/>
        </w:rPr>
        <w:t>or distributers,</w:t>
      </w:r>
      <w:r>
        <w:rPr>
          <w:lang w:val="en-US"/>
        </w:rPr>
        <w:t xml:space="preserve"> which can either be private companies or fair-trade related organizations </w:t>
      </w:r>
      <w:r w:rsidR="00206664">
        <w:rPr>
          <w:lang w:val="en-US"/>
        </w:rPr>
        <w:t xml:space="preserve">with and without </w:t>
      </w:r>
      <w:r w:rsidRPr="002C24BC">
        <w:rPr>
          <w:lang w:val="en-US"/>
        </w:rPr>
        <w:t xml:space="preserve">transnational </w:t>
      </w:r>
      <w:r w:rsidRPr="00536EE8">
        <w:rPr>
          <w:lang w:val="en-US"/>
        </w:rPr>
        <w:t>reach</w:t>
      </w:r>
      <w:r w:rsidR="00837B94" w:rsidRPr="00536EE8">
        <w:rPr>
          <w:lang w:val="en-US"/>
        </w:rPr>
        <w:t xml:space="preserve"> (</w:t>
      </w:r>
      <w:r w:rsidR="002C24BC" w:rsidRPr="00536EE8">
        <w:rPr>
          <w:lang w:val="en-US"/>
        </w:rPr>
        <w:t>Laguna, 2006</w:t>
      </w:r>
      <w:r w:rsidR="00837B94" w:rsidRPr="00536EE8">
        <w:rPr>
          <w:lang w:val="en-US"/>
        </w:rPr>
        <w:t>)</w:t>
      </w:r>
      <w:r w:rsidRPr="00536EE8">
        <w:rPr>
          <w:lang w:val="en-US"/>
        </w:rPr>
        <w:t xml:space="preserve">.  </w:t>
      </w:r>
    </w:p>
    <w:p w:rsidR="00C71B3B" w:rsidRDefault="00C71B3B" w:rsidP="00E06E16">
      <w:pPr>
        <w:ind w:firstLine="720"/>
        <w:jc w:val="both"/>
        <w:rPr>
          <w:lang w:val="en-US"/>
        </w:rPr>
      </w:pPr>
      <w:r>
        <w:rPr>
          <w:lang w:val="en-US"/>
        </w:rPr>
        <w:t xml:space="preserve">I will continue the GCC analysis by </w:t>
      </w:r>
      <w:r w:rsidR="004202C8">
        <w:rPr>
          <w:lang w:val="en-US"/>
        </w:rPr>
        <w:t xml:space="preserve">describing each set of actors </w:t>
      </w:r>
      <w:r w:rsidR="00E7566D">
        <w:rPr>
          <w:lang w:val="en-US"/>
        </w:rPr>
        <w:t xml:space="preserve">starting with the farmers: </w:t>
      </w:r>
    </w:p>
    <w:p w:rsidR="00C71B3B" w:rsidRDefault="006103AD" w:rsidP="0042466A">
      <w:pPr>
        <w:jc w:val="both"/>
        <w:rPr>
          <w:lang w:val="en-US"/>
        </w:rPr>
      </w:pPr>
      <w:r w:rsidRPr="006103AD">
        <w:rPr>
          <w:b/>
          <w:i/>
          <w:u w:val="single"/>
          <w:lang w:val="en-US"/>
        </w:rPr>
        <w:t>Farmers (producers)</w:t>
      </w:r>
    </w:p>
    <w:p w:rsidR="006F2141" w:rsidRDefault="00BF0BDF" w:rsidP="0042466A">
      <w:pPr>
        <w:jc w:val="both"/>
        <w:rPr>
          <w:lang w:val="en-US"/>
        </w:rPr>
      </w:pPr>
      <w:r>
        <w:rPr>
          <w:lang w:val="en-US"/>
        </w:rPr>
        <w:t xml:space="preserve">Quinoa production in Bolivia represents the most important economic activity for around 70,000 farmers in 200 communities of the Andean cities of Potosi, Oruro and La </w:t>
      </w:r>
      <w:r w:rsidRPr="00536EE8">
        <w:rPr>
          <w:lang w:val="en-US"/>
        </w:rPr>
        <w:t>Paz (</w:t>
      </w:r>
      <w:proofErr w:type="spellStart"/>
      <w:r w:rsidR="00AD43F2" w:rsidRPr="00536EE8">
        <w:rPr>
          <w:lang w:val="en-US"/>
        </w:rPr>
        <w:t>Ledezma</w:t>
      </w:r>
      <w:proofErr w:type="spellEnd"/>
      <w:r w:rsidR="00883CA6" w:rsidRPr="00536EE8">
        <w:rPr>
          <w:lang w:val="en-US"/>
        </w:rPr>
        <w:t xml:space="preserve"> et al.</w:t>
      </w:r>
      <w:r w:rsidR="00AD43F2" w:rsidRPr="00536EE8">
        <w:rPr>
          <w:lang w:val="en-US"/>
        </w:rPr>
        <w:t xml:space="preserve"> 2011</w:t>
      </w:r>
      <w:r w:rsidRPr="00536EE8">
        <w:rPr>
          <w:lang w:val="en-US"/>
        </w:rPr>
        <w:t xml:space="preserve">). </w:t>
      </w:r>
      <w:r>
        <w:rPr>
          <w:lang w:val="en-US"/>
        </w:rPr>
        <w:t>The first two cities are amongst the poorest in the country.</w:t>
      </w:r>
    </w:p>
    <w:p w:rsidR="00BF0BDF" w:rsidRDefault="006F2141" w:rsidP="00E06E16">
      <w:pPr>
        <w:ind w:firstLine="720"/>
        <w:jc w:val="both"/>
        <w:rPr>
          <w:lang w:val="en-US"/>
        </w:rPr>
      </w:pPr>
      <w:r w:rsidRPr="00536EE8">
        <w:rPr>
          <w:lang w:val="en-US"/>
        </w:rPr>
        <w:t xml:space="preserve">Quinoa farmers </w:t>
      </w:r>
      <w:r>
        <w:rPr>
          <w:lang w:val="en-US"/>
        </w:rPr>
        <w:t xml:space="preserve">can be classified as small if they own between 2 – 5 hectares of land, medium-size farmers </w:t>
      </w:r>
      <w:r w:rsidR="00206664">
        <w:rPr>
          <w:lang w:val="en-US"/>
        </w:rPr>
        <w:t xml:space="preserve">if they </w:t>
      </w:r>
      <w:r>
        <w:rPr>
          <w:lang w:val="en-US"/>
        </w:rPr>
        <w:t>own between 10 – 20 hectares of land and large-size farmers</w:t>
      </w:r>
      <w:r w:rsidR="00206664">
        <w:rPr>
          <w:lang w:val="en-US"/>
        </w:rPr>
        <w:t xml:space="preserve"> if they </w:t>
      </w:r>
      <w:r>
        <w:rPr>
          <w:lang w:val="en-US"/>
        </w:rPr>
        <w:t xml:space="preserve">own more than 20 - 30 hectares of land. </w:t>
      </w:r>
      <w:r w:rsidR="00BF0BDF">
        <w:rPr>
          <w:lang w:val="en-US"/>
        </w:rPr>
        <w:t xml:space="preserve"> </w:t>
      </w:r>
      <w:r w:rsidR="00C418A6" w:rsidRPr="00C418A6">
        <w:rPr>
          <w:lang w:val="en-US"/>
        </w:rPr>
        <w:t>In addition to their land size, quinoa farmers can also be classified by the type of quinoa they produce as either organic farmers or conventional quinoa farmers (non-organic</w:t>
      </w:r>
      <w:r w:rsidR="00C418A6">
        <w:rPr>
          <w:lang w:val="en-US"/>
        </w:rPr>
        <w:t>).</w:t>
      </w:r>
    </w:p>
    <w:p w:rsidR="006F2141" w:rsidRPr="0058108F" w:rsidRDefault="004D64C1" w:rsidP="00E06E16">
      <w:pPr>
        <w:ind w:firstLine="720"/>
        <w:jc w:val="both"/>
        <w:rPr>
          <w:lang w:val="en-US"/>
        </w:rPr>
      </w:pPr>
      <w:r w:rsidRPr="0058108F">
        <w:rPr>
          <w:lang w:val="en-US"/>
        </w:rPr>
        <w:t xml:space="preserve">While small size land owners </w:t>
      </w:r>
      <w:r w:rsidR="00A7697C" w:rsidRPr="0058108F">
        <w:rPr>
          <w:lang w:val="en-US"/>
        </w:rPr>
        <w:t xml:space="preserve">mostly </w:t>
      </w:r>
      <w:r w:rsidRPr="0058108F">
        <w:rPr>
          <w:lang w:val="en-US"/>
        </w:rPr>
        <w:t xml:space="preserve">produce quinoa for self-consumption, medium and large size land owners </w:t>
      </w:r>
      <w:r w:rsidR="00A7697C" w:rsidRPr="0058108F">
        <w:rPr>
          <w:lang w:val="en-US"/>
        </w:rPr>
        <w:t xml:space="preserve">also </w:t>
      </w:r>
      <w:r w:rsidRPr="0058108F">
        <w:rPr>
          <w:lang w:val="en-US"/>
        </w:rPr>
        <w:t xml:space="preserve">produce it </w:t>
      </w:r>
      <w:r w:rsidR="00A7697C" w:rsidRPr="0058108F">
        <w:rPr>
          <w:lang w:val="en-US"/>
        </w:rPr>
        <w:t xml:space="preserve">for </w:t>
      </w:r>
      <w:r w:rsidR="003B2847" w:rsidRPr="0058108F">
        <w:rPr>
          <w:lang w:val="en-US"/>
        </w:rPr>
        <w:t>commercialization purposes</w:t>
      </w:r>
      <w:r w:rsidRPr="0058108F">
        <w:rPr>
          <w:lang w:val="en-US"/>
        </w:rPr>
        <w:t xml:space="preserve">. </w:t>
      </w:r>
      <w:r w:rsidR="0058108F" w:rsidRPr="0058108F">
        <w:rPr>
          <w:lang w:val="en-US"/>
        </w:rPr>
        <w:t>Currently, q</w:t>
      </w:r>
      <w:r w:rsidR="00616101" w:rsidRPr="0058108F">
        <w:rPr>
          <w:lang w:val="en-US"/>
        </w:rPr>
        <w:t xml:space="preserve">uinoa farmers have three venues where to sell their </w:t>
      </w:r>
      <w:r w:rsidR="004E69B3" w:rsidRPr="0058108F">
        <w:rPr>
          <w:lang w:val="en-US"/>
        </w:rPr>
        <w:t>production: a) the producer o</w:t>
      </w:r>
      <w:r w:rsidR="00616101" w:rsidRPr="0058108F">
        <w:rPr>
          <w:lang w:val="en-US"/>
        </w:rPr>
        <w:t>rganization they belong to, b) private processing firms and c) the “</w:t>
      </w:r>
      <w:proofErr w:type="spellStart"/>
      <w:r w:rsidR="00616101" w:rsidRPr="0058108F">
        <w:rPr>
          <w:lang w:val="en-US"/>
        </w:rPr>
        <w:t>Challapata</w:t>
      </w:r>
      <w:proofErr w:type="spellEnd"/>
      <w:r w:rsidR="00F33B01" w:rsidRPr="0058108F">
        <w:rPr>
          <w:rStyle w:val="FootnoteReference"/>
          <w:lang w:val="en-US"/>
        </w:rPr>
        <w:footnoteReference w:id="8"/>
      </w:r>
      <w:r w:rsidR="00616101" w:rsidRPr="0058108F">
        <w:rPr>
          <w:lang w:val="en-US"/>
        </w:rPr>
        <w:t xml:space="preserve"> Fair” (located in the city of Oruro). </w:t>
      </w:r>
    </w:p>
    <w:p w:rsidR="00C02A63" w:rsidRDefault="006E71B9" w:rsidP="0042466A">
      <w:pPr>
        <w:jc w:val="both"/>
        <w:rPr>
          <w:lang w:val="en-US"/>
        </w:rPr>
      </w:pPr>
      <w:r>
        <w:rPr>
          <w:lang w:val="en-US"/>
        </w:rPr>
        <w:t>Next:</w:t>
      </w:r>
    </w:p>
    <w:p w:rsidR="00C02A63" w:rsidRPr="00C02A63" w:rsidRDefault="00C02A63" w:rsidP="00C02A63">
      <w:pPr>
        <w:jc w:val="both"/>
        <w:rPr>
          <w:b/>
          <w:i/>
          <w:u w:val="single"/>
          <w:lang w:val="en-US"/>
        </w:rPr>
      </w:pPr>
      <w:r w:rsidRPr="00C02A63">
        <w:rPr>
          <w:b/>
          <w:i/>
          <w:u w:val="single"/>
          <w:lang w:val="en-US"/>
        </w:rPr>
        <w:t>Producer Organizations (PO’s)</w:t>
      </w:r>
    </w:p>
    <w:p w:rsidR="00C02A63" w:rsidRPr="00C02A63" w:rsidRDefault="00C02A63" w:rsidP="00536EE8">
      <w:pPr>
        <w:ind w:firstLine="720"/>
        <w:jc w:val="both"/>
        <w:rPr>
          <w:i/>
          <w:lang w:val="en-US"/>
        </w:rPr>
      </w:pPr>
      <w:r w:rsidRPr="00C02A63">
        <w:rPr>
          <w:i/>
          <w:lang w:val="en-US"/>
        </w:rPr>
        <w:t xml:space="preserve">‘Cooperatives and producer organizations have a key role to play in bringing about a future without hunger’ he said (FAO Director-General Jose </w:t>
      </w:r>
      <w:proofErr w:type="spellStart"/>
      <w:r w:rsidRPr="00C02A63">
        <w:rPr>
          <w:i/>
          <w:lang w:val="en-US"/>
        </w:rPr>
        <w:t>Graziano</w:t>
      </w:r>
      <w:proofErr w:type="spellEnd"/>
      <w:r w:rsidRPr="00C02A63">
        <w:rPr>
          <w:i/>
          <w:lang w:val="en-US"/>
        </w:rPr>
        <w:t xml:space="preserve"> da Silva). Standing alone, a smallholder has fewer opportunities. When farmers get together, they have better condition to negotiate of price and better access to assets and services such as information, communication, input and output markets, natural resources, from local to </w:t>
      </w:r>
      <w:r w:rsidRPr="00536EE8">
        <w:rPr>
          <w:i/>
          <w:lang w:val="en-US"/>
        </w:rPr>
        <w:t xml:space="preserve">international levels’ (FAO, 2012). </w:t>
      </w:r>
    </w:p>
    <w:p w:rsidR="00C02A63" w:rsidRPr="00C02A63" w:rsidRDefault="00C02A63" w:rsidP="00E06E16">
      <w:pPr>
        <w:ind w:firstLine="720"/>
        <w:jc w:val="both"/>
        <w:rPr>
          <w:lang w:val="en-US"/>
        </w:rPr>
      </w:pPr>
      <w:r w:rsidRPr="00C02A63">
        <w:rPr>
          <w:lang w:val="en-US"/>
        </w:rPr>
        <w:t>Producer organizations in developing countries such as Bolivia are very important for the lives of the farmers since these are supposed to fulfill an economic and social function (of interest representation). The economic function deals with the: collecting, processing, marketing of agricultural products, implementation of quality assurance programs and training</w:t>
      </w:r>
      <w:r w:rsidR="00F556D4">
        <w:rPr>
          <w:lang w:val="en-US"/>
        </w:rPr>
        <w:t xml:space="preserve">. Training consists of </w:t>
      </w:r>
      <w:r w:rsidRPr="00C02A63">
        <w:rPr>
          <w:lang w:val="en-US"/>
        </w:rPr>
        <w:t xml:space="preserve">how to </w:t>
      </w:r>
      <w:r w:rsidRPr="00C02A63">
        <w:rPr>
          <w:lang w:val="en-US"/>
        </w:rPr>
        <w:lastRenderedPageBreak/>
        <w:t xml:space="preserve">improve farm gate prices (by reducing logistic inefficiencies), reduce transaction costs and strengthen their bargaining </w:t>
      </w:r>
      <w:r w:rsidRPr="00536EE8">
        <w:rPr>
          <w:lang w:val="en-US"/>
        </w:rPr>
        <w:t>power (Ton</w:t>
      </w:r>
      <w:r w:rsidR="006C0FC9" w:rsidRPr="00536EE8">
        <w:rPr>
          <w:lang w:val="en-US"/>
        </w:rPr>
        <w:t xml:space="preserve"> </w:t>
      </w:r>
      <w:r w:rsidR="00536EE8" w:rsidRPr="00536EE8">
        <w:rPr>
          <w:lang w:val="en-US"/>
        </w:rPr>
        <w:t xml:space="preserve">and </w:t>
      </w:r>
      <w:proofErr w:type="spellStart"/>
      <w:r w:rsidR="00536EE8" w:rsidRPr="00536EE8">
        <w:rPr>
          <w:lang w:val="en-US"/>
        </w:rPr>
        <w:t>Birbuet</w:t>
      </w:r>
      <w:proofErr w:type="spellEnd"/>
      <w:r w:rsidR="00536EE8" w:rsidRPr="00536EE8">
        <w:rPr>
          <w:lang w:val="en-US"/>
        </w:rPr>
        <w:t xml:space="preserve">, </w:t>
      </w:r>
      <w:r w:rsidRPr="00536EE8">
        <w:rPr>
          <w:lang w:val="en-US"/>
        </w:rPr>
        <w:t xml:space="preserve"> 2006). </w:t>
      </w:r>
    </w:p>
    <w:p w:rsidR="00C02A63" w:rsidRPr="00C02A63" w:rsidRDefault="00C02A63" w:rsidP="00E06E16">
      <w:pPr>
        <w:ind w:firstLine="720"/>
        <w:jc w:val="both"/>
        <w:rPr>
          <w:lang w:val="en-US"/>
        </w:rPr>
      </w:pPr>
      <w:r w:rsidRPr="00C02A63">
        <w:rPr>
          <w:lang w:val="en-US"/>
        </w:rPr>
        <w:t xml:space="preserve">The producer organizations of the Quinoa Value Chain in Bolivia </w:t>
      </w:r>
      <w:r w:rsidR="001268E7">
        <w:rPr>
          <w:lang w:val="en-US"/>
        </w:rPr>
        <w:t>emerg</w:t>
      </w:r>
      <w:r w:rsidRPr="00C02A63">
        <w:rPr>
          <w:lang w:val="en-US"/>
        </w:rPr>
        <w:t xml:space="preserve">ed during the 70’s and 80’s along with the support of Belgium NGO’s with the objective of improving the living conditions of the quinoa farmers through the acquisition of better prices and the incorporation of value added by the producer organizations along the different levels of the quinoa chain. </w:t>
      </w:r>
    </w:p>
    <w:p w:rsidR="00C02A63" w:rsidRPr="00C02A63" w:rsidRDefault="00C02A63" w:rsidP="00E06E16">
      <w:pPr>
        <w:ind w:firstLine="720"/>
        <w:jc w:val="both"/>
        <w:rPr>
          <w:lang w:val="en-US"/>
        </w:rPr>
      </w:pPr>
      <w:r w:rsidRPr="00C02A63">
        <w:rPr>
          <w:lang w:val="en-US"/>
        </w:rPr>
        <w:t>There are two main umbrella producer organizations: ANAPQUI and CECAOT</w:t>
      </w:r>
      <w:r w:rsidRPr="00C02A63">
        <w:rPr>
          <w:vertAlign w:val="superscript"/>
          <w:lang w:val="en-US"/>
        </w:rPr>
        <w:footnoteReference w:id="9"/>
      </w:r>
      <w:r w:rsidRPr="00C02A63">
        <w:rPr>
          <w:lang w:val="en-US"/>
        </w:rPr>
        <w:t xml:space="preserve">. These two were established in 1983 and 1974 respectively and represent a total of 3,000 households. Geographically speaking, ANAPQUI covers the cities of Oruro and La Paz grouping a total of 9 regional producer organizations along the regions of the </w:t>
      </w:r>
      <w:proofErr w:type="spellStart"/>
      <w:r w:rsidRPr="00C02A63">
        <w:rPr>
          <w:lang w:val="en-US"/>
        </w:rPr>
        <w:t>Uyuni</w:t>
      </w:r>
      <w:proofErr w:type="spellEnd"/>
      <w:r w:rsidRPr="00C02A63">
        <w:rPr>
          <w:lang w:val="en-US"/>
        </w:rPr>
        <w:t xml:space="preserve"> Salt Dessert. On the other hand, CECAOT</w:t>
      </w:r>
      <w:r w:rsidRPr="00C02A63">
        <w:rPr>
          <w:vertAlign w:val="superscript"/>
          <w:lang w:val="en-US"/>
        </w:rPr>
        <w:footnoteReference w:id="10"/>
      </w:r>
      <w:r w:rsidRPr="00C02A63">
        <w:rPr>
          <w:lang w:val="en-US"/>
        </w:rPr>
        <w:t xml:space="preserve"> is concentrated in the city of Potosi and brings together a total of 13 local co-ops in the North </w:t>
      </w:r>
      <w:proofErr w:type="spellStart"/>
      <w:r w:rsidRPr="00C02A63">
        <w:rPr>
          <w:lang w:val="en-US"/>
        </w:rPr>
        <w:t>Lipez</w:t>
      </w:r>
      <w:proofErr w:type="spellEnd"/>
      <w:r w:rsidRPr="00C02A63">
        <w:rPr>
          <w:lang w:val="en-US"/>
        </w:rPr>
        <w:t xml:space="preserve"> province.  </w:t>
      </w:r>
    </w:p>
    <w:p w:rsidR="00C02A63" w:rsidRPr="00C02A63" w:rsidRDefault="00C02A63" w:rsidP="00E06E16">
      <w:pPr>
        <w:ind w:firstLine="720"/>
        <w:jc w:val="both"/>
        <w:rPr>
          <w:lang w:val="en-US"/>
        </w:rPr>
      </w:pPr>
      <w:r w:rsidRPr="00C02A63">
        <w:rPr>
          <w:lang w:val="en-US"/>
        </w:rPr>
        <w:t xml:space="preserve">The president of CECAOT describes his organization as follows: </w:t>
      </w:r>
    </w:p>
    <w:p w:rsidR="00C02A63" w:rsidRPr="00C02A63" w:rsidRDefault="00C02A63" w:rsidP="00E06E16">
      <w:pPr>
        <w:ind w:firstLine="720"/>
        <w:jc w:val="both"/>
        <w:rPr>
          <w:i/>
          <w:lang w:val="en-US"/>
        </w:rPr>
      </w:pPr>
      <w:r w:rsidRPr="00C02A63">
        <w:rPr>
          <w:i/>
          <w:lang w:val="en-US"/>
        </w:rPr>
        <w:t>‘My name is Javier Lopez, I am the president of the CECAOT. We are located in the North-</w:t>
      </w:r>
      <w:proofErr w:type="spellStart"/>
      <w:r w:rsidRPr="00C02A63">
        <w:rPr>
          <w:i/>
          <w:lang w:val="en-US"/>
        </w:rPr>
        <w:t>Lipez</w:t>
      </w:r>
      <w:proofErr w:type="spellEnd"/>
      <w:r w:rsidRPr="00C02A63">
        <w:rPr>
          <w:i/>
          <w:lang w:val="en-US"/>
        </w:rPr>
        <w:t xml:space="preserve"> Province of the city of Potosi. We are organic producers certified by the certification office and organized as a cooperative. There are 13 cooperatives associated in 13 communities. We have around 300 members approximately. We are in charge of producing quinoa as well as commercializing it. Our main activity though is the processing and commercialization. Our processing plant is here (</w:t>
      </w:r>
      <w:proofErr w:type="spellStart"/>
      <w:r w:rsidRPr="00C02A63">
        <w:rPr>
          <w:i/>
          <w:lang w:val="en-US"/>
        </w:rPr>
        <w:t>Uyuni</w:t>
      </w:r>
      <w:proofErr w:type="spellEnd"/>
      <w:r w:rsidRPr="00C02A63">
        <w:rPr>
          <w:i/>
          <w:lang w:val="en-US"/>
        </w:rPr>
        <w:t xml:space="preserve">) because in our community there wasn’t electricity in the past. Which is why around 7 to 8 years ago, we installed this processing plant. It is true that in the last few years, the business of quinoa has increased as well as the production and the price of quinoa. This last two years we’ve had good climate for the quinoa. We’ve had lots of rain. We have lots of production. We have around 16000 certified quintals which should allow us to export for around a year’. </w:t>
      </w:r>
    </w:p>
    <w:p w:rsidR="00C02A63" w:rsidRPr="00C02A63" w:rsidRDefault="00C02A63" w:rsidP="00C02A63">
      <w:pPr>
        <w:pStyle w:val="NoSpacing"/>
        <w:jc w:val="right"/>
      </w:pPr>
      <w:r w:rsidRPr="00C02A63">
        <w:rPr>
          <w:lang w:val="en-US"/>
        </w:rPr>
        <w:tab/>
      </w:r>
      <w:r w:rsidRPr="00C02A63">
        <w:rPr>
          <w:lang w:val="en-US"/>
        </w:rPr>
        <w:tab/>
      </w:r>
      <w:r w:rsidRPr="00C02A63">
        <w:rPr>
          <w:lang w:val="en-US"/>
        </w:rPr>
        <w:tab/>
      </w:r>
      <w:r w:rsidRPr="00C02A63">
        <w:rPr>
          <w:lang w:val="en-US"/>
        </w:rPr>
        <w:tab/>
      </w:r>
      <w:r w:rsidRPr="00C02A63">
        <w:rPr>
          <w:lang w:val="en-US"/>
        </w:rPr>
        <w:tab/>
      </w:r>
      <w:r w:rsidRPr="00C02A63">
        <w:rPr>
          <w:lang w:val="en-US"/>
        </w:rPr>
        <w:tab/>
      </w:r>
      <w:r w:rsidRPr="00C02A63">
        <w:rPr>
          <w:lang w:val="en-US"/>
        </w:rPr>
        <w:tab/>
      </w:r>
      <w:r w:rsidRPr="00C02A63">
        <w:rPr>
          <w:lang w:val="en-US"/>
        </w:rPr>
        <w:tab/>
      </w:r>
      <w:r w:rsidRPr="00C02A63">
        <w:rPr>
          <w:lang w:val="en-US"/>
        </w:rPr>
        <w:tab/>
      </w:r>
      <w:r>
        <w:rPr>
          <w:lang w:val="en-US"/>
        </w:rPr>
        <w:tab/>
      </w:r>
      <w:r w:rsidRPr="00C02A63">
        <w:t xml:space="preserve">Javier </w:t>
      </w:r>
      <w:proofErr w:type="spellStart"/>
      <w:r w:rsidRPr="00C02A63">
        <w:t>Lopez</w:t>
      </w:r>
      <w:proofErr w:type="spellEnd"/>
      <w:r w:rsidRPr="00C02A63">
        <w:t xml:space="preserve"> Delgado</w:t>
      </w:r>
    </w:p>
    <w:p w:rsidR="00C02A63" w:rsidRPr="00536EE8" w:rsidRDefault="00C02A63" w:rsidP="00C02A63">
      <w:pPr>
        <w:pStyle w:val="NoSpacing"/>
        <w:jc w:val="right"/>
      </w:pPr>
      <w:proofErr w:type="spellStart"/>
      <w:r w:rsidRPr="00C02A63">
        <w:t>President</w:t>
      </w:r>
      <w:proofErr w:type="spellEnd"/>
      <w:r w:rsidRPr="00C02A63">
        <w:t xml:space="preserve"> of CECAOT </w:t>
      </w:r>
      <w:r w:rsidRPr="00536EE8">
        <w:t xml:space="preserve">– Central de Cooperativas Agropecuarias </w:t>
      </w:r>
      <w:r w:rsidR="00DE5258" w:rsidRPr="00536EE8">
        <w:t xml:space="preserve">“Operación </w:t>
      </w:r>
      <w:r w:rsidRPr="00536EE8">
        <w:t>Tierra</w:t>
      </w:r>
      <w:r w:rsidR="00DE5258" w:rsidRPr="00536EE8">
        <w:t>”</w:t>
      </w:r>
      <w:r w:rsidR="00A601CA" w:rsidRPr="00536EE8">
        <w:t xml:space="preserve"> LTDA.</w:t>
      </w:r>
      <w:r w:rsidRPr="00536EE8">
        <w:t xml:space="preserve"> </w:t>
      </w:r>
    </w:p>
    <w:p w:rsidR="00C02A63" w:rsidRDefault="00C02A63" w:rsidP="00C02A63">
      <w:pPr>
        <w:pStyle w:val="NoSpacing"/>
        <w:jc w:val="right"/>
        <w:rPr>
          <w:lang w:val="en-US"/>
        </w:rPr>
      </w:pPr>
      <w:r w:rsidRPr="00C02A63">
        <w:tab/>
        <w:t xml:space="preserve"> </w:t>
      </w:r>
      <w:r>
        <w:tab/>
      </w:r>
      <w:r>
        <w:tab/>
      </w:r>
      <w:r>
        <w:tab/>
      </w:r>
      <w:r>
        <w:tab/>
      </w:r>
      <w:r w:rsidRPr="00C02A63">
        <w:rPr>
          <w:lang w:val="en-US"/>
        </w:rPr>
        <w:t xml:space="preserve">Interviewed at </w:t>
      </w:r>
      <w:r>
        <w:rPr>
          <w:lang w:val="en-US"/>
        </w:rPr>
        <w:t>CECAOT’s H</w:t>
      </w:r>
      <w:r w:rsidRPr="00C02A63">
        <w:rPr>
          <w:lang w:val="en-US"/>
        </w:rPr>
        <w:t xml:space="preserve">eadquarters in </w:t>
      </w:r>
      <w:proofErr w:type="spellStart"/>
      <w:r w:rsidRPr="00C02A63">
        <w:rPr>
          <w:lang w:val="en-US"/>
        </w:rPr>
        <w:t>Uyuni</w:t>
      </w:r>
      <w:proofErr w:type="spellEnd"/>
      <w:r w:rsidRPr="00C02A63">
        <w:rPr>
          <w:lang w:val="en-US"/>
        </w:rPr>
        <w:t>, Potosi</w:t>
      </w:r>
      <w:r>
        <w:rPr>
          <w:lang w:val="en-US"/>
        </w:rPr>
        <w:t xml:space="preserve">- Bolivia </w:t>
      </w:r>
    </w:p>
    <w:p w:rsidR="00C02A63" w:rsidRPr="00C02A63" w:rsidRDefault="00C02A63" w:rsidP="00C02A63">
      <w:pPr>
        <w:pStyle w:val="NoSpacing"/>
        <w:jc w:val="right"/>
        <w:rPr>
          <w:lang w:val="en-US"/>
        </w:rPr>
      </w:pPr>
      <w:r>
        <w:rPr>
          <w:lang w:val="en-US"/>
        </w:rPr>
        <w:t>August 17, 2012</w:t>
      </w:r>
    </w:p>
    <w:p w:rsidR="00C02A63" w:rsidRPr="00C02A63" w:rsidRDefault="00C02A63" w:rsidP="00C02A63">
      <w:pPr>
        <w:jc w:val="both"/>
        <w:rPr>
          <w:lang w:val="en-US"/>
        </w:rPr>
      </w:pPr>
    </w:p>
    <w:p w:rsidR="00C02A63" w:rsidRPr="006E71B9" w:rsidRDefault="006E71B9" w:rsidP="00C02A63">
      <w:pPr>
        <w:jc w:val="both"/>
        <w:rPr>
          <w:lang w:val="en-US"/>
        </w:rPr>
      </w:pPr>
      <w:r w:rsidRPr="006E71B9">
        <w:rPr>
          <w:lang w:val="en-US"/>
        </w:rPr>
        <w:t>Next:</w:t>
      </w:r>
    </w:p>
    <w:p w:rsidR="00E05108" w:rsidRPr="00E05108" w:rsidRDefault="00E05108" w:rsidP="00E05108">
      <w:pPr>
        <w:jc w:val="both"/>
        <w:rPr>
          <w:b/>
          <w:i/>
          <w:u w:val="single"/>
          <w:lang w:val="en-US"/>
        </w:rPr>
      </w:pPr>
      <w:r w:rsidRPr="00E05108">
        <w:rPr>
          <w:b/>
          <w:i/>
          <w:u w:val="single"/>
          <w:lang w:val="en-US"/>
        </w:rPr>
        <w:t xml:space="preserve">Private Firms (processing firms, exporters and importers) </w:t>
      </w:r>
    </w:p>
    <w:p w:rsidR="00E05108" w:rsidRPr="00E05108" w:rsidRDefault="00E05108" w:rsidP="00E05108">
      <w:pPr>
        <w:jc w:val="both"/>
        <w:rPr>
          <w:lang w:val="en-US"/>
        </w:rPr>
      </w:pPr>
      <w:r w:rsidRPr="00E05108">
        <w:rPr>
          <w:lang w:val="en-US"/>
        </w:rPr>
        <w:t>According to the Bolivian Chamber of Royal Quinoa and Organic Product Exporters (CABOLQUI</w:t>
      </w:r>
      <w:r w:rsidRPr="00E05108">
        <w:rPr>
          <w:vertAlign w:val="superscript"/>
          <w:lang w:val="en-US"/>
        </w:rPr>
        <w:footnoteReference w:id="11"/>
      </w:r>
      <w:r w:rsidRPr="00E05108">
        <w:rPr>
          <w:lang w:val="en-US"/>
        </w:rPr>
        <w:t xml:space="preserve">) there are ten private companies in Bolivia involved in the market for quinoa exports. As mentioned earlier, most of these companies entered the market late in the 1990’s. For example: </w:t>
      </w:r>
    </w:p>
    <w:p w:rsidR="00E05108" w:rsidRPr="00E05108" w:rsidRDefault="00E05108" w:rsidP="00E05108">
      <w:pPr>
        <w:numPr>
          <w:ilvl w:val="0"/>
          <w:numId w:val="4"/>
        </w:numPr>
        <w:jc w:val="both"/>
        <w:rPr>
          <w:lang w:val="en-US"/>
        </w:rPr>
      </w:pPr>
      <w:r w:rsidRPr="00E05108">
        <w:rPr>
          <w:lang w:val="en-US"/>
        </w:rPr>
        <w:lastRenderedPageBreak/>
        <w:t>‘</w:t>
      </w:r>
      <w:proofErr w:type="spellStart"/>
      <w:r w:rsidRPr="00E05108">
        <w:rPr>
          <w:lang w:val="en-US"/>
        </w:rPr>
        <w:t>Jatary</w:t>
      </w:r>
      <w:proofErr w:type="spellEnd"/>
      <w:r w:rsidRPr="00E05108">
        <w:rPr>
          <w:i/>
          <w:lang w:val="en-US"/>
        </w:rPr>
        <w:t>’</w:t>
      </w:r>
      <w:r w:rsidRPr="00E05108">
        <w:rPr>
          <w:lang w:val="en-US"/>
        </w:rPr>
        <w:t xml:space="preserve">, starts exporting organic quinoa since 1996. </w:t>
      </w:r>
    </w:p>
    <w:p w:rsidR="00E05108" w:rsidRPr="00E05108" w:rsidRDefault="00E05108" w:rsidP="00E05108">
      <w:pPr>
        <w:numPr>
          <w:ilvl w:val="0"/>
          <w:numId w:val="4"/>
        </w:numPr>
        <w:jc w:val="both"/>
        <w:rPr>
          <w:lang w:val="en-US"/>
        </w:rPr>
      </w:pPr>
      <w:r w:rsidRPr="00E05108">
        <w:rPr>
          <w:lang w:val="en-US"/>
        </w:rPr>
        <w:t>‘</w:t>
      </w:r>
      <w:proofErr w:type="spellStart"/>
      <w:r w:rsidRPr="00E05108">
        <w:rPr>
          <w:lang w:val="en-US"/>
        </w:rPr>
        <w:t>Coronilla</w:t>
      </w:r>
      <w:proofErr w:type="spellEnd"/>
      <w:r w:rsidRPr="00E05108">
        <w:rPr>
          <w:lang w:val="en-US"/>
        </w:rPr>
        <w:t xml:space="preserve"> S.A’</w:t>
      </w:r>
      <w:r w:rsidRPr="00E05108">
        <w:rPr>
          <w:i/>
          <w:lang w:val="en-US"/>
        </w:rPr>
        <w:t>.,</w:t>
      </w:r>
      <w:r w:rsidRPr="00E05108">
        <w:rPr>
          <w:lang w:val="en-US"/>
        </w:rPr>
        <w:t xml:space="preserve"> starts exporting organic quinoa since 1997. </w:t>
      </w:r>
    </w:p>
    <w:p w:rsidR="00E05108" w:rsidRPr="00E05108" w:rsidRDefault="00E05108" w:rsidP="00E05108">
      <w:pPr>
        <w:numPr>
          <w:ilvl w:val="0"/>
          <w:numId w:val="4"/>
        </w:numPr>
        <w:jc w:val="both"/>
        <w:rPr>
          <w:lang w:val="en-US"/>
        </w:rPr>
      </w:pPr>
      <w:r w:rsidRPr="00E05108">
        <w:rPr>
          <w:lang w:val="en-US"/>
        </w:rPr>
        <w:t xml:space="preserve">‘Quinoa BOL S.R.L’., exports organic quinoa since 1998. </w:t>
      </w:r>
    </w:p>
    <w:p w:rsidR="00E05108" w:rsidRPr="00E05108" w:rsidRDefault="00E05108" w:rsidP="00E05108">
      <w:pPr>
        <w:numPr>
          <w:ilvl w:val="0"/>
          <w:numId w:val="4"/>
        </w:numPr>
        <w:jc w:val="both"/>
        <w:rPr>
          <w:lang w:val="en-US"/>
        </w:rPr>
      </w:pPr>
      <w:r w:rsidRPr="00E05108">
        <w:rPr>
          <w:lang w:val="en-US"/>
        </w:rPr>
        <w:t>‘Andean Valley’, exports organic quinoa since 1999.</w:t>
      </w:r>
    </w:p>
    <w:p w:rsidR="00E05108" w:rsidRPr="00E05108" w:rsidRDefault="00E05108" w:rsidP="00E05108">
      <w:pPr>
        <w:numPr>
          <w:ilvl w:val="0"/>
          <w:numId w:val="4"/>
        </w:numPr>
        <w:jc w:val="both"/>
        <w:rPr>
          <w:lang w:val="en-US"/>
        </w:rPr>
      </w:pPr>
      <w:r w:rsidRPr="00E05108">
        <w:rPr>
          <w:lang w:val="en-US"/>
        </w:rPr>
        <w:t>‘</w:t>
      </w:r>
      <w:proofErr w:type="spellStart"/>
      <w:r w:rsidRPr="00E05108">
        <w:rPr>
          <w:lang w:val="en-US"/>
        </w:rPr>
        <w:t>Irupana</w:t>
      </w:r>
      <w:proofErr w:type="spellEnd"/>
      <w:r w:rsidRPr="00E05108">
        <w:rPr>
          <w:lang w:val="en-US"/>
        </w:rPr>
        <w:t xml:space="preserve"> S.A’., since 2003. </w:t>
      </w:r>
    </w:p>
    <w:p w:rsidR="00E05108" w:rsidRPr="00E05108" w:rsidRDefault="00E05108" w:rsidP="00E05108">
      <w:pPr>
        <w:numPr>
          <w:ilvl w:val="0"/>
          <w:numId w:val="4"/>
        </w:numPr>
        <w:jc w:val="both"/>
        <w:rPr>
          <w:lang w:val="en-US"/>
        </w:rPr>
      </w:pPr>
      <w:r w:rsidRPr="00E05108">
        <w:rPr>
          <w:lang w:val="en-US"/>
        </w:rPr>
        <w:t xml:space="preserve">‘Quinoa Foods Company S.R.L’, since 2002.  </w:t>
      </w:r>
    </w:p>
    <w:p w:rsidR="00E05108" w:rsidRPr="00E05108" w:rsidRDefault="00E05108" w:rsidP="00E06E16">
      <w:pPr>
        <w:ind w:firstLine="360"/>
        <w:jc w:val="both"/>
        <w:rPr>
          <w:lang w:val="en-US"/>
        </w:rPr>
      </w:pPr>
      <w:r w:rsidRPr="00E05108">
        <w:rPr>
          <w:lang w:val="en-US"/>
        </w:rPr>
        <w:t>Some of these firms like the ‘</w:t>
      </w:r>
      <w:proofErr w:type="spellStart"/>
      <w:r w:rsidRPr="00E05108">
        <w:rPr>
          <w:lang w:val="en-US"/>
        </w:rPr>
        <w:t>Coronilla</w:t>
      </w:r>
      <w:proofErr w:type="spellEnd"/>
      <w:r w:rsidRPr="00E05108">
        <w:rPr>
          <w:lang w:val="en-US"/>
        </w:rPr>
        <w:t xml:space="preserve"> S.A.’ and ‘Quinoa BOL S.R.L’ have some other smaller subsidiary firms such as ‘Real </w:t>
      </w:r>
      <w:proofErr w:type="spellStart"/>
      <w:r w:rsidRPr="00E05108">
        <w:rPr>
          <w:lang w:val="en-US"/>
        </w:rPr>
        <w:t>Andina</w:t>
      </w:r>
      <w:proofErr w:type="spellEnd"/>
      <w:r w:rsidR="000C10E8">
        <w:rPr>
          <w:rStyle w:val="FootnoteReference"/>
          <w:lang w:val="en-US"/>
        </w:rPr>
        <w:footnoteReference w:id="12"/>
      </w:r>
      <w:r w:rsidRPr="00E05108">
        <w:rPr>
          <w:lang w:val="en-US"/>
        </w:rPr>
        <w:t xml:space="preserve">’ (created in 2004) that are geographically based in the quinoa producing communities and take care of some of the more basic upgrading functions.  Upgrading in the quinoa value chain starts with the basic removal of the </w:t>
      </w:r>
      <w:proofErr w:type="spellStart"/>
      <w:r w:rsidRPr="00E05108">
        <w:rPr>
          <w:lang w:val="en-US"/>
        </w:rPr>
        <w:t>saponin</w:t>
      </w:r>
      <w:proofErr w:type="spellEnd"/>
      <w:r w:rsidRPr="00E05108">
        <w:rPr>
          <w:vertAlign w:val="superscript"/>
          <w:lang w:val="en-US"/>
        </w:rPr>
        <w:footnoteReference w:id="13"/>
      </w:r>
      <w:r w:rsidRPr="00E05108">
        <w:rPr>
          <w:lang w:val="en-US"/>
        </w:rPr>
        <w:t xml:space="preserve"> and cleaning of the grain to allow its basic consumption; followed by its packaging, next its transformation into flour, flakes and insufflated quinoa (also called </w:t>
      </w:r>
      <w:proofErr w:type="spellStart"/>
      <w:r w:rsidRPr="00E05108">
        <w:rPr>
          <w:lang w:val="en-US"/>
        </w:rPr>
        <w:t>popocorn</w:t>
      </w:r>
      <w:proofErr w:type="spellEnd"/>
      <w:r w:rsidRPr="00E05108">
        <w:rPr>
          <w:lang w:val="en-US"/>
        </w:rPr>
        <w:t xml:space="preserve">) which will later allow the production of even higher processed and unit cost products such as breakfast cereals, energy bars, pastas, muesli, sweets, </w:t>
      </w:r>
      <w:r w:rsidRPr="00536EE8">
        <w:rPr>
          <w:lang w:val="en-US"/>
        </w:rPr>
        <w:t>etc. (</w:t>
      </w:r>
      <w:proofErr w:type="spellStart"/>
      <w:r w:rsidRPr="00536EE8">
        <w:rPr>
          <w:lang w:val="en-US"/>
        </w:rPr>
        <w:t>Gandarillas</w:t>
      </w:r>
      <w:proofErr w:type="spellEnd"/>
      <w:r w:rsidRPr="00536EE8">
        <w:rPr>
          <w:lang w:val="en-US"/>
        </w:rPr>
        <w:t xml:space="preserve">, 2011).  </w:t>
      </w:r>
    </w:p>
    <w:p w:rsidR="00E05108" w:rsidRPr="00E05108" w:rsidRDefault="00E05108" w:rsidP="00E06E16">
      <w:pPr>
        <w:ind w:firstLine="360"/>
        <w:jc w:val="both"/>
        <w:rPr>
          <w:lang w:val="en-US"/>
        </w:rPr>
      </w:pPr>
      <w:r w:rsidRPr="00E05108">
        <w:rPr>
          <w:lang w:val="en-US"/>
        </w:rPr>
        <w:t xml:space="preserve">Private firms will usually have specific quinoa producing communities they work with to secure their quinoa supply under “contract” models, which will be explained in greater detail in the following </w:t>
      </w:r>
      <w:r w:rsidR="00D864C8">
        <w:rPr>
          <w:lang w:val="en-US"/>
        </w:rPr>
        <w:t>chapter</w:t>
      </w:r>
      <w:r w:rsidRPr="00E05108">
        <w:rPr>
          <w:lang w:val="en-US"/>
        </w:rPr>
        <w:t>s. Nevertheless, if their “strategic partners” as the private firms refer to the farmers, fail to provide them with the amount of quinoa they need then they will also buy the quinoa from other farmers who come to offer their production</w:t>
      </w:r>
      <w:r w:rsidRPr="00E05108">
        <w:rPr>
          <w:vertAlign w:val="superscript"/>
          <w:lang w:val="en-US"/>
        </w:rPr>
        <w:footnoteReference w:id="14"/>
      </w:r>
      <w:r w:rsidRPr="00E05108">
        <w:rPr>
          <w:lang w:val="en-US"/>
        </w:rPr>
        <w:t xml:space="preserve"> to their locations.  </w:t>
      </w:r>
    </w:p>
    <w:p w:rsidR="00E05108" w:rsidRPr="006F01C4" w:rsidRDefault="00E05108" w:rsidP="00E06E16">
      <w:pPr>
        <w:ind w:firstLine="360"/>
        <w:jc w:val="both"/>
        <w:rPr>
          <w:lang w:val="en-US"/>
        </w:rPr>
      </w:pPr>
      <w:r w:rsidRPr="00E05108">
        <w:rPr>
          <w:lang w:val="en-US"/>
        </w:rPr>
        <w:t>Furthermore, some of these firms like ‘</w:t>
      </w:r>
      <w:proofErr w:type="spellStart"/>
      <w:r w:rsidRPr="00E05108">
        <w:rPr>
          <w:lang w:val="en-US"/>
        </w:rPr>
        <w:t>Jatary</w:t>
      </w:r>
      <w:proofErr w:type="spellEnd"/>
      <w:r w:rsidRPr="00E05108">
        <w:rPr>
          <w:lang w:val="en-US"/>
        </w:rPr>
        <w:t xml:space="preserve">’ and ‘Quinoa </w:t>
      </w:r>
      <w:proofErr w:type="spellStart"/>
      <w:r w:rsidRPr="00E05108">
        <w:rPr>
          <w:lang w:val="en-US"/>
        </w:rPr>
        <w:t>Bol</w:t>
      </w:r>
      <w:proofErr w:type="spellEnd"/>
      <w:r w:rsidRPr="00E05108">
        <w:rPr>
          <w:lang w:val="en-US"/>
        </w:rPr>
        <w:t xml:space="preserve"> </w:t>
      </w:r>
      <w:proofErr w:type="spellStart"/>
      <w:r w:rsidRPr="00E05108">
        <w:rPr>
          <w:lang w:val="en-US"/>
        </w:rPr>
        <w:t>S.R.l</w:t>
      </w:r>
      <w:proofErr w:type="spellEnd"/>
      <w:r w:rsidRPr="00E05108">
        <w:rPr>
          <w:lang w:val="en-US"/>
        </w:rPr>
        <w:t xml:space="preserve">.’ are vertically integrated with some other larger international companies, </w:t>
      </w:r>
      <w:r w:rsidR="00D864C8">
        <w:rPr>
          <w:lang w:val="en-US"/>
        </w:rPr>
        <w:t xml:space="preserve">such as </w:t>
      </w:r>
      <w:r w:rsidRPr="00E05108">
        <w:rPr>
          <w:lang w:val="en-US"/>
        </w:rPr>
        <w:t>the French EURONAT and MARKAL</w:t>
      </w:r>
      <w:r w:rsidR="006F01C4">
        <w:rPr>
          <w:rStyle w:val="FootnoteReference"/>
          <w:lang w:val="en-US"/>
        </w:rPr>
        <w:footnoteReference w:id="15"/>
      </w:r>
      <w:r w:rsidRPr="00E05108">
        <w:rPr>
          <w:lang w:val="en-US"/>
        </w:rPr>
        <w:t>; which actually created the local processing firms (‘</w:t>
      </w:r>
      <w:proofErr w:type="spellStart"/>
      <w:r w:rsidRPr="00E05108">
        <w:rPr>
          <w:lang w:val="en-US"/>
        </w:rPr>
        <w:t>Jatary</w:t>
      </w:r>
      <w:proofErr w:type="spellEnd"/>
      <w:r w:rsidRPr="00E05108">
        <w:rPr>
          <w:lang w:val="en-US"/>
        </w:rPr>
        <w:t xml:space="preserve">’ and ‘Quinoa </w:t>
      </w:r>
      <w:proofErr w:type="spellStart"/>
      <w:r w:rsidRPr="00E05108">
        <w:rPr>
          <w:lang w:val="en-US"/>
        </w:rPr>
        <w:t>Bol</w:t>
      </w:r>
      <w:proofErr w:type="spellEnd"/>
      <w:r w:rsidRPr="00E05108">
        <w:rPr>
          <w:lang w:val="en-US"/>
        </w:rPr>
        <w:t xml:space="preserve"> S.R.L’) </w:t>
      </w:r>
      <w:r w:rsidRPr="006F01C4">
        <w:rPr>
          <w:lang w:val="en-US"/>
        </w:rPr>
        <w:t xml:space="preserve">alleging unpunctual deliveries and lack of quality from the quinoa coming from the producer organizations. Both EURONAT and MARKAL used to work with ANAPQUI (producer organization) prior to creating their own local processing firms.  </w:t>
      </w:r>
    </w:p>
    <w:p w:rsidR="006E71B9" w:rsidRPr="00D30530" w:rsidRDefault="00D30530" w:rsidP="00E05108">
      <w:pPr>
        <w:jc w:val="both"/>
        <w:rPr>
          <w:lang w:val="en-US"/>
        </w:rPr>
      </w:pPr>
      <w:r>
        <w:rPr>
          <w:lang w:val="en-US"/>
        </w:rPr>
        <w:t>Lastly:</w:t>
      </w:r>
    </w:p>
    <w:p w:rsidR="00C02A63" w:rsidRPr="00E05108" w:rsidRDefault="00E05108" w:rsidP="00E05108">
      <w:pPr>
        <w:jc w:val="both"/>
        <w:rPr>
          <w:b/>
          <w:i/>
          <w:u w:val="single"/>
          <w:lang w:val="en-US"/>
        </w:rPr>
      </w:pPr>
      <w:r w:rsidRPr="00E05108">
        <w:rPr>
          <w:b/>
          <w:i/>
          <w:u w:val="single"/>
          <w:lang w:val="en-US"/>
        </w:rPr>
        <w:t>The “</w:t>
      </w:r>
      <w:proofErr w:type="spellStart"/>
      <w:r w:rsidRPr="00E05108">
        <w:rPr>
          <w:b/>
          <w:i/>
          <w:u w:val="single"/>
          <w:lang w:val="en-US"/>
        </w:rPr>
        <w:t>Challapata</w:t>
      </w:r>
      <w:proofErr w:type="spellEnd"/>
      <w:r w:rsidRPr="00E05108">
        <w:rPr>
          <w:b/>
          <w:i/>
          <w:u w:val="single"/>
          <w:lang w:val="en-US"/>
        </w:rPr>
        <w:t xml:space="preserve"> Fair”</w:t>
      </w:r>
    </w:p>
    <w:p w:rsidR="001A7941" w:rsidRDefault="001A7941" w:rsidP="00B822AF">
      <w:pPr>
        <w:ind w:firstLine="720"/>
        <w:jc w:val="both"/>
        <w:rPr>
          <w:lang w:val="en-US"/>
        </w:rPr>
      </w:pPr>
      <w:r w:rsidRPr="00536EE8">
        <w:rPr>
          <w:lang w:val="en-US"/>
        </w:rPr>
        <w:t xml:space="preserve">Another important </w:t>
      </w:r>
      <w:r>
        <w:rPr>
          <w:lang w:val="en-US"/>
        </w:rPr>
        <w:t>actor/institution of the quinoa market is the “</w:t>
      </w:r>
      <w:proofErr w:type="spellStart"/>
      <w:r>
        <w:rPr>
          <w:lang w:val="en-US"/>
        </w:rPr>
        <w:t>Challapata</w:t>
      </w:r>
      <w:proofErr w:type="spellEnd"/>
      <w:r>
        <w:rPr>
          <w:lang w:val="en-US"/>
        </w:rPr>
        <w:t xml:space="preserve"> Fair” also known as the “Black Market” since </w:t>
      </w:r>
      <w:r w:rsidR="00EB44A8">
        <w:rPr>
          <w:lang w:val="en-US"/>
        </w:rPr>
        <w:t>at</w:t>
      </w:r>
      <w:r>
        <w:rPr>
          <w:lang w:val="en-US"/>
        </w:rPr>
        <w:t xml:space="preserve"> this fair several products are smuggled into the bordering country of Peru</w:t>
      </w:r>
      <w:r w:rsidR="006C727E">
        <w:rPr>
          <w:rStyle w:val="FootnoteReference"/>
          <w:lang w:val="en-US"/>
        </w:rPr>
        <w:footnoteReference w:id="16"/>
      </w:r>
      <w:r>
        <w:rPr>
          <w:lang w:val="en-US"/>
        </w:rPr>
        <w:t xml:space="preserve">, the quinoa being one of those. </w:t>
      </w:r>
    </w:p>
    <w:p w:rsidR="00E05108" w:rsidRPr="00E05108" w:rsidRDefault="001A7941" w:rsidP="00B822AF">
      <w:pPr>
        <w:ind w:firstLine="720"/>
        <w:jc w:val="both"/>
        <w:rPr>
          <w:lang w:val="en-US"/>
        </w:rPr>
      </w:pPr>
      <w:r>
        <w:rPr>
          <w:lang w:val="en-US"/>
        </w:rPr>
        <w:lastRenderedPageBreak/>
        <w:t xml:space="preserve">Most of the quinoa commercialized at this point is conventional (or non-organic). Although farmers have a price incentive (as it will be illustrated further) to produce organic quinoa not all farmers </w:t>
      </w:r>
      <w:r w:rsidR="00EB44A8">
        <w:rPr>
          <w:lang w:val="en-US"/>
        </w:rPr>
        <w:t xml:space="preserve">are able to </w:t>
      </w:r>
      <w:r>
        <w:rPr>
          <w:lang w:val="en-US"/>
        </w:rPr>
        <w:t xml:space="preserve">do </w:t>
      </w:r>
      <w:r w:rsidR="00EB44A8">
        <w:rPr>
          <w:lang w:val="en-US"/>
        </w:rPr>
        <w:t xml:space="preserve">so. </w:t>
      </w:r>
      <w:r w:rsidR="00E05108" w:rsidRPr="00E05108">
        <w:rPr>
          <w:lang w:val="en-US"/>
        </w:rPr>
        <w:t xml:space="preserve">If </w:t>
      </w:r>
      <w:r w:rsidR="00EB44A8">
        <w:rPr>
          <w:lang w:val="en-US"/>
        </w:rPr>
        <w:t xml:space="preserve">that is the case, </w:t>
      </w:r>
      <w:r w:rsidR="00E05108" w:rsidRPr="00E05108">
        <w:rPr>
          <w:lang w:val="en-US"/>
        </w:rPr>
        <w:t>then their main market will be the “</w:t>
      </w:r>
      <w:proofErr w:type="spellStart"/>
      <w:r w:rsidR="00E05108" w:rsidRPr="00E05108">
        <w:rPr>
          <w:lang w:val="en-US"/>
        </w:rPr>
        <w:t>Challapata</w:t>
      </w:r>
      <w:proofErr w:type="spellEnd"/>
      <w:r w:rsidR="00E05108" w:rsidRPr="00E05108">
        <w:rPr>
          <w:lang w:val="en-US"/>
        </w:rPr>
        <w:t xml:space="preserve"> Fair”</w:t>
      </w:r>
      <w:r w:rsidR="00EB44A8">
        <w:rPr>
          <w:lang w:val="en-US"/>
        </w:rPr>
        <w:t>,</w:t>
      </w:r>
      <w:r w:rsidR="00E05108" w:rsidRPr="00E05108">
        <w:rPr>
          <w:lang w:val="en-US"/>
        </w:rPr>
        <w:t xml:space="preserve"> since the quinoa buyers </w:t>
      </w:r>
      <w:r w:rsidR="00E05108" w:rsidRPr="00536EE8">
        <w:rPr>
          <w:lang w:val="en-US"/>
        </w:rPr>
        <w:t xml:space="preserve">here </w:t>
      </w:r>
      <w:r w:rsidR="00A5174E" w:rsidRPr="00536EE8">
        <w:rPr>
          <w:lang w:val="en-US"/>
        </w:rPr>
        <w:t>are not concerned</w:t>
      </w:r>
      <w:r w:rsidR="00E05108" w:rsidRPr="00536EE8">
        <w:rPr>
          <w:lang w:val="en-US"/>
        </w:rPr>
        <w:t xml:space="preserve"> </w:t>
      </w:r>
      <w:r w:rsidR="00536EE8" w:rsidRPr="00536EE8">
        <w:rPr>
          <w:lang w:val="en-US"/>
        </w:rPr>
        <w:t xml:space="preserve">with </w:t>
      </w:r>
      <w:r w:rsidR="00E05108" w:rsidRPr="00536EE8">
        <w:rPr>
          <w:lang w:val="en-US"/>
        </w:rPr>
        <w:t xml:space="preserve">whether </w:t>
      </w:r>
      <w:r w:rsidR="00E05108" w:rsidRPr="00E05108">
        <w:rPr>
          <w:lang w:val="en-US"/>
        </w:rPr>
        <w:t>or not the quinoa is organic.</w:t>
      </w:r>
    </w:p>
    <w:p w:rsidR="00E05108" w:rsidRPr="00E05108" w:rsidRDefault="006C727E" w:rsidP="00E06E16">
      <w:pPr>
        <w:ind w:firstLine="720"/>
        <w:jc w:val="both"/>
        <w:rPr>
          <w:i/>
          <w:lang w:val="en-US"/>
        </w:rPr>
      </w:pPr>
      <w:r w:rsidRPr="00E05108">
        <w:rPr>
          <w:i/>
          <w:lang w:val="en-US"/>
        </w:rPr>
        <w:t xml:space="preserve"> </w:t>
      </w:r>
      <w:r w:rsidR="00E05108" w:rsidRPr="00E05108">
        <w:rPr>
          <w:i/>
          <w:lang w:val="en-US"/>
        </w:rPr>
        <w:t xml:space="preserve">‘Between 35%-40% of the farmers in the area are organic producers. The organic producers are registered and follow an auditing system. There are norms that they have to follow in order to export their production to the US, Japan, etc. Whereas the conventional producers use chemicals and their main market is the market in </w:t>
      </w:r>
      <w:proofErr w:type="spellStart"/>
      <w:r w:rsidR="00E05108" w:rsidRPr="00E05108">
        <w:rPr>
          <w:i/>
          <w:lang w:val="en-US"/>
        </w:rPr>
        <w:t>Challapata</w:t>
      </w:r>
      <w:proofErr w:type="spellEnd"/>
      <w:r w:rsidR="00E05108" w:rsidRPr="00E05108">
        <w:rPr>
          <w:i/>
          <w:lang w:val="en-US"/>
        </w:rPr>
        <w:t>. Not really for exports’.</w:t>
      </w:r>
    </w:p>
    <w:p w:rsidR="00E05108" w:rsidRPr="00E05108" w:rsidRDefault="00E05108" w:rsidP="00C90FF4">
      <w:pPr>
        <w:pStyle w:val="NoSpacing"/>
        <w:jc w:val="right"/>
        <w:rPr>
          <w:lang w:val="en-US"/>
        </w:rPr>
      </w:pPr>
      <w:r w:rsidRPr="00E05108">
        <w:rPr>
          <w:lang w:val="en-US"/>
        </w:rPr>
        <w:tab/>
      </w:r>
      <w:r w:rsidRPr="00E05108">
        <w:rPr>
          <w:lang w:val="en-US"/>
        </w:rPr>
        <w:tab/>
      </w:r>
      <w:r w:rsidRPr="00E05108">
        <w:rPr>
          <w:lang w:val="en-US"/>
        </w:rPr>
        <w:tab/>
      </w:r>
      <w:r w:rsidRPr="00E05108">
        <w:rPr>
          <w:lang w:val="en-US"/>
        </w:rPr>
        <w:tab/>
      </w:r>
      <w:r w:rsidRPr="00E05108">
        <w:rPr>
          <w:lang w:val="en-US"/>
        </w:rPr>
        <w:tab/>
      </w:r>
      <w:r w:rsidRPr="00E05108">
        <w:rPr>
          <w:lang w:val="en-US"/>
        </w:rPr>
        <w:tab/>
      </w:r>
      <w:r w:rsidRPr="00E05108">
        <w:rPr>
          <w:lang w:val="en-US"/>
        </w:rPr>
        <w:tab/>
      </w:r>
      <w:r w:rsidRPr="00E05108">
        <w:rPr>
          <w:lang w:val="en-US"/>
        </w:rPr>
        <w:tab/>
      </w:r>
      <w:r w:rsidRPr="00E05108">
        <w:rPr>
          <w:lang w:val="en-US"/>
        </w:rPr>
        <w:tab/>
      </w:r>
      <w:proofErr w:type="spellStart"/>
      <w:r w:rsidRPr="00E05108">
        <w:rPr>
          <w:lang w:val="en-US"/>
        </w:rPr>
        <w:t>Ing</w:t>
      </w:r>
      <w:proofErr w:type="spellEnd"/>
      <w:r w:rsidRPr="00E05108">
        <w:rPr>
          <w:lang w:val="en-US"/>
        </w:rPr>
        <w:t>. Marcelo Gonzalez</w:t>
      </w:r>
    </w:p>
    <w:p w:rsidR="00E05108" w:rsidRDefault="00E05108" w:rsidP="00C90FF4">
      <w:pPr>
        <w:pStyle w:val="NoSpacing"/>
        <w:jc w:val="right"/>
        <w:rPr>
          <w:lang w:val="en-US"/>
        </w:rPr>
      </w:pPr>
      <w:r w:rsidRPr="00E05108">
        <w:rPr>
          <w:lang w:val="en-US"/>
        </w:rPr>
        <w:tab/>
      </w:r>
      <w:r w:rsidRPr="00E05108">
        <w:rPr>
          <w:lang w:val="en-US"/>
        </w:rPr>
        <w:tab/>
      </w:r>
      <w:r w:rsidRPr="00E05108">
        <w:rPr>
          <w:lang w:val="en-US"/>
        </w:rPr>
        <w:tab/>
      </w:r>
      <w:r w:rsidRPr="00E05108">
        <w:rPr>
          <w:lang w:val="en-US"/>
        </w:rPr>
        <w:tab/>
      </w:r>
      <w:r w:rsidRPr="00E05108">
        <w:rPr>
          <w:lang w:val="en-US"/>
        </w:rPr>
        <w:tab/>
      </w:r>
      <w:r w:rsidRPr="00E05108">
        <w:rPr>
          <w:lang w:val="en-US"/>
        </w:rPr>
        <w:tab/>
      </w:r>
      <w:r w:rsidRPr="00E05108">
        <w:rPr>
          <w:lang w:val="en-US"/>
        </w:rPr>
        <w:tab/>
        <w:t>Professor at the Technical University of Oruro</w:t>
      </w:r>
    </w:p>
    <w:p w:rsidR="00C90FF4" w:rsidRPr="00E05108" w:rsidRDefault="00C90FF4" w:rsidP="00C90FF4">
      <w:pPr>
        <w:pStyle w:val="NoSpacing"/>
        <w:jc w:val="right"/>
        <w:rPr>
          <w:lang w:val="en-US"/>
        </w:rPr>
      </w:pPr>
      <w:r>
        <w:rPr>
          <w:lang w:val="en-US"/>
        </w:rPr>
        <w:t>Interviewed on August 15</w:t>
      </w:r>
      <w:r w:rsidRPr="00C90FF4">
        <w:rPr>
          <w:vertAlign w:val="superscript"/>
          <w:lang w:val="en-US"/>
        </w:rPr>
        <w:t>th</w:t>
      </w:r>
      <w:r>
        <w:rPr>
          <w:lang w:val="en-US"/>
        </w:rPr>
        <w:t>, 2012.</w:t>
      </w:r>
    </w:p>
    <w:p w:rsidR="00E05108" w:rsidRPr="00E05108" w:rsidRDefault="00E05108" w:rsidP="00E05108">
      <w:pPr>
        <w:jc w:val="both"/>
        <w:rPr>
          <w:lang w:val="en-US"/>
        </w:rPr>
      </w:pPr>
    </w:p>
    <w:p w:rsidR="00135977" w:rsidRPr="00C02A63" w:rsidRDefault="006C727E" w:rsidP="00E06E16">
      <w:pPr>
        <w:ind w:firstLine="720"/>
        <w:jc w:val="both"/>
        <w:rPr>
          <w:lang w:val="en-US"/>
        </w:rPr>
      </w:pPr>
      <w:r>
        <w:rPr>
          <w:lang w:val="en-US"/>
        </w:rPr>
        <w:t>T</w:t>
      </w:r>
      <w:r w:rsidR="00E05108" w:rsidRPr="00E05108">
        <w:rPr>
          <w:lang w:val="en-US"/>
        </w:rPr>
        <w:t>he “</w:t>
      </w:r>
      <w:proofErr w:type="spellStart"/>
      <w:r w:rsidR="00E05108" w:rsidRPr="00E05108">
        <w:rPr>
          <w:lang w:val="en-US"/>
        </w:rPr>
        <w:t>Challapata</w:t>
      </w:r>
      <w:proofErr w:type="spellEnd"/>
      <w:r w:rsidR="00E05108" w:rsidRPr="00E05108">
        <w:rPr>
          <w:lang w:val="en-US"/>
        </w:rPr>
        <w:t xml:space="preserve"> Market” is an important one within the Quinoa Value Chain since this represents a point of reference where conventional quinoa prices are set.</w:t>
      </w:r>
    </w:p>
    <w:p w:rsidR="00DB063D" w:rsidRPr="00E06E16" w:rsidRDefault="00DB063D" w:rsidP="00E06E16">
      <w:pPr>
        <w:jc w:val="center"/>
        <w:rPr>
          <w:lang w:val="en-US"/>
        </w:rPr>
      </w:pPr>
      <w:bookmarkStart w:id="35" w:name="_Ref342157459"/>
      <w:r w:rsidRPr="00E06E16">
        <w:rPr>
          <w:b/>
          <w:lang w:val="en-US"/>
        </w:rPr>
        <w:t xml:space="preserve">Image </w:t>
      </w:r>
      <w:r w:rsidRPr="00E06E16">
        <w:rPr>
          <w:b/>
          <w:lang w:val="en-US"/>
        </w:rPr>
        <w:fldChar w:fldCharType="begin"/>
      </w:r>
      <w:r w:rsidRPr="00E06E16">
        <w:rPr>
          <w:b/>
          <w:lang w:val="en-US"/>
        </w:rPr>
        <w:instrText xml:space="preserve"> SEQ Image \* ARABIC </w:instrText>
      </w:r>
      <w:r w:rsidRPr="00E06E16">
        <w:rPr>
          <w:b/>
          <w:lang w:val="en-US"/>
        </w:rPr>
        <w:fldChar w:fldCharType="separate"/>
      </w:r>
      <w:r w:rsidRPr="00E06E16">
        <w:rPr>
          <w:b/>
          <w:lang w:val="en-US"/>
        </w:rPr>
        <w:t>2</w:t>
      </w:r>
      <w:r w:rsidRPr="00E06E16">
        <w:rPr>
          <w:b/>
          <w:lang w:val="en-US"/>
        </w:rPr>
        <w:fldChar w:fldCharType="end"/>
      </w:r>
      <w:r w:rsidRPr="00E06E16">
        <w:rPr>
          <w:b/>
          <w:lang w:val="en-US"/>
        </w:rPr>
        <w:t>: Bags of quinoa ready to be sold at the “</w:t>
      </w:r>
      <w:proofErr w:type="spellStart"/>
      <w:r w:rsidRPr="00E06E16">
        <w:rPr>
          <w:b/>
          <w:lang w:val="en-US"/>
        </w:rPr>
        <w:t>Challapata</w:t>
      </w:r>
      <w:proofErr w:type="spellEnd"/>
      <w:r w:rsidRPr="00E06E16">
        <w:rPr>
          <w:b/>
          <w:lang w:val="en-US"/>
        </w:rPr>
        <w:t xml:space="preserve"> Fair”.</w:t>
      </w:r>
      <w:bookmarkEnd w:id="35"/>
    </w:p>
    <w:p w:rsidR="00F05154" w:rsidRDefault="00A0718C" w:rsidP="001873D9">
      <w:pPr>
        <w:jc w:val="center"/>
        <w:rPr>
          <w:color w:val="FF0000"/>
          <w:lang w:val="en-US"/>
        </w:rPr>
      </w:pPr>
      <w:r>
        <w:rPr>
          <w:noProof/>
          <w:lang w:val="en-US"/>
        </w:rPr>
        <w:drawing>
          <wp:inline distT="0" distB="0" distL="0" distR="0" wp14:anchorId="5E5FA8C1" wp14:editId="16D9E7F5">
            <wp:extent cx="5943600" cy="4048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0506_10152102281120640_836361722_n.jpg"/>
                    <pic:cNvPicPr/>
                  </pic:nvPicPr>
                  <pic:blipFill rotWithShape="1">
                    <a:blip r:embed="rId22">
                      <a:extLst>
                        <a:ext uri="{28A0092B-C50C-407E-A947-70E740481C1C}">
                          <a14:useLocalDpi xmlns:a14="http://schemas.microsoft.com/office/drawing/2010/main" val="0"/>
                        </a:ext>
                      </a:extLst>
                    </a:blip>
                    <a:srcRect b="9188"/>
                    <a:stretch/>
                  </pic:blipFill>
                  <pic:spPr bwMode="auto">
                    <a:xfrm>
                      <a:off x="0" y="0"/>
                      <a:ext cx="5943600" cy="4048125"/>
                    </a:xfrm>
                    <a:prstGeom prst="rect">
                      <a:avLst/>
                    </a:prstGeom>
                    <a:ln>
                      <a:noFill/>
                    </a:ln>
                    <a:extLst>
                      <a:ext uri="{53640926-AAD7-44D8-BBD7-CCE9431645EC}">
                        <a14:shadowObscured xmlns:a14="http://schemas.microsoft.com/office/drawing/2010/main"/>
                      </a:ext>
                    </a:extLst>
                  </pic:spPr>
                </pic:pic>
              </a:graphicData>
            </a:graphic>
          </wp:inline>
        </w:drawing>
      </w:r>
    </w:p>
    <w:p w:rsidR="001873D9" w:rsidRPr="001873D9" w:rsidRDefault="001873D9" w:rsidP="001873D9">
      <w:pPr>
        <w:jc w:val="center"/>
        <w:rPr>
          <w:lang w:val="en-US"/>
        </w:rPr>
      </w:pPr>
      <w:r w:rsidRPr="001873D9">
        <w:rPr>
          <w:lang w:val="en-US"/>
        </w:rPr>
        <w:t>* Source: Picture taken by the author at the “</w:t>
      </w:r>
      <w:proofErr w:type="spellStart"/>
      <w:r w:rsidRPr="001873D9">
        <w:rPr>
          <w:lang w:val="en-US"/>
        </w:rPr>
        <w:t>Challapta</w:t>
      </w:r>
      <w:proofErr w:type="spellEnd"/>
      <w:r w:rsidRPr="001873D9">
        <w:rPr>
          <w:lang w:val="en-US"/>
        </w:rPr>
        <w:t xml:space="preserve"> Fair” on August 18th, 2012.</w:t>
      </w:r>
    </w:p>
    <w:p w:rsidR="002810EE" w:rsidRDefault="002810EE" w:rsidP="0042466A">
      <w:pPr>
        <w:jc w:val="both"/>
        <w:rPr>
          <w:b/>
          <w:color w:val="FF0000"/>
          <w:lang w:val="en-US"/>
        </w:rPr>
      </w:pPr>
    </w:p>
    <w:p w:rsidR="000A1735" w:rsidRPr="00536EE8" w:rsidRDefault="006C727E" w:rsidP="000A1735">
      <w:pPr>
        <w:jc w:val="both"/>
        <w:rPr>
          <w:lang w:val="en-US"/>
        </w:rPr>
      </w:pPr>
      <w:r w:rsidRPr="00536EE8">
        <w:rPr>
          <w:lang w:val="en-US"/>
        </w:rPr>
        <w:lastRenderedPageBreak/>
        <w:t xml:space="preserve">Following, I will illustrate </w:t>
      </w:r>
      <w:r w:rsidR="00536EE8" w:rsidRPr="00536EE8">
        <w:rPr>
          <w:lang w:val="en-US"/>
        </w:rPr>
        <w:t xml:space="preserve">the interaction of the farmers </w:t>
      </w:r>
      <w:r w:rsidRPr="00536EE8">
        <w:rPr>
          <w:lang w:val="en-US"/>
        </w:rPr>
        <w:t xml:space="preserve">with each one of these actors </w:t>
      </w:r>
      <w:r w:rsidR="00F4615A" w:rsidRPr="00536EE8">
        <w:rPr>
          <w:lang w:val="en-US"/>
        </w:rPr>
        <w:t xml:space="preserve">when commercializing their quinoa. </w:t>
      </w:r>
    </w:p>
    <w:p w:rsidR="00F05154" w:rsidRPr="00E67695" w:rsidRDefault="008041F4" w:rsidP="00E06E16">
      <w:pPr>
        <w:pStyle w:val="Heading2"/>
        <w:rPr>
          <w:b w:val="0"/>
          <w:color w:val="auto"/>
          <w:sz w:val="32"/>
          <w:szCs w:val="32"/>
          <w:u w:val="single"/>
          <w:lang w:val="en-US"/>
        </w:rPr>
      </w:pPr>
      <w:bookmarkStart w:id="36" w:name="_Toc342160073"/>
      <w:bookmarkStart w:id="37" w:name="_Toc342160095"/>
      <w:r w:rsidRPr="00E67695">
        <w:rPr>
          <w:b w:val="0"/>
          <w:color w:val="auto"/>
          <w:sz w:val="32"/>
          <w:szCs w:val="32"/>
          <w:u w:val="single"/>
          <w:lang w:val="en-US"/>
        </w:rPr>
        <w:t xml:space="preserve">b) </w:t>
      </w:r>
      <w:r w:rsidR="002810EE" w:rsidRPr="00E67695">
        <w:rPr>
          <w:b w:val="0"/>
          <w:color w:val="auto"/>
          <w:sz w:val="32"/>
          <w:szCs w:val="32"/>
          <w:u w:val="single"/>
          <w:lang w:val="en-US"/>
        </w:rPr>
        <w:t>Market</w:t>
      </w:r>
      <w:r w:rsidR="00AA173F" w:rsidRPr="00E67695">
        <w:rPr>
          <w:b w:val="0"/>
          <w:color w:val="auto"/>
          <w:sz w:val="32"/>
          <w:szCs w:val="32"/>
          <w:u w:val="single"/>
          <w:lang w:val="en-US"/>
        </w:rPr>
        <w:t xml:space="preserve"> s</w:t>
      </w:r>
      <w:r w:rsidR="002810EE" w:rsidRPr="00E67695">
        <w:rPr>
          <w:b w:val="0"/>
          <w:color w:val="auto"/>
          <w:sz w:val="32"/>
          <w:szCs w:val="32"/>
          <w:u w:val="single"/>
          <w:lang w:val="en-US"/>
        </w:rPr>
        <w:t xml:space="preserve">tructure and </w:t>
      </w:r>
      <w:r w:rsidR="00AA173F" w:rsidRPr="00E67695">
        <w:rPr>
          <w:b w:val="0"/>
          <w:color w:val="auto"/>
          <w:sz w:val="32"/>
          <w:szCs w:val="32"/>
          <w:u w:val="single"/>
          <w:lang w:val="en-US"/>
        </w:rPr>
        <w:t>b</w:t>
      </w:r>
      <w:r w:rsidR="002810EE" w:rsidRPr="00E67695">
        <w:rPr>
          <w:b w:val="0"/>
          <w:color w:val="auto"/>
          <w:sz w:val="32"/>
          <w:szCs w:val="32"/>
          <w:u w:val="single"/>
          <w:lang w:val="en-US"/>
        </w:rPr>
        <w:t xml:space="preserve">argaining </w:t>
      </w:r>
      <w:r w:rsidR="00AA173F" w:rsidRPr="00E67695">
        <w:rPr>
          <w:b w:val="0"/>
          <w:color w:val="auto"/>
          <w:sz w:val="32"/>
          <w:szCs w:val="32"/>
          <w:u w:val="single"/>
          <w:lang w:val="en-US"/>
        </w:rPr>
        <w:t>p</w:t>
      </w:r>
      <w:r w:rsidR="002810EE" w:rsidRPr="00E67695">
        <w:rPr>
          <w:b w:val="0"/>
          <w:color w:val="auto"/>
          <w:sz w:val="32"/>
          <w:szCs w:val="32"/>
          <w:u w:val="single"/>
          <w:lang w:val="en-US"/>
        </w:rPr>
        <w:t>rocesses</w:t>
      </w:r>
      <w:r w:rsidR="002C24BC" w:rsidRPr="00E67695">
        <w:rPr>
          <w:b w:val="0"/>
          <w:color w:val="auto"/>
          <w:sz w:val="32"/>
          <w:szCs w:val="32"/>
          <w:u w:val="single"/>
          <w:lang w:val="en-US"/>
        </w:rPr>
        <w:t xml:space="preserve"> </w:t>
      </w:r>
      <w:r w:rsidR="00AA173F" w:rsidRPr="00E67695">
        <w:rPr>
          <w:b w:val="0"/>
          <w:color w:val="auto"/>
          <w:sz w:val="32"/>
          <w:szCs w:val="32"/>
          <w:u w:val="single"/>
          <w:lang w:val="en-US"/>
        </w:rPr>
        <w:t>pre and post demand changes</w:t>
      </w:r>
      <w:bookmarkEnd w:id="36"/>
      <w:bookmarkEnd w:id="37"/>
      <w:r w:rsidR="00AA173F" w:rsidRPr="00E67695">
        <w:rPr>
          <w:b w:val="0"/>
          <w:color w:val="auto"/>
          <w:sz w:val="32"/>
          <w:szCs w:val="32"/>
          <w:u w:val="single"/>
          <w:lang w:val="en-US"/>
        </w:rPr>
        <w:t xml:space="preserve"> </w:t>
      </w:r>
    </w:p>
    <w:p w:rsidR="00462694" w:rsidRDefault="00462694" w:rsidP="00E06E16">
      <w:pPr>
        <w:rPr>
          <w:lang w:val="en-US"/>
        </w:rPr>
      </w:pPr>
    </w:p>
    <w:p w:rsidR="00F4615A" w:rsidRPr="00F4615A" w:rsidRDefault="00F4615A" w:rsidP="00F4615A">
      <w:pPr>
        <w:rPr>
          <w:b/>
          <w:i/>
          <w:u w:val="single"/>
          <w:lang w:val="en-US"/>
        </w:rPr>
      </w:pPr>
      <w:r w:rsidRPr="00F4615A">
        <w:rPr>
          <w:b/>
          <w:i/>
          <w:u w:val="single"/>
          <w:lang w:val="en-US"/>
        </w:rPr>
        <w:t xml:space="preserve">The </w:t>
      </w:r>
      <w:r w:rsidR="00780F3E">
        <w:rPr>
          <w:b/>
          <w:i/>
          <w:u w:val="single"/>
          <w:lang w:val="en-US"/>
        </w:rPr>
        <w:t xml:space="preserve">Quinoa </w:t>
      </w:r>
      <w:r w:rsidR="00CA404E">
        <w:rPr>
          <w:b/>
          <w:i/>
          <w:u w:val="single"/>
          <w:lang w:val="en-US"/>
        </w:rPr>
        <w:t xml:space="preserve">Farmer and the </w:t>
      </w:r>
      <w:r w:rsidRPr="00F4615A">
        <w:rPr>
          <w:b/>
          <w:i/>
          <w:u w:val="single"/>
          <w:lang w:val="en-US"/>
        </w:rPr>
        <w:t>“</w:t>
      </w:r>
      <w:proofErr w:type="spellStart"/>
      <w:r w:rsidRPr="00F4615A">
        <w:rPr>
          <w:b/>
          <w:i/>
          <w:u w:val="single"/>
          <w:lang w:val="en-US"/>
        </w:rPr>
        <w:t>Challapata</w:t>
      </w:r>
      <w:proofErr w:type="spellEnd"/>
      <w:r w:rsidRPr="00F4615A">
        <w:rPr>
          <w:b/>
          <w:i/>
          <w:u w:val="single"/>
          <w:lang w:val="en-US"/>
        </w:rPr>
        <w:t xml:space="preserve"> Fair”</w:t>
      </w:r>
      <w:r w:rsidR="00D2398C">
        <w:rPr>
          <w:b/>
          <w:i/>
          <w:u w:val="single"/>
          <w:lang w:val="en-US"/>
        </w:rPr>
        <w:t xml:space="preserve"> (pre-demand increases)</w:t>
      </w:r>
    </w:p>
    <w:p w:rsidR="00F4615A" w:rsidRDefault="00754BCA" w:rsidP="00B822AF">
      <w:pPr>
        <w:ind w:firstLine="720"/>
        <w:jc w:val="both"/>
        <w:rPr>
          <w:lang w:val="en-US"/>
        </w:rPr>
      </w:pPr>
      <w:r w:rsidRPr="001A7941">
        <w:rPr>
          <w:lang w:val="en-US"/>
        </w:rPr>
        <w:t xml:space="preserve">According </w:t>
      </w:r>
      <w:r w:rsidRPr="00536EE8">
        <w:rPr>
          <w:lang w:val="en-US"/>
        </w:rPr>
        <w:t xml:space="preserve">to </w:t>
      </w:r>
      <w:proofErr w:type="spellStart"/>
      <w:r w:rsidR="002608B8" w:rsidRPr="00536EE8">
        <w:rPr>
          <w:lang w:val="en-US"/>
        </w:rPr>
        <w:t>Raynolds</w:t>
      </w:r>
      <w:proofErr w:type="spellEnd"/>
      <w:r w:rsidR="00D47888" w:rsidRPr="00536EE8">
        <w:rPr>
          <w:lang w:val="en-US"/>
        </w:rPr>
        <w:t xml:space="preserve"> et al.</w:t>
      </w:r>
      <w:r w:rsidR="002608B8" w:rsidRPr="00536EE8">
        <w:rPr>
          <w:lang w:val="en-US"/>
        </w:rPr>
        <w:t xml:space="preserve"> </w:t>
      </w:r>
      <w:r w:rsidRPr="00536EE8">
        <w:rPr>
          <w:lang w:val="en-US"/>
        </w:rPr>
        <w:t xml:space="preserve">(2007), </w:t>
      </w:r>
      <w:r w:rsidR="002F3A67" w:rsidRPr="00536EE8">
        <w:rPr>
          <w:lang w:val="en-US"/>
        </w:rPr>
        <w:t xml:space="preserve">up until </w:t>
      </w:r>
      <w:r w:rsidR="002F3A67" w:rsidRPr="001A7941">
        <w:rPr>
          <w:lang w:val="en-US"/>
        </w:rPr>
        <w:t>the 1970’s the “</w:t>
      </w:r>
      <w:proofErr w:type="spellStart"/>
      <w:r w:rsidR="002F3A67" w:rsidRPr="001A7941">
        <w:rPr>
          <w:lang w:val="en-US"/>
        </w:rPr>
        <w:t>Challapata</w:t>
      </w:r>
      <w:proofErr w:type="spellEnd"/>
      <w:r w:rsidR="002F3A67" w:rsidRPr="001A7941">
        <w:rPr>
          <w:lang w:val="en-US"/>
        </w:rPr>
        <w:t xml:space="preserve"> Fair” represented the only commercial path where the farmers could sell their quinoa production. “The quinoa was purchased in small quantities from peasant producers, collected and consolidated by wholesalers who monopolized its distribution”.  </w:t>
      </w:r>
    </w:p>
    <w:p w:rsidR="00F17F41" w:rsidRDefault="00F4615A" w:rsidP="00B822AF">
      <w:pPr>
        <w:ind w:firstLine="720"/>
        <w:jc w:val="both"/>
        <w:rPr>
          <w:lang w:val="en-US"/>
        </w:rPr>
      </w:pPr>
      <w:r>
        <w:rPr>
          <w:lang w:val="en-US"/>
        </w:rPr>
        <w:t>Also, the “</w:t>
      </w:r>
      <w:proofErr w:type="spellStart"/>
      <w:r>
        <w:rPr>
          <w:lang w:val="en-US"/>
        </w:rPr>
        <w:t>trueque</w:t>
      </w:r>
      <w:proofErr w:type="spellEnd"/>
      <w:r>
        <w:rPr>
          <w:rStyle w:val="FootnoteReference"/>
          <w:lang w:val="en-US"/>
        </w:rPr>
        <w:footnoteReference w:id="17"/>
      </w:r>
      <w:r>
        <w:rPr>
          <w:lang w:val="en-US"/>
        </w:rPr>
        <w:t xml:space="preserve">” </w:t>
      </w:r>
      <w:r w:rsidR="007A4AB0" w:rsidRPr="007A4AB0">
        <w:rPr>
          <w:lang w:val="en-US"/>
        </w:rPr>
        <w:t>used to be practiced</w:t>
      </w:r>
      <w:r w:rsidR="007A4AB0">
        <w:rPr>
          <w:lang w:val="en-US"/>
        </w:rPr>
        <w:t xml:space="preserve">. Middle men would come to the quinoa producing communities offering some “staple products” such as: candles, some clothing and other food products in exchange for quinoa. </w:t>
      </w:r>
      <w:r w:rsidR="00F17F41">
        <w:rPr>
          <w:lang w:val="en-US"/>
        </w:rPr>
        <w:t xml:space="preserve">According to Mr. Javier Ramos, </w:t>
      </w:r>
      <w:r w:rsidR="00F17F41" w:rsidRPr="00BB7F47">
        <w:rPr>
          <w:lang w:val="en-US"/>
        </w:rPr>
        <w:t xml:space="preserve">production chief </w:t>
      </w:r>
      <w:r w:rsidR="00F17F41">
        <w:rPr>
          <w:lang w:val="en-US"/>
        </w:rPr>
        <w:t xml:space="preserve">at ‘Real </w:t>
      </w:r>
      <w:proofErr w:type="spellStart"/>
      <w:r w:rsidR="00F17F41">
        <w:rPr>
          <w:lang w:val="en-US"/>
        </w:rPr>
        <w:t>Andina</w:t>
      </w:r>
      <w:proofErr w:type="spellEnd"/>
      <w:r w:rsidR="00F17F41">
        <w:rPr>
          <w:lang w:val="en-US"/>
        </w:rPr>
        <w:t>’ the middle men would often take advantage of the farmer and pay really low prices:</w:t>
      </w:r>
    </w:p>
    <w:p w:rsidR="00AA173F" w:rsidRDefault="00F17F41" w:rsidP="00AA173F">
      <w:pPr>
        <w:jc w:val="both"/>
        <w:rPr>
          <w:lang w:val="en-US"/>
        </w:rPr>
      </w:pPr>
      <w:r>
        <w:rPr>
          <w:lang w:val="en-US"/>
        </w:rPr>
        <w:t xml:space="preserve">‘[…] the middle man was abusing the producers. They would pay the farmer with whatever price they wanted. They used to take some “staple products” such as candles, lighters, rice, or flour and would exchange it for quinoa. I’m talking about when the quinoa was </w:t>
      </w:r>
      <w:r w:rsidRPr="00BB7F47">
        <w:rPr>
          <w:lang w:val="en-US"/>
        </w:rPr>
        <w:t xml:space="preserve">priced at Bs.20-Bs.30 (currently </w:t>
      </w:r>
      <w:r>
        <w:rPr>
          <w:lang w:val="en-US"/>
        </w:rPr>
        <w:t>the average price for a quintal of quinoa is Bs.600). Three quintals of quinoa would be exchanged for one of sugar or two quintals of quinoa would be exchanged for one of flour.3 for 1 and 2 for 1’</w:t>
      </w:r>
    </w:p>
    <w:p w:rsidR="000E5367" w:rsidRPr="00223914" w:rsidRDefault="00F17F41" w:rsidP="000E5367">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000E5367" w:rsidRPr="00223914">
        <w:rPr>
          <w:lang w:val="en-US"/>
        </w:rPr>
        <w:t xml:space="preserve">Javier </w:t>
      </w:r>
      <w:proofErr w:type="spellStart"/>
      <w:r w:rsidR="000E5367" w:rsidRPr="00223914">
        <w:rPr>
          <w:lang w:val="en-US"/>
        </w:rPr>
        <w:t>Veliz</w:t>
      </w:r>
      <w:proofErr w:type="spellEnd"/>
      <w:r w:rsidR="000E5367" w:rsidRPr="00223914">
        <w:rPr>
          <w:lang w:val="en-US"/>
        </w:rPr>
        <w:t xml:space="preserve"> Ramos</w:t>
      </w:r>
    </w:p>
    <w:p w:rsidR="000E5367" w:rsidRPr="00223914" w:rsidRDefault="000E5367" w:rsidP="000E5367">
      <w:pPr>
        <w:pStyle w:val="NoSpacing"/>
        <w:jc w:val="right"/>
        <w:rPr>
          <w:lang w:val="en-US"/>
        </w:rPr>
      </w:pP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t xml:space="preserve">Production Manager at private firm “Real </w:t>
      </w:r>
      <w:proofErr w:type="spellStart"/>
      <w:r w:rsidRPr="00223914">
        <w:rPr>
          <w:lang w:val="en-US"/>
        </w:rPr>
        <w:t>Andina</w:t>
      </w:r>
      <w:proofErr w:type="spellEnd"/>
      <w:r w:rsidRPr="00223914">
        <w:rPr>
          <w:lang w:val="en-US"/>
        </w:rPr>
        <w:t xml:space="preserve">” </w:t>
      </w:r>
    </w:p>
    <w:p w:rsidR="000E5367" w:rsidRPr="00223914" w:rsidRDefault="000E5367" w:rsidP="000E5367">
      <w:pPr>
        <w:pStyle w:val="NoSpacing"/>
        <w:jc w:val="right"/>
        <w:rPr>
          <w:lang w:val="en-US"/>
        </w:rPr>
      </w:pPr>
      <w:r w:rsidRPr="00E06E16">
        <w:rPr>
          <w:lang w:val="en-US"/>
        </w:rPr>
        <w:tab/>
        <w:t xml:space="preserve"> </w:t>
      </w:r>
      <w:r w:rsidRPr="00E06E16">
        <w:rPr>
          <w:lang w:val="en-US"/>
        </w:rPr>
        <w:tab/>
      </w:r>
      <w:r w:rsidRPr="00E06E16">
        <w:rPr>
          <w:lang w:val="en-US"/>
        </w:rPr>
        <w:tab/>
      </w:r>
      <w:r w:rsidRPr="00E06E16">
        <w:rPr>
          <w:lang w:val="en-US"/>
        </w:rPr>
        <w:tab/>
      </w:r>
      <w:r w:rsidRPr="00E06E16">
        <w:rPr>
          <w:lang w:val="en-US"/>
        </w:rPr>
        <w:tab/>
      </w:r>
      <w:r w:rsidRPr="00223914">
        <w:rPr>
          <w:lang w:val="en-US"/>
        </w:rPr>
        <w:t xml:space="preserve">Interviewed at the company’s office in </w:t>
      </w:r>
      <w:proofErr w:type="spellStart"/>
      <w:r w:rsidRPr="00223914">
        <w:rPr>
          <w:lang w:val="en-US"/>
        </w:rPr>
        <w:t>Uyuni</w:t>
      </w:r>
      <w:proofErr w:type="spellEnd"/>
      <w:r w:rsidRPr="00223914">
        <w:rPr>
          <w:lang w:val="en-US"/>
        </w:rPr>
        <w:t xml:space="preserve">, Potosi- Bolivia </w:t>
      </w:r>
    </w:p>
    <w:p w:rsidR="000E5367" w:rsidRPr="00223914" w:rsidRDefault="000E5367" w:rsidP="000E5367">
      <w:pPr>
        <w:pStyle w:val="NoSpacing"/>
        <w:jc w:val="right"/>
        <w:rPr>
          <w:lang w:val="en-US"/>
        </w:rPr>
      </w:pPr>
      <w:r w:rsidRPr="00223914">
        <w:rPr>
          <w:lang w:val="en-US"/>
        </w:rPr>
        <w:t>August 17, 2012</w:t>
      </w:r>
    </w:p>
    <w:p w:rsidR="002F3A67" w:rsidRDefault="002F3A67" w:rsidP="00754BCA">
      <w:pPr>
        <w:jc w:val="both"/>
        <w:rPr>
          <w:i/>
          <w:color w:val="FF0000"/>
          <w:lang w:val="en-US"/>
        </w:rPr>
      </w:pPr>
    </w:p>
    <w:p w:rsidR="002F3A67" w:rsidRDefault="002F3A67" w:rsidP="00E06E16">
      <w:pPr>
        <w:ind w:firstLine="720"/>
        <w:jc w:val="both"/>
        <w:rPr>
          <w:lang w:val="en-US"/>
        </w:rPr>
      </w:pPr>
      <w:r w:rsidRPr="004B075D">
        <w:rPr>
          <w:lang w:val="en-US"/>
        </w:rPr>
        <w:t xml:space="preserve">Nowadays, </w:t>
      </w:r>
      <w:r w:rsidR="00CA404E">
        <w:rPr>
          <w:lang w:val="en-US"/>
        </w:rPr>
        <w:t>even though</w:t>
      </w:r>
      <w:r w:rsidRPr="004B075D">
        <w:rPr>
          <w:lang w:val="en-US"/>
        </w:rPr>
        <w:t xml:space="preserve"> the “</w:t>
      </w:r>
      <w:proofErr w:type="spellStart"/>
      <w:r w:rsidRPr="004B075D">
        <w:rPr>
          <w:lang w:val="en-US"/>
        </w:rPr>
        <w:t>Challapata</w:t>
      </w:r>
      <w:proofErr w:type="spellEnd"/>
      <w:r w:rsidRPr="004B075D">
        <w:rPr>
          <w:lang w:val="en-US"/>
        </w:rPr>
        <w:t xml:space="preserve"> Fair</w:t>
      </w:r>
      <w:r w:rsidR="00754BCA" w:rsidRPr="004B075D">
        <w:rPr>
          <w:lang w:val="en-US"/>
        </w:rPr>
        <w:t xml:space="preserve">” </w:t>
      </w:r>
      <w:r w:rsidRPr="004B075D">
        <w:rPr>
          <w:lang w:val="en-US"/>
        </w:rPr>
        <w:t xml:space="preserve">is not the only venue where the farmer can sell the quinoa, this market remains important for the Quinoa Value Chain </w:t>
      </w:r>
      <w:r w:rsidR="00CA404E">
        <w:rPr>
          <w:lang w:val="en-US"/>
        </w:rPr>
        <w:t xml:space="preserve">since </w:t>
      </w:r>
      <w:r w:rsidRPr="004B075D">
        <w:rPr>
          <w:lang w:val="en-US"/>
        </w:rPr>
        <w:t xml:space="preserve">it is here where </w:t>
      </w:r>
      <w:r w:rsidRPr="00536EE8">
        <w:rPr>
          <w:lang w:val="en-US"/>
        </w:rPr>
        <w:t xml:space="preserve">conventional quinoa </w:t>
      </w:r>
      <w:r w:rsidRPr="004B075D">
        <w:rPr>
          <w:lang w:val="en-US"/>
        </w:rPr>
        <w:t xml:space="preserve">prices are set. For </w:t>
      </w:r>
      <w:proofErr w:type="spellStart"/>
      <w:r w:rsidRPr="004B075D">
        <w:rPr>
          <w:lang w:val="en-US"/>
        </w:rPr>
        <w:t>Raynolds</w:t>
      </w:r>
      <w:proofErr w:type="spellEnd"/>
      <w:r w:rsidRPr="004B075D">
        <w:rPr>
          <w:lang w:val="en-US"/>
        </w:rPr>
        <w:t xml:space="preserve"> et. al. (2007) the “</w:t>
      </w:r>
      <w:proofErr w:type="spellStart"/>
      <w:r w:rsidRPr="004B075D">
        <w:rPr>
          <w:lang w:val="en-US"/>
        </w:rPr>
        <w:t>Challapata</w:t>
      </w:r>
      <w:proofErr w:type="spellEnd"/>
      <w:r w:rsidRPr="004B075D">
        <w:rPr>
          <w:lang w:val="en-US"/>
        </w:rPr>
        <w:t xml:space="preserve"> Fair” </w:t>
      </w:r>
      <w:r w:rsidR="00754BCA" w:rsidRPr="004B075D">
        <w:rPr>
          <w:lang w:val="en-US"/>
        </w:rPr>
        <w:t xml:space="preserve">represents quinoa’s “Wall Street”, where its prices are set on a weekly basis. This market is dominated by the logic of supply and demand here, with about a dozen buyers and the farmers as price takers. </w:t>
      </w:r>
    </w:p>
    <w:p w:rsidR="009752C3" w:rsidRDefault="00754BCA" w:rsidP="00E06E16">
      <w:pPr>
        <w:ind w:firstLine="720"/>
        <w:jc w:val="both"/>
        <w:rPr>
          <w:lang w:val="en-US"/>
        </w:rPr>
      </w:pPr>
      <w:r w:rsidRPr="004B075D">
        <w:rPr>
          <w:lang w:val="en-US"/>
        </w:rPr>
        <w:t>However, as explained earlier, t</w:t>
      </w:r>
      <w:r w:rsidR="00CA404E">
        <w:rPr>
          <w:lang w:val="en-US"/>
        </w:rPr>
        <w:t xml:space="preserve">he increased demand for the quinoa grain has led to the immersion of new players in the market hence </w:t>
      </w:r>
      <w:r w:rsidRPr="004B075D">
        <w:rPr>
          <w:lang w:val="en-US"/>
        </w:rPr>
        <w:t xml:space="preserve">the farmer </w:t>
      </w:r>
      <w:r w:rsidR="00CA404E">
        <w:rPr>
          <w:lang w:val="en-US"/>
        </w:rPr>
        <w:t xml:space="preserve">under the current market structure has </w:t>
      </w:r>
      <w:r w:rsidRPr="004B075D">
        <w:rPr>
          <w:lang w:val="en-US"/>
        </w:rPr>
        <w:t xml:space="preserve">more than one venue where to sell the quinoa. Each one of these venues has different incentives and paying structures, which will influence the farmer’s income. </w:t>
      </w:r>
      <w:r w:rsidR="00B82F2F" w:rsidRPr="004B075D">
        <w:rPr>
          <w:lang w:val="en-US"/>
        </w:rPr>
        <w:t>During my fieldwork</w:t>
      </w:r>
      <w:r w:rsidR="00AA173F" w:rsidRPr="004B075D">
        <w:rPr>
          <w:lang w:val="en-US"/>
        </w:rPr>
        <w:t xml:space="preserve">, </w:t>
      </w:r>
      <w:r w:rsidR="00B82F2F" w:rsidRPr="004B075D">
        <w:rPr>
          <w:lang w:val="en-US"/>
        </w:rPr>
        <w:t xml:space="preserve">I identified </w:t>
      </w:r>
      <w:r w:rsidR="00BE7808" w:rsidRPr="004B075D">
        <w:rPr>
          <w:lang w:val="en-US"/>
        </w:rPr>
        <w:t xml:space="preserve">a </w:t>
      </w:r>
      <w:r w:rsidR="00025278" w:rsidRPr="004B075D">
        <w:rPr>
          <w:lang w:val="en-US"/>
        </w:rPr>
        <w:t>few factors</w:t>
      </w:r>
      <w:r w:rsidR="00AA173F" w:rsidRPr="004B075D">
        <w:rPr>
          <w:rStyle w:val="FootnoteReference"/>
          <w:lang w:val="en-US"/>
        </w:rPr>
        <w:footnoteReference w:id="18"/>
      </w:r>
      <w:r w:rsidR="00B82F2F" w:rsidRPr="004B075D">
        <w:rPr>
          <w:color w:val="FF0000"/>
          <w:lang w:val="en-US"/>
        </w:rPr>
        <w:t xml:space="preserve"> </w:t>
      </w:r>
      <w:r w:rsidR="00B82F2F" w:rsidRPr="00536EE8">
        <w:rPr>
          <w:lang w:val="en-US"/>
        </w:rPr>
        <w:t xml:space="preserve">that a farmer will take </w:t>
      </w:r>
      <w:r w:rsidR="00054660" w:rsidRPr="00536EE8">
        <w:rPr>
          <w:lang w:val="en-US"/>
        </w:rPr>
        <w:t>into consideration</w:t>
      </w:r>
      <w:r w:rsidR="00B82F2F" w:rsidRPr="00536EE8">
        <w:rPr>
          <w:lang w:val="en-US"/>
        </w:rPr>
        <w:t xml:space="preserve"> when choosing one venue over another: </w:t>
      </w:r>
      <w:r w:rsidR="002355F7" w:rsidRPr="00536EE8">
        <w:rPr>
          <w:lang w:val="en-US"/>
        </w:rPr>
        <w:t>1</w:t>
      </w:r>
      <w:r w:rsidR="002355F7" w:rsidRPr="004B075D">
        <w:rPr>
          <w:lang w:val="en-US"/>
        </w:rPr>
        <w:t xml:space="preserve">) the relationship the </w:t>
      </w:r>
      <w:r w:rsidR="002355F7" w:rsidRPr="004B075D">
        <w:rPr>
          <w:lang w:val="en-US"/>
        </w:rPr>
        <w:lastRenderedPageBreak/>
        <w:t xml:space="preserve">farmer </w:t>
      </w:r>
      <w:r w:rsidR="009752C3" w:rsidRPr="004B075D">
        <w:rPr>
          <w:lang w:val="en-US"/>
        </w:rPr>
        <w:t>has with its producer organization, 2) how needed is the farmer for cash, 3) the price that each buyer is willing to pay for the quinoa and 4) the type of quinoa the farmer produces, which can either be organic or conventional (that is non-organic).</w:t>
      </w:r>
    </w:p>
    <w:p w:rsidR="00780F3E" w:rsidRDefault="00780F3E" w:rsidP="00E06E16">
      <w:pPr>
        <w:ind w:firstLine="720"/>
        <w:jc w:val="both"/>
        <w:rPr>
          <w:lang w:val="en-US"/>
        </w:rPr>
      </w:pPr>
      <w:r>
        <w:rPr>
          <w:lang w:val="en-US"/>
        </w:rPr>
        <w:t xml:space="preserve">Following, I will elaborate on each one of these factors by describing the interaction of the quinoa farmer with each one of the selling venues. </w:t>
      </w:r>
    </w:p>
    <w:p w:rsidR="00780F3E" w:rsidRPr="004B075D" w:rsidRDefault="00780F3E" w:rsidP="00E06E16">
      <w:pPr>
        <w:ind w:firstLine="720"/>
        <w:jc w:val="both"/>
        <w:rPr>
          <w:lang w:val="en-US"/>
        </w:rPr>
      </w:pPr>
    </w:p>
    <w:p w:rsidR="00CD6D20" w:rsidRPr="00E06E16" w:rsidRDefault="00CD6D20" w:rsidP="00E06E16">
      <w:pPr>
        <w:pStyle w:val="Caption"/>
        <w:keepNext/>
        <w:jc w:val="center"/>
        <w:rPr>
          <w:color w:val="auto"/>
          <w:sz w:val="24"/>
          <w:szCs w:val="24"/>
          <w:lang w:val="en-US"/>
        </w:rPr>
      </w:pPr>
      <w:bookmarkStart w:id="38" w:name="_Ref342161280"/>
      <w:r w:rsidRPr="00E06E16">
        <w:rPr>
          <w:color w:val="auto"/>
          <w:sz w:val="24"/>
          <w:szCs w:val="24"/>
          <w:lang w:val="en-US"/>
        </w:rPr>
        <w:t xml:space="preserve">Diagram </w:t>
      </w:r>
      <w:r w:rsidRPr="00E06E16">
        <w:rPr>
          <w:color w:val="auto"/>
          <w:sz w:val="24"/>
          <w:szCs w:val="24"/>
        </w:rPr>
        <w:fldChar w:fldCharType="begin"/>
      </w:r>
      <w:r w:rsidRPr="00E06E16">
        <w:rPr>
          <w:color w:val="auto"/>
          <w:sz w:val="24"/>
          <w:szCs w:val="24"/>
          <w:lang w:val="en-US"/>
        </w:rPr>
        <w:instrText xml:space="preserve"> SEQ Diagram \* ARABIC </w:instrText>
      </w:r>
      <w:r w:rsidRPr="00E06E16">
        <w:rPr>
          <w:color w:val="auto"/>
          <w:sz w:val="24"/>
          <w:szCs w:val="24"/>
        </w:rPr>
        <w:fldChar w:fldCharType="separate"/>
      </w:r>
      <w:r w:rsidR="00B906BF" w:rsidRPr="00E06E16">
        <w:rPr>
          <w:noProof/>
          <w:color w:val="auto"/>
          <w:sz w:val="24"/>
          <w:szCs w:val="24"/>
          <w:lang w:val="en-US"/>
        </w:rPr>
        <w:t>2</w:t>
      </w:r>
      <w:r w:rsidRPr="00E06E16">
        <w:rPr>
          <w:color w:val="auto"/>
          <w:sz w:val="24"/>
          <w:szCs w:val="24"/>
        </w:rPr>
        <w:fldChar w:fldCharType="end"/>
      </w:r>
      <w:r w:rsidRPr="00E06E16">
        <w:rPr>
          <w:color w:val="auto"/>
          <w:sz w:val="24"/>
          <w:szCs w:val="24"/>
          <w:lang w:val="en-US"/>
        </w:rPr>
        <w:t xml:space="preserve">: Incentives offered </w:t>
      </w:r>
      <w:r w:rsidR="002355F7" w:rsidRPr="00E06E16">
        <w:rPr>
          <w:color w:val="auto"/>
          <w:sz w:val="24"/>
          <w:szCs w:val="24"/>
          <w:lang w:val="en-US"/>
        </w:rPr>
        <w:t>by the</w:t>
      </w:r>
      <w:r w:rsidRPr="00E06E16">
        <w:rPr>
          <w:color w:val="auto"/>
          <w:sz w:val="24"/>
          <w:szCs w:val="24"/>
          <w:lang w:val="en-US"/>
        </w:rPr>
        <w:t xml:space="preserve"> </w:t>
      </w:r>
      <w:r w:rsidR="00780F3E">
        <w:rPr>
          <w:color w:val="auto"/>
          <w:sz w:val="24"/>
          <w:szCs w:val="24"/>
          <w:lang w:val="en-US"/>
        </w:rPr>
        <w:t>three</w:t>
      </w:r>
      <w:r w:rsidRPr="00E06E16">
        <w:rPr>
          <w:color w:val="auto"/>
          <w:sz w:val="24"/>
          <w:szCs w:val="24"/>
          <w:lang w:val="en-US"/>
        </w:rPr>
        <w:t xml:space="preserve"> venues</w:t>
      </w:r>
      <w:bookmarkEnd w:id="38"/>
    </w:p>
    <w:p w:rsidR="00025278" w:rsidRDefault="00025278" w:rsidP="0042466A">
      <w:pPr>
        <w:jc w:val="both"/>
        <w:rPr>
          <w:i/>
          <w:lang w:val="en-US"/>
        </w:rPr>
      </w:pPr>
      <w:r>
        <w:rPr>
          <w:noProof/>
          <w:lang w:val="en-US"/>
        </w:rPr>
        <w:drawing>
          <wp:inline distT="0" distB="0" distL="0" distR="0" wp14:anchorId="40A44E70" wp14:editId="7A61ED82">
            <wp:extent cx="5705475" cy="5372100"/>
            <wp:effectExtent l="0" t="0" r="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780F3E" w:rsidRDefault="00780F3E" w:rsidP="0042466A">
      <w:pPr>
        <w:jc w:val="both"/>
        <w:rPr>
          <w:b/>
          <w:i/>
          <w:color w:val="FF0000"/>
          <w:lang w:val="en-US"/>
        </w:rPr>
      </w:pPr>
    </w:p>
    <w:p w:rsidR="00780F3E" w:rsidRDefault="00780F3E" w:rsidP="0042466A">
      <w:pPr>
        <w:jc w:val="both"/>
        <w:rPr>
          <w:b/>
          <w:i/>
          <w:color w:val="FF0000"/>
          <w:lang w:val="en-US"/>
        </w:rPr>
      </w:pPr>
    </w:p>
    <w:p w:rsidR="00780F3E" w:rsidRDefault="00780F3E" w:rsidP="0042466A">
      <w:pPr>
        <w:jc w:val="both"/>
        <w:rPr>
          <w:b/>
          <w:i/>
          <w:color w:val="FF0000"/>
          <w:lang w:val="en-US"/>
        </w:rPr>
      </w:pPr>
    </w:p>
    <w:p w:rsidR="00780F3E" w:rsidRDefault="00780F3E" w:rsidP="0042466A">
      <w:pPr>
        <w:jc w:val="both"/>
        <w:rPr>
          <w:b/>
          <w:i/>
          <w:u w:val="single"/>
          <w:lang w:val="en-US"/>
        </w:rPr>
      </w:pPr>
      <w:r w:rsidRPr="00D2398C">
        <w:rPr>
          <w:b/>
          <w:i/>
          <w:u w:val="single"/>
          <w:lang w:val="en-US"/>
        </w:rPr>
        <w:lastRenderedPageBreak/>
        <w:t xml:space="preserve">The Quinoa Farmer and the pay incentives through the Peasant Producer Organizations </w:t>
      </w:r>
    </w:p>
    <w:p w:rsidR="00D2398C" w:rsidRDefault="00D2398C" w:rsidP="00FD7157">
      <w:pPr>
        <w:ind w:firstLine="720"/>
        <w:jc w:val="both"/>
        <w:rPr>
          <w:lang w:val="en-US"/>
        </w:rPr>
      </w:pPr>
      <w:r>
        <w:rPr>
          <w:lang w:val="en-US"/>
        </w:rPr>
        <w:t xml:space="preserve">During harvest time, quinoa farmers affiliated to the peasant producer organizations will collect their quinoa and “make their </w:t>
      </w:r>
      <w:proofErr w:type="spellStart"/>
      <w:r>
        <w:rPr>
          <w:lang w:val="en-US"/>
        </w:rPr>
        <w:t>acopio</w:t>
      </w:r>
      <w:proofErr w:type="spellEnd"/>
      <w:r>
        <w:rPr>
          <w:lang w:val="en-US"/>
        </w:rPr>
        <w:t xml:space="preserve"> (</w:t>
      </w:r>
      <w:r w:rsidR="00AE5FA0">
        <w:rPr>
          <w:lang w:val="en-US"/>
        </w:rPr>
        <w:t>delivery</w:t>
      </w:r>
      <w:r>
        <w:rPr>
          <w:lang w:val="en-US"/>
        </w:rPr>
        <w:t xml:space="preserve">)” it to their regional peasant producer organizations. These in turn will deliver it to the main umbrella producer organizations ANAPQUI or CECAOT. </w:t>
      </w:r>
    </w:p>
    <w:p w:rsidR="00AE5FA0" w:rsidRDefault="00AE5FA0" w:rsidP="00FD7157">
      <w:pPr>
        <w:ind w:firstLine="720"/>
        <w:jc w:val="both"/>
        <w:rPr>
          <w:lang w:val="en-US"/>
        </w:rPr>
      </w:pPr>
      <w:r>
        <w:rPr>
          <w:lang w:val="en-US"/>
        </w:rPr>
        <w:t>The pay incentives that a farmer has to sell the quinoa to the peasant producer organization involve:</w:t>
      </w:r>
    </w:p>
    <w:p w:rsidR="00AE5FA0" w:rsidRDefault="00AE5FA0" w:rsidP="0042466A">
      <w:pPr>
        <w:jc w:val="both"/>
        <w:rPr>
          <w:lang w:val="en-US"/>
        </w:rPr>
      </w:pPr>
      <w:r>
        <w:rPr>
          <w:lang w:val="en-US"/>
        </w:rPr>
        <w:t>- a higher price than the one being paid by the Private Firms and  the one being paid at the “</w:t>
      </w:r>
      <w:proofErr w:type="spellStart"/>
      <w:r>
        <w:rPr>
          <w:lang w:val="en-US"/>
        </w:rPr>
        <w:t>Challapata</w:t>
      </w:r>
      <w:proofErr w:type="spellEnd"/>
      <w:r>
        <w:rPr>
          <w:lang w:val="en-US"/>
        </w:rPr>
        <w:t xml:space="preserve"> Fair”, also</w:t>
      </w:r>
    </w:p>
    <w:p w:rsidR="00AE5FA0" w:rsidRDefault="00AE5FA0" w:rsidP="0042466A">
      <w:pPr>
        <w:jc w:val="both"/>
        <w:rPr>
          <w:lang w:val="en-US"/>
        </w:rPr>
      </w:pPr>
      <w:r>
        <w:rPr>
          <w:lang w:val="en-US"/>
        </w:rPr>
        <w:t>- affiliated farmers also have the opportunity to be paid for their participation in the transformation of the product and direct sale of the quinoa to the importers (Reynolds, 2007), furthermore</w:t>
      </w:r>
    </w:p>
    <w:p w:rsidR="00AE5FA0" w:rsidRDefault="00AE5FA0" w:rsidP="0042466A">
      <w:pPr>
        <w:jc w:val="both"/>
        <w:rPr>
          <w:lang w:val="en-US"/>
        </w:rPr>
      </w:pPr>
      <w:r>
        <w:rPr>
          <w:lang w:val="en-US"/>
        </w:rPr>
        <w:t>- affiliated farmers value having the peace of mind of knowing that their quinoa production already has a “buyer” who is willing to pay a “higher price”</w:t>
      </w:r>
    </w:p>
    <w:p w:rsidR="00D34966" w:rsidRDefault="00AE5FA0" w:rsidP="00FD7157">
      <w:pPr>
        <w:ind w:firstLine="720"/>
        <w:jc w:val="both"/>
        <w:rPr>
          <w:lang w:val="en-US"/>
        </w:rPr>
      </w:pPr>
      <w:r>
        <w:rPr>
          <w:lang w:val="en-US"/>
        </w:rPr>
        <w:t xml:space="preserve">However, although these are the ideal conditions, the peasant producer organizations are not </w:t>
      </w:r>
      <w:r w:rsidR="00D34966">
        <w:rPr>
          <w:lang w:val="en-US"/>
        </w:rPr>
        <w:t xml:space="preserve">always </w:t>
      </w:r>
      <w:r>
        <w:rPr>
          <w:lang w:val="en-US"/>
        </w:rPr>
        <w:t>able</w:t>
      </w:r>
      <w:r w:rsidR="00D34966">
        <w:rPr>
          <w:lang w:val="en-US"/>
        </w:rPr>
        <w:t xml:space="preserve"> to serve all of their members since their </w:t>
      </w:r>
      <w:r w:rsidR="00D34966" w:rsidRPr="00D34966">
        <w:rPr>
          <w:lang w:val="en-US"/>
        </w:rPr>
        <w:t>business transactions are small compared to the quantity of quinoa they receive from their members.</w:t>
      </w:r>
      <w:r w:rsidR="00D34966">
        <w:rPr>
          <w:lang w:val="en-US"/>
        </w:rPr>
        <w:t xml:space="preserve"> This means that although affiliated quinoa farmers have a “secure buyer” this may not be able to purchase all of the production of the farmer. In this case, the farmer will have to recur to the second best price option – the private firms. </w:t>
      </w:r>
    </w:p>
    <w:p w:rsidR="00AE5FA0" w:rsidRDefault="00D34966" w:rsidP="0042466A">
      <w:pPr>
        <w:jc w:val="both"/>
        <w:rPr>
          <w:b/>
          <w:i/>
          <w:u w:val="single"/>
          <w:lang w:val="en-US"/>
        </w:rPr>
      </w:pPr>
      <w:r w:rsidRPr="00D34966">
        <w:rPr>
          <w:b/>
          <w:i/>
          <w:u w:val="single"/>
          <w:lang w:val="en-US"/>
        </w:rPr>
        <w:t xml:space="preserve">The Quinoa Farmer and the pay incentives through the Private Firms </w:t>
      </w:r>
    </w:p>
    <w:p w:rsidR="00D368E4" w:rsidRDefault="00D34966" w:rsidP="0042466A">
      <w:pPr>
        <w:jc w:val="both"/>
        <w:rPr>
          <w:lang w:val="en-US"/>
        </w:rPr>
      </w:pPr>
      <w:r>
        <w:rPr>
          <w:lang w:val="en-US"/>
        </w:rPr>
        <w:t xml:space="preserve">- The price that private firms offer is also higher than the one offered at the </w:t>
      </w:r>
      <w:r w:rsidR="00D368E4">
        <w:rPr>
          <w:lang w:val="en-US"/>
        </w:rPr>
        <w:t>“</w:t>
      </w:r>
      <w:proofErr w:type="spellStart"/>
      <w:r w:rsidR="00D368E4">
        <w:rPr>
          <w:lang w:val="en-US"/>
        </w:rPr>
        <w:t>Challapata</w:t>
      </w:r>
      <w:proofErr w:type="spellEnd"/>
      <w:r w:rsidR="00D368E4">
        <w:rPr>
          <w:lang w:val="en-US"/>
        </w:rPr>
        <w:t xml:space="preserve"> Fair”  and often rival the one offered by the peasant producer organizations, however</w:t>
      </w:r>
    </w:p>
    <w:p w:rsidR="00D368E4" w:rsidRDefault="00D368E4" w:rsidP="0042466A">
      <w:pPr>
        <w:jc w:val="both"/>
        <w:rPr>
          <w:lang w:val="en-US"/>
        </w:rPr>
      </w:pPr>
      <w:r>
        <w:rPr>
          <w:lang w:val="en-US"/>
        </w:rPr>
        <w:t>- farmers will have to wait at least 3 months to get paid; the waiting time with the peasant producer organization is of 3 months, also</w:t>
      </w:r>
    </w:p>
    <w:p w:rsidR="00D368E4" w:rsidRPr="00D34966" w:rsidRDefault="00D368E4" w:rsidP="0042466A">
      <w:pPr>
        <w:jc w:val="both"/>
        <w:rPr>
          <w:lang w:val="en-US"/>
        </w:rPr>
      </w:pPr>
      <w:r>
        <w:rPr>
          <w:lang w:val="en-US"/>
        </w:rPr>
        <w:t xml:space="preserve">- farmers do not get paid any additional amount from the processing of the grain. </w:t>
      </w:r>
    </w:p>
    <w:p w:rsidR="00D34966" w:rsidRPr="00D368E4" w:rsidRDefault="00D34966" w:rsidP="00D34966">
      <w:pPr>
        <w:rPr>
          <w:lang w:val="en-US"/>
        </w:rPr>
      </w:pPr>
      <w:r w:rsidRPr="00D368E4">
        <w:rPr>
          <w:lang w:val="en-US"/>
        </w:rPr>
        <w:t>Lastly, pri</w:t>
      </w:r>
      <w:r w:rsidR="00D368E4">
        <w:rPr>
          <w:lang w:val="en-US"/>
        </w:rPr>
        <w:t xml:space="preserve">vate firms will buy quinoa from </w:t>
      </w:r>
      <w:r w:rsidRPr="00D368E4">
        <w:rPr>
          <w:lang w:val="en-US"/>
        </w:rPr>
        <w:t xml:space="preserve">individual farmers however they </w:t>
      </w:r>
      <w:r w:rsidR="00D368E4">
        <w:rPr>
          <w:lang w:val="en-US"/>
        </w:rPr>
        <w:t xml:space="preserve">primarily </w:t>
      </w:r>
      <w:r w:rsidRPr="00D368E4">
        <w:rPr>
          <w:lang w:val="en-US"/>
        </w:rPr>
        <w:t xml:space="preserve">work with “contract systems” (which will be described in more detail </w:t>
      </w:r>
      <w:r w:rsidRPr="001D1562">
        <w:rPr>
          <w:lang w:val="en-US"/>
        </w:rPr>
        <w:t xml:space="preserve">further in </w:t>
      </w:r>
      <w:r w:rsidR="00D368E4" w:rsidRPr="001D1562">
        <w:rPr>
          <w:lang w:val="en-US"/>
        </w:rPr>
        <w:t xml:space="preserve">chapter </w:t>
      </w:r>
      <w:r w:rsidR="00A5174E" w:rsidRPr="001D1562">
        <w:rPr>
          <w:lang w:val="en-US"/>
        </w:rPr>
        <w:t>5</w:t>
      </w:r>
      <w:r w:rsidRPr="001D1562">
        <w:rPr>
          <w:lang w:val="en-US"/>
        </w:rPr>
        <w:t xml:space="preserve">) in </w:t>
      </w:r>
      <w:r w:rsidRPr="00D368E4">
        <w:rPr>
          <w:lang w:val="en-US"/>
        </w:rPr>
        <w:t xml:space="preserve">order to secure their quinoa supply.  </w:t>
      </w:r>
    </w:p>
    <w:p w:rsidR="00D368E4" w:rsidRPr="00D368E4" w:rsidRDefault="00D368E4" w:rsidP="00D368E4">
      <w:pPr>
        <w:jc w:val="both"/>
        <w:rPr>
          <w:b/>
          <w:i/>
          <w:u w:val="single"/>
          <w:lang w:val="en-US"/>
        </w:rPr>
      </w:pPr>
      <w:r w:rsidRPr="00D368E4">
        <w:rPr>
          <w:b/>
          <w:i/>
          <w:u w:val="single"/>
          <w:lang w:val="en-US"/>
        </w:rPr>
        <w:t xml:space="preserve">The Quinoa Farmer and the pay incentives </w:t>
      </w:r>
      <w:r>
        <w:rPr>
          <w:b/>
          <w:i/>
          <w:u w:val="single"/>
          <w:lang w:val="en-US"/>
        </w:rPr>
        <w:t xml:space="preserve">in </w:t>
      </w:r>
      <w:r w:rsidRPr="00D368E4">
        <w:rPr>
          <w:b/>
          <w:i/>
          <w:u w:val="single"/>
          <w:lang w:val="en-US"/>
        </w:rPr>
        <w:t xml:space="preserve">the </w:t>
      </w:r>
      <w:r>
        <w:rPr>
          <w:b/>
          <w:i/>
          <w:u w:val="single"/>
          <w:lang w:val="en-US"/>
        </w:rPr>
        <w:t>“</w:t>
      </w:r>
      <w:proofErr w:type="spellStart"/>
      <w:r>
        <w:rPr>
          <w:b/>
          <w:i/>
          <w:u w:val="single"/>
          <w:lang w:val="en-US"/>
        </w:rPr>
        <w:t>Challapata</w:t>
      </w:r>
      <w:proofErr w:type="spellEnd"/>
      <w:r>
        <w:rPr>
          <w:b/>
          <w:i/>
          <w:u w:val="single"/>
          <w:lang w:val="en-US"/>
        </w:rPr>
        <w:t xml:space="preserve"> Fair”</w:t>
      </w:r>
      <w:r w:rsidR="002F5791">
        <w:rPr>
          <w:b/>
          <w:i/>
          <w:u w:val="single"/>
          <w:lang w:val="en-US"/>
        </w:rPr>
        <w:t xml:space="preserve"> (post demand increases)</w:t>
      </w:r>
    </w:p>
    <w:p w:rsidR="00B822AF" w:rsidRDefault="002B565E" w:rsidP="00FD7157">
      <w:pPr>
        <w:ind w:firstLine="720"/>
        <w:jc w:val="both"/>
        <w:rPr>
          <w:lang w:val="en-US"/>
        </w:rPr>
      </w:pPr>
      <w:r w:rsidRPr="002F5791">
        <w:rPr>
          <w:lang w:val="en-US"/>
        </w:rPr>
        <w:t xml:space="preserve">Given that both peasant producer organizations and private firms delay in their payment, if a farmer is in need for </w:t>
      </w:r>
      <w:r w:rsidR="00B5613C" w:rsidRPr="002F5791">
        <w:rPr>
          <w:lang w:val="en-US"/>
        </w:rPr>
        <w:t xml:space="preserve">quick </w:t>
      </w:r>
      <w:r w:rsidRPr="002F5791">
        <w:rPr>
          <w:lang w:val="en-US"/>
        </w:rPr>
        <w:t>cash then the best option will be the “</w:t>
      </w:r>
      <w:proofErr w:type="spellStart"/>
      <w:r w:rsidRPr="002F5791">
        <w:rPr>
          <w:lang w:val="en-US"/>
        </w:rPr>
        <w:t>Challapata</w:t>
      </w:r>
      <w:proofErr w:type="spellEnd"/>
      <w:r w:rsidRPr="002F5791">
        <w:rPr>
          <w:lang w:val="en-US"/>
        </w:rPr>
        <w:t xml:space="preserve"> Fair”, since </w:t>
      </w:r>
      <w:r w:rsidR="00B5613C" w:rsidRPr="002F5791">
        <w:rPr>
          <w:lang w:val="en-US"/>
        </w:rPr>
        <w:t>payment here is done on the spot. The disadvantage</w:t>
      </w:r>
      <w:r w:rsidR="00B822AF">
        <w:rPr>
          <w:lang w:val="en-US"/>
        </w:rPr>
        <w:t xml:space="preserve"> however as already mention is that:</w:t>
      </w:r>
    </w:p>
    <w:p w:rsidR="002B565E" w:rsidRPr="002F5791" w:rsidRDefault="00B822AF" w:rsidP="002F5791">
      <w:pPr>
        <w:jc w:val="both"/>
        <w:rPr>
          <w:lang w:val="en-US"/>
        </w:rPr>
      </w:pPr>
      <w:r>
        <w:rPr>
          <w:lang w:val="en-US"/>
        </w:rPr>
        <w:t xml:space="preserve">- </w:t>
      </w:r>
      <w:r w:rsidR="00B5613C" w:rsidRPr="002F5791">
        <w:rPr>
          <w:lang w:val="en-US"/>
        </w:rPr>
        <w:t xml:space="preserve">the price paid </w:t>
      </w:r>
      <w:r>
        <w:rPr>
          <w:lang w:val="en-US"/>
        </w:rPr>
        <w:t xml:space="preserve">at this point </w:t>
      </w:r>
      <w:r w:rsidR="00B5613C" w:rsidRPr="002F5791">
        <w:rPr>
          <w:lang w:val="en-US"/>
        </w:rPr>
        <w:t>is usually lower than what the peasant produc</w:t>
      </w:r>
      <w:r>
        <w:rPr>
          <w:lang w:val="en-US"/>
        </w:rPr>
        <w:t>er organizations and private firms offer</w:t>
      </w:r>
      <w:r w:rsidR="00B5613C" w:rsidRPr="002F5791">
        <w:rPr>
          <w:lang w:val="en-US"/>
        </w:rPr>
        <w:t xml:space="preserve">. According to Prof. Marcelo Gonzalez from the Technical University of Oruro, farmers when in need will sell their quinoa production at whichever price. </w:t>
      </w:r>
    </w:p>
    <w:p w:rsidR="00B5613C" w:rsidRPr="00223914" w:rsidRDefault="00B5613C" w:rsidP="00FD7157">
      <w:pPr>
        <w:ind w:firstLine="720"/>
        <w:rPr>
          <w:lang w:val="en-US"/>
        </w:rPr>
      </w:pPr>
      <w:r w:rsidRPr="00223914">
        <w:rPr>
          <w:lang w:val="en-US"/>
        </w:rPr>
        <w:lastRenderedPageBreak/>
        <w:t>‘[…] well this has to do with their “necessities”. Sometimes they (farmers) won’t even ask what the price the quinoa is being bought at, is’</w:t>
      </w:r>
    </w:p>
    <w:p w:rsidR="00B5613C" w:rsidRPr="00223914" w:rsidRDefault="00B5613C" w:rsidP="00FD7157">
      <w:pPr>
        <w:pStyle w:val="NoSpacing"/>
        <w:jc w:val="right"/>
        <w:rPr>
          <w:lang w:val="en-US"/>
        </w:rPr>
      </w:pPr>
    </w:p>
    <w:p w:rsidR="008E120B" w:rsidRPr="00223914" w:rsidRDefault="008E120B" w:rsidP="00FD7157">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223914">
        <w:rPr>
          <w:lang w:val="en-US"/>
        </w:rPr>
        <w:tab/>
      </w:r>
      <w:proofErr w:type="spellStart"/>
      <w:r w:rsidRPr="00223914">
        <w:rPr>
          <w:lang w:val="en-US"/>
        </w:rPr>
        <w:t>Ing</w:t>
      </w:r>
      <w:proofErr w:type="spellEnd"/>
      <w:r w:rsidRPr="00223914">
        <w:rPr>
          <w:lang w:val="en-US"/>
        </w:rPr>
        <w:t>. Marcelo Gonzalez</w:t>
      </w:r>
    </w:p>
    <w:p w:rsidR="008E120B" w:rsidRPr="00223914" w:rsidRDefault="008E120B" w:rsidP="00FD7157">
      <w:pPr>
        <w:pStyle w:val="NoSpacing"/>
        <w:jc w:val="right"/>
        <w:rPr>
          <w:lang w:val="en-US"/>
        </w:rPr>
      </w:pP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t>Professor at the Technical University of Oruro</w:t>
      </w:r>
    </w:p>
    <w:p w:rsidR="008E120B" w:rsidRPr="00223914" w:rsidRDefault="008E120B" w:rsidP="00FD7157">
      <w:pPr>
        <w:pStyle w:val="NoSpacing"/>
        <w:jc w:val="right"/>
        <w:rPr>
          <w:lang w:val="en-US"/>
        </w:rPr>
      </w:pPr>
      <w:r w:rsidRPr="00223914">
        <w:rPr>
          <w:lang w:val="en-US"/>
        </w:rPr>
        <w:t>Interviewed on August 15</w:t>
      </w:r>
      <w:r w:rsidRPr="00223914">
        <w:rPr>
          <w:vertAlign w:val="superscript"/>
          <w:lang w:val="en-US"/>
        </w:rPr>
        <w:t>th</w:t>
      </w:r>
      <w:r w:rsidRPr="00223914">
        <w:rPr>
          <w:lang w:val="en-US"/>
        </w:rPr>
        <w:t>, 2012.</w:t>
      </w:r>
    </w:p>
    <w:p w:rsidR="008E120B" w:rsidRPr="00223914" w:rsidRDefault="008E120B" w:rsidP="00FD7157">
      <w:pPr>
        <w:rPr>
          <w:lang w:val="en-US"/>
        </w:rPr>
      </w:pPr>
    </w:p>
    <w:p w:rsidR="00F94C22" w:rsidRPr="00B822AF" w:rsidRDefault="00B822AF" w:rsidP="00B822AF">
      <w:pPr>
        <w:ind w:firstLine="720"/>
        <w:rPr>
          <w:lang w:val="en-US"/>
        </w:rPr>
      </w:pPr>
      <w:r w:rsidRPr="00B822AF">
        <w:rPr>
          <w:lang w:val="en-US"/>
        </w:rPr>
        <w:t>Lastly, as mentioned earlier if a farmer is only able to produce conventional quinoa then the “</w:t>
      </w:r>
      <w:proofErr w:type="spellStart"/>
      <w:r w:rsidRPr="00B822AF">
        <w:rPr>
          <w:lang w:val="en-US"/>
        </w:rPr>
        <w:t>Challapata</w:t>
      </w:r>
      <w:proofErr w:type="spellEnd"/>
      <w:r w:rsidRPr="00B822AF">
        <w:rPr>
          <w:lang w:val="en-US"/>
        </w:rPr>
        <w:t xml:space="preserve"> Fair” continues to represent the only selling point for this farmer under the current market structure post the demand increase. </w:t>
      </w:r>
    </w:p>
    <w:p w:rsidR="00B822AF" w:rsidRDefault="00B822AF" w:rsidP="00B822AF">
      <w:pPr>
        <w:rPr>
          <w:b/>
          <w:i/>
          <w:u w:val="single"/>
          <w:lang w:val="en-US"/>
        </w:rPr>
      </w:pPr>
      <w:r w:rsidRPr="00B822AF">
        <w:rPr>
          <w:b/>
          <w:i/>
          <w:u w:val="single"/>
          <w:lang w:val="en-US"/>
        </w:rPr>
        <w:t xml:space="preserve">The market for conventional (non-organic quinoa) pre and post demand changes  </w:t>
      </w:r>
    </w:p>
    <w:p w:rsidR="00E617B2" w:rsidRDefault="00B822AF" w:rsidP="00E617B2">
      <w:pPr>
        <w:ind w:firstLine="720"/>
        <w:rPr>
          <w:lang w:val="en-US"/>
        </w:rPr>
      </w:pPr>
      <w:r>
        <w:rPr>
          <w:lang w:val="en-US"/>
        </w:rPr>
        <w:t xml:space="preserve">Initially, the commercialization of quinoa was for conventional or non-organic quinoa. However during the 1990’s there is a shift in the preference by the consumers in the industrialized countries for </w:t>
      </w:r>
      <w:r w:rsidR="00E617B2">
        <w:rPr>
          <w:lang w:val="en-US"/>
        </w:rPr>
        <w:t xml:space="preserve">organic quinoa. </w:t>
      </w:r>
      <w:r w:rsidR="00543336" w:rsidRPr="002F491C">
        <w:rPr>
          <w:lang w:val="en-US"/>
        </w:rPr>
        <w:t xml:space="preserve">According to </w:t>
      </w:r>
      <w:r w:rsidR="0045669C" w:rsidRPr="002F491C">
        <w:rPr>
          <w:lang w:val="en-US"/>
        </w:rPr>
        <w:t xml:space="preserve">Laguna et </w:t>
      </w:r>
      <w:r w:rsidR="00543336" w:rsidRPr="002F491C">
        <w:rPr>
          <w:lang w:val="en-US"/>
        </w:rPr>
        <w:t xml:space="preserve">al. </w:t>
      </w:r>
      <w:r w:rsidR="00CD6969" w:rsidRPr="002F491C">
        <w:rPr>
          <w:lang w:val="en-US"/>
        </w:rPr>
        <w:t>(2006</w:t>
      </w:r>
      <w:r w:rsidR="00543336" w:rsidRPr="002F491C">
        <w:rPr>
          <w:lang w:val="en-US"/>
        </w:rPr>
        <w:t xml:space="preserve">), </w:t>
      </w:r>
      <w:r w:rsidR="00E47511" w:rsidRPr="002F491C">
        <w:rPr>
          <w:lang w:val="en-US"/>
        </w:rPr>
        <w:t xml:space="preserve">during </w:t>
      </w:r>
      <w:r w:rsidR="00E47511" w:rsidRPr="004B075D">
        <w:rPr>
          <w:lang w:val="en-US"/>
        </w:rPr>
        <w:t xml:space="preserve">the 1990’s the demand for quinoa in the industrialized countries (US and Europe) changed its requirements and turned almost exclusively organic. The shift in Europe took place in 1995 while for the US market in 1999. Hence the quinoa market in Bolivia followed similar pattern and focused on organic quinoa production. </w:t>
      </w:r>
    </w:p>
    <w:p w:rsidR="00E617B2" w:rsidRDefault="00E617B2" w:rsidP="00E617B2">
      <w:pPr>
        <w:ind w:firstLine="720"/>
        <w:rPr>
          <w:lang w:val="en-US"/>
        </w:rPr>
      </w:pPr>
      <w:r>
        <w:rPr>
          <w:lang w:val="en-US"/>
        </w:rPr>
        <w:t>However, although b</w:t>
      </w:r>
      <w:r w:rsidR="00E47511" w:rsidRPr="00E617B2">
        <w:rPr>
          <w:lang w:val="en-US"/>
        </w:rPr>
        <w:t xml:space="preserve">oth producer organizations and private firms deal primarily with organic quinoa they also </w:t>
      </w:r>
      <w:r w:rsidR="00E47511" w:rsidRPr="001D1562">
        <w:rPr>
          <w:lang w:val="en-US"/>
        </w:rPr>
        <w:t xml:space="preserve">commercialize conventional quinoa </w:t>
      </w:r>
      <w:r w:rsidR="00E47511" w:rsidRPr="00E617B2">
        <w:rPr>
          <w:lang w:val="en-US"/>
        </w:rPr>
        <w:t>which is destine primarily towards the internal market.</w:t>
      </w:r>
      <w:r w:rsidR="008D1DE2" w:rsidRPr="00E617B2">
        <w:rPr>
          <w:lang w:val="en-US"/>
        </w:rPr>
        <w:t xml:space="preserve"> </w:t>
      </w:r>
    </w:p>
    <w:p w:rsidR="00E47511" w:rsidRPr="00E617B2" w:rsidRDefault="00E617B2" w:rsidP="00E617B2">
      <w:pPr>
        <w:ind w:firstLine="720"/>
        <w:rPr>
          <w:lang w:val="en-US"/>
        </w:rPr>
      </w:pPr>
      <w:r>
        <w:rPr>
          <w:lang w:val="en-US"/>
        </w:rPr>
        <w:t>In addition, t</w:t>
      </w:r>
      <w:r w:rsidR="008D1DE2" w:rsidRPr="00E617B2">
        <w:rPr>
          <w:lang w:val="en-US"/>
        </w:rPr>
        <w:t>here have been some instances in which private firms have been accused for buying conventional quinoa in the “</w:t>
      </w:r>
      <w:proofErr w:type="spellStart"/>
      <w:r w:rsidR="008D1DE2" w:rsidRPr="00E617B2">
        <w:rPr>
          <w:lang w:val="en-US"/>
        </w:rPr>
        <w:t>Challapata</w:t>
      </w:r>
      <w:proofErr w:type="spellEnd"/>
      <w:r w:rsidR="008D1DE2" w:rsidRPr="00E617B2">
        <w:rPr>
          <w:lang w:val="en-US"/>
        </w:rPr>
        <w:t xml:space="preserve"> Fair” but selling it as organic quinoa to the distaste of the producer organizations</w:t>
      </w:r>
      <w:r w:rsidR="00054660" w:rsidRPr="00E617B2">
        <w:rPr>
          <w:lang w:val="en-US"/>
        </w:rPr>
        <w:t xml:space="preserve"> </w:t>
      </w:r>
      <w:r w:rsidR="008D1DE2" w:rsidRPr="00E617B2">
        <w:rPr>
          <w:lang w:val="en-US"/>
        </w:rPr>
        <w:t xml:space="preserve">that work hard in obtaining and maintaining their organic certification. </w:t>
      </w:r>
      <w:r w:rsidR="00E47511" w:rsidRPr="00E617B2">
        <w:rPr>
          <w:lang w:val="en-US"/>
        </w:rPr>
        <w:t xml:space="preserve"> </w:t>
      </w:r>
    </w:p>
    <w:p w:rsidR="008D1DE2" w:rsidRDefault="008D1DE2" w:rsidP="00FD7157">
      <w:pPr>
        <w:ind w:firstLine="720"/>
        <w:rPr>
          <w:lang w:val="en-US"/>
        </w:rPr>
      </w:pPr>
      <w:r>
        <w:rPr>
          <w:lang w:val="en-US"/>
        </w:rPr>
        <w:t xml:space="preserve">‘ANAPQUI and CECAOT are the only exporters in Bolivia that have an internal quality control and certification policy. The private firms buy in the </w:t>
      </w:r>
      <w:proofErr w:type="spellStart"/>
      <w:r>
        <w:rPr>
          <w:lang w:val="en-US"/>
        </w:rPr>
        <w:t>Challapata</w:t>
      </w:r>
      <w:proofErr w:type="spellEnd"/>
      <w:r>
        <w:rPr>
          <w:lang w:val="en-US"/>
        </w:rPr>
        <w:t xml:space="preserve"> market and export them as organic. […] Other export firms get their quinoa at lower price and use fraudulent certification practices (mixing organic quinoa with conventional quinoa). Although the producer organizations are not decisive in regulation of farm gate prices, their position in the international market for organic quinoa gives them the possibility to contribute to improving the living conditions fo</w:t>
      </w:r>
      <w:r w:rsidR="00054660">
        <w:rPr>
          <w:lang w:val="en-US"/>
        </w:rPr>
        <w:t>r</w:t>
      </w:r>
      <w:r>
        <w:rPr>
          <w:lang w:val="en-US"/>
        </w:rPr>
        <w:t xml:space="preserve"> the producers</w:t>
      </w:r>
      <w:r w:rsidR="004D7BC3">
        <w:rPr>
          <w:lang w:val="en-US"/>
        </w:rPr>
        <w:t xml:space="preserve">’ </w:t>
      </w:r>
      <w:r w:rsidR="00794290" w:rsidRPr="001D1562">
        <w:rPr>
          <w:lang w:val="en-US"/>
        </w:rPr>
        <w:t>(CIOEC-Quinoa , as cited in Ton, 2006:9).</w:t>
      </w:r>
    </w:p>
    <w:p w:rsidR="00827CD7" w:rsidRPr="004B075D" w:rsidRDefault="00827CD7" w:rsidP="00FD7157">
      <w:pPr>
        <w:ind w:firstLine="720"/>
        <w:rPr>
          <w:lang w:val="en-US"/>
        </w:rPr>
      </w:pPr>
      <w:r w:rsidRPr="004B075D">
        <w:rPr>
          <w:lang w:val="en-US"/>
        </w:rPr>
        <w:t xml:space="preserve">Quinoa farmers have an incentive to produce organic quinoa </w:t>
      </w:r>
      <w:r w:rsidR="00E617B2">
        <w:rPr>
          <w:lang w:val="en-US"/>
        </w:rPr>
        <w:t>over the conventional on</w:t>
      </w:r>
      <w:r w:rsidR="00F47696">
        <w:rPr>
          <w:lang w:val="en-US"/>
        </w:rPr>
        <w:t xml:space="preserve">e, </w:t>
      </w:r>
      <w:r w:rsidRPr="004B075D">
        <w:rPr>
          <w:lang w:val="en-US"/>
        </w:rPr>
        <w:t>since the price paid for it</w:t>
      </w:r>
      <w:r w:rsidR="009F1D96" w:rsidRPr="004B075D">
        <w:rPr>
          <w:lang w:val="en-US"/>
        </w:rPr>
        <w:t>,</w:t>
      </w:r>
      <w:r w:rsidRPr="004B075D">
        <w:rPr>
          <w:lang w:val="en-US"/>
        </w:rPr>
        <w:t xml:space="preserve"> is greater than the price for conventional quinoa (or non-organic). This was confirmed by the quinoa farmers interviewed during my fieldwork: </w:t>
      </w:r>
    </w:p>
    <w:p w:rsidR="00827CD7" w:rsidRPr="00C7298A" w:rsidRDefault="00827CD7" w:rsidP="00FD7157">
      <w:pPr>
        <w:rPr>
          <w:lang w:val="en-US"/>
        </w:rPr>
      </w:pPr>
    </w:p>
    <w:p w:rsidR="004F6EFD" w:rsidRPr="00FD7157" w:rsidRDefault="001F305D" w:rsidP="00FD7157">
      <w:pPr>
        <w:rPr>
          <w:i/>
          <w:lang w:val="en-US"/>
        </w:rPr>
      </w:pPr>
      <w:r w:rsidRPr="00FD7157">
        <w:rPr>
          <w:i/>
          <w:lang w:val="en-US"/>
        </w:rPr>
        <w:lastRenderedPageBreak/>
        <w:t>‘There is a big difference in the price of organic quinoa versus non-organic quinoa. For example, in the “Black Market</w:t>
      </w:r>
      <w:r w:rsidRPr="00FD7157">
        <w:rPr>
          <w:rStyle w:val="FootnoteReference"/>
          <w:i/>
          <w:lang w:val="en-US"/>
        </w:rPr>
        <w:footnoteReference w:id="19"/>
      </w:r>
      <w:r w:rsidRPr="00FD7157">
        <w:rPr>
          <w:i/>
          <w:lang w:val="en-US"/>
        </w:rPr>
        <w:t>”, the price of white</w:t>
      </w:r>
      <w:r w:rsidR="00966B08" w:rsidRPr="00FD7157">
        <w:rPr>
          <w:rStyle w:val="FootnoteReference"/>
          <w:i/>
          <w:lang w:val="en-US"/>
        </w:rPr>
        <w:footnoteReference w:id="20"/>
      </w:r>
      <w:r w:rsidRPr="00FD7157">
        <w:rPr>
          <w:i/>
          <w:lang w:val="en-US"/>
        </w:rPr>
        <w:t xml:space="preserve"> quinoa non-organic is Bs.520 per quintal (or $74</w:t>
      </w:r>
      <w:r w:rsidRPr="00FD7157">
        <w:rPr>
          <w:rStyle w:val="FootnoteReference"/>
          <w:i/>
          <w:lang w:val="en-US"/>
        </w:rPr>
        <w:footnoteReference w:id="21"/>
      </w:r>
      <w:r w:rsidRPr="00FD7157">
        <w:rPr>
          <w:i/>
          <w:lang w:val="en-US"/>
        </w:rPr>
        <w:t>); versus the price of the organic quinoa which is around or above Bs.700 (or $100)”.</w:t>
      </w:r>
    </w:p>
    <w:p w:rsidR="004F6EFD" w:rsidRDefault="004F6EFD" w:rsidP="00FD7157">
      <w:pPr>
        <w:rPr>
          <w:lang w:val="en-US"/>
        </w:rPr>
      </w:pPr>
    </w:p>
    <w:p w:rsidR="004D225E" w:rsidRPr="00223914" w:rsidRDefault="004D225E" w:rsidP="00FD7157">
      <w:pPr>
        <w:pStyle w:val="NoSpacing"/>
        <w:jc w:val="right"/>
        <w:rPr>
          <w:lang w:val="en-US"/>
        </w:rPr>
      </w:pPr>
      <w:proofErr w:type="spellStart"/>
      <w:r w:rsidRPr="00223914">
        <w:rPr>
          <w:lang w:val="en-US"/>
        </w:rPr>
        <w:t>Ovidio</w:t>
      </w:r>
      <w:proofErr w:type="spellEnd"/>
      <w:r w:rsidRPr="00223914">
        <w:rPr>
          <w:lang w:val="en-US"/>
        </w:rPr>
        <w:t xml:space="preserve"> Silvestre </w:t>
      </w:r>
      <w:proofErr w:type="spellStart"/>
      <w:r w:rsidRPr="00223914">
        <w:rPr>
          <w:lang w:val="en-US"/>
        </w:rPr>
        <w:t>Alanoca</w:t>
      </w:r>
      <w:proofErr w:type="spellEnd"/>
    </w:p>
    <w:p w:rsidR="004D225E" w:rsidRPr="00223914" w:rsidRDefault="004F6EFD" w:rsidP="00FD7157">
      <w:pPr>
        <w:pStyle w:val="NoSpacing"/>
        <w:jc w:val="right"/>
        <w:rPr>
          <w:lang w:val="en-US"/>
        </w:rPr>
      </w:pPr>
      <w:r w:rsidRPr="00223914">
        <w:rPr>
          <w:lang w:val="en-US"/>
        </w:rPr>
        <w:tab/>
      </w:r>
      <w:r w:rsidRPr="00223914">
        <w:rPr>
          <w:lang w:val="en-US"/>
        </w:rPr>
        <w:tab/>
      </w:r>
      <w:r w:rsidRPr="00223914">
        <w:rPr>
          <w:lang w:val="en-US"/>
        </w:rPr>
        <w:tab/>
      </w:r>
      <w:r w:rsidRPr="00223914">
        <w:rPr>
          <w:lang w:val="en-US"/>
        </w:rPr>
        <w:tab/>
      </w:r>
      <w:r w:rsidR="004D225E" w:rsidRPr="00223914">
        <w:rPr>
          <w:lang w:val="en-US"/>
        </w:rPr>
        <w:t>Responsible of personnel at ANAPQUI and Quinoa Farmer</w:t>
      </w:r>
    </w:p>
    <w:p w:rsidR="00CB6D6F" w:rsidRPr="00223914" w:rsidRDefault="00CB6D6F" w:rsidP="00FD7157">
      <w:pPr>
        <w:pStyle w:val="NoSpacing"/>
        <w:jc w:val="right"/>
        <w:rPr>
          <w:lang w:val="en-US"/>
        </w:rPr>
      </w:pPr>
      <w:r w:rsidRPr="00223914">
        <w:rPr>
          <w:lang w:val="en-US"/>
        </w:rPr>
        <w:t xml:space="preserve">Interviewed at the PO’s headquarters in the town of </w:t>
      </w:r>
      <w:proofErr w:type="spellStart"/>
      <w:r w:rsidRPr="00223914">
        <w:rPr>
          <w:lang w:val="en-US"/>
        </w:rPr>
        <w:t>Challapata</w:t>
      </w:r>
      <w:proofErr w:type="spellEnd"/>
      <w:r w:rsidRPr="00223914">
        <w:rPr>
          <w:lang w:val="en-US"/>
        </w:rPr>
        <w:t>, Oruro - Bolivia</w:t>
      </w:r>
    </w:p>
    <w:p w:rsidR="00CB6D6F" w:rsidRPr="00223914" w:rsidRDefault="004F6EFD" w:rsidP="00FD7157">
      <w:pPr>
        <w:pStyle w:val="NoSpacing"/>
        <w:jc w:val="right"/>
        <w:rPr>
          <w:lang w:val="en-US"/>
        </w:rPr>
      </w:pPr>
      <w:r w:rsidRPr="00223914">
        <w:rPr>
          <w:lang w:val="en-US"/>
        </w:rPr>
        <w:t>August 16</w:t>
      </w:r>
      <w:r w:rsidR="00CB6D6F" w:rsidRPr="00223914">
        <w:rPr>
          <w:vertAlign w:val="superscript"/>
          <w:lang w:val="en-US"/>
        </w:rPr>
        <w:t>th</w:t>
      </w:r>
      <w:r w:rsidR="00CB6D6F" w:rsidRPr="00223914">
        <w:rPr>
          <w:lang w:val="en-US"/>
        </w:rPr>
        <w:t>, 2012</w:t>
      </w:r>
    </w:p>
    <w:p w:rsidR="004F6EFD" w:rsidRPr="00223914" w:rsidRDefault="004F6EFD" w:rsidP="00FD7157">
      <w:pPr>
        <w:pStyle w:val="NoSpacing"/>
        <w:jc w:val="right"/>
        <w:rPr>
          <w:lang w:val="en-US"/>
        </w:rPr>
      </w:pPr>
    </w:p>
    <w:p w:rsidR="004F6EFD" w:rsidRPr="00223914" w:rsidRDefault="004F6EFD" w:rsidP="00FD7157">
      <w:pPr>
        <w:rPr>
          <w:lang w:val="en-US"/>
        </w:rPr>
      </w:pPr>
    </w:p>
    <w:p w:rsidR="00E617B2" w:rsidRDefault="00E617B2" w:rsidP="00FD7157">
      <w:pPr>
        <w:ind w:firstLine="720"/>
        <w:rPr>
          <w:lang w:val="en-US"/>
        </w:rPr>
      </w:pPr>
      <w:r>
        <w:rPr>
          <w:lang w:val="en-US"/>
        </w:rPr>
        <w:t xml:space="preserve">However, as </w:t>
      </w:r>
      <w:r w:rsidR="001D1562" w:rsidRPr="00BB7F47">
        <w:rPr>
          <w:lang w:val="en-US"/>
        </w:rPr>
        <w:t>it will be illustrated later in the paper</w:t>
      </w:r>
      <w:r w:rsidR="00CE4717" w:rsidRPr="00BB7F47">
        <w:rPr>
          <w:lang w:val="en-US"/>
        </w:rPr>
        <w:t xml:space="preserve"> </w:t>
      </w:r>
      <w:r w:rsidRPr="00BB7F47">
        <w:rPr>
          <w:lang w:val="en-US"/>
        </w:rPr>
        <w:t>obtain</w:t>
      </w:r>
      <w:r w:rsidR="00FD7157" w:rsidRPr="00BB7F47">
        <w:rPr>
          <w:lang w:val="en-US"/>
        </w:rPr>
        <w:t xml:space="preserve">ing </w:t>
      </w:r>
      <w:r w:rsidR="00FD7157">
        <w:rPr>
          <w:lang w:val="en-US"/>
        </w:rPr>
        <w:t xml:space="preserve">the certification is costly </w:t>
      </w:r>
      <w:r>
        <w:rPr>
          <w:lang w:val="en-US"/>
        </w:rPr>
        <w:t>and complicated to do it on an individual basis hence only associated farmers are able to produce organic quinoa.</w:t>
      </w:r>
    </w:p>
    <w:p w:rsidR="00A971E5" w:rsidRDefault="00CE4717" w:rsidP="00FD7157">
      <w:pPr>
        <w:ind w:firstLine="720"/>
        <w:rPr>
          <w:lang w:val="en-US"/>
        </w:rPr>
      </w:pPr>
      <w:r>
        <w:rPr>
          <w:lang w:val="en-US"/>
        </w:rPr>
        <w:t xml:space="preserve">In conclusion, the increased demand for quinoa has increased the selling venues for the </w:t>
      </w:r>
      <w:r w:rsidR="009421AE">
        <w:rPr>
          <w:lang w:val="en-US"/>
        </w:rPr>
        <w:t xml:space="preserve">farmers </w:t>
      </w:r>
      <w:r>
        <w:rPr>
          <w:lang w:val="en-US"/>
        </w:rPr>
        <w:t>(as illustrated above). Al</w:t>
      </w:r>
      <w:r w:rsidR="00A971E5">
        <w:rPr>
          <w:lang w:val="en-US"/>
        </w:rPr>
        <w:t>though each one of these venues has different pay incentives the main difference is between the “</w:t>
      </w:r>
      <w:proofErr w:type="spellStart"/>
      <w:r w:rsidR="00A971E5">
        <w:rPr>
          <w:lang w:val="en-US"/>
        </w:rPr>
        <w:t>Challapata</w:t>
      </w:r>
      <w:proofErr w:type="spellEnd"/>
      <w:r w:rsidR="00A971E5">
        <w:rPr>
          <w:lang w:val="en-US"/>
        </w:rPr>
        <w:t xml:space="preserve"> Fair” and the other two venues: the producer organizations and private firms. Since:</w:t>
      </w:r>
    </w:p>
    <w:p w:rsidR="00F94C22" w:rsidRDefault="00A971E5" w:rsidP="00FD7157">
      <w:pPr>
        <w:rPr>
          <w:lang w:val="en-US"/>
        </w:rPr>
      </w:pPr>
      <w:r>
        <w:rPr>
          <w:lang w:val="en-US"/>
        </w:rPr>
        <w:t>-  the price paid at the “</w:t>
      </w:r>
      <w:proofErr w:type="spellStart"/>
      <w:r>
        <w:rPr>
          <w:lang w:val="en-US"/>
        </w:rPr>
        <w:t>Challapata</w:t>
      </w:r>
      <w:proofErr w:type="spellEnd"/>
      <w:r>
        <w:rPr>
          <w:lang w:val="en-US"/>
        </w:rPr>
        <w:t xml:space="preserve"> Fair” are lower however immediate</w:t>
      </w:r>
      <w:r w:rsidR="009421AE">
        <w:rPr>
          <w:lang w:val="en-US"/>
        </w:rPr>
        <w:t xml:space="preserve"> payment is received </w:t>
      </w:r>
      <w:r>
        <w:rPr>
          <w:lang w:val="en-US"/>
        </w:rPr>
        <w:t xml:space="preserve">, whereas with the producer organizations and private firms </w:t>
      </w:r>
    </w:p>
    <w:p w:rsidR="00A971E5" w:rsidRDefault="00A971E5" w:rsidP="00FD7157">
      <w:pPr>
        <w:rPr>
          <w:lang w:val="en-US"/>
        </w:rPr>
      </w:pPr>
      <w:r>
        <w:rPr>
          <w:lang w:val="en-US"/>
        </w:rPr>
        <w:t xml:space="preserve">- the price paid is higher yet there is a significant delay in payment. </w:t>
      </w:r>
    </w:p>
    <w:p w:rsidR="00A971E5" w:rsidRDefault="00A971E5" w:rsidP="00FD7157">
      <w:pPr>
        <w:ind w:firstLine="720"/>
        <w:rPr>
          <w:lang w:val="en-US"/>
        </w:rPr>
      </w:pPr>
      <w:r>
        <w:rPr>
          <w:lang w:val="en-US"/>
        </w:rPr>
        <w:t xml:space="preserve">On the other hand, the difference in pay incentives between the producer organizations and the private firms do not seem to </w:t>
      </w:r>
      <w:r w:rsidR="009421AE">
        <w:rPr>
          <w:lang w:val="en-US"/>
        </w:rPr>
        <w:t xml:space="preserve">be </w:t>
      </w:r>
      <w:r>
        <w:rPr>
          <w:lang w:val="en-US"/>
        </w:rPr>
        <w:t>very different, except for</w:t>
      </w:r>
    </w:p>
    <w:p w:rsidR="00A971E5" w:rsidRDefault="00A971E5" w:rsidP="00FD7157">
      <w:pPr>
        <w:rPr>
          <w:lang w:val="en-US"/>
        </w:rPr>
      </w:pPr>
      <w:r>
        <w:rPr>
          <w:lang w:val="en-US"/>
        </w:rPr>
        <w:t xml:space="preserve">- the additional payment the farmer gets for the processing of the product </w:t>
      </w:r>
    </w:p>
    <w:p w:rsidR="00A971E5" w:rsidRDefault="00A971E5" w:rsidP="00FD7157">
      <w:pPr>
        <w:rPr>
          <w:lang w:val="en-US"/>
        </w:rPr>
      </w:pPr>
      <w:r>
        <w:rPr>
          <w:lang w:val="en-US"/>
        </w:rPr>
        <w:t xml:space="preserve">- the price difference between these two player does not appear to be significant, and </w:t>
      </w:r>
    </w:p>
    <w:p w:rsidR="00A971E5" w:rsidRPr="00A971E5" w:rsidRDefault="00A971E5" w:rsidP="00FD7157">
      <w:pPr>
        <w:rPr>
          <w:lang w:val="en-US"/>
        </w:rPr>
      </w:pPr>
      <w:r>
        <w:rPr>
          <w:lang w:val="en-US"/>
        </w:rPr>
        <w:t xml:space="preserve">- the inability of the producer organizations to buy all of the quinoa from their affiliated farmers may compensate the lower price offered by the private firms </w:t>
      </w:r>
    </w:p>
    <w:p w:rsidR="00D82250" w:rsidRPr="00F47696" w:rsidRDefault="00F47696" w:rsidP="00FD7157">
      <w:pPr>
        <w:ind w:firstLine="720"/>
        <w:jc w:val="both"/>
        <w:rPr>
          <w:lang w:val="en-US"/>
        </w:rPr>
      </w:pPr>
      <w:r w:rsidRPr="00F47696">
        <w:rPr>
          <w:lang w:val="en-US"/>
        </w:rPr>
        <w:t xml:space="preserve">Concluding, although the selling venues for the farmer post the increase in the demand for its crop are greater, this does not appear to have increased the bargaining power of the farmer </w:t>
      </w:r>
      <w:r>
        <w:rPr>
          <w:lang w:val="en-US"/>
        </w:rPr>
        <w:t xml:space="preserve">significantly, </w:t>
      </w:r>
      <w:r w:rsidRPr="00F47696">
        <w:rPr>
          <w:lang w:val="en-US"/>
        </w:rPr>
        <w:t>since the two major “quinoa buyers” meaning the private firms and the prod</w:t>
      </w:r>
      <w:r>
        <w:rPr>
          <w:lang w:val="en-US"/>
        </w:rPr>
        <w:t xml:space="preserve">ucer organizations do not offer significantly different incentives. At most, the increased number of venues may allow the farmers to sell more of the quinoa production they would otherwise, however their </w:t>
      </w:r>
      <w:r>
        <w:rPr>
          <w:lang w:val="en-US"/>
        </w:rPr>
        <w:lastRenderedPageBreak/>
        <w:t xml:space="preserve">ability to bargain for higher prices or “play these two actors” (the PO’s and the private firms) seems seriously limited due to the very similar pricing incentives these two offer. </w:t>
      </w:r>
    </w:p>
    <w:p w:rsidR="00D82250" w:rsidRPr="00FD7157" w:rsidRDefault="009421AE" w:rsidP="00D82250">
      <w:pPr>
        <w:jc w:val="both"/>
        <w:rPr>
          <w:lang w:val="en-US"/>
        </w:rPr>
      </w:pPr>
      <w:r w:rsidRPr="009421AE">
        <w:rPr>
          <w:lang w:val="en-US"/>
        </w:rPr>
        <w:t xml:space="preserve">It appears that in fact, </w:t>
      </w:r>
      <w:r>
        <w:rPr>
          <w:lang w:val="en-US"/>
        </w:rPr>
        <w:t xml:space="preserve">the major impact of </w:t>
      </w:r>
      <w:r w:rsidRPr="009421AE">
        <w:rPr>
          <w:lang w:val="en-US"/>
        </w:rPr>
        <w:t>the increase</w:t>
      </w:r>
      <w:r>
        <w:rPr>
          <w:lang w:val="en-US"/>
        </w:rPr>
        <w:t>d</w:t>
      </w:r>
      <w:r w:rsidRPr="009421AE">
        <w:rPr>
          <w:lang w:val="en-US"/>
        </w:rPr>
        <w:t xml:space="preserve"> number of selling venues has </w:t>
      </w:r>
      <w:r>
        <w:rPr>
          <w:lang w:val="en-US"/>
        </w:rPr>
        <w:t xml:space="preserve">been on the bargaining power of the producer organizations in the market. </w:t>
      </w:r>
      <w:r w:rsidRPr="00FD7157">
        <w:rPr>
          <w:lang w:val="en-US"/>
        </w:rPr>
        <w:t xml:space="preserve">Next, I will illustrate the new quinoa market structure and its implications for the producer organizations and farmers. </w:t>
      </w:r>
    </w:p>
    <w:p w:rsidR="00024B62" w:rsidRPr="00F14415" w:rsidRDefault="00C7298A" w:rsidP="0042466A">
      <w:pPr>
        <w:jc w:val="both"/>
        <w:rPr>
          <w:color w:val="FF0000"/>
          <w:lang w:val="en-US"/>
        </w:rPr>
      </w:pPr>
      <w:r>
        <w:rPr>
          <w:color w:val="FF0000"/>
          <w:lang w:val="en-US"/>
        </w:rPr>
        <w:tab/>
      </w:r>
    </w:p>
    <w:p w:rsidR="002E4E2C" w:rsidRDefault="002E4E2C" w:rsidP="00FA122F">
      <w:pPr>
        <w:spacing w:after="0"/>
        <w:jc w:val="both"/>
        <w:outlineLvl w:val="0"/>
        <w:rPr>
          <w:rFonts w:ascii="Garamond" w:hAnsi="Garamond"/>
          <w:b/>
          <w:sz w:val="36"/>
          <w:szCs w:val="36"/>
          <w:lang w:val="en-US"/>
        </w:rPr>
      </w:pPr>
      <w:bookmarkStart w:id="39" w:name="_Toc342160096"/>
      <w:r>
        <w:rPr>
          <w:rFonts w:ascii="Garamond" w:hAnsi="Garamond"/>
          <w:b/>
          <w:sz w:val="36"/>
          <w:szCs w:val="36"/>
          <w:lang w:val="en-US"/>
        </w:rPr>
        <w:t>Chapter 4</w:t>
      </w:r>
    </w:p>
    <w:p w:rsidR="00D9143C" w:rsidRDefault="00C15D10" w:rsidP="00FA122F">
      <w:pPr>
        <w:spacing w:after="0"/>
        <w:jc w:val="both"/>
        <w:outlineLvl w:val="0"/>
        <w:rPr>
          <w:rFonts w:ascii="Garamond" w:hAnsi="Garamond"/>
          <w:b/>
          <w:sz w:val="36"/>
          <w:szCs w:val="36"/>
          <w:lang w:val="en-US"/>
        </w:rPr>
      </w:pPr>
      <w:r w:rsidRPr="00FA122F">
        <w:rPr>
          <w:rFonts w:ascii="Garamond" w:hAnsi="Garamond"/>
          <w:b/>
          <w:sz w:val="36"/>
          <w:szCs w:val="36"/>
          <w:lang w:val="en-US"/>
        </w:rPr>
        <w:t xml:space="preserve">New </w:t>
      </w:r>
      <w:r w:rsidR="00FD7157">
        <w:rPr>
          <w:rFonts w:ascii="Garamond" w:hAnsi="Garamond"/>
          <w:b/>
          <w:sz w:val="36"/>
          <w:szCs w:val="36"/>
          <w:lang w:val="en-US"/>
        </w:rPr>
        <w:t>p</w:t>
      </w:r>
      <w:r w:rsidRPr="00FA122F">
        <w:rPr>
          <w:rFonts w:ascii="Garamond" w:hAnsi="Garamond"/>
          <w:b/>
          <w:sz w:val="36"/>
          <w:szCs w:val="36"/>
          <w:lang w:val="en-US"/>
        </w:rPr>
        <w:t xml:space="preserve">rivate </w:t>
      </w:r>
      <w:r w:rsidR="00FD7157">
        <w:rPr>
          <w:rFonts w:ascii="Garamond" w:hAnsi="Garamond"/>
          <w:b/>
          <w:sz w:val="36"/>
          <w:szCs w:val="36"/>
          <w:lang w:val="en-US"/>
        </w:rPr>
        <w:t>p</w:t>
      </w:r>
      <w:r w:rsidRPr="00FA122F">
        <w:rPr>
          <w:rFonts w:ascii="Garamond" w:hAnsi="Garamond"/>
          <w:b/>
          <w:sz w:val="36"/>
          <w:szCs w:val="36"/>
          <w:lang w:val="en-US"/>
        </w:rPr>
        <w:t xml:space="preserve">layers </w:t>
      </w:r>
      <w:r w:rsidR="00F172C9" w:rsidRPr="00FA122F">
        <w:rPr>
          <w:rFonts w:ascii="Garamond" w:hAnsi="Garamond"/>
          <w:b/>
          <w:sz w:val="36"/>
          <w:szCs w:val="36"/>
          <w:lang w:val="en-US"/>
        </w:rPr>
        <w:t>characterize</w:t>
      </w:r>
      <w:r w:rsidRPr="00FA122F">
        <w:rPr>
          <w:rFonts w:ascii="Garamond" w:hAnsi="Garamond"/>
          <w:b/>
          <w:sz w:val="36"/>
          <w:szCs w:val="36"/>
          <w:lang w:val="en-US"/>
        </w:rPr>
        <w:t xml:space="preserve"> the </w:t>
      </w:r>
      <w:r w:rsidR="00FD7157">
        <w:rPr>
          <w:rFonts w:ascii="Garamond" w:hAnsi="Garamond"/>
          <w:b/>
          <w:sz w:val="36"/>
          <w:szCs w:val="36"/>
          <w:lang w:val="en-US"/>
        </w:rPr>
        <w:t>c</w:t>
      </w:r>
      <w:r w:rsidR="00A0461C" w:rsidRPr="00FA122F">
        <w:rPr>
          <w:rFonts w:ascii="Garamond" w:hAnsi="Garamond"/>
          <w:b/>
          <w:sz w:val="36"/>
          <w:szCs w:val="36"/>
          <w:lang w:val="en-US"/>
        </w:rPr>
        <w:t xml:space="preserve">urrent </w:t>
      </w:r>
      <w:r w:rsidR="00FD7157">
        <w:rPr>
          <w:rFonts w:ascii="Garamond" w:hAnsi="Garamond"/>
          <w:b/>
          <w:sz w:val="36"/>
          <w:szCs w:val="36"/>
          <w:lang w:val="en-US"/>
        </w:rPr>
        <w:t>q</w:t>
      </w:r>
      <w:r w:rsidRPr="00FA122F">
        <w:rPr>
          <w:rFonts w:ascii="Garamond" w:hAnsi="Garamond"/>
          <w:b/>
          <w:sz w:val="36"/>
          <w:szCs w:val="36"/>
          <w:lang w:val="en-US"/>
        </w:rPr>
        <w:t xml:space="preserve">uinoa </w:t>
      </w:r>
      <w:r w:rsidR="00FD7157">
        <w:rPr>
          <w:rFonts w:ascii="Garamond" w:hAnsi="Garamond"/>
          <w:b/>
          <w:sz w:val="36"/>
          <w:szCs w:val="36"/>
          <w:lang w:val="en-US"/>
        </w:rPr>
        <w:t>m</w:t>
      </w:r>
      <w:r w:rsidRPr="00FA122F">
        <w:rPr>
          <w:rFonts w:ascii="Garamond" w:hAnsi="Garamond"/>
          <w:b/>
          <w:sz w:val="36"/>
          <w:szCs w:val="36"/>
          <w:lang w:val="en-US"/>
        </w:rPr>
        <w:t xml:space="preserve">arket </w:t>
      </w:r>
      <w:r w:rsidR="00FD7157">
        <w:rPr>
          <w:rFonts w:ascii="Garamond" w:hAnsi="Garamond"/>
          <w:b/>
          <w:sz w:val="36"/>
          <w:szCs w:val="36"/>
          <w:lang w:val="en-US"/>
        </w:rPr>
        <w:t>s</w:t>
      </w:r>
      <w:r w:rsidRPr="00FA122F">
        <w:rPr>
          <w:rFonts w:ascii="Garamond" w:hAnsi="Garamond"/>
          <w:b/>
          <w:sz w:val="36"/>
          <w:szCs w:val="36"/>
          <w:lang w:val="en-US"/>
        </w:rPr>
        <w:t>tructure</w:t>
      </w:r>
      <w:bookmarkEnd w:id="39"/>
      <w:r w:rsidRPr="00FA122F">
        <w:rPr>
          <w:rFonts w:ascii="Garamond" w:hAnsi="Garamond"/>
          <w:b/>
          <w:sz w:val="36"/>
          <w:szCs w:val="36"/>
          <w:lang w:val="en-US"/>
        </w:rPr>
        <w:t xml:space="preserve"> </w:t>
      </w:r>
    </w:p>
    <w:p w:rsidR="00FD7157" w:rsidRPr="00FA122F" w:rsidRDefault="00FD7157" w:rsidP="00FA122F">
      <w:pPr>
        <w:spacing w:after="0"/>
        <w:jc w:val="both"/>
        <w:outlineLvl w:val="0"/>
        <w:rPr>
          <w:rFonts w:ascii="Garamond" w:hAnsi="Garamond"/>
          <w:b/>
          <w:sz w:val="36"/>
          <w:szCs w:val="36"/>
          <w:lang w:val="en-US"/>
        </w:rPr>
      </w:pPr>
    </w:p>
    <w:p w:rsidR="00391392" w:rsidRPr="00223914" w:rsidRDefault="002C3A85" w:rsidP="00FD7157">
      <w:pPr>
        <w:ind w:firstLine="720"/>
        <w:jc w:val="both"/>
        <w:rPr>
          <w:lang w:val="en-US"/>
        </w:rPr>
      </w:pPr>
      <w:r w:rsidRPr="00223914">
        <w:rPr>
          <w:lang w:val="en-US"/>
        </w:rPr>
        <w:t xml:space="preserve">In </w:t>
      </w:r>
      <w:r w:rsidRPr="001E1C9C">
        <w:rPr>
          <w:lang w:val="en-US"/>
        </w:rPr>
        <w:t>addition</w:t>
      </w:r>
      <w:r w:rsidR="00391392" w:rsidRPr="001E1C9C">
        <w:rPr>
          <w:lang w:val="en-US"/>
        </w:rPr>
        <w:t xml:space="preserve"> to </w:t>
      </w:r>
      <w:r w:rsidR="00391392" w:rsidRPr="00223914">
        <w:rPr>
          <w:lang w:val="en-US"/>
        </w:rPr>
        <w:t xml:space="preserve">the spike in the value and volume of the transactions related to the quinoa market (as shown earlier), the increased demand for this grain has led to the entry of </w:t>
      </w:r>
      <w:r w:rsidR="003B57FE" w:rsidRPr="00223914">
        <w:rPr>
          <w:lang w:val="en-US"/>
        </w:rPr>
        <w:t>new actors</w:t>
      </w:r>
      <w:r w:rsidR="00A0461C" w:rsidRPr="00223914">
        <w:rPr>
          <w:lang w:val="en-US"/>
        </w:rPr>
        <w:t xml:space="preserve"> to the quinoa value chain</w:t>
      </w:r>
      <w:r w:rsidR="003B57FE" w:rsidRPr="00223914">
        <w:rPr>
          <w:lang w:val="en-US"/>
        </w:rPr>
        <w:t xml:space="preserve"> in the form of private firms  seduced by the potential profits its market </w:t>
      </w:r>
      <w:r w:rsidR="00391392" w:rsidRPr="00223914">
        <w:rPr>
          <w:lang w:val="en-US"/>
        </w:rPr>
        <w:t>appear</w:t>
      </w:r>
      <w:r w:rsidR="003B57FE" w:rsidRPr="00223914">
        <w:rPr>
          <w:lang w:val="en-US"/>
        </w:rPr>
        <w:t>s to offer</w:t>
      </w:r>
      <w:r w:rsidR="00391392" w:rsidRPr="00223914">
        <w:rPr>
          <w:lang w:val="en-US"/>
        </w:rPr>
        <w:t xml:space="preserve">. </w:t>
      </w:r>
    </w:p>
    <w:p w:rsidR="00C27306" w:rsidRPr="00223914" w:rsidRDefault="00DA3D2B" w:rsidP="00E06E16">
      <w:pPr>
        <w:ind w:firstLine="720"/>
        <w:jc w:val="both"/>
        <w:rPr>
          <w:color w:val="FF0000"/>
          <w:lang w:val="en-US"/>
        </w:rPr>
      </w:pPr>
      <w:r w:rsidRPr="00223914">
        <w:rPr>
          <w:lang w:val="en-US"/>
        </w:rPr>
        <w:t>This has implied the loss of the quasi monopoly the producer organizations held in the market for organic quinoa exports up until the late 1990’</w:t>
      </w:r>
      <w:r w:rsidR="00154F1E" w:rsidRPr="00223914">
        <w:rPr>
          <w:lang w:val="en-US"/>
        </w:rPr>
        <w:t xml:space="preserve">s </w:t>
      </w:r>
      <w:r w:rsidRPr="00223914">
        <w:rPr>
          <w:lang w:val="en-US"/>
        </w:rPr>
        <w:t>which consequently has</w:t>
      </w:r>
      <w:r w:rsidR="00154F1E" w:rsidRPr="00223914">
        <w:rPr>
          <w:lang w:val="en-US"/>
        </w:rPr>
        <w:t xml:space="preserve"> meant the loss of market share</w:t>
      </w:r>
      <w:r w:rsidR="00154F1E" w:rsidRPr="001E1C9C">
        <w:rPr>
          <w:lang w:val="en-US"/>
        </w:rPr>
        <w:t>, to be shown.</w:t>
      </w:r>
    </w:p>
    <w:p w:rsidR="003B57FE" w:rsidRPr="00E06E16" w:rsidRDefault="002927F5" w:rsidP="00E06E16">
      <w:pPr>
        <w:jc w:val="both"/>
        <w:outlineLvl w:val="1"/>
        <w:rPr>
          <w:rFonts w:ascii="Garamond" w:hAnsi="Garamond"/>
          <w:b/>
          <w:color w:val="FF0000"/>
          <w:sz w:val="32"/>
          <w:szCs w:val="32"/>
          <w:u w:val="single"/>
          <w:lang w:val="en-US"/>
        </w:rPr>
      </w:pPr>
      <w:bookmarkStart w:id="40" w:name="_Toc342160097"/>
      <w:r>
        <w:rPr>
          <w:rFonts w:ascii="Garamond" w:hAnsi="Garamond"/>
          <w:b/>
          <w:sz w:val="32"/>
          <w:szCs w:val="32"/>
          <w:u w:val="single"/>
          <w:lang w:val="en-US"/>
        </w:rPr>
        <w:t xml:space="preserve">a) </w:t>
      </w:r>
      <w:r w:rsidR="003B57FE" w:rsidRPr="00E06E16">
        <w:rPr>
          <w:rFonts w:ascii="Garamond" w:hAnsi="Garamond"/>
          <w:b/>
          <w:sz w:val="32"/>
          <w:szCs w:val="32"/>
          <w:u w:val="single"/>
          <w:lang w:val="en-US"/>
        </w:rPr>
        <w:t>Loss of Monopoly</w:t>
      </w:r>
      <w:bookmarkEnd w:id="40"/>
    </w:p>
    <w:p w:rsidR="00D1614B" w:rsidRPr="00223914" w:rsidRDefault="00D1614B" w:rsidP="00D1614B">
      <w:pPr>
        <w:jc w:val="both"/>
        <w:rPr>
          <w:lang w:val="en-US"/>
        </w:rPr>
      </w:pPr>
      <w:r w:rsidRPr="00FD7157">
        <w:rPr>
          <w:lang w:val="en-US"/>
        </w:rPr>
        <w:t xml:space="preserve">According to </w:t>
      </w:r>
      <w:proofErr w:type="spellStart"/>
      <w:r w:rsidR="00263EF8" w:rsidRPr="00FD7157">
        <w:rPr>
          <w:lang w:val="en-US"/>
        </w:rPr>
        <w:t>Raynolds</w:t>
      </w:r>
      <w:proofErr w:type="spellEnd"/>
      <w:r w:rsidR="00263EF8" w:rsidRPr="00FD7157">
        <w:rPr>
          <w:lang w:val="en-US"/>
        </w:rPr>
        <w:t xml:space="preserve"> </w:t>
      </w:r>
      <w:r w:rsidRPr="00FD7157">
        <w:rPr>
          <w:lang w:val="en-US"/>
        </w:rPr>
        <w:t xml:space="preserve">(2007), the </w:t>
      </w:r>
      <w:r w:rsidRPr="00223914">
        <w:rPr>
          <w:lang w:val="en-US"/>
        </w:rPr>
        <w:t xml:space="preserve">producer organizations pretty much had a monopoly over the Bolivian quinoa exports during the 1990’s. Specifically, by 1998 between ANAPQUI and CECAOT the producer organizations had a 78% share of the export market. ANAPQUI held a market share of 57% while CECAOT’s reached a 21%. Together these two producer organizations had almost 4/5 of the total market for quinoa exports. </w:t>
      </w:r>
    </w:p>
    <w:p w:rsidR="00173449" w:rsidRDefault="00173449" w:rsidP="00213C39">
      <w:pPr>
        <w:jc w:val="center"/>
        <w:rPr>
          <w:b/>
          <w:i/>
          <w:lang w:val="en-US"/>
        </w:rPr>
      </w:pPr>
    </w:p>
    <w:p w:rsidR="002C3A85" w:rsidRDefault="00213C39" w:rsidP="003B57FE">
      <w:pPr>
        <w:jc w:val="both"/>
        <w:rPr>
          <w:i/>
          <w:color w:val="FF0000"/>
          <w:lang w:val="en-US"/>
        </w:rPr>
      </w:pPr>
      <w:r>
        <w:rPr>
          <w:i/>
          <w:noProof/>
          <w:color w:val="FF0000"/>
          <w:lang w:val="en-US"/>
        </w:rPr>
        <w:lastRenderedPageBreak/>
        <w:drawing>
          <wp:inline distT="0" distB="0" distL="0" distR="0" wp14:anchorId="19E197BA" wp14:editId="7E868C04">
            <wp:extent cx="5486400" cy="3200400"/>
            <wp:effectExtent l="0" t="0" r="19050" b="1905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5F131E" w:rsidRPr="00874FB2" w:rsidRDefault="002D1E64" w:rsidP="005F131E">
      <w:pPr>
        <w:jc w:val="center"/>
        <w:rPr>
          <w:b/>
          <w:i/>
          <w:lang w:val="en-US"/>
        </w:rPr>
      </w:pPr>
      <w:bookmarkStart w:id="41" w:name="_Ref342157935"/>
      <w:r>
        <w:rPr>
          <w:b/>
          <w:i/>
          <w:lang w:val="en-US"/>
        </w:rPr>
        <w:t xml:space="preserve">Figure 8: Market </w:t>
      </w:r>
      <w:r w:rsidR="005F131E" w:rsidRPr="00874FB2">
        <w:rPr>
          <w:b/>
          <w:i/>
          <w:lang w:val="en-US"/>
        </w:rPr>
        <w:t>share by the producer organizations before the entry of new private firms.</w:t>
      </w:r>
      <w:bookmarkEnd w:id="41"/>
    </w:p>
    <w:p w:rsidR="00B10C91" w:rsidRPr="00223914" w:rsidRDefault="00B10C91" w:rsidP="00C51246">
      <w:pPr>
        <w:jc w:val="both"/>
        <w:rPr>
          <w:b/>
          <w:color w:val="FF0000"/>
          <w:lang w:val="en-US"/>
        </w:rPr>
      </w:pPr>
    </w:p>
    <w:p w:rsidR="00C51246" w:rsidRPr="00223914" w:rsidRDefault="00C51246" w:rsidP="00E06E16">
      <w:pPr>
        <w:ind w:firstLine="720"/>
        <w:jc w:val="both"/>
        <w:rPr>
          <w:lang w:val="en-US"/>
        </w:rPr>
      </w:pPr>
      <w:r w:rsidRPr="00223914">
        <w:rPr>
          <w:lang w:val="en-US"/>
        </w:rPr>
        <w:t>However, the following year in 1999, the share of the export market of quinoa by the producer organizations would start to fall which coincides with the entering of private firms in the quinoa value chain</w:t>
      </w:r>
      <w:r w:rsidR="002A1CD6" w:rsidRPr="00223914">
        <w:rPr>
          <w:lang w:val="en-US"/>
        </w:rPr>
        <w:t>, as illustrated below:</w:t>
      </w:r>
      <w:r w:rsidRPr="00223914">
        <w:rPr>
          <w:lang w:val="en-US"/>
        </w:rPr>
        <w:t xml:space="preserve">   </w:t>
      </w:r>
    </w:p>
    <w:p w:rsidR="00C51246" w:rsidRDefault="00C51246" w:rsidP="00C51246">
      <w:pPr>
        <w:jc w:val="both"/>
        <w:rPr>
          <w:i/>
          <w:lang w:val="en-US"/>
        </w:rPr>
      </w:pPr>
    </w:p>
    <w:p w:rsidR="00C51246" w:rsidRDefault="00C51246" w:rsidP="00C51246">
      <w:pPr>
        <w:jc w:val="both"/>
        <w:rPr>
          <w:i/>
          <w:lang w:val="en-US"/>
        </w:rPr>
      </w:pPr>
    </w:p>
    <w:p w:rsidR="00C51246" w:rsidRDefault="00C51246" w:rsidP="00C51246">
      <w:pPr>
        <w:jc w:val="both"/>
        <w:rPr>
          <w:i/>
          <w:lang w:val="en-US"/>
        </w:rPr>
      </w:pPr>
    </w:p>
    <w:p w:rsidR="0066039F" w:rsidRPr="00712B0D" w:rsidRDefault="00730A37" w:rsidP="00712B0D">
      <w:pPr>
        <w:jc w:val="center"/>
        <w:rPr>
          <w:b/>
          <w:i/>
          <w:lang w:val="en-US"/>
        </w:rPr>
      </w:pPr>
      <w:r w:rsidRPr="0066039F">
        <w:rPr>
          <w:i/>
          <w:noProof/>
          <w:color w:val="FF0000"/>
          <w:lang w:val="en-US"/>
        </w:rPr>
        <w:lastRenderedPageBreak/>
        <w:drawing>
          <wp:anchor distT="0" distB="0" distL="114300" distR="114300" simplePos="0" relativeHeight="251663360" behindDoc="0" locked="0" layoutInCell="1" allowOverlap="1" wp14:anchorId="0AB6604E" wp14:editId="11994490">
            <wp:simplePos x="0" y="0"/>
            <wp:positionH relativeFrom="column">
              <wp:posOffset>-336550</wp:posOffset>
            </wp:positionH>
            <wp:positionV relativeFrom="paragraph">
              <wp:posOffset>692150</wp:posOffset>
            </wp:positionV>
            <wp:extent cx="6650355" cy="3200400"/>
            <wp:effectExtent l="0" t="0" r="17145" b="19050"/>
            <wp:wrapSquare wrapText="bothSides"/>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p>
    <w:p w:rsidR="004C4D2E" w:rsidRPr="00E61A7D" w:rsidRDefault="004C4D2E" w:rsidP="0066039F">
      <w:pPr>
        <w:jc w:val="both"/>
        <w:rPr>
          <w:lang w:val="en-US"/>
        </w:rPr>
      </w:pPr>
    </w:p>
    <w:p w:rsidR="00173449" w:rsidRPr="00173449" w:rsidRDefault="00A26AAC" w:rsidP="003B57FE">
      <w:pPr>
        <w:jc w:val="both"/>
        <w:rPr>
          <w:lang w:val="en-US"/>
        </w:rPr>
      </w:pPr>
      <w:r>
        <w:rPr>
          <w:noProof/>
          <w:lang w:val="en-US"/>
        </w:rPr>
        <mc:AlternateContent>
          <mc:Choice Requires="wps">
            <w:drawing>
              <wp:anchor distT="0" distB="0" distL="114300" distR="114300" simplePos="0" relativeHeight="251674624" behindDoc="0" locked="0" layoutInCell="1" allowOverlap="1" wp14:anchorId="3FE812F1" wp14:editId="452B7E18">
                <wp:simplePos x="0" y="0"/>
                <wp:positionH relativeFrom="column">
                  <wp:posOffset>-338455</wp:posOffset>
                </wp:positionH>
                <wp:positionV relativeFrom="paragraph">
                  <wp:posOffset>3324860</wp:posOffset>
                </wp:positionV>
                <wp:extent cx="6650355" cy="635"/>
                <wp:effectExtent l="0" t="0" r="0" b="6985"/>
                <wp:wrapSquare wrapText="bothSides"/>
                <wp:docPr id="28" name="Text Box 28"/>
                <wp:cNvGraphicFramePr/>
                <a:graphic xmlns:a="http://schemas.openxmlformats.org/drawingml/2006/main">
                  <a:graphicData uri="http://schemas.microsoft.com/office/word/2010/wordprocessingShape">
                    <wps:wsp>
                      <wps:cNvSpPr txBox="1"/>
                      <wps:spPr>
                        <a:xfrm>
                          <a:off x="0" y="0"/>
                          <a:ext cx="6650355" cy="635"/>
                        </a:xfrm>
                        <a:prstGeom prst="rect">
                          <a:avLst/>
                        </a:prstGeom>
                        <a:solidFill>
                          <a:prstClr val="white"/>
                        </a:solidFill>
                        <a:ln>
                          <a:noFill/>
                        </a:ln>
                        <a:effectLst/>
                      </wps:spPr>
                      <wps:txbx>
                        <w:txbxContent>
                          <w:p w:rsidR="00341B71" w:rsidRPr="00BB7F47" w:rsidRDefault="00341B71" w:rsidP="00FA122F">
                            <w:pPr>
                              <w:pStyle w:val="Caption"/>
                              <w:jc w:val="center"/>
                              <w:rPr>
                                <w:noProof/>
                                <w:color w:val="auto"/>
                                <w:lang w:val="en-US"/>
                              </w:rPr>
                            </w:pPr>
                            <w:r w:rsidRPr="00BB7F47">
                              <w:rPr>
                                <w:color w:val="auto"/>
                                <w:sz w:val="22"/>
                                <w:szCs w:val="22"/>
                                <w:lang w:val="en-US"/>
                              </w:rPr>
                              <w:t xml:space="preserve">Figure </w:t>
                            </w:r>
                            <w:r w:rsidRPr="00BB7F47">
                              <w:rPr>
                                <w:color w:val="auto"/>
                                <w:sz w:val="22"/>
                                <w:szCs w:val="22"/>
                              </w:rPr>
                              <w:fldChar w:fldCharType="begin"/>
                            </w:r>
                            <w:r w:rsidRPr="00BB7F47">
                              <w:rPr>
                                <w:color w:val="auto"/>
                                <w:sz w:val="22"/>
                                <w:szCs w:val="22"/>
                                <w:lang w:val="en-US"/>
                              </w:rPr>
                              <w:instrText xml:space="preserve"> SEQ Figure \* ARABIC </w:instrText>
                            </w:r>
                            <w:r w:rsidRPr="00BB7F47">
                              <w:rPr>
                                <w:color w:val="auto"/>
                                <w:sz w:val="22"/>
                                <w:szCs w:val="22"/>
                              </w:rPr>
                              <w:fldChar w:fldCharType="separate"/>
                            </w:r>
                            <w:r w:rsidRPr="00BB7F47">
                              <w:rPr>
                                <w:noProof/>
                                <w:color w:val="auto"/>
                                <w:sz w:val="22"/>
                                <w:szCs w:val="22"/>
                                <w:lang w:val="en-US"/>
                              </w:rPr>
                              <w:t>9</w:t>
                            </w:r>
                            <w:r w:rsidRPr="00BB7F47">
                              <w:rPr>
                                <w:color w:val="auto"/>
                                <w:sz w:val="22"/>
                                <w:szCs w:val="22"/>
                              </w:rPr>
                              <w:fldChar w:fldCharType="end"/>
                            </w:r>
                            <w:r w:rsidRPr="00BB7F47">
                              <w:rPr>
                                <w:i/>
                                <w:color w:val="auto"/>
                                <w:sz w:val="22"/>
                                <w:szCs w:val="22"/>
                                <w:lang w:val="en-US"/>
                              </w:rPr>
                              <w:t>: Evolution of Quinoa Exporters between 1990 and 2004.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28" o:spid="_x0000_s1028" type="#_x0000_t202" style="position:absolute;left:0;text-align:left;margin-left:-26.65pt;margin-top:261.8pt;width:523.65pt;height:.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" stroked="f">
                <v:textbox style="mso-fit-shape-to-text:t" inset="0,0,0,0">
                  <w:txbxContent>
                    <w:p w:rsidR="00FA122F" w:rsidRPr="00BB7F47" w:rsidRDefault="00FA122F" w:rsidP="00FA122F">
                      <w:pPr>
                        <w:pStyle w:val="Caption"/>
                        <w:jc w:val="center"/>
                        <w:rPr>
                          <w:noProof/>
                          <w:color w:val="auto"/>
                          <w:lang w:val="en-US"/>
                        </w:rPr>
                      </w:pPr>
                      <w:r w:rsidRPr="00BB7F47">
                        <w:rPr>
                          <w:color w:val="auto"/>
                          <w:sz w:val="22"/>
                          <w:szCs w:val="22"/>
                          <w:lang w:val="en-US"/>
                        </w:rPr>
                        <w:t xml:space="preserve">Figure </w:t>
                      </w:r>
                      <w:r w:rsidRPr="00BB7F47">
                        <w:rPr>
                          <w:color w:val="auto"/>
                          <w:sz w:val="22"/>
                          <w:szCs w:val="22"/>
                        </w:rPr>
                        <w:fldChar w:fldCharType="begin"/>
                      </w:r>
                      <w:r w:rsidRPr="00BB7F47">
                        <w:rPr>
                          <w:color w:val="auto"/>
                          <w:sz w:val="22"/>
                          <w:szCs w:val="22"/>
                          <w:lang w:val="en-US"/>
                        </w:rPr>
                        <w:instrText xml:space="preserve"> SEQ Figure \* ARABIC </w:instrText>
                      </w:r>
                      <w:r w:rsidRPr="00BB7F47">
                        <w:rPr>
                          <w:color w:val="auto"/>
                          <w:sz w:val="22"/>
                          <w:szCs w:val="22"/>
                        </w:rPr>
                        <w:fldChar w:fldCharType="separate"/>
                      </w:r>
                      <w:r w:rsidRPr="00BB7F47">
                        <w:rPr>
                          <w:noProof/>
                          <w:color w:val="auto"/>
                          <w:sz w:val="22"/>
                          <w:szCs w:val="22"/>
                          <w:lang w:val="en-US"/>
                        </w:rPr>
                        <w:t>9</w:t>
                      </w:r>
                      <w:r w:rsidRPr="00BB7F47">
                        <w:rPr>
                          <w:color w:val="auto"/>
                          <w:sz w:val="22"/>
                          <w:szCs w:val="22"/>
                        </w:rPr>
                        <w:fldChar w:fldCharType="end"/>
                      </w:r>
                      <w:r w:rsidRPr="00BB7F47">
                        <w:rPr>
                          <w:i/>
                          <w:color w:val="auto"/>
                          <w:sz w:val="22"/>
                          <w:szCs w:val="22"/>
                          <w:lang w:val="en-US"/>
                        </w:rPr>
                        <w:t>: Evolution of Quinoa Exporters between 1990 and 2004.</w:t>
                      </w:r>
                    </w:p>
                  </w:txbxContent>
                </v:textbox>
                <w10:wrap type="square"/>
              </v:shape>
            </w:pict>
          </mc:Fallback>
        </mc:AlternateContent>
      </w:r>
      <w:r w:rsidR="00173449" w:rsidRPr="00173449">
        <w:rPr>
          <w:lang w:val="en-US"/>
        </w:rPr>
        <w:t xml:space="preserve">*Source: </w:t>
      </w:r>
      <w:r w:rsidR="00173449">
        <w:rPr>
          <w:lang w:val="en-US"/>
        </w:rPr>
        <w:t xml:space="preserve">(Laguna 2005, as </w:t>
      </w:r>
      <w:r w:rsidR="00173449" w:rsidRPr="00FD7157">
        <w:rPr>
          <w:lang w:val="en-US"/>
        </w:rPr>
        <w:t>cited in Ton 2006).</w:t>
      </w:r>
    </w:p>
    <w:p w:rsidR="00173449" w:rsidRDefault="00173449" w:rsidP="003B57FE">
      <w:pPr>
        <w:jc w:val="both"/>
        <w:rPr>
          <w:b/>
          <w:i/>
          <w:u w:val="single"/>
          <w:lang w:val="en-US"/>
        </w:rPr>
      </w:pPr>
    </w:p>
    <w:p w:rsidR="003B57FE" w:rsidRPr="00E06E16" w:rsidRDefault="00462694" w:rsidP="00E06E16">
      <w:pPr>
        <w:pStyle w:val="Heading2"/>
        <w:rPr>
          <w:i/>
          <w:sz w:val="32"/>
          <w:szCs w:val="32"/>
          <w:u w:val="single"/>
          <w:lang w:val="en-US"/>
        </w:rPr>
      </w:pPr>
      <w:bookmarkStart w:id="42" w:name="_Toc342160074"/>
      <w:bookmarkStart w:id="43" w:name="_Toc342160098"/>
      <w:r w:rsidRPr="00E06E16">
        <w:rPr>
          <w:i/>
          <w:color w:val="auto"/>
          <w:sz w:val="32"/>
          <w:szCs w:val="32"/>
          <w:u w:val="single"/>
          <w:lang w:val="en-US"/>
        </w:rPr>
        <w:t xml:space="preserve">b) </w:t>
      </w:r>
      <w:r w:rsidR="003B57FE" w:rsidRPr="00E06E16">
        <w:rPr>
          <w:i/>
          <w:color w:val="auto"/>
          <w:sz w:val="32"/>
          <w:szCs w:val="32"/>
          <w:u w:val="single"/>
          <w:lang w:val="en-US"/>
        </w:rPr>
        <w:t>Loss of Market Share</w:t>
      </w:r>
      <w:bookmarkEnd w:id="42"/>
      <w:bookmarkEnd w:id="43"/>
      <w:r w:rsidR="003B57FE" w:rsidRPr="00E06E16">
        <w:rPr>
          <w:i/>
          <w:color w:val="auto"/>
          <w:sz w:val="32"/>
          <w:szCs w:val="32"/>
          <w:u w:val="single"/>
          <w:lang w:val="en-US"/>
        </w:rPr>
        <w:t xml:space="preserve"> </w:t>
      </w:r>
    </w:p>
    <w:p w:rsidR="00C22E1A" w:rsidRDefault="00C22E1A" w:rsidP="003B57FE">
      <w:pPr>
        <w:jc w:val="both"/>
        <w:rPr>
          <w:lang w:val="en-US"/>
        </w:rPr>
      </w:pPr>
    </w:p>
    <w:p w:rsidR="003B57FE" w:rsidRPr="00223914" w:rsidRDefault="003B57FE" w:rsidP="003B57FE">
      <w:pPr>
        <w:jc w:val="both"/>
        <w:rPr>
          <w:lang w:val="en-US"/>
        </w:rPr>
      </w:pPr>
      <w:r w:rsidRPr="00223914">
        <w:rPr>
          <w:lang w:val="en-US"/>
        </w:rPr>
        <w:t xml:space="preserve">The entrance of private firms in the Quinoa Value Chain represented a definite market loss by the producer organizations to the private firms. While in 1998, the producer organizations held a market share over the quinoa exports of 78%, by 2004 this percentage had reduced to 34%. Currently according to the Bolivian Chamber of Royal Quinoa and Organic Product Exporters (CABOLQUI), the private firms hold 70% of the market for quinoa exports leaving the remaining 30% in the balance sheets of the producer organizations. </w:t>
      </w:r>
    </w:p>
    <w:p w:rsidR="006744BF" w:rsidRDefault="006744BF" w:rsidP="003B57FE">
      <w:pPr>
        <w:jc w:val="both"/>
        <w:rPr>
          <w:i/>
          <w:lang w:val="en-US"/>
        </w:rPr>
      </w:pPr>
    </w:p>
    <w:p w:rsidR="006744BF" w:rsidRDefault="006744BF" w:rsidP="003B57FE">
      <w:pPr>
        <w:jc w:val="both"/>
        <w:rPr>
          <w:i/>
          <w:lang w:val="en-US"/>
        </w:rPr>
      </w:pPr>
    </w:p>
    <w:p w:rsidR="006744BF" w:rsidRDefault="006744BF" w:rsidP="003B57FE">
      <w:pPr>
        <w:jc w:val="both"/>
        <w:rPr>
          <w:i/>
          <w:lang w:val="en-US"/>
        </w:rPr>
      </w:pPr>
    </w:p>
    <w:p w:rsidR="006744BF" w:rsidRDefault="006744BF" w:rsidP="003B57FE">
      <w:pPr>
        <w:jc w:val="both"/>
        <w:rPr>
          <w:i/>
          <w:lang w:val="en-US"/>
        </w:rPr>
      </w:pPr>
    </w:p>
    <w:p w:rsidR="00A26AAC" w:rsidRDefault="003B57FE">
      <w:pPr>
        <w:keepNext/>
        <w:jc w:val="both"/>
      </w:pPr>
      <w:r w:rsidRPr="003B57FE">
        <w:rPr>
          <w:i/>
          <w:noProof/>
          <w:lang w:val="en-US"/>
        </w:rPr>
        <w:lastRenderedPageBreak/>
        <w:drawing>
          <wp:inline distT="0" distB="0" distL="0" distR="0" wp14:anchorId="309130B1" wp14:editId="4D05C533">
            <wp:extent cx="5486400" cy="3200400"/>
            <wp:effectExtent l="0" t="0" r="19050" b="1905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791868" w:rsidRDefault="00A26AAC" w:rsidP="00FA122F">
      <w:pPr>
        <w:jc w:val="both"/>
        <w:rPr>
          <w:lang w:val="en-US"/>
        </w:rPr>
      </w:pPr>
      <w:r w:rsidRPr="00FA122F">
        <w:rPr>
          <w:b/>
          <w:lang w:val="en-US"/>
        </w:rPr>
        <w:t>Figure</w:t>
      </w:r>
      <w:r w:rsidR="00943BA3" w:rsidRPr="00FA122F">
        <w:rPr>
          <w:b/>
          <w:lang w:val="en-US"/>
        </w:rPr>
        <w:t xml:space="preserve"> 9</w:t>
      </w:r>
      <w:r w:rsidRPr="00A26AAC">
        <w:rPr>
          <w:b/>
          <w:i/>
          <w:lang w:val="en-US"/>
        </w:rPr>
        <w:t>: Evolution</w:t>
      </w:r>
      <w:r w:rsidRPr="001D2A1F">
        <w:rPr>
          <w:b/>
          <w:i/>
          <w:lang w:val="en-US"/>
        </w:rPr>
        <w:t xml:space="preserve"> of the quinoa export market share by the PO’s between 1998 and 2011.</w:t>
      </w:r>
    </w:p>
    <w:p w:rsidR="000A62B5" w:rsidRPr="00223914" w:rsidRDefault="00D531FF" w:rsidP="00E06E16">
      <w:pPr>
        <w:ind w:firstLine="720"/>
        <w:jc w:val="both"/>
        <w:rPr>
          <w:lang w:val="en-US"/>
        </w:rPr>
      </w:pPr>
      <w:r w:rsidRPr="00223914">
        <w:rPr>
          <w:lang w:val="en-US"/>
        </w:rPr>
        <w:t>In conclusion</w:t>
      </w:r>
      <w:r w:rsidR="006E4F3B" w:rsidRPr="00223914">
        <w:rPr>
          <w:lang w:val="en-US"/>
        </w:rPr>
        <w:t>, the increased demand for quinoa encouraged the immersion of new actors in the form of private firms to the Quinoa Value Chain, lured by the potential profits its market appears to offer.</w:t>
      </w:r>
      <w:r w:rsidR="00E650CF" w:rsidRPr="00223914">
        <w:rPr>
          <w:lang w:val="en-US"/>
        </w:rPr>
        <w:t xml:space="preserve"> </w:t>
      </w:r>
      <w:r w:rsidR="00D1614B" w:rsidRPr="00223914">
        <w:rPr>
          <w:lang w:val="en-US"/>
        </w:rPr>
        <w:t xml:space="preserve">The entry of </w:t>
      </w:r>
      <w:r w:rsidR="006E4F3B" w:rsidRPr="00223914">
        <w:rPr>
          <w:lang w:val="en-US"/>
        </w:rPr>
        <w:t xml:space="preserve">these new </w:t>
      </w:r>
      <w:r w:rsidR="00D1614B" w:rsidRPr="00223914">
        <w:rPr>
          <w:lang w:val="en-US"/>
        </w:rPr>
        <w:t xml:space="preserve">private firms </w:t>
      </w:r>
      <w:r w:rsidR="006E4F3B" w:rsidRPr="00223914">
        <w:rPr>
          <w:lang w:val="en-US"/>
        </w:rPr>
        <w:t>represented</w:t>
      </w:r>
      <w:r w:rsidR="00B01D97" w:rsidRPr="00223914">
        <w:rPr>
          <w:lang w:val="en-US"/>
        </w:rPr>
        <w:t xml:space="preserve"> a dramatic altering event for the chain which</w:t>
      </w:r>
      <w:r w:rsidR="006E4F3B" w:rsidRPr="00223914">
        <w:rPr>
          <w:lang w:val="en-US"/>
        </w:rPr>
        <w:t xml:space="preserve"> brought competition to its market structure displacing the quasi-monopoly the producer organizations had up until the mid-1990’s. Furthermore, the new private firms established more business oriented practices in the chain</w:t>
      </w:r>
      <w:r w:rsidRPr="00223914">
        <w:rPr>
          <w:lang w:val="en-US"/>
        </w:rPr>
        <w:t>,</w:t>
      </w:r>
      <w:r w:rsidR="006E4F3B" w:rsidRPr="00223914">
        <w:rPr>
          <w:lang w:val="en-US"/>
        </w:rPr>
        <w:t xml:space="preserve"> such as vertical integration strategies and contract models</w:t>
      </w:r>
      <w:r w:rsidR="0040096C" w:rsidRPr="00223914">
        <w:rPr>
          <w:lang w:val="en-US"/>
        </w:rPr>
        <w:t xml:space="preserve">. The combination of these factors have made the Quinoa Value Chain more complex and have reorganized its governance structure with impacts upstream in addition to new downstream </w:t>
      </w:r>
      <w:r w:rsidR="0040096C" w:rsidRPr="002F491C">
        <w:rPr>
          <w:lang w:val="en-US"/>
        </w:rPr>
        <w:t>relations (</w:t>
      </w:r>
      <w:r w:rsidR="002F491C" w:rsidRPr="002F491C">
        <w:rPr>
          <w:lang w:val="en-US"/>
        </w:rPr>
        <w:t>Laguna 2006</w:t>
      </w:r>
      <w:r w:rsidR="0040096C" w:rsidRPr="002F491C">
        <w:rPr>
          <w:lang w:val="en-US"/>
        </w:rPr>
        <w:t>).</w:t>
      </w:r>
    </w:p>
    <w:p w:rsidR="006744BF" w:rsidRPr="00223914" w:rsidRDefault="000A62B5" w:rsidP="00E06E16">
      <w:pPr>
        <w:ind w:firstLine="720"/>
        <w:jc w:val="both"/>
        <w:rPr>
          <w:lang w:val="en-US"/>
        </w:rPr>
      </w:pPr>
      <w:r w:rsidRPr="00223914">
        <w:rPr>
          <w:lang w:val="en-US"/>
        </w:rPr>
        <w:t>T</w:t>
      </w:r>
      <w:r w:rsidR="006E4F3B" w:rsidRPr="00223914">
        <w:rPr>
          <w:lang w:val="en-US"/>
        </w:rPr>
        <w:t xml:space="preserve">his new </w:t>
      </w:r>
      <w:r w:rsidRPr="00223914">
        <w:rPr>
          <w:lang w:val="en-US"/>
        </w:rPr>
        <w:t xml:space="preserve">organization of the quinoa market structure has implications for </w:t>
      </w:r>
      <w:r w:rsidR="006E4F3B" w:rsidRPr="00223914">
        <w:rPr>
          <w:lang w:val="en-US"/>
        </w:rPr>
        <w:t xml:space="preserve">some aspects of the farmers’ income </w:t>
      </w:r>
      <w:r w:rsidRPr="00223914">
        <w:rPr>
          <w:lang w:val="en-US"/>
        </w:rPr>
        <w:t xml:space="preserve">which will be </w:t>
      </w:r>
      <w:r w:rsidR="006744BF" w:rsidRPr="00223914">
        <w:rPr>
          <w:lang w:val="en-US"/>
        </w:rPr>
        <w:t xml:space="preserve">discussed </w:t>
      </w:r>
      <w:r w:rsidRPr="00223914">
        <w:rPr>
          <w:lang w:val="en-US"/>
        </w:rPr>
        <w:t xml:space="preserve">in the following chapter as </w:t>
      </w:r>
      <w:r w:rsidR="00264A1A" w:rsidRPr="00223914">
        <w:rPr>
          <w:lang w:val="en-US"/>
        </w:rPr>
        <w:t>these are essential to answer</w:t>
      </w:r>
      <w:r w:rsidR="007465AF" w:rsidRPr="00223914">
        <w:rPr>
          <w:lang w:val="en-US"/>
        </w:rPr>
        <w:t>ing</w:t>
      </w:r>
      <w:r w:rsidR="00264A1A" w:rsidRPr="00223914">
        <w:rPr>
          <w:lang w:val="en-US"/>
        </w:rPr>
        <w:t xml:space="preserve"> </w:t>
      </w:r>
      <w:r w:rsidRPr="00223914">
        <w:rPr>
          <w:lang w:val="en-US"/>
        </w:rPr>
        <w:t>the main question</w:t>
      </w:r>
      <w:r w:rsidR="007465AF" w:rsidRPr="00223914">
        <w:rPr>
          <w:lang w:val="en-US"/>
        </w:rPr>
        <w:t xml:space="preserve"> put forward in </w:t>
      </w:r>
      <w:r w:rsidRPr="00223914">
        <w:rPr>
          <w:lang w:val="en-US"/>
        </w:rPr>
        <w:t xml:space="preserve">this paper: </w:t>
      </w:r>
    </w:p>
    <w:p w:rsidR="000A62B5" w:rsidRDefault="000A62B5" w:rsidP="000A62B5">
      <w:pPr>
        <w:jc w:val="center"/>
        <w:rPr>
          <w:b/>
          <w:i/>
          <w:lang w:val="en-US"/>
        </w:rPr>
      </w:pPr>
      <w:r w:rsidRPr="000A62B5">
        <w:rPr>
          <w:b/>
          <w:i/>
          <w:lang w:val="en-US"/>
        </w:rPr>
        <w:t>“How do changes in the quinoa market structure mediate quinoa farmers’ income?</w:t>
      </w:r>
    </w:p>
    <w:p w:rsidR="00417614" w:rsidRDefault="00417614" w:rsidP="000A62B5">
      <w:pPr>
        <w:jc w:val="center"/>
        <w:rPr>
          <w:b/>
          <w:i/>
          <w:color w:val="FF0000"/>
          <w:lang w:val="en-US"/>
        </w:rPr>
      </w:pPr>
    </w:p>
    <w:p w:rsidR="00417614" w:rsidRDefault="00417614" w:rsidP="000A62B5">
      <w:pPr>
        <w:jc w:val="center"/>
        <w:rPr>
          <w:b/>
          <w:i/>
          <w:color w:val="FF0000"/>
          <w:lang w:val="en-US"/>
        </w:rPr>
      </w:pPr>
    </w:p>
    <w:p w:rsidR="00417614" w:rsidRDefault="00417614" w:rsidP="000A62B5">
      <w:pPr>
        <w:jc w:val="center"/>
        <w:rPr>
          <w:b/>
          <w:i/>
          <w:color w:val="FF0000"/>
          <w:lang w:val="en-US"/>
        </w:rPr>
      </w:pPr>
    </w:p>
    <w:p w:rsidR="00FD7157" w:rsidRDefault="00FD7157" w:rsidP="000A62B5">
      <w:pPr>
        <w:jc w:val="center"/>
        <w:rPr>
          <w:b/>
          <w:i/>
          <w:color w:val="FF0000"/>
          <w:lang w:val="en-US"/>
        </w:rPr>
      </w:pPr>
    </w:p>
    <w:p w:rsidR="00FD7157" w:rsidRDefault="00FD7157" w:rsidP="000A62B5">
      <w:pPr>
        <w:jc w:val="center"/>
        <w:rPr>
          <w:b/>
          <w:i/>
          <w:color w:val="FF0000"/>
          <w:lang w:val="en-US"/>
        </w:rPr>
      </w:pPr>
    </w:p>
    <w:p w:rsidR="002E4E2C" w:rsidRPr="00E67695" w:rsidRDefault="002E4E2C" w:rsidP="00FA122F">
      <w:pPr>
        <w:spacing w:after="0"/>
        <w:outlineLvl w:val="0"/>
        <w:rPr>
          <w:rFonts w:ascii="Garamond" w:hAnsi="Garamond"/>
          <w:b/>
          <w:sz w:val="36"/>
          <w:szCs w:val="36"/>
          <w:lang w:val="en-US"/>
        </w:rPr>
      </w:pPr>
      <w:bookmarkStart w:id="44" w:name="_Toc342160099"/>
      <w:r w:rsidRPr="00E67695">
        <w:rPr>
          <w:rFonts w:ascii="Garamond" w:hAnsi="Garamond"/>
          <w:b/>
          <w:sz w:val="36"/>
          <w:szCs w:val="36"/>
          <w:lang w:val="en-US"/>
        </w:rPr>
        <w:lastRenderedPageBreak/>
        <w:t>Chapter 5</w:t>
      </w:r>
    </w:p>
    <w:p w:rsidR="00F94C22" w:rsidRPr="00E67695" w:rsidRDefault="00F94C22" w:rsidP="00FA122F">
      <w:pPr>
        <w:spacing w:after="0"/>
        <w:outlineLvl w:val="0"/>
        <w:rPr>
          <w:rFonts w:ascii="Garamond" w:hAnsi="Garamond"/>
          <w:b/>
          <w:sz w:val="36"/>
          <w:szCs w:val="36"/>
          <w:lang w:val="en-US"/>
        </w:rPr>
      </w:pPr>
      <w:r w:rsidRPr="00E67695">
        <w:rPr>
          <w:rFonts w:ascii="Garamond" w:hAnsi="Garamond"/>
          <w:b/>
          <w:sz w:val="36"/>
          <w:szCs w:val="36"/>
          <w:lang w:val="en-US"/>
        </w:rPr>
        <w:t xml:space="preserve">New </w:t>
      </w:r>
      <w:r w:rsidR="00FD7157" w:rsidRPr="00E67695">
        <w:rPr>
          <w:rFonts w:ascii="Garamond" w:hAnsi="Garamond"/>
          <w:b/>
          <w:sz w:val="36"/>
          <w:szCs w:val="36"/>
          <w:lang w:val="en-US"/>
        </w:rPr>
        <w:t>b</w:t>
      </w:r>
      <w:r w:rsidRPr="00E67695">
        <w:rPr>
          <w:rFonts w:ascii="Garamond" w:hAnsi="Garamond"/>
          <w:b/>
          <w:sz w:val="36"/>
          <w:szCs w:val="36"/>
          <w:lang w:val="en-US"/>
        </w:rPr>
        <w:t xml:space="preserve">usiness </w:t>
      </w:r>
      <w:r w:rsidR="00FD7157" w:rsidRPr="00E67695">
        <w:rPr>
          <w:rFonts w:ascii="Garamond" w:hAnsi="Garamond"/>
          <w:b/>
          <w:sz w:val="36"/>
          <w:szCs w:val="36"/>
          <w:lang w:val="en-US"/>
        </w:rPr>
        <w:t>p</w:t>
      </w:r>
      <w:r w:rsidRPr="00E67695">
        <w:rPr>
          <w:rFonts w:ascii="Garamond" w:hAnsi="Garamond"/>
          <w:b/>
          <w:sz w:val="36"/>
          <w:szCs w:val="36"/>
          <w:lang w:val="en-US"/>
        </w:rPr>
        <w:t xml:space="preserve">ractices </w:t>
      </w:r>
      <w:r w:rsidR="00E67695" w:rsidRPr="00E67695">
        <w:rPr>
          <w:rFonts w:ascii="Garamond" w:hAnsi="Garamond"/>
          <w:b/>
          <w:sz w:val="36"/>
          <w:szCs w:val="36"/>
          <w:lang w:val="en-US"/>
        </w:rPr>
        <w:t>in</w:t>
      </w:r>
      <w:r w:rsidRPr="00E67695">
        <w:rPr>
          <w:rFonts w:ascii="Garamond" w:hAnsi="Garamond"/>
          <w:b/>
          <w:sz w:val="36"/>
          <w:szCs w:val="36"/>
          <w:lang w:val="en-US"/>
        </w:rPr>
        <w:t xml:space="preserve"> the </w:t>
      </w:r>
      <w:r w:rsidR="00FD7157" w:rsidRPr="00E67695">
        <w:rPr>
          <w:rFonts w:ascii="Garamond" w:hAnsi="Garamond"/>
          <w:b/>
          <w:sz w:val="36"/>
          <w:szCs w:val="36"/>
          <w:lang w:val="en-US"/>
        </w:rPr>
        <w:t>c</w:t>
      </w:r>
      <w:r w:rsidR="00A1661C" w:rsidRPr="00E67695">
        <w:rPr>
          <w:rFonts w:ascii="Garamond" w:hAnsi="Garamond"/>
          <w:b/>
          <w:sz w:val="36"/>
          <w:szCs w:val="36"/>
          <w:lang w:val="en-US"/>
        </w:rPr>
        <w:t>urrent</w:t>
      </w:r>
      <w:r w:rsidRPr="00E67695">
        <w:rPr>
          <w:rFonts w:ascii="Garamond" w:hAnsi="Garamond"/>
          <w:b/>
          <w:sz w:val="36"/>
          <w:szCs w:val="36"/>
          <w:lang w:val="en-US"/>
        </w:rPr>
        <w:t xml:space="preserve"> </w:t>
      </w:r>
      <w:r w:rsidR="00FD7157" w:rsidRPr="00E67695">
        <w:rPr>
          <w:rFonts w:ascii="Garamond" w:hAnsi="Garamond"/>
          <w:b/>
          <w:sz w:val="36"/>
          <w:szCs w:val="36"/>
          <w:lang w:val="en-US"/>
        </w:rPr>
        <w:t>q</w:t>
      </w:r>
      <w:r w:rsidRPr="00E67695">
        <w:rPr>
          <w:rFonts w:ascii="Garamond" w:hAnsi="Garamond"/>
          <w:b/>
          <w:sz w:val="36"/>
          <w:szCs w:val="36"/>
          <w:lang w:val="en-US"/>
        </w:rPr>
        <w:t xml:space="preserve">uinoa </w:t>
      </w:r>
      <w:r w:rsidR="00FD7157" w:rsidRPr="00E67695">
        <w:rPr>
          <w:rFonts w:ascii="Garamond" w:hAnsi="Garamond"/>
          <w:b/>
          <w:sz w:val="36"/>
          <w:szCs w:val="36"/>
          <w:lang w:val="en-US"/>
        </w:rPr>
        <w:t>m</w:t>
      </w:r>
      <w:r w:rsidRPr="00E67695">
        <w:rPr>
          <w:rFonts w:ascii="Garamond" w:hAnsi="Garamond"/>
          <w:b/>
          <w:sz w:val="36"/>
          <w:szCs w:val="36"/>
          <w:lang w:val="en-US"/>
        </w:rPr>
        <w:t xml:space="preserve">arket </w:t>
      </w:r>
      <w:r w:rsidR="00FD7157" w:rsidRPr="00E67695">
        <w:rPr>
          <w:rFonts w:ascii="Garamond" w:hAnsi="Garamond"/>
          <w:b/>
          <w:sz w:val="36"/>
          <w:szCs w:val="36"/>
          <w:lang w:val="en-US"/>
        </w:rPr>
        <w:t>s</w:t>
      </w:r>
      <w:r w:rsidRPr="00E67695">
        <w:rPr>
          <w:rFonts w:ascii="Garamond" w:hAnsi="Garamond"/>
          <w:b/>
          <w:sz w:val="36"/>
          <w:szCs w:val="36"/>
          <w:lang w:val="en-US"/>
        </w:rPr>
        <w:t>tructure</w:t>
      </w:r>
      <w:r w:rsidR="00E00A68" w:rsidRPr="00E67695">
        <w:rPr>
          <w:rFonts w:ascii="Garamond" w:hAnsi="Garamond"/>
          <w:b/>
          <w:sz w:val="36"/>
          <w:szCs w:val="36"/>
          <w:lang w:val="en-US"/>
        </w:rPr>
        <w:t xml:space="preserve"> and its </w:t>
      </w:r>
      <w:r w:rsidR="00FD7157" w:rsidRPr="00E67695">
        <w:rPr>
          <w:rFonts w:ascii="Garamond" w:hAnsi="Garamond"/>
          <w:b/>
          <w:sz w:val="36"/>
          <w:szCs w:val="36"/>
          <w:lang w:val="en-US"/>
        </w:rPr>
        <w:t>i</w:t>
      </w:r>
      <w:r w:rsidR="00E00A68" w:rsidRPr="00E67695">
        <w:rPr>
          <w:rFonts w:ascii="Garamond" w:hAnsi="Garamond"/>
          <w:b/>
          <w:sz w:val="36"/>
          <w:szCs w:val="36"/>
          <w:lang w:val="en-US"/>
        </w:rPr>
        <w:t xml:space="preserve">mplications </w:t>
      </w:r>
      <w:r w:rsidRPr="00E67695">
        <w:rPr>
          <w:rFonts w:ascii="Garamond" w:hAnsi="Garamond"/>
          <w:b/>
          <w:sz w:val="36"/>
          <w:szCs w:val="36"/>
          <w:lang w:val="en-US"/>
        </w:rPr>
        <w:t xml:space="preserve">for the </w:t>
      </w:r>
      <w:r w:rsidR="000E5367" w:rsidRPr="00E67695">
        <w:rPr>
          <w:rFonts w:ascii="Garamond" w:hAnsi="Garamond"/>
          <w:b/>
          <w:sz w:val="36"/>
          <w:szCs w:val="36"/>
          <w:lang w:val="en-US"/>
        </w:rPr>
        <w:t>q</w:t>
      </w:r>
      <w:r w:rsidRPr="00E67695">
        <w:rPr>
          <w:rFonts w:ascii="Garamond" w:hAnsi="Garamond"/>
          <w:b/>
          <w:sz w:val="36"/>
          <w:szCs w:val="36"/>
          <w:lang w:val="en-US"/>
        </w:rPr>
        <w:t xml:space="preserve">uinoa </w:t>
      </w:r>
      <w:r w:rsidR="000E5367" w:rsidRPr="00E67695">
        <w:rPr>
          <w:rFonts w:ascii="Garamond" w:hAnsi="Garamond"/>
          <w:b/>
          <w:sz w:val="36"/>
          <w:szCs w:val="36"/>
          <w:lang w:val="en-US"/>
        </w:rPr>
        <w:t>f</w:t>
      </w:r>
      <w:r w:rsidRPr="00E67695">
        <w:rPr>
          <w:rFonts w:ascii="Garamond" w:hAnsi="Garamond"/>
          <w:b/>
          <w:sz w:val="36"/>
          <w:szCs w:val="36"/>
          <w:lang w:val="en-US"/>
        </w:rPr>
        <w:t>armers</w:t>
      </w:r>
      <w:r w:rsidR="00E00A68" w:rsidRPr="00E67695">
        <w:rPr>
          <w:rFonts w:ascii="Garamond" w:hAnsi="Garamond"/>
          <w:b/>
          <w:sz w:val="36"/>
          <w:szCs w:val="36"/>
          <w:lang w:val="en-US"/>
        </w:rPr>
        <w:t>’ income</w:t>
      </w:r>
      <w:bookmarkEnd w:id="44"/>
      <w:r w:rsidRPr="00E67695">
        <w:rPr>
          <w:rFonts w:ascii="Garamond" w:hAnsi="Garamond"/>
          <w:b/>
          <w:sz w:val="36"/>
          <w:szCs w:val="36"/>
          <w:lang w:val="en-US"/>
        </w:rPr>
        <w:t xml:space="preserve"> </w:t>
      </w:r>
    </w:p>
    <w:p w:rsidR="00E21EA1" w:rsidRPr="00E67695" w:rsidRDefault="00E21EA1" w:rsidP="00E06E16">
      <w:pPr>
        <w:pStyle w:val="Heading2"/>
        <w:rPr>
          <w:i/>
          <w:color w:val="auto"/>
          <w:u w:val="single"/>
          <w:lang w:val="en-US"/>
        </w:rPr>
      </w:pPr>
    </w:p>
    <w:p w:rsidR="00417614" w:rsidRPr="00B83ABE" w:rsidRDefault="00644572" w:rsidP="00816B0E">
      <w:pPr>
        <w:pStyle w:val="Heading2"/>
        <w:numPr>
          <w:ilvl w:val="0"/>
          <w:numId w:val="21"/>
        </w:numPr>
        <w:rPr>
          <w:b w:val="0"/>
          <w:i/>
          <w:sz w:val="28"/>
          <w:szCs w:val="28"/>
          <w:u w:val="single"/>
          <w:lang w:val="en-US"/>
        </w:rPr>
      </w:pPr>
      <w:bookmarkStart w:id="45" w:name="_Toc342160075"/>
      <w:bookmarkStart w:id="46" w:name="_Toc342160100"/>
      <w:r w:rsidRPr="00B83ABE">
        <w:rPr>
          <w:i/>
          <w:color w:val="auto"/>
          <w:sz w:val="28"/>
          <w:szCs w:val="28"/>
          <w:u w:val="single"/>
          <w:lang w:val="en-US"/>
        </w:rPr>
        <w:t>Vertical i</w:t>
      </w:r>
      <w:r w:rsidR="00417614" w:rsidRPr="00B83ABE">
        <w:rPr>
          <w:i/>
          <w:color w:val="auto"/>
          <w:sz w:val="28"/>
          <w:szCs w:val="28"/>
          <w:u w:val="single"/>
          <w:lang w:val="en-US"/>
        </w:rPr>
        <w:t>ntegration</w:t>
      </w:r>
      <w:bookmarkEnd w:id="45"/>
      <w:bookmarkEnd w:id="46"/>
      <w:r w:rsidRPr="00B83ABE">
        <w:rPr>
          <w:i/>
          <w:color w:val="auto"/>
          <w:sz w:val="28"/>
          <w:szCs w:val="28"/>
          <w:u w:val="single"/>
          <w:lang w:val="en-US"/>
        </w:rPr>
        <w:t xml:space="preserve"> strategies and market coordination</w:t>
      </w:r>
    </w:p>
    <w:p w:rsidR="00E21EA1" w:rsidRPr="00417614" w:rsidRDefault="00E21EA1" w:rsidP="00417614">
      <w:pPr>
        <w:jc w:val="both"/>
        <w:rPr>
          <w:b/>
          <w:i/>
          <w:u w:val="single"/>
          <w:lang w:val="en-US"/>
        </w:rPr>
      </w:pPr>
    </w:p>
    <w:p w:rsidR="00F0522B" w:rsidRPr="00223914" w:rsidRDefault="008B4C06" w:rsidP="00F0522B">
      <w:pPr>
        <w:jc w:val="both"/>
        <w:rPr>
          <w:lang w:val="en-US"/>
        </w:rPr>
      </w:pPr>
      <w:r w:rsidRPr="00223914">
        <w:rPr>
          <w:lang w:val="en-US"/>
        </w:rPr>
        <w:t xml:space="preserve">According </w:t>
      </w:r>
      <w:r w:rsidRPr="002F491C">
        <w:rPr>
          <w:lang w:val="en-US"/>
        </w:rPr>
        <w:t xml:space="preserve">to </w:t>
      </w:r>
      <w:proofErr w:type="spellStart"/>
      <w:r w:rsidR="00E44E90" w:rsidRPr="002F491C">
        <w:rPr>
          <w:lang w:val="en-US"/>
        </w:rPr>
        <w:t>Raynolds</w:t>
      </w:r>
      <w:proofErr w:type="spellEnd"/>
      <w:r w:rsidR="00E44E90" w:rsidRPr="002F491C">
        <w:rPr>
          <w:lang w:val="en-US"/>
        </w:rPr>
        <w:t xml:space="preserve"> </w:t>
      </w:r>
      <w:r w:rsidR="005342EA" w:rsidRPr="002F491C">
        <w:rPr>
          <w:lang w:val="en-US"/>
        </w:rPr>
        <w:t xml:space="preserve">(2007), </w:t>
      </w:r>
      <w:r w:rsidR="00417614" w:rsidRPr="002F491C">
        <w:rPr>
          <w:lang w:val="en-US"/>
        </w:rPr>
        <w:t xml:space="preserve">the </w:t>
      </w:r>
      <w:r w:rsidR="00417614" w:rsidRPr="00223914">
        <w:rPr>
          <w:lang w:val="en-US"/>
        </w:rPr>
        <w:t xml:space="preserve">new private firms that entered the quinoa market during the late 1990’s, were </w:t>
      </w:r>
      <w:r w:rsidR="005342EA" w:rsidRPr="00223914">
        <w:rPr>
          <w:lang w:val="en-US"/>
        </w:rPr>
        <w:t>particularly French retailers</w:t>
      </w:r>
      <w:r w:rsidR="00417614" w:rsidRPr="00223914">
        <w:rPr>
          <w:lang w:val="en-US"/>
        </w:rPr>
        <w:t>. An exampl</w:t>
      </w:r>
      <w:r w:rsidR="00F0522B" w:rsidRPr="00223914">
        <w:rPr>
          <w:lang w:val="en-US"/>
        </w:rPr>
        <w:t xml:space="preserve">e is the French company </w:t>
      </w:r>
      <w:proofErr w:type="spellStart"/>
      <w:r w:rsidR="00F0522B" w:rsidRPr="00223914">
        <w:rPr>
          <w:lang w:val="en-US"/>
        </w:rPr>
        <w:t>Jatary</w:t>
      </w:r>
      <w:proofErr w:type="spellEnd"/>
      <w:r w:rsidR="00F0522B" w:rsidRPr="00223914">
        <w:rPr>
          <w:lang w:val="en-US"/>
        </w:rPr>
        <w:t xml:space="preserve"> created in 1996, which thanks to the vertical integration model this company is part of</w:t>
      </w:r>
      <w:r w:rsidR="00590C87" w:rsidRPr="00223914">
        <w:rPr>
          <w:lang w:val="en-US"/>
        </w:rPr>
        <w:t xml:space="preserve">, </w:t>
      </w:r>
      <w:r w:rsidR="00F0522B" w:rsidRPr="00223914">
        <w:rPr>
          <w:lang w:val="en-US"/>
        </w:rPr>
        <w:t xml:space="preserve">received a fully equipped plant from its larger partner EURONAT plus benefited from heavy marketing carried out in France. In addition, in 2004 another large global player entered the downstream segment of the Quinoa Value Chain and that is CARREFOUR a transnational retailer, distributor and hypermarket. This company signed a five-year contract with EURONAT and JATARY. </w:t>
      </w:r>
    </w:p>
    <w:p w:rsidR="004C0F49" w:rsidRPr="00223914" w:rsidRDefault="00337363" w:rsidP="00E06E16">
      <w:pPr>
        <w:ind w:firstLine="720"/>
        <w:jc w:val="both"/>
        <w:rPr>
          <w:lang w:val="en-US"/>
        </w:rPr>
      </w:pPr>
      <w:r w:rsidRPr="00223914">
        <w:rPr>
          <w:lang w:val="en-US"/>
        </w:rPr>
        <w:t xml:space="preserve">Furthermore, this vertical integration strategy by the French retailer </w:t>
      </w:r>
      <w:r w:rsidR="00417614" w:rsidRPr="00223914">
        <w:rPr>
          <w:lang w:val="en-US"/>
        </w:rPr>
        <w:t>ha</w:t>
      </w:r>
      <w:r w:rsidRPr="00223914">
        <w:rPr>
          <w:lang w:val="en-US"/>
        </w:rPr>
        <w:t>s</w:t>
      </w:r>
      <w:r w:rsidR="00417614" w:rsidRPr="00223914">
        <w:rPr>
          <w:lang w:val="en-US"/>
        </w:rPr>
        <w:t xml:space="preserve"> also involved the creation of </w:t>
      </w:r>
      <w:r w:rsidRPr="00223914">
        <w:rPr>
          <w:lang w:val="en-US"/>
        </w:rPr>
        <w:t>its own certification entity</w:t>
      </w:r>
      <w:r w:rsidR="00417614" w:rsidRPr="00223914">
        <w:rPr>
          <w:lang w:val="en-US"/>
        </w:rPr>
        <w:t xml:space="preserve">, called Bio-Equitable. </w:t>
      </w:r>
      <w:proofErr w:type="spellStart"/>
      <w:r w:rsidRPr="00223914">
        <w:rPr>
          <w:lang w:val="en-US"/>
        </w:rPr>
        <w:t>Jatary</w:t>
      </w:r>
      <w:proofErr w:type="spellEnd"/>
      <w:r w:rsidRPr="00223914">
        <w:rPr>
          <w:lang w:val="en-US"/>
        </w:rPr>
        <w:t xml:space="preserve"> and EURONAT started working with the Bolivian certifier BOLICERT</w:t>
      </w:r>
      <w:r w:rsidR="0080153D">
        <w:rPr>
          <w:lang w:val="en-US"/>
        </w:rPr>
        <w:t>,</w:t>
      </w:r>
      <w:r w:rsidRPr="00223914">
        <w:rPr>
          <w:lang w:val="en-US"/>
        </w:rPr>
        <w:t xml:space="preserve"> however later decided along with other French companies which specialized in the transformation and distribution of organic products</w:t>
      </w:r>
      <w:r w:rsidR="0080153D">
        <w:rPr>
          <w:lang w:val="en-US"/>
        </w:rPr>
        <w:t>,</w:t>
      </w:r>
      <w:r w:rsidRPr="00223914">
        <w:rPr>
          <w:lang w:val="en-US"/>
        </w:rPr>
        <w:t xml:space="preserve"> to create their own label alleging lack of confidence on the Bolivian certifier. </w:t>
      </w:r>
      <w:r w:rsidR="00417614" w:rsidRPr="00223914">
        <w:rPr>
          <w:lang w:val="en-US"/>
        </w:rPr>
        <w:t xml:space="preserve">Unlike with other labels, the firms associated under Bio-Equitable are not required to work exclusively with producer organizations in order to carry the “organic” label. Instead, they are only required to provide technical assistance to the farmers as well as pay for their organic </w:t>
      </w:r>
      <w:r w:rsidR="00417614" w:rsidRPr="002F491C">
        <w:rPr>
          <w:lang w:val="en-US"/>
        </w:rPr>
        <w:t>certification</w:t>
      </w:r>
      <w:r w:rsidR="00417614" w:rsidRPr="002F491C">
        <w:rPr>
          <w:vertAlign w:val="superscript"/>
          <w:lang w:val="en-US"/>
        </w:rPr>
        <w:footnoteReference w:id="22"/>
      </w:r>
      <w:r w:rsidR="0080153D" w:rsidRPr="002F491C">
        <w:rPr>
          <w:lang w:val="en-US"/>
        </w:rPr>
        <w:t xml:space="preserve"> </w:t>
      </w:r>
      <w:r w:rsidR="00417614" w:rsidRPr="002F491C">
        <w:rPr>
          <w:lang w:val="en-US"/>
        </w:rPr>
        <w:t>(</w:t>
      </w:r>
      <w:r w:rsidR="00E44E90" w:rsidRPr="002F491C">
        <w:rPr>
          <w:lang w:val="en-US"/>
        </w:rPr>
        <w:t>Laguna, 2006</w:t>
      </w:r>
      <w:r w:rsidR="00417614" w:rsidRPr="002F491C">
        <w:rPr>
          <w:lang w:val="en-US"/>
        </w:rPr>
        <w:t>).</w:t>
      </w:r>
    </w:p>
    <w:p w:rsidR="00337363" w:rsidRPr="00223914" w:rsidRDefault="004C0F49" w:rsidP="00E06E16">
      <w:pPr>
        <w:ind w:firstLine="720"/>
        <w:jc w:val="both"/>
        <w:rPr>
          <w:lang w:val="en-US"/>
        </w:rPr>
      </w:pPr>
      <w:r w:rsidRPr="00223914">
        <w:rPr>
          <w:lang w:val="en-US"/>
        </w:rPr>
        <w:t xml:space="preserve">Interestingly, this model (vertical integration) seems to be </w:t>
      </w:r>
      <w:r w:rsidR="00AB7362" w:rsidRPr="00223914">
        <w:rPr>
          <w:lang w:val="en-US"/>
        </w:rPr>
        <w:t xml:space="preserve">proving successful </w:t>
      </w:r>
      <w:r w:rsidRPr="00223914">
        <w:rPr>
          <w:lang w:val="en-US"/>
        </w:rPr>
        <w:t xml:space="preserve">for the French </w:t>
      </w:r>
      <w:r w:rsidR="00AB7362" w:rsidRPr="00223914">
        <w:rPr>
          <w:lang w:val="en-US"/>
        </w:rPr>
        <w:t>group</w:t>
      </w:r>
      <w:r w:rsidRPr="00223914">
        <w:rPr>
          <w:lang w:val="en-US"/>
        </w:rPr>
        <w:t xml:space="preserve">, as the quick rise in the market share for organic quinoa exports by the French subsidiary </w:t>
      </w:r>
      <w:r w:rsidR="0054730C" w:rsidRPr="00223914">
        <w:rPr>
          <w:lang w:val="en-US"/>
        </w:rPr>
        <w:t xml:space="preserve">company </w:t>
      </w:r>
      <w:proofErr w:type="spellStart"/>
      <w:r w:rsidR="0054730C" w:rsidRPr="00223914">
        <w:rPr>
          <w:lang w:val="en-US"/>
        </w:rPr>
        <w:t>Jatary</w:t>
      </w:r>
      <w:proofErr w:type="spellEnd"/>
      <w:r w:rsidR="0054730C" w:rsidRPr="00223914">
        <w:rPr>
          <w:lang w:val="en-US"/>
        </w:rPr>
        <w:t xml:space="preserve"> show</w:t>
      </w:r>
      <w:r w:rsidR="0080153D">
        <w:rPr>
          <w:lang w:val="en-US"/>
        </w:rPr>
        <w:t>s</w:t>
      </w:r>
      <w:r w:rsidR="0054730C" w:rsidRPr="00223914">
        <w:rPr>
          <w:lang w:val="en-US"/>
        </w:rPr>
        <w:t>, s</w:t>
      </w:r>
      <w:r w:rsidR="00337363" w:rsidRPr="00223914">
        <w:rPr>
          <w:lang w:val="en-US"/>
        </w:rPr>
        <w:t xml:space="preserve">ince its exports quickly increase from the moment this company enters the market </w:t>
      </w:r>
      <w:r w:rsidR="0080153D">
        <w:rPr>
          <w:lang w:val="en-US"/>
        </w:rPr>
        <w:t xml:space="preserve">in 1997 </w:t>
      </w:r>
      <w:r w:rsidR="00337363" w:rsidRPr="00223914">
        <w:rPr>
          <w:lang w:val="en-US"/>
        </w:rPr>
        <w:t xml:space="preserve">almost catching up the major quinoa exporter in 2004, producer organization ANAPQUI. </w:t>
      </w:r>
      <w:r w:rsidR="00AB7362" w:rsidRPr="00223914">
        <w:rPr>
          <w:lang w:val="en-US"/>
        </w:rPr>
        <w:t xml:space="preserve">See graph below: </w:t>
      </w:r>
    </w:p>
    <w:p w:rsidR="0054730C" w:rsidRDefault="0054730C" w:rsidP="00337363">
      <w:pPr>
        <w:jc w:val="both"/>
        <w:rPr>
          <w:i/>
          <w:lang w:val="en-US"/>
        </w:rPr>
      </w:pPr>
    </w:p>
    <w:p w:rsidR="0054730C" w:rsidRDefault="0054730C" w:rsidP="00337363">
      <w:pPr>
        <w:jc w:val="both"/>
        <w:rPr>
          <w:i/>
          <w:lang w:val="en-US"/>
        </w:rPr>
      </w:pPr>
    </w:p>
    <w:p w:rsidR="0054730C" w:rsidRDefault="0054730C" w:rsidP="00337363">
      <w:pPr>
        <w:jc w:val="both"/>
        <w:rPr>
          <w:i/>
          <w:lang w:val="en-US"/>
        </w:rPr>
      </w:pPr>
    </w:p>
    <w:p w:rsidR="0054730C" w:rsidRDefault="0054730C" w:rsidP="00337363">
      <w:pPr>
        <w:jc w:val="both"/>
        <w:rPr>
          <w:i/>
          <w:lang w:val="en-US"/>
        </w:rPr>
      </w:pPr>
    </w:p>
    <w:p w:rsidR="00A26AAC" w:rsidRDefault="0054730C">
      <w:pPr>
        <w:keepNext/>
        <w:jc w:val="both"/>
      </w:pPr>
      <w:r>
        <w:rPr>
          <w:noProof/>
          <w:lang w:val="en-US"/>
        </w:rPr>
        <w:lastRenderedPageBreak/>
        <w:drawing>
          <wp:inline distT="0" distB="0" distL="0" distR="0" wp14:anchorId="716B19A1" wp14:editId="34C3291B">
            <wp:extent cx="5486400" cy="3200400"/>
            <wp:effectExtent l="0" t="0" r="19050" b="190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791868" w:rsidRPr="00FA122F" w:rsidRDefault="00A26AAC" w:rsidP="00FA122F">
      <w:pPr>
        <w:pStyle w:val="Caption"/>
        <w:jc w:val="center"/>
        <w:rPr>
          <w:lang w:val="en-US"/>
        </w:rPr>
      </w:pPr>
      <w:r w:rsidRPr="00FA122F">
        <w:rPr>
          <w:color w:val="auto"/>
          <w:sz w:val="22"/>
          <w:szCs w:val="22"/>
          <w:lang w:val="en-US"/>
        </w:rPr>
        <w:t xml:space="preserve">Figure </w:t>
      </w:r>
      <w:r w:rsidR="00943BA3" w:rsidRPr="00FA122F">
        <w:rPr>
          <w:color w:val="auto"/>
          <w:sz w:val="22"/>
          <w:szCs w:val="22"/>
          <w:lang w:val="en-US"/>
        </w:rPr>
        <w:t>10</w:t>
      </w:r>
      <w:r w:rsidR="00A5174E" w:rsidRPr="00FA122F">
        <w:rPr>
          <w:color w:val="auto"/>
          <w:sz w:val="22"/>
          <w:szCs w:val="22"/>
          <w:lang w:val="en-US"/>
        </w:rPr>
        <w:t>: Evolution of Quinoa Exports B</w:t>
      </w:r>
      <w:r w:rsidRPr="00FA122F">
        <w:rPr>
          <w:color w:val="auto"/>
          <w:sz w:val="22"/>
          <w:szCs w:val="22"/>
          <w:lang w:val="en-US"/>
        </w:rPr>
        <w:t>etw</w:t>
      </w:r>
      <w:r w:rsidR="00A5174E" w:rsidRPr="00FA122F">
        <w:rPr>
          <w:color w:val="auto"/>
          <w:sz w:val="22"/>
          <w:szCs w:val="22"/>
          <w:lang w:val="en-US"/>
        </w:rPr>
        <w:t>een ANAPQUI (PO) and Private F</w:t>
      </w:r>
      <w:r w:rsidRPr="00FA122F">
        <w:rPr>
          <w:color w:val="auto"/>
          <w:sz w:val="22"/>
          <w:szCs w:val="22"/>
          <w:lang w:val="en-US"/>
        </w:rPr>
        <w:t xml:space="preserve">irm </w:t>
      </w:r>
      <w:proofErr w:type="spellStart"/>
      <w:r w:rsidRPr="00FA122F">
        <w:rPr>
          <w:color w:val="auto"/>
          <w:sz w:val="22"/>
          <w:szCs w:val="22"/>
          <w:lang w:val="en-US"/>
        </w:rPr>
        <w:t>Jatary</w:t>
      </w:r>
      <w:proofErr w:type="spellEnd"/>
      <w:r w:rsidRPr="00FA122F">
        <w:rPr>
          <w:color w:val="auto"/>
          <w:sz w:val="22"/>
          <w:szCs w:val="22"/>
          <w:lang w:val="en-US"/>
        </w:rPr>
        <w:t>.</w:t>
      </w:r>
    </w:p>
    <w:p w:rsidR="00791868" w:rsidRPr="00FA122F" w:rsidRDefault="00791868" w:rsidP="00FA122F">
      <w:pPr>
        <w:jc w:val="center"/>
        <w:rPr>
          <w:b/>
          <w:i/>
          <w:color w:val="FF0000"/>
          <w:lang w:val="en-US"/>
        </w:rPr>
      </w:pPr>
    </w:p>
    <w:p w:rsidR="005546A6" w:rsidRPr="00223914" w:rsidRDefault="005546A6" w:rsidP="00E06E16">
      <w:pPr>
        <w:ind w:firstLine="720"/>
        <w:jc w:val="both"/>
        <w:rPr>
          <w:lang w:val="en-US"/>
        </w:rPr>
      </w:pPr>
      <w:r w:rsidRPr="00223914">
        <w:rPr>
          <w:lang w:val="en-US"/>
        </w:rPr>
        <w:t xml:space="preserve">The case of the vertical integration between French companies </w:t>
      </w:r>
      <w:proofErr w:type="spellStart"/>
      <w:r w:rsidRPr="00223914">
        <w:rPr>
          <w:lang w:val="en-US"/>
        </w:rPr>
        <w:t>Jatary</w:t>
      </w:r>
      <w:proofErr w:type="spellEnd"/>
      <w:r w:rsidRPr="00223914">
        <w:rPr>
          <w:lang w:val="en-US"/>
        </w:rPr>
        <w:t xml:space="preserve"> (local subsidiary), EURONAT (importer), CARREFOUR (retailer/distributor/hypermarket) and BIO-EQUITABLE (organic certifier) represent an example of</w:t>
      </w:r>
      <w:r w:rsidR="001960E0" w:rsidRPr="00223914">
        <w:rPr>
          <w:lang w:val="en-US"/>
        </w:rPr>
        <w:t xml:space="preserve"> how</w:t>
      </w:r>
      <w:r w:rsidRPr="00223914">
        <w:rPr>
          <w:lang w:val="en-US"/>
        </w:rPr>
        <w:t xml:space="preserve"> </w:t>
      </w:r>
      <w:r w:rsidR="005D1721" w:rsidRPr="00223914">
        <w:rPr>
          <w:lang w:val="en-US"/>
        </w:rPr>
        <w:t xml:space="preserve">coordination </w:t>
      </w:r>
      <w:r w:rsidR="00AD5B03">
        <w:rPr>
          <w:lang w:val="en-US"/>
        </w:rPr>
        <w:t xml:space="preserve">manifested through </w:t>
      </w:r>
      <w:r w:rsidR="005D1721" w:rsidRPr="00223914">
        <w:rPr>
          <w:lang w:val="en-US"/>
        </w:rPr>
        <w:t xml:space="preserve">open </w:t>
      </w:r>
      <w:r w:rsidR="001960E0" w:rsidRPr="00223914">
        <w:rPr>
          <w:lang w:val="en-US"/>
        </w:rPr>
        <w:t xml:space="preserve">and direct </w:t>
      </w:r>
      <w:r w:rsidR="005D1721" w:rsidRPr="00223914">
        <w:rPr>
          <w:lang w:val="en-US"/>
        </w:rPr>
        <w:t xml:space="preserve">dialogue) </w:t>
      </w:r>
      <w:r w:rsidRPr="00223914">
        <w:rPr>
          <w:lang w:val="en-US"/>
        </w:rPr>
        <w:t xml:space="preserve">between upstream actors (closer to the production side such as </w:t>
      </w:r>
      <w:proofErr w:type="spellStart"/>
      <w:r w:rsidRPr="00223914">
        <w:rPr>
          <w:lang w:val="en-US"/>
        </w:rPr>
        <w:t>Jatary</w:t>
      </w:r>
      <w:proofErr w:type="spellEnd"/>
      <w:r w:rsidRPr="00223914">
        <w:rPr>
          <w:lang w:val="en-US"/>
        </w:rPr>
        <w:t>) and downstream actors (closer to the consumer such as CARREFOUR) can have dramatically different results as the fall and rise of expor</w:t>
      </w:r>
      <w:r w:rsidR="00AD5B03">
        <w:rPr>
          <w:lang w:val="en-US"/>
        </w:rPr>
        <w:t>ts by the producer organization ANAPQUI</w:t>
      </w:r>
      <w:r w:rsidRPr="00223914">
        <w:rPr>
          <w:lang w:val="en-US"/>
        </w:rPr>
        <w:t xml:space="preserve"> and </w:t>
      </w:r>
      <w:proofErr w:type="spellStart"/>
      <w:r w:rsidRPr="00223914">
        <w:rPr>
          <w:lang w:val="en-US"/>
        </w:rPr>
        <w:t>Jatary</w:t>
      </w:r>
      <w:proofErr w:type="spellEnd"/>
      <w:r w:rsidRPr="00223914">
        <w:rPr>
          <w:lang w:val="en-US"/>
        </w:rPr>
        <w:t xml:space="preserve">, illustrate. </w:t>
      </w:r>
    </w:p>
    <w:p w:rsidR="00AD5B03" w:rsidRDefault="005546A6" w:rsidP="00E06E16">
      <w:pPr>
        <w:ind w:firstLine="720"/>
        <w:jc w:val="both"/>
        <w:rPr>
          <w:lang w:val="en-US"/>
        </w:rPr>
      </w:pPr>
      <w:r w:rsidRPr="00223914">
        <w:rPr>
          <w:lang w:val="en-US"/>
        </w:rPr>
        <w:t>Furthermore, the coordination that vertical integration is characterized by and that it is manifested in the French case in the form of</w:t>
      </w:r>
      <w:r w:rsidR="00AD5B03">
        <w:rPr>
          <w:lang w:val="en-US"/>
        </w:rPr>
        <w:t>:</w:t>
      </w:r>
    </w:p>
    <w:p w:rsidR="00AD5B03" w:rsidRDefault="005546A6" w:rsidP="00E06E16">
      <w:pPr>
        <w:ind w:firstLine="720"/>
        <w:jc w:val="both"/>
        <w:rPr>
          <w:lang w:val="en-US"/>
        </w:rPr>
      </w:pPr>
      <w:r w:rsidRPr="00223914">
        <w:rPr>
          <w:lang w:val="en-US"/>
        </w:rPr>
        <w:t xml:space="preserve"> </w:t>
      </w:r>
      <w:r w:rsidR="0020069D" w:rsidRPr="00223914">
        <w:rPr>
          <w:lang w:val="en-US"/>
        </w:rPr>
        <w:t xml:space="preserve">a) </w:t>
      </w:r>
      <w:r w:rsidRPr="00223914">
        <w:rPr>
          <w:lang w:val="en-US"/>
        </w:rPr>
        <w:t xml:space="preserve">allocation of resources (fully equipped plant for </w:t>
      </w:r>
      <w:proofErr w:type="spellStart"/>
      <w:r w:rsidRPr="00223914">
        <w:rPr>
          <w:lang w:val="en-US"/>
        </w:rPr>
        <w:t>Jatary</w:t>
      </w:r>
      <w:proofErr w:type="spellEnd"/>
      <w:r w:rsidRPr="00223914">
        <w:rPr>
          <w:lang w:val="en-US"/>
        </w:rPr>
        <w:t xml:space="preserve">), </w:t>
      </w:r>
    </w:p>
    <w:p w:rsidR="00AD5B03" w:rsidRDefault="0020069D" w:rsidP="00E06E16">
      <w:pPr>
        <w:ind w:firstLine="720"/>
        <w:jc w:val="both"/>
        <w:rPr>
          <w:lang w:val="en-US"/>
        </w:rPr>
      </w:pPr>
      <w:r w:rsidRPr="00223914">
        <w:rPr>
          <w:lang w:val="en-US"/>
        </w:rPr>
        <w:t xml:space="preserve">b) </w:t>
      </w:r>
      <w:r w:rsidR="005546A6" w:rsidRPr="00223914">
        <w:rPr>
          <w:lang w:val="en-US"/>
        </w:rPr>
        <w:t xml:space="preserve">marketing (heavily carried out in France), </w:t>
      </w:r>
    </w:p>
    <w:p w:rsidR="00AD5B03" w:rsidRDefault="0020069D" w:rsidP="00AD5B03">
      <w:pPr>
        <w:ind w:firstLine="720"/>
        <w:jc w:val="both"/>
        <w:rPr>
          <w:lang w:val="en-US"/>
        </w:rPr>
      </w:pPr>
      <w:r w:rsidRPr="00223914">
        <w:rPr>
          <w:lang w:val="en-US"/>
        </w:rPr>
        <w:t xml:space="preserve">c) </w:t>
      </w:r>
      <w:r w:rsidR="005546A6" w:rsidRPr="00223914">
        <w:rPr>
          <w:lang w:val="en-US"/>
        </w:rPr>
        <w:t>a secure buyer (five-year contract with CARREFOUR)</w:t>
      </w:r>
      <w:r w:rsidRPr="00223914">
        <w:rPr>
          <w:lang w:val="en-US"/>
        </w:rPr>
        <w:t xml:space="preserve">, </w:t>
      </w:r>
      <w:r w:rsidR="005546A6" w:rsidRPr="00223914">
        <w:rPr>
          <w:lang w:val="en-US"/>
        </w:rPr>
        <w:t xml:space="preserve"> </w:t>
      </w:r>
    </w:p>
    <w:p w:rsidR="005546A6" w:rsidRPr="00223914" w:rsidRDefault="0020069D" w:rsidP="00AD5B03">
      <w:pPr>
        <w:ind w:firstLine="720"/>
        <w:jc w:val="both"/>
        <w:rPr>
          <w:lang w:val="en-US"/>
        </w:rPr>
      </w:pPr>
      <w:r w:rsidRPr="00223914">
        <w:rPr>
          <w:lang w:val="en-US"/>
        </w:rPr>
        <w:t xml:space="preserve">represent not only competition (previously inexistent) in </w:t>
      </w:r>
      <w:r w:rsidR="005546A6" w:rsidRPr="00223914">
        <w:rPr>
          <w:lang w:val="en-US"/>
        </w:rPr>
        <w:t xml:space="preserve">the Quinoa Value Chain but also a very different structure </w:t>
      </w:r>
      <w:r w:rsidR="00AD5B03">
        <w:rPr>
          <w:lang w:val="en-US"/>
        </w:rPr>
        <w:t xml:space="preserve">and rules of the game </w:t>
      </w:r>
      <w:r w:rsidR="005546A6" w:rsidRPr="00223914">
        <w:rPr>
          <w:lang w:val="en-US"/>
        </w:rPr>
        <w:t xml:space="preserve">in which the private firms contest the dominance of the chain through a very closed group whose power reside in their ability to coordinate the entire production process. </w:t>
      </w:r>
    </w:p>
    <w:p w:rsidR="00AD5B03" w:rsidRDefault="00590C87" w:rsidP="00E06E16">
      <w:pPr>
        <w:ind w:firstLine="720"/>
        <w:jc w:val="both"/>
        <w:rPr>
          <w:lang w:val="en-US"/>
        </w:rPr>
      </w:pPr>
      <w:r w:rsidRPr="00223914">
        <w:rPr>
          <w:lang w:val="en-US"/>
        </w:rPr>
        <w:t xml:space="preserve">Another example </w:t>
      </w:r>
      <w:r w:rsidR="00AD5B03">
        <w:rPr>
          <w:lang w:val="en-US"/>
        </w:rPr>
        <w:t>that shows</w:t>
      </w:r>
      <w:r w:rsidRPr="00223914">
        <w:rPr>
          <w:lang w:val="en-US"/>
        </w:rPr>
        <w:t xml:space="preserve"> the </w:t>
      </w:r>
      <w:r w:rsidR="00AD5B03">
        <w:rPr>
          <w:lang w:val="en-US"/>
        </w:rPr>
        <w:t xml:space="preserve">dramatically different results that can be obtained through higher levels of coordination </w:t>
      </w:r>
      <w:r w:rsidRPr="00223914">
        <w:rPr>
          <w:lang w:val="en-US"/>
        </w:rPr>
        <w:t>can be found in the case of producer organization CECAOT</w:t>
      </w:r>
      <w:r w:rsidR="00AD5B03">
        <w:rPr>
          <w:lang w:val="en-US"/>
        </w:rPr>
        <w:t xml:space="preserve">. </w:t>
      </w:r>
    </w:p>
    <w:p w:rsidR="00590C87" w:rsidRPr="00223914" w:rsidRDefault="00AD5B03" w:rsidP="00E06E16">
      <w:pPr>
        <w:ind w:firstLine="720"/>
        <w:jc w:val="both"/>
        <w:rPr>
          <w:lang w:val="en-US"/>
        </w:rPr>
      </w:pPr>
      <w:r>
        <w:rPr>
          <w:lang w:val="en-US"/>
        </w:rPr>
        <w:lastRenderedPageBreak/>
        <w:t xml:space="preserve">According to </w:t>
      </w:r>
      <w:r w:rsidR="002F491C" w:rsidRPr="002F491C">
        <w:rPr>
          <w:lang w:val="en-US"/>
        </w:rPr>
        <w:t xml:space="preserve">Reynolds </w:t>
      </w:r>
      <w:r w:rsidR="00590C87" w:rsidRPr="002F491C">
        <w:rPr>
          <w:lang w:val="en-US"/>
        </w:rPr>
        <w:t>(</w:t>
      </w:r>
      <w:r w:rsidR="002F491C" w:rsidRPr="002F491C">
        <w:rPr>
          <w:lang w:val="en-US"/>
        </w:rPr>
        <w:t>2007</w:t>
      </w:r>
      <w:r w:rsidR="00590C87" w:rsidRPr="002F491C">
        <w:rPr>
          <w:lang w:val="en-US"/>
        </w:rPr>
        <w:t>)</w:t>
      </w:r>
      <w:r w:rsidRPr="002F491C">
        <w:rPr>
          <w:lang w:val="en-US"/>
        </w:rPr>
        <w:t xml:space="preserve">, </w:t>
      </w:r>
      <w:r w:rsidRPr="00223914">
        <w:rPr>
          <w:lang w:val="en-US"/>
        </w:rPr>
        <w:t>since</w:t>
      </w:r>
      <w:r w:rsidR="00590C87" w:rsidRPr="00223914">
        <w:rPr>
          <w:lang w:val="en-US"/>
        </w:rPr>
        <w:t xml:space="preserve"> 1991 </w:t>
      </w:r>
      <w:r>
        <w:rPr>
          <w:lang w:val="en-US"/>
        </w:rPr>
        <w:t xml:space="preserve">CECAOT </w:t>
      </w:r>
      <w:r w:rsidR="00590C87" w:rsidRPr="00223914">
        <w:rPr>
          <w:lang w:val="en-US"/>
        </w:rPr>
        <w:t xml:space="preserve">has </w:t>
      </w:r>
      <w:r w:rsidR="00671675" w:rsidRPr="00223914">
        <w:rPr>
          <w:lang w:val="en-US"/>
        </w:rPr>
        <w:t>been working</w:t>
      </w:r>
      <w:r w:rsidR="00590C87" w:rsidRPr="00223914">
        <w:rPr>
          <w:lang w:val="en-US"/>
        </w:rPr>
        <w:t xml:space="preserve"> with a “broker” who does not agree to share the information about who exactly the importers are. Hence the relationship between this broker and the producer organization CECAOT, is simply restricted to the definition of export prices which interestingly turn out to be lower than the ones received by the other producer organization ANAPQUI (which does not have this sort of “obscure” relationship with its i</w:t>
      </w:r>
      <w:r w:rsidR="00671675">
        <w:rPr>
          <w:lang w:val="en-US"/>
        </w:rPr>
        <w:t>mporting companies);</w:t>
      </w:r>
      <w:r w:rsidR="00590C87" w:rsidRPr="00223914">
        <w:rPr>
          <w:lang w:val="en-US"/>
        </w:rPr>
        <w:t xml:space="preserve"> as well as the prices received by the French subsidiary firms </w:t>
      </w:r>
      <w:proofErr w:type="spellStart"/>
      <w:r w:rsidR="00590C87" w:rsidRPr="00FD7157">
        <w:rPr>
          <w:lang w:val="en-US"/>
        </w:rPr>
        <w:t>Jatary</w:t>
      </w:r>
      <w:proofErr w:type="spellEnd"/>
      <w:r w:rsidR="00590C87" w:rsidRPr="00FD7157">
        <w:rPr>
          <w:lang w:val="en-US"/>
        </w:rPr>
        <w:t xml:space="preserve"> and Quinoa </w:t>
      </w:r>
      <w:proofErr w:type="spellStart"/>
      <w:r w:rsidR="00590C87" w:rsidRPr="00FD7157">
        <w:rPr>
          <w:lang w:val="en-US"/>
        </w:rPr>
        <w:t>Bol</w:t>
      </w:r>
      <w:proofErr w:type="spellEnd"/>
      <w:r w:rsidR="00590C87" w:rsidRPr="00FD7157">
        <w:rPr>
          <w:lang w:val="en-US"/>
        </w:rPr>
        <w:t xml:space="preserve">, </w:t>
      </w:r>
      <w:r w:rsidR="00590C87" w:rsidRPr="00223914">
        <w:rPr>
          <w:lang w:val="en-US"/>
        </w:rPr>
        <w:t>who of course have a direct flow of information since the</w:t>
      </w:r>
      <w:r w:rsidR="00671675">
        <w:rPr>
          <w:lang w:val="en-US"/>
        </w:rPr>
        <w:t>se</w:t>
      </w:r>
      <w:r w:rsidR="00590C87" w:rsidRPr="00223914">
        <w:rPr>
          <w:lang w:val="en-US"/>
        </w:rPr>
        <w:t xml:space="preserve"> belong to the vertical integration model. </w:t>
      </w:r>
    </w:p>
    <w:p w:rsidR="00590C87" w:rsidRPr="00223914" w:rsidRDefault="00590C87" w:rsidP="00E06E16">
      <w:pPr>
        <w:ind w:firstLine="720"/>
        <w:jc w:val="both"/>
        <w:rPr>
          <w:lang w:val="en-US"/>
        </w:rPr>
      </w:pPr>
      <w:r w:rsidRPr="00223914">
        <w:rPr>
          <w:lang w:val="en-US"/>
        </w:rPr>
        <w:t xml:space="preserve">The price that each organization and </w:t>
      </w:r>
      <w:r w:rsidR="00E60D45" w:rsidRPr="00223914">
        <w:rPr>
          <w:lang w:val="en-US"/>
        </w:rPr>
        <w:t xml:space="preserve">private </w:t>
      </w:r>
      <w:r w:rsidRPr="00223914">
        <w:rPr>
          <w:lang w:val="en-US"/>
        </w:rPr>
        <w:t xml:space="preserve">firm received for their quinoa between the period of 2000 and 2004 </w:t>
      </w:r>
      <w:r w:rsidR="00E60D45" w:rsidRPr="00223914">
        <w:rPr>
          <w:lang w:val="en-US"/>
        </w:rPr>
        <w:t>is</w:t>
      </w:r>
      <w:r w:rsidRPr="00223914">
        <w:rPr>
          <w:lang w:val="en-US"/>
        </w:rPr>
        <w:t xml:space="preserve"> as follows: </w:t>
      </w:r>
    </w:p>
    <w:p w:rsidR="00DB063D" w:rsidRPr="00E06E16" w:rsidRDefault="00DB063D" w:rsidP="00E06E16">
      <w:pPr>
        <w:jc w:val="center"/>
        <w:rPr>
          <w:b/>
          <w:i/>
          <w:lang w:val="en-US"/>
        </w:rPr>
      </w:pPr>
      <w:bookmarkStart w:id="47" w:name="_Ref342157617"/>
      <w:r w:rsidRPr="00E06E16">
        <w:rPr>
          <w:b/>
          <w:i/>
          <w:lang w:val="en-US"/>
        </w:rPr>
        <w:t xml:space="preserve">Table </w:t>
      </w:r>
      <w:r w:rsidRPr="00E06E16">
        <w:rPr>
          <w:b/>
          <w:i/>
          <w:lang w:val="en-US"/>
        </w:rPr>
        <w:fldChar w:fldCharType="begin"/>
      </w:r>
      <w:r w:rsidRPr="00E06E16">
        <w:rPr>
          <w:b/>
          <w:i/>
          <w:lang w:val="en-US"/>
        </w:rPr>
        <w:instrText xml:space="preserve"> SEQ Table \* ARABIC </w:instrText>
      </w:r>
      <w:r w:rsidRPr="00E06E16">
        <w:rPr>
          <w:b/>
          <w:i/>
          <w:lang w:val="en-US"/>
        </w:rPr>
        <w:fldChar w:fldCharType="separate"/>
      </w:r>
      <w:r w:rsidR="00B906BF">
        <w:rPr>
          <w:b/>
          <w:i/>
          <w:noProof/>
          <w:lang w:val="en-US"/>
        </w:rPr>
        <w:t>4</w:t>
      </w:r>
      <w:r w:rsidRPr="00E06E16">
        <w:rPr>
          <w:b/>
          <w:i/>
          <w:lang w:val="en-US"/>
        </w:rPr>
        <w:fldChar w:fldCharType="end"/>
      </w:r>
      <w:r w:rsidRPr="00E06E16">
        <w:rPr>
          <w:b/>
          <w:i/>
          <w:lang w:val="en-US"/>
        </w:rPr>
        <w:t>: Difference in export prices received between the PO’s and private firms.</w:t>
      </w:r>
      <w:bookmarkEnd w:id="47"/>
    </w:p>
    <w:tbl>
      <w:tblPr>
        <w:tblStyle w:val="TableGrid"/>
        <w:tblW w:w="0" w:type="auto"/>
        <w:tblLook w:val="04A0" w:firstRow="1" w:lastRow="0" w:firstColumn="1" w:lastColumn="0" w:noHBand="0" w:noVBand="1"/>
      </w:tblPr>
      <w:tblGrid>
        <w:gridCol w:w="4788"/>
        <w:gridCol w:w="4788"/>
      </w:tblGrid>
      <w:tr w:rsidR="00590C87" w:rsidTr="00434A92">
        <w:tc>
          <w:tcPr>
            <w:tcW w:w="4788" w:type="dxa"/>
            <w:shd w:val="clear" w:color="auto" w:fill="FFFF00"/>
          </w:tcPr>
          <w:p w:rsidR="00590C87" w:rsidRDefault="00590C87" w:rsidP="00590C87">
            <w:pPr>
              <w:jc w:val="both"/>
              <w:rPr>
                <w:i/>
                <w:lang w:val="en-US"/>
              </w:rPr>
            </w:pPr>
          </w:p>
        </w:tc>
        <w:tc>
          <w:tcPr>
            <w:tcW w:w="4788" w:type="dxa"/>
            <w:shd w:val="clear" w:color="auto" w:fill="FFFF00"/>
          </w:tcPr>
          <w:p w:rsidR="00590C87" w:rsidRPr="00671675" w:rsidRDefault="00434A92" w:rsidP="00590C87">
            <w:pPr>
              <w:jc w:val="both"/>
              <w:rPr>
                <w:lang w:val="en-US"/>
              </w:rPr>
            </w:pPr>
            <w:r w:rsidRPr="00671675">
              <w:rPr>
                <w:lang w:val="en-US"/>
              </w:rPr>
              <w:t>Export Prices between 2000 – 2004</w:t>
            </w:r>
          </w:p>
        </w:tc>
      </w:tr>
      <w:tr w:rsidR="00590C87" w:rsidTr="00590C87">
        <w:tc>
          <w:tcPr>
            <w:tcW w:w="4788" w:type="dxa"/>
          </w:tcPr>
          <w:p w:rsidR="00590C87" w:rsidRPr="00671675" w:rsidRDefault="00590C87" w:rsidP="00671675">
            <w:pPr>
              <w:jc w:val="center"/>
              <w:rPr>
                <w:lang w:val="en-US"/>
              </w:rPr>
            </w:pPr>
            <w:r w:rsidRPr="00671675">
              <w:rPr>
                <w:lang w:val="en-US"/>
              </w:rPr>
              <w:t>CECAOT (PO)</w:t>
            </w:r>
          </w:p>
        </w:tc>
        <w:tc>
          <w:tcPr>
            <w:tcW w:w="4788" w:type="dxa"/>
          </w:tcPr>
          <w:p w:rsidR="00590C87" w:rsidRPr="00671675" w:rsidRDefault="00590C87" w:rsidP="00671675">
            <w:pPr>
              <w:jc w:val="center"/>
              <w:rPr>
                <w:lang w:val="en-US"/>
              </w:rPr>
            </w:pPr>
            <w:r w:rsidRPr="00671675">
              <w:rPr>
                <w:lang w:val="en-US"/>
              </w:rPr>
              <w:t>$1050 (lowest)</w:t>
            </w:r>
          </w:p>
        </w:tc>
      </w:tr>
      <w:tr w:rsidR="00590C87" w:rsidTr="00590C87">
        <w:tc>
          <w:tcPr>
            <w:tcW w:w="4788" w:type="dxa"/>
          </w:tcPr>
          <w:p w:rsidR="00590C87" w:rsidRPr="00671675" w:rsidRDefault="00590C87" w:rsidP="00671675">
            <w:pPr>
              <w:jc w:val="center"/>
              <w:rPr>
                <w:lang w:val="en-US"/>
              </w:rPr>
            </w:pPr>
            <w:r w:rsidRPr="00671675">
              <w:rPr>
                <w:lang w:val="en-US"/>
              </w:rPr>
              <w:t>ANAPQUI (PO)</w:t>
            </w:r>
          </w:p>
        </w:tc>
        <w:tc>
          <w:tcPr>
            <w:tcW w:w="4788" w:type="dxa"/>
          </w:tcPr>
          <w:p w:rsidR="00590C87" w:rsidRPr="00671675" w:rsidRDefault="00590C87" w:rsidP="00671675">
            <w:pPr>
              <w:jc w:val="center"/>
              <w:rPr>
                <w:lang w:val="en-US"/>
              </w:rPr>
            </w:pPr>
            <w:r w:rsidRPr="00671675">
              <w:rPr>
                <w:lang w:val="en-US"/>
              </w:rPr>
              <w:t>$1200</w:t>
            </w:r>
          </w:p>
        </w:tc>
      </w:tr>
      <w:tr w:rsidR="00590C87" w:rsidTr="00590C87">
        <w:tc>
          <w:tcPr>
            <w:tcW w:w="4788" w:type="dxa"/>
          </w:tcPr>
          <w:p w:rsidR="00590C87" w:rsidRPr="00671675" w:rsidRDefault="00590C87" w:rsidP="00671675">
            <w:pPr>
              <w:jc w:val="center"/>
              <w:rPr>
                <w:lang w:val="en-US"/>
              </w:rPr>
            </w:pPr>
            <w:r w:rsidRPr="00671675">
              <w:rPr>
                <w:lang w:val="en-US"/>
              </w:rPr>
              <w:t>JATARY (private firm)</w:t>
            </w:r>
          </w:p>
        </w:tc>
        <w:tc>
          <w:tcPr>
            <w:tcW w:w="4788" w:type="dxa"/>
          </w:tcPr>
          <w:p w:rsidR="00590C87" w:rsidRPr="00671675" w:rsidRDefault="00590C87" w:rsidP="00671675">
            <w:pPr>
              <w:jc w:val="center"/>
              <w:rPr>
                <w:lang w:val="en-US"/>
              </w:rPr>
            </w:pPr>
            <w:r w:rsidRPr="00671675">
              <w:rPr>
                <w:lang w:val="en-US"/>
              </w:rPr>
              <w:t>$1250 - $1350</w:t>
            </w:r>
          </w:p>
        </w:tc>
      </w:tr>
      <w:tr w:rsidR="00590C87" w:rsidTr="00590C87">
        <w:tc>
          <w:tcPr>
            <w:tcW w:w="4788" w:type="dxa"/>
          </w:tcPr>
          <w:p w:rsidR="00590C87" w:rsidRPr="00671675" w:rsidRDefault="00590C87" w:rsidP="00671675">
            <w:pPr>
              <w:jc w:val="center"/>
              <w:rPr>
                <w:lang w:val="en-US"/>
              </w:rPr>
            </w:pPr>
            <w:r w:rsidRPr="00671675">
              <w:rPr>
                <w:lang w:val="en-US"/>
              </w:rPr>
              <w:t>QUINOABOL (private firm)</w:t>
            </w:r>
          </w:p>
        </w:tc>
        <w:tc>
          <w:tcPr>
            <w:tcW w:w="4788" w:type="dxa"/>
          </w:tcPr>
          <w:p w:rsidR="00590C87" w:rsidRPr="00671675" w:rsidRDefault="00590C87" w:rsidP="00671675">
            <w:pPr>
              <w:jc w:val="center"/>
              <w:rPr>
                <w:lang w:val="en-US"/>
              </w:rPr>
            </w:pPr>
            <w:r w:rsidRPr="00671675">
              <w:rPr>
                <w:lang w:val="en-US"/>
              </w:rPr>
              <w:t>$1100 - $1150</w:t>
            </w:r>
          </w:p>
        </w:tc>
      </w:tr>
    </w:tbl>
    <w:p w:rsidR="00590C87" w:rsidRPr="00590C87" w:rsidRDefault="00590C87" w:rsidP="00590C87">
      <w:pPr>
        <w:jc w:val="both"/>
        <w:rPr>
          <w:i/>
          <w:lang w:val="en-US"/>
        </w:rPr>
      </w:pPr>
    </w:p>
    <w:p w:rsidR="00590C87" w:rsidRPr="00223914" w:rsidRDefault="00590C87" w:rsidP="00E06E16">
      <w:pPr>
        <w:ind w:firstLine="720"/>
        <w:jc w:val="both"/>
        <w:rPr>
          <w:lang w:val="en-US"/>
        </w:rPr>
      </w:pPr>
      <w:r w:rsidRPr="00223914">
        <w:rPr>
          <w:lang w:val="en-US"/>
        </w:rPr>
        <w:t>This was corroborated during my fieldwork interview with the president of the producer organization CECAOT who asked me if people in the Netherlands consumed quinoa. I was surprised to hear he did not have this information considering that the Netherlands is the third biggest importer of quinoa in the world. However, while doing further research and learning the commercial dynamics of this producer organization (</w:t>
      </w:r>
      <w:r w:rsidR="00671675">
        <w:rPr>
          <w:lang w:val="en-US"/>
        </w:rPr>
        <w:t>whose</w:t>
      </w:r>
      <w:r w:rsidRPr="00223914">
        <w:rPr>
          <w:lang w:val="en-US"/>
        </w:rPr>
        <w:t xml:space="preserve"> financial standing is not as strong as the other </w:t>
      </w:r>
      <w:r w:rsidR="00671675">
        <w:rPr>
          <w:lang w:val="en-US"/>
        </w:rPr>
        <w:t>PO</w:t>
      </w:r>
      <w:r w:rsidRPr="00223914">
        <w:rPr>
          <w:lang w:val="en-US"/>
        </w:rPr>
        <w:t xml:space="preserve">), the reason for the </w:t>
      </w:r>
      <w:r w:rsidRPr="000E5367">
        <w:rPr>
          <w:lang w:val="en-US"/>
        </w:rPr>
        <w:t xml:space="preserve">lack of knowledge by the </w:t>
      </w:r>
      <w:r w:rsidRPr="00223914">
        <w:rPr>
          <w:lang w:val="en-US"/>
        </w:rPr>
        <w:t>president of this producer organization became clearer. Below is the statement he made during the interview:</w:t>
      </w:r>
    </w:p>
    <w:p w:rsidR="00590C87" w:rsidRPr="00671675" w:rsidRDefault="00590C87" w:rsidP="00E06E16">
      <w:pPr>
        <w:ind w:firstLine="720"/>
        <w:jc w:val="both"/>
        <w:rPr>
          <w:i/>
          <w:lang w:val="en-US"/>
        </w:rPr>
      </w:pPr>
      <w:r w:rsidRPr="00671675">
        <w:rPr>
          <w:i/>
          <w:lang w:val="en-US"/>
        </w:rPr>
        <w:t>‘Do people in the Netherlands consume Quinoa? Open markets in the Netherlands! That way we will improve the economic situation of the farmers’</w:t>
      </w:r>
      <w:r w:rsidR="00E60D45" w:rsidRPr="00671675">
        <w:rPr>
          <w:i/>
          <w:lang w:val="en-US"/>
        </w:rPr>
        <w:t>.</w:t>
      </w:r>
    </w:p>
    <w:p w:rsidR="00434A92" w:rsidRPr="00223914" w:rsidRDefault="00590C87" w:rsidP="00434A92">
      <w:pPr>
        <w:pStyle w:val="NoSpacing"/>
        <w:jc w:val="right"/>
      </w:pP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r>
      <w:r w:rsidR="00434A92" w:rsidRPr="00223914">
        <w:t xml:space="preserve">Javier </w:t>
      </w:r>
      <w:proofErr w:type="spellStart"/>
      <w:r w:rsidR="00434A92" w:rsidRPr="00223914">
        <w:t>Lopez</w:t>
      </w:r>
      <w:proofErr w:type="spellEnd"/>
      <w:r w:rsidR="00434A92" w:rsidRPr="00223914">
        <w:t xml:space="preserve"> Delgado</w:t>
      </w:r>
    </w:p>
    <w:p w:rsidR="00434A92" w:rsidRPr="00223914" w:rsidRDefault="00434A92" w:rsidP="00434A92">
      <w:pPr>
        <w:pStyle w:val="NoSpacing"/>
        <w:jc w:val="right"/>
      </w:pPr>
      <w:proofErr w:type="spellStart"/>
      <w:r w:rsidRPr="00223914">
        <w:t>President</w:t>
      </w:r>
      <w:proofErr w:type="spellEnd"/>
      <w:r w:rsidRPr="00223914">
        <w:t xml:space="preserve"> of CECAOT – Central de Cooperativas Agropecuarias </w:t>
      </w:r>
      <w:r w:rsidR="00E60D45" w:rsidRPr="00223914">
        <w:t xml:space="preserve">“Operación </w:t>
      </w:r>
      <w:r w:rsidRPr="00223914">
        <w:t>Tierra</w:t>
      </w:r>
      <w:r w:rsidR="00E60D45" w:rsidRPr="00223914">
        <w:t>” LTDA.</w:t>
      </w:r>
      <w:r w:rsidRPr="00223914">
        <w:t xml:space="preserve"> </w:t>
      </w:r>
    </w:p>
    <w:p w:rsidR="00434A92" w:rsidRPr="00223914" w:rsidRDefault="00434A92" w:rsidP="00434A92">
      <w:pPr>
        <w:pStyle w:val="NoSpacing"/>
        <w:jc w:val="right"/>
        <w:rPr>
          <w:lang w:val="en-US"/>
        </w:rPr>
      </w:pPr>
      <w:r w:rsidRPr="00223914">
        <w:tab/>
        <w:t xml:space="preserve"> </w:t>
      </w:r>
      <w:r w:rsidRPr="00223914">
        <w:tab/>
      </w:r>
      <w:r w:rsidRPr="00223914">
        <w:tab/>
      </w:r>
      <w:r w:rsidRPr="00223914">
        <w:tab/>
      </w:r>
      <w:r w:rsidRPr="00223914">
        <w:tab/>
      </w:r>
      <w:r w:rsidRPr="00223914">
        <w:rPr>
          <w:lang w:val="en-US"/>
        </w:rPr>
        <w:t xml:space="preserve">Interviewed at CECAOT’s Headquarters in </w:t>
      </w:r>
      <w:proofErr w:type="spellStart"/>
      <w:r w:rsidRPr="00223914">
        <w:rPr>
          <w:lang w:val="en-US"/>
        </w:rPr>
        <w:t>Uyuni</w:t>
      </w:r>
      <w:proofErr w:type="spellEnd"/>
      <w:r w:rsidRPr="00223914">
        <w:rPr>
          <w:lang w:val="en-US"/>
        </w:rPr>
        <w:t xml:space="preserve">, Potosi- Bolivia </w:t>
      </w:r>
    </w:p>
    <w:p w:rsidR="00434A92" w:rsidRPr="00223914" w:rsidRDefault="00434A92" w:rsidP="00434A92">
      <w:pPr>
        <w:pStyle w:val="NoSpacing"/>
        <w:jc w:val="right"/>
        <w:rPr>
          <w:lang w:val="en-US"/>
        </w:rPr>
      </w:pPr>
      <w:r w:rsidRPr="00223914">
        <w:rPr>
          <w:lang w:val="en-US"/>
        </w:rPr>
        <w:t>August 17, 2012</w:t>
      </w:r>
    </w:p>
    <w:p w:rsidR="00434A92" w:rsidRPr="00223914" w:rsidRDefault="00434A92" w:rsidP="00434A92">
      <w:pPr>
        <w:jc w:val="both"/>
        <w:rPr>
          <w:lang w:val="en-US"/>
        </w:rPr>
      </w:pPr>
    </w:p>
    <w:p w:rsidR="00434A92" w:rsidRPr="00671675" w:rsidRDefault="00694E9A" w:rsidP="00E06E16">
      <w:pPr>
        <w:ind w:firstLine="720"/>
        <w:jc w:val="both"/>
        <w:rPr>
          <w:lang w:val="en-US"/>
        </w:rPr>
      </w:pPr>
      <w:r w:rsidRPr="00671675">
        <w:rPr>
          <w:lang w:val="en-US"/>
        </w:rPr>
        <w:t xml:space="preserve">Lastly, </w:t>
      </w:r>
      <w:r w:rsidR="004F20D8" w:rsidRPr="00671675">
        <w:rPr>
          <w:lang w:val="en-US"/>
        </w:rPr>
        <w:t xml:space="preserve">another example can be found in the case of the red quinoa. </w:t>
      </w:r>
    </w:p>
    <w:p w:rsidR="00001A75" w:rsidRPr="00001A75" w:rsidRDefault="004F20D8" w:rsidP="00E06E16">
      <w:pPr>
        <w:ind w:firstLine="720"/>
        <w:jc w:val="both"/>
        <w:rPr>
          <w:lang w:val="en-US"/>
        </w:rPr>
      </w:pPr>
      <w:r w:rsidRPr="00223914">
        <w:rPr>
          <w:lang w:val="en-US"/>
        </w:rPr>
        <w:t xml:space="preserve">The entry of new private firms and the buyer-driven nature of the Quinoa Value Chain have transformed it into a chain of higher complexity and this is </w:t>
      </w:r>
      <w:r w:rsidR="00B555BD">
        <w:rPr>
          <w:lang w:val="en-US"/>
        </w:rPr>
        <w:t>expressed</w:t>
      </w:r>
      <w:r w:rsidRPr="00223914">
        <w:rPr>
          <w:lang w:val="en-US"/>
        </w:rPr>
        <w:t xml:space="preserve"> through an increase in the demand for different kinds of quinoa, mainly based on color. Interestingly, although the work required to harvest each kind of quinoa is the same (for all), its prices vary quite significantly as well as fluctuate depending on the preferences of the consumers in the industrialized countries.</w:t>
      </w:r>
      <w:r w:rsidR="00671675">
        <w:rPr>
          <w:lang w:val="en-US"/>
        </w:rPr>
        <w:t xml:space="preserve"> </w:t>
      </w:r>
      <w:r w:rsidR="00001A75" w:rsidRPr="00001A75">
        <w:rPr>
          <w:lang w:val="en-US"/>
        </w:rPr>
        <w:t xml:space="preserve">During my fieldwork, I had the </w:t>
      </w:r>
      <w:r w:rsidR="00001A75" w:rsidRPr="00001A75">
        <w:rPr>
          <w:lang w:val="en-US"/>
        </w:rPr>
        <w:lastRenderedPageBreak/>
        <w:t xml:space="preserve">opportunity to ask Mr. Javier </w:t>
      </w:r>
      <w:proofErr w:type="spellStart"/>
      <w:r w:rsidR="00001A75" w:rsidRPr="00001A75">
        <w:rPr>
          <w:lang w:val="en-US"/>
        </w:rPr>
        <w:t>Veliz</w:t>
      </w:r>
      <w:proofErr w:type="spellEnd"/>
      <w:r w:rsidR="00001A75" w:rsidRPr="00001A75">
        <w:rPr>
          <w:lang w:val="en-US"/>
        </w:rPr>
        <w:t xml:space="preserve"> Ramos about what he thought was behind the fluctuations in the price of the quinoa. This was his response: </w:t>
      </w:r>
    </w:p>
    <w:p w:rsidR="00001A75" w:rsidRPr="00001A75" w:rsidRDefault="00001A75" w:rsidP="00E06E16">
      <w:pPr>
        <w:ind w:firstLine="720"/>
        <w:jc w:val="both"/>
        <w:rPr>
          <w:i/>
          <w:lang w:val="en-US"/>
        </w:rPr>
      </w:pPr>
      <w:r w:rsidRPr="00001A75">
        <w:rPr>
          <w:i/>
          <w:lang w:val="en-US"/>
        </w:rPr>
        <w:t xml:space="preserve">‘The middle men and the “Black Market” of </w:t>
      </w:r>
      <w:proofErr w:type="spellStart"/>
      <w:r w:rsidRPr="00001A75">
        <w:rPr>
          <w:i/>
          <w:lang w:val="en-US"/>
        </w:rPr>
        <w:t>Challapata</w:t>
      </w:r>
      <w:proofErr w:type="spellEnd"/>
      <w:r w:rsidRPr="00001A75">
        <w:rPr>
          <w:i/>
          <w:lang w:val="en-US"/>
        </w:rPr>
        <w:t xml:space="preserve">. The demand! For example, in </w:t>
      </w:r>
      <w:proofErr w:type="spellStart"/>
      <w:r w:rsidRPr="00001A75">
        <w:rPr>
          <w:i/>
          <w:lang w:val="en-US"/>
        </w:rPr>
        <w:t>Challapata</w:t>
      </w:r>
      <w:proofErr w:type="spellEnd"/>
      <w:r w:rsidRPr="00001A75">
        <w:rPr>
          <w:i/>
          <w:lang w:val="en-US"/>
        </w:rPr>
        <w:t xml:space="preserve"> the red quinoa that was costing Bs.1500 now costs Bs.300. Can you imagine that?! This cannot be justified in any way! Because you do the exact same work for this quinoa as well. There aren’t any extra works to do. Or no more investment is needed”</w:t>
      </w:r>
    </w:p>
    <w:p w:rsidR="001D6DB9" w:rsidRPr="00223914" w:rsidRDefault="00001A75" w:rsidP="001D6DB9">
      <w:pPr>
        <w:pStyle w:val="NoSpacing"/>
        <w:jc w:val="right"/>
        <w:rPr>
          <w:lang w:val="en-US"/>
        </w:rPr>
      </w:pP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sidR="001D6DB9" w:rsidRPr="00223914">
        <w:rPr>
          <w:lang w:val="en-US"/>
        </w:rPr>
        <w:t xml:space="preserve">Javier </w:t>
      </w:r>
      <w:proofErr w:type="spellStart"/>
      <w:r w:rsidR="001D6DB9" w:rsidRPr="00223914">
        <w:rPr>
          <w:lang w:val="en-US"/>
        </w:rPr>
        <w:t>Veliz</w:t>
      </w:r>
      <w:proofErr w:type="spellEnd"/>
      <w:r w:rsidR="001D6DB9" w:rsidRPr="00223914">
        <w:rPr>
          <w:lang w:val="en-US"/>
        </w:rPr>
        <w:t xml:space="preserve"> Ramos</w:t>
      </w:r>
    </w:p>
    <w:p w:rsidR="001D6DB9" w:rsidRPr="00223914" w:rsidRDefault="001D6DB9" w:rsidP="001D6DB9">
      <w:pPr>
        <w:pStyle w:val="NoSpacing"/>
        <w:jc w:val="right"/>
        <w:rPr>
          <w:lang w:val="en-US"/>
        </w:rPr>
      </w:pP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t xml:space="preserve">Production Manager at private firm “Real </w:t>
      </w:r>
      <w:proofErr w:type="spellStart"/>
      <w:r w:rsidRPr="00223914">
        <w:rPr>
          <w:lang w:val="en-US"/>
        </w:rPr>
        <w:t>Andina</w:t>
      </w:r>
      <w:proofErr w:type="spellEnd"/>
      <w:r w:rsidRPr="00223914">
        <w:rPr>
          <w:lang w:val="en-US"/>
        </w:rPr>
        <w:t xml:space="preserve">” </w:t>
      </w:r>
    </w:p>
    <w:p w:rsidR="001D6DB9" w:rsidRPr="00223914" w:rsidRDefault="001D6DB9" w:rsidP="001D6DB9">
      <w:pPr>
        <w:pStyle w:val="NoSpacing"/>
        <w:jc w:val="right"/>
        <w:rPr>
          <w:lang w:val="en-US"/>
        </w:rPr>
      </w:pPr>
      <w:r w:rsidRPr="00E06E16">
        <w:rPr>
          <w:lang w:val="en-US"/>
        </w:rPr>
        <w:tab/>
        <w:t xml:space="preserve"> </w:t>
      </w:r>
      <w:r w:rsidRPr="00E06E16">
        <w:rPr>
          <w:lang w:val="en-US"/>
        </w:rPr>
        <w:tab/>
      </w:r>
      <w:r w:rsidRPr="00E06E16">
        <w:rPr>
          <w:lang w:val="en-US"/>
        </w:rPr>
        <w:tab/>
      </w:r>
      <w:r w:rsidRPr="00E06E16">
        <w:rPr>
          <w:lang w:val="en-US"/>
        </w:rPr>
        <w:tab/>
      </w:r>
      <w:r w:rsidRPr="00E06E16">
        <w:rPr>
          <w:lang w:val="en-US"/>
        </w:rPr>
        <w:tab/>
      </w:r>
      <w:r w:rsidRPr="00223914">
        <w:rPr>
          <w:lang w:val="en-US"/>
        </w:rPr>
        <w:t xml:space="preserve">Interviewed at the company’s office in </w:t>
      </w:r>
      <w:proofErr w:type="spellStart"/>
      <w:r w:rsidRPr="00223914">
        <w:rPr>
          <w:lang w:val="en-US"/>
        </w:rPr>
        <w:t>Uyuni</w:t>
      </w:r>
      <w:proofErr w:type="spellEnd"/>
      <w:r w:rsidRPr="00223914">
        <w:rPr>
          <w:lang w:val="en-US"/>
        </w:rPr>
        <w:t xml:space="preserve">, Potosi- Bolivia </w:t>
      </w:r>
    </w:p>
    <w:p w:rsidR="001D6DB9" w:rsidRPr="00223914" w:rsidRDefault="001D6DB9" w:rsidP="001D6DB9">
      <w:pPr>
        <w:pStyle w:val="NoSpacing"/>
        <w:jc w:val="right"/>
        <w:rPr>
          <w:lang w:val="en-US"/>
        </w:rPr>
      </w:pPr>
      <w:r w:rsidRPr="00223914">
        <w:rPr>
          <w:lang w:val="en-US"/>
        </w:rPr>
        <w:t>August 17, 2012</w:t>
      </w:r>
    </w:p>
    <w:p w:rsidR="001D6DB9" w:rsidRPr="00223914" w:rsidRDefault="001D6DB9" w:rsidP="001D6DB9">
      <w:pPr>
        <w:jc w:val="both"/>
        <w:rPr>
          <w:b/>
          <w:u w:val="single"/>
          <w:lang w:val="en-US"/>
        </w:rPr>
      </w:pPr>
    </w:p>
    <w:p w:rsidR="004F20D8" w:rsidRPr="00223914" w:rsidRDefault="00001A75" w:rsidP="001D6DB9">
      <w:pPr>
        <w:ind w:firstLine="720"/>
        <w:jc w:val="both"/>
        <w:rPr>
          <w:lang w:val="en-US"/>
        </w:rPr>
      </w:pPr>
      <w:r>
        <w:rPr>
          <w:color w:val="FF0000"/>
          <w:lang w:val="en-US"/>
        </w:rPr>
        <w:t xml:space="preserve"> </w:t>
      </w:r>
    </w:p>
    <w:p w:rsidR="004F20D8" w:rsidRPr="00223914" w:rsidRDefault="00001A75" w:rsidP="00E06E16">
      <w:pPr>
        <w:ind w:firstLine="720"/>
        <w:jc w:val="both"/>
        <w:rPr>
          <w:lang w:val="en-US"/>
        </w:rPr>
      </w:pPr>
      <w:r>
        <w:rPr>
          <w:lang w:val="en-US"/>
        </w:rPr>
        <w:t>W</w:t>
      </w:r>
      <w:r w:rsidR="004F20D8" w:rsidRPr="00223914">
        <w:rPr>
          <w:lang w:val="en-US"/>
        </w:rPr>
        <w:t>hile the price of the white quinoa real</w:t>
      </w:r>
      <w:r w:rsidR="004F20D8" w:rsidRPr="00223914">
        <w:rPr>
          <w:vertAlign w:val="superscript"/>
          <w:lang w:val="en-US"/>
        </w:rPr>
        <w:footnoteReference w:id="23"/>
      </w:r>
      <w:r w:rsidR="004F20D8" w:rsidRPr="00223914">
        <w:rPr>
          <w:lang w:val="en-US"/>
        </w:rPr>
        <w:t xml:space="preserve"> is on average between Bs.600 to Bs.700 per quintal (or €66 to €77</w:t>
      </w:r>
      <w:r w:rsidR="004F20D8" w:rsidRPr="00223914">
        <w:rPr>
          <w:vertAlign w:val="superscript"/>
          <w:lang w:val="en-US"/>
        </w:rPr>
        <w:footnoteReference w:id="24"/>
      </w:r>
      <w:r w:rsidR="004F20D8" w:rsidRPr="00223914">
        <w:rPr>
          <w:lang w:val="en-US"/>
        </w:rPr>
        <w:t xml:space="preserve">respectively), during the year 2008 the price of red quinoa had jumped up to Bs.1500 (three times more) just to plummet to Bs.300 the next year. The increased demand for this color of quinoa had to do </w:t>
      </w:r>
      <w:r w:rsidR="004F20D8" w:rsidRPr="000E5367">
        <w:rPr>
          <w:lang w:val="en-US"/>
        </w:rPr>
        <w:t xml:space="preserve">with a sudden preference </w:t>
      </w:r>
      <w:r w:rsidR="004F20D8" w:rsidRPr="00223914">
        <w:rPr>
          <w:lang w:val="en-US"/>
        </w:rPr>
        <w:t>by the chefs in the industrialized countries who liked the exotic color that this quinoa gave to their dishes. The farmers encouraged by the high prices being paid</w:t>
      </w:r>
      <w:r w:rsidR="004F20D8" w:rsidRPr="004F20D8">
        <w:rPr>
          <w:i/>
          <w:lang w:val="en-US"/>
        </w:rPr>
        <w:t xml:space="preserve"> </w:t>
      </w:r>
      <w:r w:rsidR="004F20D8" w:rsidRPr="00223914">
        <w:rPr>
          <w:lang w:val="en-US"/>
        </w:rPr>
        <w:t>for this color of quinoa planted it exclusively in their fields. Hence, when the prices came down the following year (due to an excess in supply), several of these farmers had to face significant losses. Interestingly, this year the black quinoa is following similar pattern. Its price as of August</w:t>
      </w:r>
      <w:r w:rsidR="004F20D8" w:rsidRPr="00223914">
        <w:rPr>
          <w:vertAlign w:val="superscript"/>
          <w:lang w:val="en-US"/>
        </w:rPr>
        <w:footnoteReference w:id="25"/>
      </w:r>
      <w:r w:rsidR="004F20D8" w:rsidRPr="00223914">
        <w:rPr>
          <w:lang w:val="en-US"/>
        </w:rPr>
        <w:t xml:space="preserve"> of this year (2012) was at Bs.1500. It would be no surprise for its price to plummet next year similarly to the case of the red quinoa. </w:t>
      </w:r>
    </w:p>
    <w:p w:rsidR="007769CF" w:rsidRDefault="00001A75" w:rsidP="00E06E16">
      <w:pPr>
        <w:ind w:firstLine="720"/>
        <w:jc w:val="both"/>
        <w:rPr>
          <w:lang w:val="en-US"/>
        </w:rPr>
      </w:pPr>
      <w:r>
        <w:rPr>
          <w:lang w:val="en-US"/>
        </w:rPr>
        <w:t>In conclusion, t</w:t>
      </w:r>
      <w:r w:rsidR="004F20D8" w:rsidRPr="00223914">
        <w:rPr>
          <w:lang w:val="en-US"/>
        </w:rPr>
        <w:t xml:space="preserve">he </w:t>
      </w:r>
      <w:r w:rsidR="00D830D7">
        <w:rPr>
          <w:lang w:val="en-US"/>
        </w:rPr>
        <w:t>almost direct</w:t>
      </w:r>
      <w:r w:rsidR="004F20D8" w:rsidRPr="00223914">
        <w:rPr>
          <w:lang w:val="en-US"/>
        </w:rPr>
        <w:t xml:space="preserve"> role that the preference in the tastes of consumers in the industrialized countries had for how prices were set in the case of the red </w:t>
      </w:r>
      <w:r w:rsidR="00D830D7" w:rsidRPr="00223914">
        <w:rPr>
          <w:lang w:val="en-US"/>
        </w:rPr>
        <w:t>quinoa</w:t>
      </w:r>
      <w:r w:rsidR="004F20D8" w:rsidRPr="00223914">
        <w:rPr>
          <w:lang w:val="en-US"/>
        </w:rPr>
        <w:t xml:space="preserve"> is evidence of the bu</w:t>
      </w:r>
      <w:r>
        <w:rPr>
          <w:lang w:val="en-US"/>
        </w:rPr>
        <w:t xml:space="preserve">yer-driven nature of the chain. </w:t>
      </w:r>
      <w:r w:rsidR="00D830D7">
        <w:rPr>
          <w:lang w:val="en-US"/>
        </w:rPr>
        <w:t xml:space="preserve">The </w:t>
      </w:r>
      <w:r w:rsidR="00352C50">
        <w:rPr>
          <w:lang w:val="en-US"/>
        </w:rPr>
        <w:t xml:space="preserve">implications of such in the current quinoa market structure </w:t>
      </w:r>
      <w:r w:rsidR="0032618F">
        <w:rPr>
          <w:lang w:val="en-US"/>
        </w:rPr>
        <w:t xml:space="preserve">characterized for vertical integration strategies of coordination </w:t>
      </w:r>
      <w:r w:rsidR="00352C50">
        <w:rPr>
          <w:lang w:val="en-US"/>
        </w:rPr>
        <w:t xml:space="preserve">for the farmers’ income are manifested in the lack of inclusion of the farmer in the lines of communication and coordination with downstream actors; therefore farmers’ find themselves trying to “intuitively” determine the direction the market is taking via some price signals which are not always the most efficient indicators, as the case of the red quinoa shows. Furthermore, </w:t>
      </w:r>
      <w:r w:rsidR="007769CF">
        <w:rPr>
          <w:lang w:val="en-US"/>
        </w:rPr>
        <w:t>while mainstream economics logic of supply and demand would be enough to explain the price consequence</w:t>
      </w:r>
      <w:r w:rsidR="00644572">
        <w:rPr>
          <w:lang w:val="en-US"/>
        </w:rPr>
        <w:t>s</w:t>
      </w:r>
      <w:r w:rsidR="007769CF">
        <w:rPr>
          <w:lang w:val="en-US"/>
        </w:rPr>
        <w:t xml:space="preserve"> of the red quinoa (excess of supply), an alternative approach </w:t>
      </w:r>
      <w:r w:rsidR="00AA0E93">
        <w:rPr>
          <w:lang w:val="en-US"/>
        </w:rPr>
        <w:t xml:space="preserve">like </w:t>
      </w:r>
      <w:r w:rsidR="007769CF">
        <w:rPr>
          <w:lang w:val="en-US"/>
        </w:rPr>
        <w:t xml:space="preserve">the GCC analytical framework </w:t>
      </w:r>
      <w:r w:rsidR="00F640C3">
        <w:rPr>
          <w:lang w:val="en-US"/>
        </w:rPr>
        <w:t>has allowed us in this analysis</w:t>
      </w:r>
      <w:r w:rsidR="00AA0E93">
        <w:rPr>
          <w:lang w:val="en-US"/>
        </w:rPr>
        <w:t>,</w:t>
      </w:r>
      <w:r w:rsidR="00F640C3">
        <w:rPr>
          <w:lang w:val="en-US"/>
        </w:rPr>
        <w:t xml:space="preserve"> </w:t>
      </w:r>
      <w:r w:rsidR="007769CF">
        <w:rPr>
          <w:lang w:val="en-US"/>
        </w:rPr>
        <w:t xml:space="preserve">is more helpful in determining the causes behind such excess in supply. </w:t>
      </w:r>
    </w:p>
    <w:p w:rsidR="005546A6" w:rsidRPr="00223914" w:rsidRDefault="005546A6" w:rsidP="00E06E16">
      <w:pPr>
        <w:ind w:firstLine="720"/>
        <w:jc w:val="both"/>
        <w:rPr>
          <w:lang w:val="en-US"/>
        </w:rPr>
      </w:pPr>
      <w:r w:rsidRPr="00223914">
        <w:rPr>
          <w:lang w:val="en-US"/>
        </w:rPr>
        <w:lastRenderedPageBreak/>
        <w:t xml:space="preserve">The “contract-model” practices that the private firms have implemented in the quinoa fields to secure their quinoa supply is another example of this coordination effort and will be studied in more detail in the following section due to its critical implications for the quinoa farmers’ income. </w:t>
      </w:r>
    </w:p>
    <w:p w:rsidR="004D225E" w:rsidRPr="00B83ABE" w:rsidRDefault="004D225E" w:rsidP="005546A6">
      <w:pPr>
        <w:jc w:val="both"/>
        <w:rPr>
          <w:b/>
          <w:sz w:val="28"/>
          <w:szCs w:val="28"/>
          <w:lang w:val="en-US"/>
        </w:rPr>
      </w:pPr>
    </w:p>
    <w:p w:rsidR="00234F06" w:rsidRPr="00B83ABE" w:rsidRDefault="00816B0E" w:rsidP="00816B0E">
      <w:pPr>
        <w:pStyle w:val="Heading2"/>
        <w:numPr>
          <w:ilvl w:val="0"/>
          <w:numId w:val="21"/>
        </w:numPr>
        <w:rPr>
          <w:b w:val="0"/>
          <w:i/>
          <w:sz w:val="28"/>
          <w:szCs w:val="28"/>
          <w:u w:val="single"/>
          <w:lang w:val="en-US"/>
        </w:rPr>
      </w:pPr>
      <w:r w:rsidRPr="00B83ABE">
        <w:rPr>
          <w:i/>
          <w:color w:val="auto"/>
          <w:sz w:val="28"/>
          <w:szCs w:val="28"/>
          <w:u w:val="single"/>
          <w:lang w:val="en-US"/>
        </w:rPr>
        <w:t>Farmers bargaining power under “contract models”</w:t>
      </w:r>
    </w:p>
    <w:p w:rsidR="00E21EA1" w:rsidRPr="00816B0E" w:rsidRDefault="00E21EA1" w:rsidP="00234F06">
      <w:pPr>
        <w:jc w:val="both"/>
        <w:rPr>
          <w:b/>
          <w:i/>
          <w:sz w:val="28"/>
          <w:szCs w:val="28"/>
          <w:u w:val="single"/>
          <w:lang w:val="en-US"/>
        </w:rPr>
      </w:pPr>
    </w:p>
    <w:p w:rsidR="00234F06" w:rsidRPr="00D552B6" w:rsidRDefault="001D6DB9" w:rsidP="001D6DB9">
      <w:pPr>
        <w:ind w:firstLine="720"/>
        <w:jc w:val="both"/>
        <w:rPr>
          <w:lang w:val="en-US"/>
        </w:rPr>
      </w:pPr>
      <w:r>
        <w:rPr>
          <w:lang w:val="en-US"/>
        </w:rPr>
        <w:t>A</w:t>
      </w:r>
      <w:r w:rsidR="00234F06" w:rsidRPr="00D552B6">
        <w:rPr>
          <w:lang w:val="en-US"/>
        </w:rPr>
        <w:t xml:space="preserve">ccording to </w:t>
      </w:r>
      <w:r w:rsidR="00ED172B" w:rsidRPr="002F491C">
        <w:rPr>
          <w:lang w:val="en-US"/>
        </w:rPr>
        <w:t>Reynolds</w:t>
      </w:r>
      <w:r w:rsidR="00234F06" w:rsidRPr="002F491C">
        <w:rPr>
          <w:lang w:val="en-US"/>
        </w:rPr>
        <w:t xml:space="preserve"> (2007), the entrance </w:t>
      </w:r>
      <w:r w:rsidR="00234F06" w:rsidRPr="00D552B6">
        <w:rPr>
          <w:lang w:val="en-US"/>
        </w:rPr>
        <w:t>of new private firms in the upstream segment of the quinoa chain consolidated the “contract model” between individual peasant producers and agro-industrial companies, establishing a functional division of labor whereby peasants are limited to their agricultural function and subject to “selection” according to quality requirements.</w:t>
      </w:r>
    </w:p>
    <w:p w:rsidR="001D6DB9" w:rsidRDefault="004D225E" w:rsidP="00E06E16">
      <w:pPr>
        <w:ind w:firstLine="720"/>
        <w:jc w:val="both"/>
        <w:rPr>
          <w:lang w:val="en-US"/>
        </w:rPr>
      </w:pPr>
      <w:r w:rsidRPr="00D552B6">
        <w:rPr>
          <w:lang w:val="en-US"/>
        </w:rPr>
        <w:t xml:space="preserve">The contracts under the “contract-model” mentioned above are characterized by: </w:t>
      </w:r>
    </w:p>
    <w:p w:rsidR="001D6DB9" w:rsidRDefault="004D225E" w:rsidP="00E06E16">
      <w:pPr>
        <w:ind w:firstLine="720"/>
        <w:jc w:val="both"/>
        <w:rPr>
          <w:lang w:val="en-US"/>
        </w:rPr>
      </w:pPr>
      <w:r w:rsidRPr="00D552B6">
        <w:rPr>
          <w:lang w:val="en-US"/>
        </w:rPr>
        <w:t xml:space="preserve">a) </w:t>
      </w:r>
      <w:r w:rsidR="001D6DB9" w:rsidRPr="00D552B6">
        <w:rPr>
          <w:lang w:val="en-US"/>
        </w:rPr>
        <w:t>The</w:t>
      </w:r>
      <w:r w:rsidRPr="00D552B6">
        <w:rPr>
          <w:lang w:val="en-US"/>
        </w:rPr>
        <w:t xml:space="preserve"> specification of the duration of the agreement which is normally a year </w:t>
      </w:r>
      <w:r w:rsidR="001D6DB9">
        <w:rPr>
          <w:lang w:val="en-US"/>
        </w:rPr>
        <w:t>with the possibility of renewal</w:t>
      </w:r>
      <w:r w:rsidRPr="00D552B6">
        <w:rPr>
          <w:lang w:val="en-US"/>
        </w:rPr>
        <w:t xml:space="preserve">, </w:t>
      </w:r>
    </w:p>
    <w:p w:rsidR="001D6DB9" w:rsidRDefault="004D225E" w:rsidP="00E06E16">
      <w:pPr>
        <w:ind w:firstLine="720"/>
        <w:jc w:val="both"/>
        <w:rPr>
          <w:lang w:val="en-US"/>
        </w:rPr>
      </w:pPr>
      <w:r w:rsidRPr="00D552B6">
        <w:rPr>
          <w:lang w:val="en-US"/>
        </w:rPr>
        <w:t xml:space="preserve">b) </w:t>
      </w:r>
      <w:r w:rsidR="001D6DB9" w:rsidRPr="00D552B6">
        <w:rPr>
          <w:lang w:val="en-US"/>
        </w:rPr>
        <w:t>A</w:t>
      </w:r>
      <w:r w:rsidR="001D6DB9">
        <w:rPr>
          <w:lang w:val="en-US"/>
        </w:rPr>
        <w:t xml:space="preserve"> ballpark price </w:t>
      </w:r>
      <w:r w:rsidRPr="00D552B6">
        <w:rPr>
          <w:lang w:val="en-US"/>
        </w:rPr>
        <w:t>which is normally set taking the quinoa price quoted at the “</w:t>
      </w:r>
      <w:proofErr w:type="spellStart"/>
      <w:r w:rsidRPr="00D552B6">
        <w:rPr>
          <w:lang w:val="en-US"/>
        </w:rPr>
        <w:t>Challapata</w:t>
      </w:r>
      <w:proofErr w:type="spellEnd"/>
      <w:r w:rsidRPr="00D552B6">
        <w:rPr>
          <w:lang w:val="en-US"/>
        </w:rPr>
        <w:t xml:space="preserve"> Fair” as the base and adding a</w:t>
      </w:r>
      <w:r w:rsidR="001D6DB9">
        <w:rPr>
          <w:lang w:val="en-US"/>
        </w:rPr>
        <w:t xml:space="preserve"> specific percentage to it</w:t>
      </w:r>
      <w:r w:rsidRPr="00D552B6">
        <w:rPr>
          <w:lang w:val="en-US"/>
        </w:rPr>
        <w:t xml:space="preserve">, </w:t>
      </w:r>
    </w:p>
    <w:p w:rsidR="001D6DB9" w:rsidRDefault="004D225E" w:rsidP="00E06E16">
      <w:pPr>
        <w:ind w:firstLine="720"/>
        <w:jc w:val="both"/>
        <w:rPr>
          <w:lang w:val="en-US"/>
        </w:rPr>
      </w:pPr>
      <w:r w:rsidRPr="00D552B6">
        <w:rPr>
          <w:lang w:val="en-US"/>
        </w:rPr>
        <w:t xml:space="preserve">c) </w:t>
      </w:r>
      <w:r w:rsidR="001D6DB9" w:rsidRPr="00D552B6">
        <w:rPr>
          <w:lang w:val="en-US"/>
        </w:rPr>
        <w:t>Pre-financing</w:t>
      </w:r>
      <w:r w:rsidR="001D6DB9">
        <w:rPr>
          <w:lang w:val="en-US"/>
        </w:rPr>
        <w:t xml:space="preserve"> </w:t>
      </w:r>
      <w:r w:rsidRPr="00D552B6">
        <w:rPr>
          <w:lang w:val="en-US"/>
        </w:rPr>
        <w:t>for the organic certification</w:t>
      </w:r>
      <w:r w:rsidR="00E67695">
        <w:rPr>
          <w:rStyle w:val="FootnoteReference"/>
          <w:lang w:val="en-US"/>
        </w:rPr>
        <w:footnoteReference w:id="26"/>
      </w:r>
      <w:r w:rsidRPr="00D552B6">
        <w:rPr>
          <w:lang w:val="en-US"/>
        </w:rPr>
        <w:t xml:space="preserve"> of the farmers’ land plus some tec</w:t>
      </w:r>
      <w:r w:rsidR="001D6DB9">
        <w:rPr>
          <w:lang w:val="en-US"/>
        </w:rPr>
        <w:t>hnical assistance and equipment;</w:t>
      </w:r>
      <w:r w:rsidRPr="00D552B6">
        <w:rPr>
          <w:lang w:val="en-US"/>
        </w:rPr>
        <w:t xml:space="preserve"> and lastly </w:t>
      </w:r>
    </w:p>
    <w:p w:rsidR="004D225E" w:rsidRPr="002F491C" w:rsidRDefault="004D225E" w:rsidP="00E06E16">
      <w:pPr>
        <w:ind w:firstLine="720"/>
        <w:jc w:val="both"/>
        <w:rPr>
          <w:lang w:val="en-US"/>
        </w:rPr>
      </w:pPr>
      <w:r w:rsidRPr="00D552B6">
        <w:rPr>
          <w:lang w:val="en-US"/>
        </w:rPr>
        <w:t xml:space="preserve">d) </w:t>
      </w:r>
      <w:r w:rsidR="001D6DB9" w:rsidRPr="00D552B6">
        <w:rPr>
          <w:lang w:val="en-US"/>
        </w:rPr>
        <w:t>Commitments</w:t>
      </w:r>
      <w:r w:rsidRPr="00D552B6">
        <w:rPr>
          <w:lang w:val="en-US"/>
        </w:rPr>
        <w:t xml:space="preserve"> where the farmer promises the organic quality of the quinoa production following the practices required by the exporting companies and organic certifiers</w:t>
      </w:r>
      <w:r w:rsidR="001D6DB9">
        <w:rPr>
          <w:lang w:val="en-US"/>
        </w:rPr>
        <w:t xml:space="preserve">; </w:t>
      </w:r>
      <w:r w:rsidR="001D6DB9" w:rsidRPr="002F491C">
        <w:rPr>
          <w:lang w:val="en-US"/>
        </w:rPr>
        <w:t>who themselves follow</w:t>
      </w:r>
      <w:r w:rsidRPr="002F491C">
        <w:rPr>
          <w:lang w:val="en-US"/>
        </w:rPr>
        <w:t xml:space="preserve"> international norms. </w:t>
      </w:r>
      <w:r w:rsidR="001D6DB9" w:rsidRPr="002F491C">
        <w:rPr>
          <w:lang w:val="en-US"/>
        </w:rPr>
        <w:t xml:space="preserve">In addition, </w:t>
      </w:r>
      <w:r w:rsidRPr="002F491C">
        <w:rPr>
          <w:lang w:val="en-US"/>
        </w:rPr>
        <w:t>some monitoring is agreed upon with the farmer (</w:t>
      </w:r>
      <w:r w:rsidR="00D552B6" w:rsidRPr="002F491C">
        <w:rPr>
          <w:lang w:val="en-US"/>
        </w:rPr>
        <w:t>Reynolds</w:t>
      </w:r>
      <w:r w:rsidRPr="002F491C">
        <w:rPr>
          <w:lang w:val="en-US"/>
        </w:rPr>
        <w:t xml:space="preserve">, 2007). </w:t>
      </w:r>
    </w:p>
    <w:p w:rsidR="004D225E" w:rsidRPr="00223914" w:rsidRDefault="004D225E" w:rsidP="00E06E16">
      <w:pPr>
        <w:ind w:firstLine="720"/>
        <w:jc w:val="both"/>
        <w:rPr>
          <w:lang w:val="en-US"/>
        </w:rPr>
      </w:pPr>
      <w:r w:rsidRPr="002F491C">
        <w:rPr>
          <w:lang w:val="en-US"/>
        </w:rPr>
        <w:t xml:space="preserve">However, according to </w:t>
      </w:r>
      <w:r w:rsidR="00D552B6" w:rsidRPr="002F491C">
        <w:rPr>
          <w:lang w:val="en-US"/>
        </w:rPr>
        <w:t>Laguna (2006</w:t>
      </w:r>
      <w:r w:rsidRPr="002F491C">
        <w:rPr>
          <w:lang w:val="en-US"/>
        </w:rPr>
        <w:t xml:space="preserve">), it is often the farmers who in fact provide the financing to the private firms. Since farmers agree to wait several months (9 months in some cases)  for full payment </w:t>
      </w:r>
      <w:r w:rsidRPr="00223914">
        <w:rPr>
          <w:lang w:val="en-US"/>
        </w:rPr>
        <w:t xml:space="preserve">accepting to receive only a small percentage (10% at least) of the full pay when delivering their production to the collecting locations.  Hence, the farmer does not only receive payment late but also loses due to the depreciation factor. Furthermore, small-land size farmers may lose out to the big-land size farmers due to a certain selectivity factor in favor of them by the private firms. It makes business sense to prefer dealing with a reduced number of farmers that can bring them the most quinoa. Transaction costs increase the higher the number of quinoa suppliers private firms have to deal with. </w:t>
      </w:r>
    </w:p>
    <w:p w:rsidR="004D225E" w:rsidRPr="00223914" w:rsidRDefault="004D225E" w:rsidP="00E06E16">
      <w:pPr>
        <w:ind w:firstLine="720"/>
        <w:jc w:val="both"/>
        <w:rPr>
          <w:lang w:val="en-US"/>
        </w:rPr>
      </w:pPr>
      <w:r w:rsidRPr="00223914">
        <w:rPr>
          <w:lang w:val="en-US"/>
        </w:rPr>
        <w:t xml:space="preserve">These set of conditions were confirmed during my fieldwork when I interviewed a manager from a private local subsidiary firm. </w:t>
      </w:r>
    </w:p>
    <w:p w:rsidR="004D225E" w:rsidRPr="001D6DB9" w:rsidRDefault="004D225E" w:rsidP="00E06E16">
      <w:pPr>
        <w:ind w:firstLine="720"/>
        <w:jc w:val="both"/>
        <w:rPr>
          <w:i/>
          <w:lang w:val="en-US"/>
        </w:rPr>
      </w:pPr>
      <w:r w:rsidRPr="001D6DB9">
        <w:rPr>
          <w:i/>
          <w:lang w:val="en-US"/>
        </w:rPr>
        <w:lastRenderedPageBreak/>
        <w:t xml:space="preserve">‘We have actually been able to establish a relationship of trust. If they (the farmers) are giving us above 50 to 100 quintals, we pay them between 25% to 50% of the full pay. And then the rest they let us pay them 1 to 2 months after. We have gained their trust! This helps us a lot. Because to have enough funds to pay everybody is terrible! It is very difficult! It is not possible to serve everybody immediately. We wouldn’t be able to serve not even the 50% of our producers’. </w:t>
      </w:r>
    </w:p>
    <w:p w:rsidR="004D225E" w:rsidRPr="00223914" w:rsidRDefault="004D225E" w:rsidP="00B52829">
      <w:pPr>
        <w:pStyle w:val="NoSpacing"/>
        <w:jc w:val="right"/>
        <w:rPr>
          <w:lang w:val="en-US"/>
        </w:rPr>
      </w:pPr>
      <w:r w:rsidRPr="001D6DB9">
        <w:rPr>
          <w:i/>
          <w:lang w:val="en-US"/>
        </w:rPr>
        <w:tab/>
      </w:r>
      <w:r w:rsidRPr="001D6DB9">
        <w:rPr>
          <w:i/>
          <w:lang w:val="en-US"/>
        </w:rPr>
        <w:tab/>
      </w:r>
      <w:r w:rsidRPr="001D6DB9">
        <w:rPr>
          <w:i/>
          <w:lang w:val="en-US"/>
        </w:rPr>
        <w:tab/>
      </w:r>
      <w:r w:rsidRPr="001D6DB9">
        <w:rPr>
          <w:i/>
          <w:lang w:val="en-US"/>
        </w:rPr>
        <w:tab/>
      </w:r>
      <w:r w:rsidRPr="001D6DB9">
        <w:rPr>
          <w:i/>
          <w:lang w:val="en-US"/>
        </w:rPr>
        <w:tab/>
      </w:r>
      <w:r w:rsidRPr="001D6DB9">
        <w:rPr>
          <w:i/>
          <w:lang w:val="en-US"/>
        </w:rPr>
        <w:tab/>
      </w:r>
      <w:r w:rsidRPr="001D6DB9">
        <w:rPr>
          <w:i/>
          <w:lang w:val="en-US"/>
        </w:rPr>
        <w:tab/>
      </w:r>
      <w:r w:rsidRPr="00223914">
        <w:rPr>
          <w:lang w:val="en-US"/>
        </w:rPr>
        <w:tab/>
      </w:r>
      <w:r w:rsidRPr="00223914">
        <w:rPr>
          <w:lang w:val="en-US"/>
        </w:rPr>
        <w:tab/>
      </w:r>
      <w:r w:rsidRPr="00223914">
        <w:rPr>
          <w:lang w:val="en-US"/>
        </w:rPr>
        <w:tab/>
        <w:t xml:space="preserve">Javier </w:t>
      </w:r>
      <w:proofErr w:type="spellStart"/>
      <w:r w:rsidRPr="00223914">
        <w:rPr>
          <w:lang w:val="en-US"/>
        </w:rPr>
        <w:t>Veliz</w:t>
      </w:r>
      <w:proofErr w:type="spellEnd"/>
      <w:r w:rsidRPr="00223914">
        <w:rPr>
          <w:lang w:val="en-US"/>
        </w:rPr>
        <w:t xml:space="preserve"> Ramos</w:t>
      </w:r>
    </w:p>
    <w:p w:rsidR="004D225E" w:rsidRPr="00223914" w:rsidRDefault="004D225E" w:rsidP="00B52829">
      <w:pPr>
        <w:pStyle w:val="NoSpacing"/>
        <w:jc w:val="right"/>
        <w:rPr>
          <w:lang w:val="en-US"/>
        </w:rPr>
      </w:pPr>
      <w:r w:rsidRPr="00223914">
        <w:rPr>
          <w:lang w:val="en-US"/>
        </w:rPr>
        <w:tab/>
      </w:r>
      <w:r w:rsidRPr="00223914">
        <w:rPr>
          <w:lang w:val="en-US"/>
        </w:rPr>
        <w:tab/>
      </w:r>
      <w:r w:rsidRPr="00223914">
        <w:rPr>
          <w:lang w:val="en-US"/>
        </w:rPr>
        <w:tab/>
      </w:r>
      <w:r w:rsidRPr="00223914">
        <w:rPr>
          <w:lang w:val="en-US"/>
        </w:rPr>
        <w:tab/>
      </w:r>
      <w:r w:rsidRPr="00223914">
        <w:rPr>
          <w:lang w:val="en-US"/>
        </w:rPr>
        <w:tab/>
      </w:r>
      <w:r w:rsidRPr="00223914">
        <w:rPr>
          <w:lang w:val="en-US"/>
        </w:rPr>
        <w:tab/>
        <w:t xml:space="preserve">Production Manager at </w:t>
      </w:r>
      <w:r w:rsidR="00B52829" w:rsidRPr="00223914">
        <w:rPr>
          <w:lang w:val="en-US"/>
        </w:rPr>
        <w:t>private firm “</w:t>
      </w:r>
      <w:r w:rsidRPr="00223914">
        <w:rPr>
          <w:lang w:val="en-US"/>
        </w:rPr>
        <w:t xml:space="preserve">Real </w:t>
      </w:r>
      <w:proofErr w:type="spellStart"/>
      <w:r w:rsidRPr="00223914">
        <w:rPr>
          <w:lang w:val="en-US"/>
        </w:rPr>
        <w:t>Andina</w:t>
      </w:r>
      <w:proofErr w:type="spellEnd"/>
      <w:r w:rsidR="00B52829" w:rsidRPr="00223914">
        <w:rPr>
          <w:lang w:val="en-US"/>
        </w:rPr>
        <w:t>”</w:t>
      </w:r>
      <w:r w:rsidRPr="00223914">
        <w:rPr>
          <w:lang w:val="en-US"/>
        </w:rPr>
        <w:t xml:space="preserve"> </w:t>
      </w:r>
    </w:p>
    <w:p w:rsidR="00B52829" w:rsidRPr="00223914" w:rsidRDefault="00B52829" w:rsidP="00B52829">
      <w:pPr>
        <w:pStyle w:val="NoSpacing"/>
        <w:jc w:val="right"/>
        <w:rPr>
          <w:lang w:val="en-US"/>
        </w:rPr>
      </w:pPr>
      <w:r w:rsidRPr="00E06E16">
        <w:rPr>
          <w:lang w:val="en-US"/>
        </w:rPr>
        <w:tab/>
        <w:t xml:space="preserve"> </w:t>
      </w:r>
      <w:r w:rsidRPr="00E06E16">
        <w:rPr>
          <w:lang w:val="en-US"/>
        </w:rPr>
        <w:tab/>
      </w:r>
      <w:r w:rsidRPr="00E06E16">
        <w:rPr>
          <w:lang w:val="en-US"/>
        </w:rPr>
        <w:tab/>
      </w:r>
      <w:r w:rsidRPr="00E06E16">
        <w:rPr>
          <w:lang w:val="en-US"/>
        </w:rPr>
        <w:tab/>
      </w:r>
      <w:r w:rsidRPr="00E06E16">
        <w:rPr>
          <w:lang w:val="en-US"/>
        </w:rPr>
        <w:tab/>
      </w:r>
      <w:r w:rsidRPr="00223914">
        <w:rPr>
          <w:lang w:val="en-US"/>
        </w:rPr>
        <w:t xml:space="preserve">Interviewed at the company’s office in </w:t>
      </w:r>
      <w:proofErr w:type="spellStart"/>
      <w:r w:rsidRPr="00223914">
        <w:rPr>
          <w:lang w:val="en-US"/>
        </w:rPr>
        <w:t>Uyuni</w:t>
      </w:r>
      <w:proofErr w:type="spellEnd"/>
      <w:r w:rsidRPr="00223914">
        <w:rPr>
          <w:lang w:val="en-US"/>
        </w:rPr>
        <w:t xml:space="preserve">, Potosi- Bolivia </w:t>
      </w:r>
    </w:p>
    <w:p w:rsidR="00B52829" w:rsidRPr="00223914" w:rsidRDefault="00B52829" w:rsidP="00B52829">
      <w:pPr>
        <w:pStyle w:val="NoSpacing"/>
        <w:jc w:val="right"/>
        <w:rPr>
          <w:lang w:val="en-US"/>
        </w:rPr>
      </w:pPr>
      <w:r w:rsidRPr="00223914">
        <w:rPr>
          <w:lang w:val="en-US"/>
        </w:rPr>
        <w:t>August 17, 2012</w:t>
      </w:r>
    </w:p>
    <w:p w:rsidR="00B52829" w:rsidRPr="00223914" w:rsidRDefault="00B52829" w:rsidP="00B52829">
      <w:pPr>
        <w:jc w:val="both"/>
        <w:rPr>
          <w:b/>
          <w:u w:val="single"/>
          <w:lang w:val="en-US"/>
        </w:rPr>
      </w:pPr>
    </w:p>
    <w:p w:rsidR="00916E9A" w:rsidRPr="00223914" w:rsidRDefault="004D225E" w:rsidP="00E06E16">
      <w:pPr>
        <w:ind w:firstLine="720"/>
        <w:jc w:val="both"/>
        <w:rPr>
          <w:lang w:val="en-US"/>
        </w:rPr>
      </w:pPr>
      <w:r w:rsidRPr="00223914">
        <w:rPr>
          <w:lang w:val="en-US"/>
        </w:rPr>
        <w:t>The producers that work with private firms also tend to be organized under some sort of associations however unlike with the peasant producer organizations (ANAPQUI and CECAOT), these lack any autonomy or social command and the farmers are not able to profit from any value added or upgrading activities with the raw product. Furthermore, as mentioned previously although a set price structure is established when signing the contract, farmers are not able to negotiate this sales price and only have the guaranteed that this will be higher than the one offered at the “</w:t>
      </w:r>
      <w:proofErr w:type="spellStart"/>
      <w:r w:rsidRPr="00223914">
        <w:rPr>
          <w:lang w:val="en-US"/>
        </w:rPr>
        <w:t>Challapata</w:t>
      </w:r>
      <w:proofErr w:type="spellEnd"/>
      <w:r w:rsidRPr="00223914">
        <w:rPr>
          <w:lang w:val="en-US"/>
        </w:rPr>
        <w:t xml:space="preserve"> Fair”; which fluctuates on a constant basis. These price swings were an issue mentioned on a continued basis by the farmers interviewed during my fieldwork</w:t>
      </w:r>
      <w:r w:rsidR="00916E9A" w:rsidRPr="00223914">
        <w:rPr>
          <w:lang w:val="en-US"/>
        </w:rPr>
        <w:t xml:space="preserve">. </w:t>
      </w:r>
      <w:r w:rsidRPr="00223914">
        <w:rPr>
          <w:lang w:val="en-US"/>
        </w:rPr>
        <w:t xml:space="preserve"> </w:t>
      </w:r>
    </w:p>
    <w:p w:rsidR="004D225E" w:rsidRPr="00A45000" w:rsidRDefault="004D225E" w:rsidP="00E06E16">
      <w:pPr>
        <w:ind w:firstLine="720"/>
        <w:jc w:val="both"/>
        <w:rPr>
          <w:lang w:val="en-US"/>
        </w:rPr>
      </w:pPr>
      <w:r w:rsidRPr="000E5367">
        <w:rPr>
          <w:lang w:val="en-US"/>
        </w:rPr>
        <w:t xml:space="preserve">Furthermore, </w:t>
      </w:r>
      <w:r w:rsidRPr="00A45000">
        <w:rPr>
          <w:lang w:val="en-US"/>
        </w:rPr>
        <w:t xml:space="preserve">there also appears to be some horizontal coordination amongst the private firms to exert control over the farmer by offering similar pricing. </w:t>
      </w:r>
    </w:p>
    <w:p w:rsidR="004D225E" w:rsidRPr="00223914" w:rsidRDefault="004D225E" w:rsidP="00E06E16">
      <w:pPr>
        <w:ind w:firstLine="720"/>
        <w:jc w:val="both"/>
        <w:rPr>
          <w:lang w:val="en-US"/>
        </w:rPr>
      </w:pPr>
      <w:r w:rsidRPr="00223914">
        <w:rPr>
          <w:lang w:val="en-US"/>
        </w:rPr>
        <w:t>The depiction (above) of the interaction between the farmers and the private firms under the “contract system” speak of a relationship boss-worker type where the farmer is simply another source of input of the overall production process. Hence, the bargaining power between the farmer and its employer (the private firm) are limited to the specifications set out in the contract which does not offer any possibilities to profit from upgrading activities of the grain nor of any positive developments happening in the market and within the chain. The profit and the participation of the farmer in the distribution of gains from the Quinoa Value Chain under the “contract system” will be limited at most</w:t>
      </w:r>
      <w:r w:rsidR="00A45000">
        <w:rPr>
          <w:lang w:val="en-US"/>
        </w:rPr>
        <w:t>,</w:t>
      </w:r>
      <w:r w:rsidRPr="00223914">
        <w:rPr>
          <w:lang w:val="en-US"/>
        </w:rPr>
        <w:t xml:space="preserve"> to the productivity</w:t>
      </w:r>
      <w:r w:rsidRPr="00223914">
        <w:rPr>
          <w:vertAlign w:val="superscript"/>
          <w:lang w:val="en-US"/>
        </w:rPr>
        <w:footnoteReference w:id="27"/>
      </w:r>
      <w:r w:rsidRPr="00223914">
        <w:rPr>
          <w:lang w:val="en-US"/>
        </w:rPr>
        <w:t xml:space="preserve"> of the land, its size and the labor force</w:t>
      </w:r>
      <w:r w:rsidR="00A45000">
        <w:rPr>
          <w:lang w:val="en-US"/>
        </w:rPr>
        <w:t xml:space="preserve"> that the farmer possess and </w:t>
      </w:r>
      <w:r w:rsidRPr="00223914">
        <w:rPr>
          <w:lang w:val="en-US"/>
        </w:rPr>
        <w:t xml:space="preserve">or is able to hire.  </w:t>
      </w:r>
    </w:p>
    <w:p w:rsidR="00A45000" w:rsidRDefault="004D225E" w:rsidP="00E06E16">
      <w:pPr>
        <w:ind w:firstLine="720"/>
        <w:jc w:val="both"/>
        <w:rPr>
          <w:lang w:val="en-US"/>
        </w:rPr>
      </w:pPr>
      <w:r w:rsidRPr="000C34D1">
        <w:rPr>
          <w:lang w:val="en-US"/>
        </w:rPr>
        <w:t>Yet despite these unfavorable conditions several farmers not affiliated with the peasant producer organizations (ANAPQUI and CECAOT) decide to join these types of contracts with the private firms looking to have</w:t>
      </w:r>
      <w:r w:rsidR="003004AE">
        <w:rPr>
          <w:lang w:val="en-US"/>
        </w:rPr>
        <w:t xml:space="preserve"> (reference)</w:t>
      </w:r>
      <w:r w:rsidRPr="000C34D1">
        <w:rPr>
          <w:lang w:val="en-US"/>
        </w:rPr>
        <w:t xml:space="preserve">: </w:t>
      </w:r>
    </w:p>
    <w:p w:rsidR="00A45000" w:rsidRDefault="004D225E" w:rsidP="00E06E16">
      <w:pPr>
        <w:ind w:firstLine="720"/>
        <w:jc w:val="both"/>
        <w:rPr>
          <w:lang w:val="en-US"/>
        </w:rPr>
      </w:pPr>
      <w:r w:rsidRPr="000C34D1">
        <w:rPr>
          <w:lang w:val="en-US"/>
        </w:rPr>
        <w:t xml:space="preserve">a) </w:t>
      </w:r>
      <w:r w:rsidR="00A45000" w:rsidRPr="000C34D1">
        <w:rPr>
          <w:lang w:val="en-US"/>
        </w:rPr>
        <w:t>An</w:t>
      </w:r>
      <w:r w:rsidRPr="000C34D1">
        <w:rPr>
          <w:lang w:val="en-US"/>
        </w:rPr>
        <w:t xml:space="preserve"> organic certification, </w:t>
      </w:r>
    </w:p>
    <w:p w:rsidR="00A45000" w:rsidRDefault="004D225E" w:rsidP="00E06E16">
      <w:pPr>
        <w:ind w:firstLine="720"/>
        <w:jc w:val="both"/>
        <w:rPr>
          <w:lang w:val="en-US"/>
        </w:rPr>
      </w:pPr>
      <w:r w:rsidRPr="000C34D1">
        <w:rPr>
          <w:lang w:val="en-US"/>
        </w:rPr>
        <w:t xml:space="preserve">b) </w:t>
      </w:r>
      <w:r w:rsidR="00A45000" w:rsidRPr="000C34D1">
        <w:rPr>
          <w:lang w:val="en-US"/>
        </w:rPr>
        <w:t>Prices</w:t>
      </w:r>
      <w:r w:rsidRPr="000C34D1">
        <w:rPr>
          <w:lang w:val="en-US"/>
        </w:rPr>
        <w:t xml:space="preserve"> at least greater than the ones offered at the “</w:t>
      </w:r>
      <w:proofErr w:type="spellStart"/>
      <w:r w:rsidRPr="000C34D1">
        <w:rPr>
          <w:lang w:val="en-US"/>
        </w:rPr>
        <w:t>Challapata</w:t>
      </w:r>
      <w:proofErr w:type="spellEnd"/>
      <w:r w:rsidRPr="000C34D1">
        <w:rPr>
          <w:lang w:val="en-US"/>
        </w:rPr>
        <w:t xml:space="preserve"> Fair” and </w:t>
      </w:r>
    </w:p>
    <w:p w:rsidR="004D225E" w:rsidRPr="000C34D1" w:rsidRDefault="004D225E" w:rsidP="00E06E16">
      <w:pPr>
        <w:ind w:firstLine="720"/>
        <w:jc w:val="both"/>
        <w:rPr>
          <w:lang w:val="en-US"/>
        </w:rPr>
      </w:pPr>
      <w:r w:rsidRPr="000C34D1">
        <w:rPr>
          <w:lang w:val="en-US"/>
        </w:rPr>
        <w:t xml:space="preserve">c) </w:t>
      </w:r>
      <w:r w:rsidR="00A45000" w:rsidRPr="000C34D1">
        <w:rPr>
          <w:lang w:val="en-US"/>
        </w:rPr>
        <w:t>A</w:t>
      </w:r>
      <w:r w:rsidRPr="000C34D1">
        <w:rPr>
          <w:lang w:val="en-US"/>
        </w:rPr>
        <w:t xml:space="preserve"> secure buyer. </w:t>
      </w:r>
    </w:p>
    <w:p w:rsidR="004D225E" w:rsidRPr="000C34D1" w:rsidRDefault="004D225E" w:rsidP="00E06E16">
      <w:pPr>
        <w:ind w:firstLine="720"/>
        <w:jc w:val="both"/>
        <w:rPr>
          <w:lang w:val="en-US"/>
        </w:rPr>
      </w:pPr>
      <w:r w:rsidRPr="000C34D1">
        <w:rPr>
          <w:lang w:val="en-US"/>
        </w:rPr>
        <w:lastRenderedPageBreak/>
        <w:t>According to Mr. Marcelo Gonzalez</w:t>
      </w:r>
      <w:r w:rsidRPr="000C34D1">
        <w:rPr>
          <w:vertAlign w:val="superscript"/>
          <w:lang w:val="en-US"/>
        </w:rPr>
        <w:footnoteReference w:id="28"/>
      </w:r>
      <w:r w:rsidRPr="000C34D1">
        <w:rPr>
          <w:lang w:val="en-US"/>
        </w:rPr>
        <w:t xml:space="preserve"> (lecturer at the Technical University of Oruro), it does make sense for farmers to associate in order to obtain the organic certification since obtaining this certification is costly</w:t>
      </w:r>
      <w:r w:rsidR="00A45000">
        <w:rPr>
          <w:lang w:val="en-US"/>
        </w:rPr>
        <w:t xml:space="preserve"> (as illustrated earlier in the paper)</w:t>
      </w:r>
      <w:r w:rsidRPr="000C34D1">
        <w:rPr>
          <w:lang w:val="en-US"/>
        </w:rPr>
        <w:t xml:space="preserve">. Plus the price paid for the organic quinoa is higher than the price paid for conventional quinoa (or non-organic).  As of August 2012, the price paid </w:t>
      </w:r>
      <w:r w:rsidRPr="003004AE">
        <w:rPr>
          <w:lang w:val="en-US"/>
        </w:rPr>
        <w:t xml:space="preserve">per </w:t>
      </w:r>
      <w:r w:rsidR="003004AE" w:rsidRPr="003004AE">
        <w:rPr>
          <w:lang w:val="en-US"/>
        </w:rPr>
        <w:t>quintal</w:t>
      </w:r>
      <w:r w:rsidRPr="003004AE">
        <w:rPr>
          <w:lang w:val="en-US"/>
        </w:rPr>
        <w:t xml:space="preserve"> of </w:t>
      </w:r>
      <w:r w:rsidRPr="000C34D1">
        <w:rPr>
          <w:lang w:val="en-US"/>
        </w:rPr>
        <w:t>organic quinoa real</w:t>
      </w:r>
      <w:r w:rsidRPr="000C34D1">
        <w:rPr>
          <w:vertAlign w:val="superscript"/>
          <w:lang w:val="en-US"/>
        </w:rPr>
        <w:footnoteReference w:id="29"/>
      </w:r>
      <w:r w:rsidRPr="000C34D1">
        <w:rPr>
          <w:lang w:val="en-US"/>
        </w:rPr>
        <w:t xml:space="preserve"> was of BS.600 to Bs.700, which is equivalent to $86 to 101</w:t>
      </w:r>
      <w:r w:rsidRPr="000C34D1">
        <w:rPr>
          <w:vertAlign w:val="superscript"/>
          <w:lang w:val="en-US"/>
        </w:rPr>
        <w:footnoteReference w:id="30"/>
      </w:r>
      <w:r w:rsidRPr="000C34D1">
        <w:rPr>
          <w:lang w:val="en-US"/>
        </w:rPr>
        <w:t xml:space="preserve"> respectively; versus Bs.520 approximately (or $74) for the conventional quinoa (or non-organic).  </w:t>
      </w:r>
    </w:p>
    <w:p w:rsidR="004D225E" w:rsidRPr="004D225E" w:rsidRDefault="004D225E" w:rsidP="00E06E16">
      <w:pPr>
        <w:ind w:firstLine="720"/>
        <w:jc w:val="both"/>
        <w:rPr>
          <w:i/>
          <w:lang w:val="en-US"/>
        </w:rPr>
      </w:pPr>
      <w:r w:rsidRPr="004D225E">
        <w:rPr>
          <w:i/>
          <w:lang w:val="en-US"/>
        </w:rPr>
        <w:t xml:space="preserve">“The majority of organic quinoa farmers are farmers belonging to an association. Because producing organic quinoa involves extra costs. They have to pay to the certification office and it is the producer organizations the ones who take care of these fees. Hence to do it individually would be a bit too complicated”. </w:t>
      </w:r>
    </w:p>
    <w:p w:rsidR="000F71FB" w:rsidRPr="000F71FB" w:rsidRDefault="004D225E" w:rsidP="000F71FB">
      <w:pPr>
        <w:pStyle w:val="NoSpacing"/>
        <w:jc w:val="right"/>
        <w:rPr>
          <w:lang w:val="en-US"/>
        </w:rPr>
      </w:pP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proofErr w:type="spellStart"/>
      <w:r w:rsidR="000F71FB" w:rsidRPr="000F71FB">
        <w:rPr>
          <w:lang w:val="en-US"/>
        </w:rPr>
        <w:t>Ing</w:t>
      </w:r>
      <w:proofErr w:type="spellEnd"/>
      <w:r w:rsidR="000F71FB" w:rsidRPr="000F71FB">
        <w:rPr>
          <w:lang w:val="en-US"/>
        </w:rPr>
        <w:t>. Marcelo Gonzalez</w:t>
      </w:r>
    </w:p>
    <w:p w:rsidR="000F71FB" w:rsidRPr="000F71FB" w:rsidRDefault="000F71FB" w:rsidP="000F71FB">
      <w:pPr>
        <w:pStyle w:val="NoSpacing"/>
        <w:jc w:val="right"/>
        <w:rPr>
          <w:lang w:val="en-US"/>
        </w:rPr>
      </w:pPr>
      <w:r w:rsidRPr="000F71FB">
        <w:rPr>
          <w:lang w:val="en-US"/>
        </w:rPr>
        <w:tab/>
      </w:r>
      <w:r w:rsidRPr="000F71FB">
        <w:rPr>
          <w:lang w:val="en-US"/>
        </w:rPr>
        <w:tab/>
      </w:r>
      <w:r w:rsidRPr="000F71FB">
        <w:rPr>
          <w:lang w:val="en-US"/>
        </w:rPr>
        <w:tab/>
      </w:r>
      <w:r w:rsidRPr="000F71FB">
        <w:rPr>
          <w:lang w:val="en-US"/>
        </w:rPr>
        <w:tab/>
      </w:r>
      <w:r w:rsidRPr="000F71FB">
        <w:rPr>
          <w:lang w:val="en-US"/>
        </w:rPr>
        <w:tab/>
      </w:r>
      <w:r w:rsidRPr="000F71FB">
        <w:rPr>
          <w:lang w:val="en-US"/>
        </w:rPr>
        <w:tab/>
      </w:r>
      <w:r w:rsidRPr="000F71FB">
        <w:rPr>
          <w:lang w:val="en-US"/>
        </w:rPr>
        <w:tab/>
        <w:t>Professor at the Technical University of Oruro</w:t>
      </w:r>
    </w:p>
    <w:p w:rsidR="000F71FB" w:rsidRPr="000F71FB" w:rsidRDefault="000F71FB" w:rsidP="000F71FB">
      <w:pPr>
        <w:pStyle w:val="NoSpacing"/>
        <w:jc w:val="right"/>
        <w:rPr>
          <w:lang w:val="en-US"/>
        </w:rPr>
      </w:pPr>
      <w:r w:rsidRPr="000F71FB">
        <w:rPr>
          <w:lang w:val="en-US"/>
        </w:rPr>
        <w:t>Interviewed on August 15</w:t>
      </w:r>
      <w:r w:rsidRPr="000F71FB">
        <w:rPr>
          <w:vertAlign w:val="superscript"/>
          <w:lang w:val="en-US"/>
        </w:rPr>
        <w:t>th</w:t>
      </w:r>
      <w:r w:rsidRPr="000F71FB">
        <w:rPr>
          <w:lang w:val="en-US"/>
        </w:rPr>
        <w:t>, 2012.</w:t>
      </w:r>
    </w:p>
    <w:p w:rsidR="004D225E" w:rsidRPr="004D225E" w:rsidRDefault="004D225E" w:rsidP="000F71FB">
      <w:pPr>
        <w:jc w:val="both"/>
        <w:rPr>
          <w:i/>
          <w:lang w:val="en-US"/>
        </w:rPr>
      </w:pPr>
    </w:p>
    <w:p w:rsidR="004D225E" w:rsidRPr="000C34D1" w:rsidRDefault="004D225E" w:rsidP="00E06E16">
      <w:pPr>
        <w:ind w:firstLine="720"/>
        <w:jc w:val="both"/>
        <w:rPr>
          <w:lang w:val="en-US"/>
        </w:rPr>
      </w:pPr>
      <w:r w:rsidRPr="000C34D1">
        <w:rPr>
          <w:lang w:val="en-US"/>
        </w:rPr>
        <w:t>Although being affiliated to the peasant producer organizations – ANAPQUI and CECAOT, represent the first choice for the farmers not only due to the economic incentives (of a higher and fixed price) but also of social representation (at least in principle)</w:t>
      </w:r>
      <w:r w:rsidR="00A45000">
        <w:rPr>
          <w:lang w:val="en-US"/>
        </w:rPr>
        <w:t>,</w:t>
      </w:r>
      <w:r w:rsidRPr="000C34D1">
        <w:rPr>
          <w:lang w:val="en-US"/>
        </w:rPr>
        <w:t xml:space="preserve"> this is not always possible since often the producer organizations cannot serve all of their members. Hence farmers end up having to recur to their second best option which is either selling their production to the private firms on an individual basis (and occasionally) or officially become part of an association of farmers sponsored by a private firm, </w:t>
      </w:r>
      <w:r w:rsidR="000A22C1">
        <w:rPr>
          <w:lang w:val="en-US"/>
        </w:rPr>
        <w:t>therefore enter into</w:t>
      </w:r>
      <w:r w:rsidRPr="000C34D1">
        <w:rPr>
          <w:lang w:val="en-US"/>
        </w:rPr>
        <w:t xml:space="preserve"> the “contract system”</w:t>
      </w:r>
      <w:r w:rsidR="00A45000">
        <w:rPr>
          <w:lang w:val="en-US"/>
        </w:rPr>
        <w:t xml:space="preserve"> (as explained in chapter ?)</w:t>
      </w:r>
      <w:r w:rsidR="00D606F2" w:rsidRPr="000C34D1">
        <w:rPr>
          <w:lang w:val="en-US"/>
        </w:rPr>
        <w:t>.</w:t>
      </w:r>
      <w:r w:rsidRPr="000C34D1">
        <w:rPr>
          <w:lang w:val="en-US"/>
        </w:rPr>
        <w:t xml:space="preserve"> </w:t>
      </w:r>
    </w:p>
    <w:p w:rsidR="004D225E" w:rsidRPr="000C34D1" w:rsidRDefault="004D225E" w:rsidP="00E06E16">
      <w:pPr>
        <w:ind w:firstLine="720"/>
        <w:jc w:val="both"/>
        <w:rPr>
          <w:lang w:val="en-US"/>
        </w:rPr>
      </w:pPr>
      <w:r w:rsidRPr="000C34D1">
        <w:rPr>
          <w:lang w:val="en-US"/>
        </w:rPr>
        <w:t xml:space="preserve">This became apparent during my fieldwork interviews with some quinoa farmers and private firm representatives. </w:t>
      </w:r>
    </w:p>
    <w:p w:rsidR="004D225E" w:rsidRPr="004D225E" w:rsidRDefault="004D225E" w:rsidP="00E06E16">
      <w:pPr>
        <w:ind w:firstLine="720"/>
        <w:jc w:val="both"/>
        <w:rPr>
          <w:i/>
          <w:lang w:val="en-US"/>
        </w:rPr>
      </w:pPr>
      <w:r w:rsidRPr="004D225E">
        <w:rPr>
          <w:i/>
          <w:lang w:val="en-US"/>
        </w:rPr>
        <w:t>‘The thing is that ANAPQUI does not get to serve all of its producers. ANAPQUI restricts them. Despite being a pioneer firm along with CECAOT (which is nearby), […] ANAPQUI cannot satisfy all of its producers. So their members actually come here to offer us quinoa. According to when we withdraw the money (receive payment), if our “strategic partners” (the farmers) do not offer us quinoa then their own members such as SOPROQUI</w:t>
      </w:r>
      <w:r w:rsidRPr="004D225E">
        <w:rPr>
          <w:i/>
          <w:vertAlign w:val="superscript"/>
          <w:lang w:val="en-US"/>
        </w:rPr>
        <w:footnoteReference w:id="31"/>
      </w:r>
      <w:r w:rsidRPr="004D225E">
        <w:rPr>
          <w:i/>
          <w:lang w:val="en-US"/>
        </w:rPr>
        <w:t>, CEDEINKU or APROQUILLAN come and offer us quinoa; so we buy their quinoa because it is also organic’</w:t>
      </w:r>
    </w:p>
    <w:p w:rsidR="004D225E" w:rsidRPr="00435258" w:rsidRDefault="004D225E" w:rsidP="00435258">
      <w:pPr>
        <w:pStyle w:val="NoSpacing"/>
        <w:jc w:val="right"/>
        <w:rPr>
          <w:lang w:val="en-US"/>
        </w:rPr>
      </w:pP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t xml:space="preserve"> </w:t>
      </w:r>
      <w:r w:rsidRPr="00435258">
        <w:rPr>
          <w:lang w:val="en-US"/>
        </w:rPr>
        <w:t xml:space="preserve">Javier </w:t>
      </w:r>
      <w:proofErr w:type="spellStart"/>
      <w:r w:rsidRPr="00435258">
        <w:rPr>
          <w:lang w:val="en-US"/>
        </w:rPr>
        <w:t>Veliz</w:t>
      </w:r>
      <w:proofErr w:type="spellEnd"/>
      <w:r w:rsidRPr="00435258">
        <w:rPr>
          <w:lang w:val="en-US"/>
        </w:rPr>
        <w:t xml:space="preserve"> Ramos</w:t>
      </w:r>
    </w:p>
    <w:p w:rsidR="004D225E" w:rsidRPr="00435258" w:rsidRDefault="004D225E" w:rsidP="00435258">
      <w:pPr>
        <w:pStyle w:val="NoSpacing"/>
        <w:jc w:val="right"/>
        <w:rPr>
          <w:lang w:val="en-US"/>
        </w:rPr>
      </w:pPr>
      <w:r w:rsidRPr="00435258">
        <w:rPr>
          <w:lang w:val="en-US"/>
        </w:rPr>
        <w:tab/>
      </w:r>
      <w:r w:rsidRPr="00435258">
        <w:rPr>
          <w:lang w:val="en-US"/>
        </w:rPr>
        <w:tab/>
      </w:r>
      <w:r w:rsidRPr="00435258">
        <w:rPr>
          <w:lang w:val="en-US"/>
        </w:rPr>
        <w:tab/>
      </w:r>
      <w:r w:rsidRPr="00435258">
        <w:rPr>
          <w:lang w:val="en-US"/>
        </w:rPr>
        <w:tab/>
      </w:r>
      <w:r w:rsidRPr="00435258">
        <w:rPr>
          <w:lang w:val="en-US"/>
        </w:rPr>
        <w:tab/>
      </w:r>
      <w:r w:rsidRPr="00435258">
        <w:rPr>
          <w:lang w:val="en-US"/>
        </w:rPr>
        <w:tab/>
        <w:t xml:space="preserve">Production Manager at </w:t>
      </w:r>
      <w:r w:rsidR="00B52829" w:rsidRPr="00435258">
        <w:rPr>
          <w:lang w:val="en-US"/>
        </w:rPr>
        <w:t>private firm “</w:t>
      </w:r>
      <w:r w:rsidRPr="00435258">
        <w:rPr>
          <w:lang w:val="en-US"/>
        </w:rPr>
        <w:t xml:space="preserve">Real </w:t>
      </w:r>
      <w:proofErr w:type="spellStart"/>
      <w:r w:rsidRPr="00435258">
        <w:rPr>
          <w:lang w:val="en-US"/>
        </w:rPr>
        <w:t>Andina</w:t>
      </w:r>
      <w:proofErr w:type="spellEnd"/>
      <w:r w:rsidR="00B52829" w:rsidRPr="00435258">
        <w:rPr>
          <w:lang w:val="en-US"/>
        </w:rPr>
        <w:t>”</w:t>
      </w:r>
      <w:r w:rsidRPr="00435258">
        <w:rPr>
          <w:lang w:val="en-US"/>
        </w:rPr>
        <w:t xml:space="preserve"> </w:t>
      </w:r>
    </w:p>
    <w:p w:rsidR="00B52829" w:rsidRPr="00435258" w:rsidRDefault="00B52829" w:rsidP="00435258">
      <w:pPr>
        <w:pStyle w:val="NoSpacing"/>
        <w:jc w:val="right"/>
        <w:rPr>
          <w:lang w:val="en-US"/>
        </w:rPr>
      </w:pPr>
      <w:r w:rsidRPr="00435258">
        <w:rPr>
          <w:lang w:val="en-US"/>
        </w:rPr>
        <w:tab/>
        <w:t xml:space="preserve"> </w:t>
      </w:r>
      <w:r w:rsidRPr="00435258">
        <w:rPr>
          <w:lang w:val="en-US"/>
        </w:rPr>
        <w:tab/>
      </w:r>
      <w:r w:rsidRPr="00435258">
        <w:rPr>
          <w:lang w:val="en-US"/>
        </w:rPr>
        <w:tab/>
      </w:r>
      <w:r w:rsidRPr="00435258">
        <w:rPr>
          <w:lang w:val="en-US"/>
        </w:rPr>
        <w:tab/>
      </w:r>
      <w:r w:rsidRPr="00435258">
        <w:rPr>
          <w:lang w:val="en-US"/>
        </w:rPr>
        <w:tab/>
        <w:t xml:space="preserve">Interviewed at the company’s </w:t>
      </w:r>
      <w:r w:rsidR="00435258" w:rsidRPr="00435258">
        <w:rPr>
          <w:lang w:val="en-US"/>
        </w:rPr>
        <w:t>office in</w:t>
      </w:r>
      <w:r w:rsidRPr="00435258">
        <w:rPr>
          <w:lang w:val="en-US"/>
        </w:rPr>
        <w:t xml:space="preserve"> </w:t>
      </w:r>
      <w:proofErr w:type="spellStart"/>
      <w:r w:rsidRPr="00435258">
        <w:rPr>
          <w:lang w:val="en-US"/>
        </w:rPr>
        <w:t>Uyuni</w:t>
      </w:r>
      <w:proofErr w:type="spellEnd"/>
      <w:r w:rsidRPr="00435258">
        <w:rPr>
          <w:lang w:val="en-US"/>
        </w:rPr>
        <w:t xml:space="preserve">, Potosi- Bolivia </w:t>
      </w:r>
    </w:p>
    <w:p w:rsidR="00B52829" w:rsidRPr="00435258" w:rsidRDefault="00B52829" w:rsidP="00435258">
      <w:pPr>
        <w:pStyle w:val="NoSpacing"/>
        <w:jc w:val="right"/>
        <w:rPr>
          <w:lang w:val="en-US"/>
        </w:rPr>
      </w:pPr>
      <w:r w:rsidRPr="00435258">
        <w:rPr>
          <w:lang w:val="en-US"/>
        </w:rPr>
        <w:t>August 17, 2012</w:t>
      </w:r>
    </w:p>
    <w:p w:rsidR="00435258" w:rsidRPr="00435258" w:rsidRDefault="00435258" w:rsidP="00435258">
      <w:pPr>
        <w:jc w:val="both"/>
        <w:rPr>
          <w:b/>
          <w:i/>
          <w:u w:val="single"/>
          <w:lang w:val="en-US"/>
        </w:rPr>
      </w:pPr>
    </w:p>
    <w:p w:rsidR="004D225E" w:rsidRPr="000C34D1" w:rsidRDefault="004D225E" w:rsidP="00E06E16">
      <w:pPr>
        <w:ind w:firstLine="720"/>
        <w:jc w:val="both"/>
        <w:rPr>
          <w:lang w:val="en-US"/>
        </w:rPr>
      </w:pPr>
      <w:r w:rsidRPr="000C34D1">
        <w:rPr>
          <w:lang w:val="en-US"/>
        </w:rPr>
        <w:t xml:space="preserve">Similarly, Mr. </w:t>
      </w:r>
      <w:proofErr w:type="spellStart"/>
      <w:r w:rsidRPr="000C34D1">
        <w:rPr>
          <w:lang w:val="en-US"/>
        </w:rPr>
        <w:t>Ovidio</w:t>
      </w:r>
      <w:proofErr w:type="spellEnd"/>
      <w:r w:rsidRPr="000C34D1">
        <w:rPr>
          <w:lang w:val="en-US"/>
        </w:rPr>
        <w:t xml:space="preserve"> Silvestre </w:t>
      </w:r>
      <w:proofErr w:type="spellStart"/>
      <w:r w:rsidRPr="000C34D1">
        <w:rPr>
          <w:lang w:val="en-US"/>
        </w:rPr>
        <w:t>Alanoca</w:t>
      </w:r>
      <w:proofErr w:type="spellEnd"/>
      <w:r w:rsidRPr="000C34D1">
        <w:rPr>
          <w:lang w:val="en-US"/>
        </w:rPr>
        <w:t xml:space="preserve"> a quinoa farmer as well as a worker at ANAPQUI indicates: </w:t>
      </w:r>
    </w:p>
    <w:p w:rsidR="004D225E" w:rsidRPr="004D225E" w:rsidRDefault="004D225E" w:rsidP="004D225E">
      <w:pPr>
        <w:jc w:val="both"/>
        <w:rPr>
          <w:i/>
          <w:lang w:val="en-US"/>
        </w:rPr>
      </w:pPr>
      <w:r w:rsidRPr="004D225E">
        <w:rPr>
          <w:i/>
          <w:lang w:val="en-US"/>
        </w:rPr>
        <w:t xml:space="preserve"> </w:t>
      </w:r>
      <w:r w:rsidR="004E5B8C">
        <w:rPr>
          <w:i/>
          <w:lang w:val="en-US"/>
        </w:rPr>
        <w:tab/>
      </w:r>
      <w:r w:rsidRPr="004D225E">
        <w:rPr>
          <w:i/>
          <w:lang w:val="en-US"/>
        </w:rPr>
        <w:t>‘[…]. There are around 2.000 to 2.500 farmers that the association cannot buy the quinoa from all. For example, I have 10 to 20 quintals. If I have an emergency that day.. (meaning the day he wishes to sell his quinoa production), ANAPQUI will not buy my quinoa production immediately. Then in that case I will have to sell it immediately to somebody else in the “Black Market</w:t>
      </w:r>
      <w:r w:rsidRPr="004D225E">
        <w:rPr>
          <w:i/>
          <w:vertAlign w:val="superscript"/>
          <w:lang w:val="en-US"/>
        </w:rPr>
        <w:footnoteReference w:id="32"/>
      </w:r>
      <w:r w:rsidRPr="004D225E">
        <w:rPr>
          <w:i/>
          <w:lang w:val="en-US"/>
        </w:rPr>
        <w:t>”’.</w:t>
      </w:r>
    </w:p>
    <w:p w:rsidR="004D225E" w:rsidRPr="004D225E" w:rsidRDefault="004D225E" w:rsidP="00CB6D6F">
      <w:pPr>
        <w:pStyle w:val="NoSpacing"/>
        <w:jc w:val="right"/>
        <w:rPr>
          <w:lang w:val="en-US"/>
        </w:rPr>
      </w:pP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r w:rsidRPr="004D225E">
        <w:rPr>
          <w:lang w:val="en-US"/>
        </w:rPr>
        <w:tab/>
      </w:r>
      <w:proofErr w:type="spellStart"/>
      <w:r w:rsidRPr="004D225E">
        <w:rPr>
          <w:lang w:val="en-US"/>
        </w:rPr>
        <w:t>Ovidio</w:t>
      </w:r>
      <w:proofErr w:type="spellEnd"/>
      <w:r w:rsidRPr="004D225E">
        <w:rPr>
          <w:lang w:val="en-US"/>
        </w:rPr>
        <w:t xml:space="preserve"> Silvestre </w:t>
      </w:r>
      <w:proofErr w:type="spellStart"/>
      <w:r w:rsidRPr="004D225E">
        <w:rPr>
          <w:lang w:val="en-US"/>
        </w:rPr>
        <w:t>Alanoca</w:t>
      </w:r>
      <w:proofErr w:type="spellEnd"/>
    </w:p>
    <w:p w:rsidR="004D225E" w:rsidRDefault="004D225E" w:rsidP="00CB6D6F">
      <w:pPr>
        <w:pStyle w:val="NoSpacing"/>
        <w:jc w:val="right"/>
        <w:rPr>
          <w:lang w:val="en-US"/>
        </w:rPr>
      </w:pPr>
      <w:r w:rsidRPr="004D225E">
        <w:rPr>
          <w:lang w:val="en-US"/>
        </w:rPr>
        <w:tab/>
      </w:r>
      <w:r w:rsidRPr="004D225E">
        <w:rPr>
          <w:lang w:val="en-US"/>
        </w:rPr>
        <w:tab/>
      </w:r>
      <w:r w:rsidRPr="004D225E">
        <w:rPr>
          <w:lang w:val="en-US"/>
        </w:rPr>
        <w:tab/>
      </w:r>
      <w:r w:rsidRPr="004D225E">
        <w:rPr>
          <w:lang w:val="en-US"/>
        </w:rPr>
        <w:tab/>
      </w:r>
      <w:r w:rsidRPr="004D225E">
        <w:rPr>
          <w:lang w:val="en-US"/>
        </w:rPr>
        <w:tab/>
        <w:t>Responsible of personnel at ANAPQUI and Quinoa Farmer</w:t>
      </w:r>
    </w:p>
    <w:p w:rsidR="00CB6D6F" w:rsidRPr="00CB6D6F" w:rsidRDefault="00CB6D6F" w:rsidP="00CB6D6F">
      <w:pPr>
        <w:pStyle w:val="NoSpacing"/>
        <w:jc w:val="right"/>
        <w:rPr>
          <w:lang w:val="en-US"/>
        </w:rPr>
      </w:pPr>
      <w:r w:rsidRPr="00CB6D6F">
        <w:rPr>
          <w:lang w:val="en-US"/>
        </w:rPr>
        <w:t xml:space="preserve">Interviewed at the </w:t>
      </w:r>
      <w:r>
        <w:rPr>
          <w:lang w:val="en-US"/>
        </w:rPr>
        <w:t xml:space="preserve">PO’s headquarters in the town of </w:t>
      </w:r>
      <w:proofErr w:type="spellStart"/>
      <w:r>
        <w:rPr>
          <w:lang w:val="en-US"/>
        </w:rPr>
        <w:t>Challapata</w:t>
      </w:r>
      <w:proofErr w:type="spellEnd"/>
      <w:r>
        <w:rPr>
          <w:lang w:val="en-US"/>
        </w:rPr>
        <w:t>, Oruro - Bolivia</w:t>
      </w:r>
    </w:p>
    <w:p w:rsidR="00CB6D6F" w:rsidRPr="00CB6D6F" w:rsidRDefault="00FC76BA" w:rsidP="00CB6D6F">
      <w:pPr>
        <w:pStyle w:val="NoSpacing"/>
        <w:jc w:val="right"/>
        <w:rPr>
          <w:lang w:val="en-US"/>
        </w:rPr>
      </w:pPr>
      <w:r>
        <w:rPr>
          <w:lang w:val="en-US"/>
        </w:rPr>
        <w:t>August 16</w:t>
      </w:r>
      <w:r w:rsidR="00CB6D6F" w:rsidRPr="00CB6D6F">
        <w:rPr>
          <w:vertAlign w:val="superscript"/>
          <w:lang w:val="en-US"/>
        </w:rPr>
        <w:t>th</w:t>
      </w:r>
      <w:r w:rsidR="00CB6D6F" w:rsidRPr="00CB6D6F">
        <w:rPr>
          <w:lang w:val="en-US"/>
        </w:rPr>
        <w:t>, 2012</w:t>
      </w:r>
    </w:p>
    <w:p w:rsidR="00CB6D6F" w:rsidRPr="004D225E" w:rsidRDefault="00CB6D6F" w:rsidP="004D225E">
      <w:pPr>
        <w:jc w:val="both"/>
        <w:rPr>
          <w:i/>
          <w:lang w:val="en-US"/>
        </w:rPr>
      </w:pPr>
    </w:p>
    <w:p w:rsidR="004D225E" w:rsidRPr="005E3FA2" w:rsidRDefault="004D225E" w:rsidP="00E06E16">
      <w:pPr>
        <w:ind w:firstLine="720"/>
        <w:jc w:val="both"/>
        <w:rPr>
          <w:lang w:val="en-US"/>
        </w:rPr>
      </w:pPr>
      <w:r w:rsidRPr="005E3FA2">
        <w:rPr>
          <w:lang w:val="en-US"/>
        </w:rPr>
        <w:t>As expected this creates a series of internal conflicts within the producer organizations since these often find themselves having to choose which farmers (producers) will benefit from the fair trade price.</w:t>
      </w:r>
      <w:r w:rsidR="000A22C1">
        <w:rPr>
          <w:lang w:val="en-US"/>
        </w:rPr>
        <w:t xml:space="preserve"> Furthermore, t</w:t>
      </w:r>
      <w:r w:rsidRPr="005E3FA2">
        <w:rPr>
          <w:lang w:val="en-US"/>
        </w:rPr>
        <w:t xml:space="preserve">hese problems are exacerbated, since producer organizations do not seem to have clear mechanisms to determine which farmers will </w:t>
      </w:r>
      <w:r w:rsidR="000A22C1">
        <w:rPr>
          <w:lang w:val="en-US"/>
        </w:rPr>
        <w:t>access</w:t>
      </w:r>
      <w:r w:rsidRPr="005E3FA2">
        <w:rPr>
          <w:lang w:val="en-US"/>
        </w:rPr>
        <w:t xml:space="preserve"> the fair trade price and secondly there are no compensation mechanisms for those farmers that cannot </w:t>
      </w:r>
      <w:r w:rsidR="000A22C1">
        <w:rPr>
          <w:lang w:val="en-US"/>
        </w:rPr>
        <w:t xml:space="preserve">benefit from </w:t>
      </w:r>
      <w:r w:rsidRPr="002F491C">
        <w:rPr>
          <w:lang w:val="en-US"/>
        </w:rPr>
        <w:t>it (</w:t>
      </w:r>
      <w:r w:rsidR="002F491C" w:rsidRPr="002F491C">
        <w:rPr>
          <w:lang w:val="en-US"/>
        </w:rPr>
        <w:t xml:space="preserve">Ton and </w:t>
      </w:r>
      <w:proofErr w:type="spellStart"/>
      <w:r w:rsidR="002F491C" w:rsidRPr="002F491C">
        <w:rPr>
          <w:lang w:val="en-US"/>
        </w:rPr>
        <w:t>Bijman</w:t>
      </w:r>
      <w:proofErr w:type="spellEnd"/>
      <w:r w:rsidR="002F491C" w:rsidRPr="002F491C">
        <w:rPr>
          <w:lang w:val="en-US"/>
        </w:rPr>
        <w:t>, 2006)</w:t>
      </w:r>
      <w:r w:rsidR="002F491C">
        <w:rPr>
          <w:lang w:val="en-US"/>
        </w:rPr>
        <w:t>.</w:t>
      </w:r>
      <w:r w:rsidRPr="002F491C">
        <w:rPr>
          <w:lang w:val="en-US"/>
        </w:rPr>
        <w:t xml:space="preserve"> </w:t>
      </w:r>
    </w:p>
    <w:p w:rsidR="004D225E" w:rsidRPr="005E3FA2" w:rsidRDefault="004D225E" w:rsidP="00E06E16">
      <w:pPr>
        <w:ind w:firstLine="720"/>
        <w:jc w:val="both"/>
        <w:rPr>
          <w:lang w:val="en-US"/>
        </w:rPr>
      </w:pPr>
      <w:r w:rsidRPr="005E3FA2">
        <w:rPr>
          <w:lang w:val="en-US"/>
        </w:rPr>
        <w:t>The inability of the producer organizations to serve all of their members has to do with the fact that their participation in the organic fair-trade market is characterized by small-scale transactions. In other words their market share is lower than the total product offered by all of the associated farmers</w:t>
      </w:r>
      <w:r w:rsidR="000A22C1">
        <w:rPr>
          <w:lang w:val="en-US"/>
        </w:rPr>
        <w:t xml:space="preserve"> (as explained earlier)</w:t>
      </w:r>
      <w:r w:rsidRPr="005E3FA2">
        <w:rPr>
          <w:lang w:val="en-US"/>
        </w:rPr>
        <w:t xml:space="preserve">.  </w:t>
      </w:r>
    </w:p>
    <w:p w:rsidR="004D225E" w:rsidRPr="005E3FA2" w:rsidRDefault="00E96045" w:rsidP="00E06E16">
      <w:pPr>
        <w:ind w:firstLine="720"/>
        <w:jc w:val="both"/>
        <w:rPr>
          <w:lang w:val="en-US"/>
        </w:rPr>
      </w:pPr>
      <w:r w:rsidRPr="000A22C1">
        <w:rPr>
          <w:lang w:val="en-US"/>
        </w:rPr>
        <w:t xml:space="preserve">In conclusion, </w:t>
      </w:r>
      <w:r w:rsidRPr="005E3FA2">
        <w:rPr>
          <w:lang w:val="en-US"/>
        </w:rPr>
        <w:t>t</w:t>
      </w:r>
      <w:r w:rsidR="004D225E" w:rsidRPr="005E3FA2">
        <w:rPr>
          <w:lang w:val="en-US"/>
        </w:rPr>
        <w:t>he market loss experienced by the producer organizations to the entry of the private firms exacerbates their inability to serve all of their members hence unintentionally contribute to the flow of their farmers into “contract-system” practices that lock them into a defined and limited set of activities (in its r</w:t>
      </w:r>
      <w:r w:rsidR="005C12D5">
        <w:rPr>
          <w:lang w:val="en-US"/>
        </w:rPr>
        <w:t xml:space="preserve">elation with the private firms). This develops into a </w:t>
      </w:r>
      <w:r w:rsidR="004D225E" w:rsidRPr="005E3FA2">
        <w:rPr>
          <w:lang w:val="en-US"/>
        </w:rPr>
        <w:t xml:space="preserve">cycle in which the producer organizations lose market share to the private firms primarily due to the new strategies of vertical integration that they bring to the Quinoa Value Chain </w:t>
      </w:r>
      <w:r w:rsidR="005C12D5">
        <w:rPr>
          <w:lang w:val="en-US"/>
        </w:rPr>
        <w:t>and</w:t>
      </w:r>
      <w:r w:rsidR="004D225E" w:rsidRPr="005E3FA2">
        <w:rPr>
          <w:lang w:val="en-US"/>
        </w:rPr>
        <w:t xml:space="preserve"> also contribute to the loss of their ability to “control” the farmer. Who at the same time through its dealings with the private firms unwittingly empowers them through “cheap credit” sort of practices as explained earlier, looking to simply come ahead with their quinoa production and participate in the distribution of </w:t>
      </w:r>
      <w:r w:rsidR="00F95F81" w:rsidRPr="005E3FA2">
        <w:rPr>
          <w:lang w:val="en-US"/>
        </w:rPr>
        <w:t>profits</w:t>
      </w:r>
      <w:r w:rsidR="005E3FA2" w:rsidRPr="005E3FA2">
        <w:rPr>
          <w:lang w:val="en-US"/>
        </w:rPr>
        <w:t xml:space="preserve"> </w:t>
      </w:r>
      <w:r w:rsidR="004D225E" w:rsidRPr="005E3FA2">
        <w:rPr>
          <w:lang w:val="en-US"/>
        </w:rPr>
        <w:t xml:space="preserve"> from the quinoa market in the context of its changing structure. </w:t>
      </w:r>
    </w:p>
    <w:p w:rsidR="004D225E" w:rsidRPr="00F95F81" w:rsidRDefault="004D225E" w:rsidP="00E06E16">
      <w:pPr>
        <w:ind w:firstLine="720"/>
        <w:jc w:val="both"/>
        <w:rPr>
          <w:i/>
          <w:color w:val="FF0000"/>
          <w:lang w:val="en-US"/>
        </w:rPr>
      </w:pPr>
      <w:r w:rsidRPr="00A43155">
        <w:rPr>
          <w:lang w:val="en-US"/>
        </w:rPr>
        <w:t xml:space="preserve">Lastly, the market share loss by the producer organizations and the competition brought by the new private firms into the quinoa market structure has </w:t>
      </w:r>
      <w:r w:rsidR="00A43155" w:rsidRPr="00A43155">
        <w:rPr>
          <w:lang w:val="en-US"/>
        </w:rPr>
        <w:t xml:space="preserve">implications for the quinoa </w:t>
      </w:r>
      <w:r w:rsidRPr="00A43155">
        <w:rPr>
          <w:lang w:val="en-US"/>
        </w:rPr>
        <w:t>price and the farmers’ income</w:t>
      </w:r>
      <w:r w:rsidR="00A43155">
        <w:rPr>
          <w:lang w:val="en-US"/>
        </w:rPr>
        <w:t>, which will be analyze in the following section</w:t>
      </w:r>
      <w:r w:rsidRPr="00A43155">
        <w:rPr>
          <w:lang w:val="en-US"/>
        </w:rPr>
        <w:t>.</w:t>
      </w:r>
      <w:r w:rsidRPr="00F95F81">
        <w:rPr>
          <w:i/>
          <w:color w:val="FF0000"/>
          <w:lang w:val="en-US"/>
        </w:rPr>
        <w:t xml:space="preserve"> </w:t>
      </w:r>
    </w:p>
    <w:p w:rsidR="00E21EA1" w:rsidRDefault="00E21EA1" w:rsidP="00E06E16">
      <w:pPr>
        <w:pStyle w:val="Heading2"/>
        <w:rPr>
          <w:i/>
          <w:u w:val="single"/>
          <w:lang w:val="en-US"/>
        </w:rPr>
      </w:pPr>
    </w:p>
    <w:p w:rsidR="007963CC" w:rsidRPr="00B83ABE" w:rsidRDefault="008A0E40" w:rsidP="00816B0E">
      <w:pPr>
        <w:pStyle w:val="Heading2"/>
        <w:numPr>
          <w:ilvl w:val="0"/>
          <w:numId w:val="21"/>
        </w:numPr>
        <w:rPr>
          <w:i/>
          <w:sz w:val="28"/>
          <w:szCs w:val="28"/>
          <w:u w:val="single"/>
          <w:lang w:val="en-US"/>
        </w:rPr>
      </w:pPr>
      <w:r w:rsidRPr="00B83ABE">
        <w:rPr>
          <w:i/>
          <w:color w:val="auto"/>
          <w:sz w:val="28"/>
          <w:szCs w:val="28"/>
          <w:u w:val="single"/>
          <w:lang w:val="en-US"/>
        </w:rPr>
        <w:t xml:space="preserve">Price implications of the new competitive environment </w:t>
      </w:r>
    </w:p>
    <w:p w:rsidR="00E21EA1" w:rsidRPr="00E21EA1" w:rsidRDefault="00E21EA1" w:rsidP="00E06E16">
      <w:pPr>
        <w:rPr>
          <w:lang w:val="en-US"/>
        </w:rPr>
      </w:pPr>
    </w:p>
    <w:p w:rsidR="00AB0F42" w:rsidRDefault="00EE6243" w:rsidP="00EE6243">
      <w:pPr>
        <w:ind w:firstLine="720"/>
        <w:jc w:val="both"/>
        <w:rPr>
          <w:lang w:val="en-US"/>
        </w:rPr>
      </w:pPr>
      <w:r w:rsidRPr="002F491C">
        <w:rPr>
          <w:lang w:val="en-US"/>
        </w:rPr>
        <w:t>According to (</w:t>
      </w:r>
      <w:r w:rsidR="002F491C" w:rsidRPr="002F491C">
        <w:rPr>
          <w:lang w:val="en-US"/>
        </w:rPr>
        <w:t>Laguna,2006</w:t>
      </w:r>
      <w:r w:rsidRPr="002F491C">
        <w:rPr>
          <w:lang w:val="en-US"/>
        </w:rPr>
        <w:t xml:space="preserve">), </w:t>
      </w:r>
      <w:r w:rsidR="00247D2A" w:rsidRPr="002F491C">
        <w:rPr>
          <w:lang w:val="en-US"/>
        </w:rPr>
        <w:t xml:space="preserve">looking </w:t>
      </w:r>
      <w:r w:rsidR="00247D2A" w:rsidRPr="00EE6243">
        <w:rPr>
          <w:lang w:val="en-US"/>
        </w:rPr>
        <w:t>at the volume of exports by the top quinoa exporters and t</w:t>
      </w:r>
      <w:r w:rsidR="00111F75">
        <w:rPr>
          <w:lang w:val="en-US"/>
        </w:rPr>
        <w:t xml:space="preserve">he dates of entry or </w:t>
      </w:r>
      <w:r w:rsidR="00247D2A" w:rsidRPr="00EE6243">
        <w:rPr>
          <w:lang w:val="en-US"/>
        </w:rPr>
        <w:t>creation of the new firms suggests that the growth in quinoa demand (and favorable prices) did not necessarily translate into the strengthening of the position of the producer organizations in the market. In addition, international trade and quality requirements by western markets created higher and new entry barriers for the producer organizations and their aspirations to participate in higher upgrading activities along the chain.</w:t>
      </w:r>
      <w:r w:rsidRPr="00EE6243">
        <w:rPr>
          <w:lang w:val="en-US"/>
        </w:rPr>
        <w:t xml:space="preserve"> </w:t>
      </w:r>
    </w:p>
    <w:p w:rsidR="00EE6243" w:rsidRDefault="00EE6243" w:rsidP="00EE6243">
      <w:pPr>
        <w:ind w:firstLine="720"/>
        <w:jc w:val="both"/>
        <w:rPr>
          <w:lang w:val="en-US"/>
        </w:rPr>
      </w:pPr>
      <w:r w:rsidRPr="00EE6243">
        <w:rPr>
          <w:lang w:val="en-US"/>
        </w:rPr>
        <w:t xml:space="preserve">It is particularly interesting to analyze the case of the private firms Andean Valley, </w:t>
      </w:r>
      <w:proofErr w:type="spellStart"/>
      <w:r w:rsidRPr="00EE6243">
        <w:rPr>
          <w:lang w:val="en-US"/>
        </w:rPr>
        <w:t>Jatary</w:t>
      </w:r>
      <w:proofErr w:type="spellEnd"/>
      <w:r w:rsidRPr="00EE6243">
        <w:rPr>
          <w:lang w:val="en-US"/>
        </w:rPr>
        <w:t xml:space="preserve"> and Quinoa </w:t>
      </w:r>
      <w:proofErr w:type="spellStart"/>
      <w:r w:rsidRPr="00EE6243">
        <w:rPr>
          <w:lang w:val="en-US"/>
        </w:rPr>
        <w:t>Bol</w:t>
      </w:r>
      <w:proofErr w:type="spellEnd"/>
      <w:r w:rsidRPr="00EE6243">
        <w:rPr>
          <w:lang w:val="en-US"/>
        </w:rPr>
        <w:t xml:space="preserve"> S.R.L because in addition to the fact that they serve the major quinoa importing countries</w:t>
      </w:r>
      <w:r w:rsidR="00111F75">
        <w:rPr>
          <w:lang w:val="en-US"/>
        </w:rPr>
        <w:t>:</w:t>
      </w:r>
      <w:r w:rsidRPr="00EE6243">
        <w:rPr>
          <w:lang w:val="en-US"/>
        </w:rPr>
        <w:t xml:space="preserve"> USA, France and the Netherlands, these private firms belong to the set of firms that came into the quinoa chain </w:t>
      </w:r>
      <w:r w:rsidR="00AB0F42">
        <w:rPr>
          <w:lang w:val="en-US"/>
        </w:rPr>
        <w:t xml:space="preserve">in </w:t>
      </w:r>
      <w:r w:rsidRPr="00EE6243">
        <w:rPr>
          <w:lang w:val="en-US"/>
        </w:rPr>
        <w:t xml:space="preserve">the </w:t>
      </w:r>
      <w:r w:rsidR="00AB0F42">
        <w:rPr>
          <w:lang w:val="en-US"/>
        </w:rPr>
        <w:t xml:space="preserve">late </w:t>
      </w:r>
      <w:r w:rsidRPr="00EE6243">
        <w:rPr>
          <w:lang w:val="en-US"/>
        </w:rPr>
        <w:t xml:space="preserve">1990’s, seduced by the potential profits the quinoa market appears to offer and pretty quickly increased their share over </w:t>
      </w:r>
      <w:r w:rsidR="00111F75">
        <w:rPr>
          <w:lang w:val="en-US"/>
        </w:rPr>
        <w:t xml:space="preserve">the market for </w:t>
      </w:r>
      <w:r w:rsidRPr="00EE6243">
        <w:rPr>
          <w:lang w:val="en-US"/>
        </w:rPr>
        <w:t xml:space="preserve">organic quinoa exports. Andean Valley enters the organic quinoa market in 1999, </w:t>
      </w:r>
      <w:proofErr w:type="spellStart"/>
      <w:r w:rsidRPr="00EE6243">
        <w:rPr>
          <w:lang w:val="en-US"/>
        </w:rPr>
        <w:t>Jatary</w:t>
      </w:r>
      <w:proofErr w:type="spellEnd"/>
      <w:r w:rsidRPr="00EE6243">
        <w:rPr>
          <w:lang w:val="en-US"/>
        </w:rPr>
        <w:t xml:space="preserve"> in 1996 and Quinoa </w:t>
      </w:r>
      <w:proofErr w:type="spellStart"/>
      <w:r w:rsidRPr="00EE6243">
        <w:rPr>
          <w:lang w:val="en-US"/>
        </w:rPr>
        <w:t>Bol</w:t>
      </w:r>
      <w:proofErr w:type="spellEnd"/>
      <w:r w:rsidRPr="00EE6243">
        <w:rPr>
          <w:lang w:val="en-US"/>
        </w:rPr>
        <w:t xml:space="preserve"> S.R.L. in 1998. </w:t>
      </w:r>
      <w:r w:rsidR="00111F75">
        <w:rPr>
          <w:lang w:val="en-US"/>
        </w:rPr>
        <w:t xml:space="preserve">The figure below shows the evolution of the quinoa exports by these companies and the major producer organizations. </w:t>
      </w: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111F75" w:rsidRDefault="00111F75" w:rsidP="00EE6243">
      <w:pPr>
        <w:ind w:firstLine="720"/>
        <w:jc w:val="both"/>
        <w:rPr>
          <w:lang w:val="en-US"/>
        </w:rPr>
      </w:pPr>
    </w:p>
    <w:p w:rsidR="00791868" w:rsidRPr="00FA122F" w:rsidRDefault="00791868">
      <w:pPr>
        <w:keepNext/>
        <w:ind w:firstLine="720"/>
        <w:jc w:val="both"/>
        <w:rPr>
          <w:lang w:val="en-US"/>
        </w:rPr>
      </w:pPr>
      <w:r w:rsidRPr="0076644C">
        <w:rPr>
          <w:noProof/>
          <w:lang w:val="en-US"/>
        </w:rPr>
        <w:lastRenderedPageBreak/>
        <w:drawing>
          <wp:anchor distT="0" distB="0" distL="114300" distR="114300" simplePos="0" relativeHeight="251672576" behindDoc="0" locked="0" layoutInCell="1" allowOverlap="1" wp14:anchorId="3E0CAEC6" wp14:editId="0799C417">
            <wp:simplePos x="0" y="0"/>
            <wp:positionH relativeFrom="column">
              <wp:posOffset>123825</wp:posOffset>
            </wp:positionH>
            <wp:positionV relativeFrom="paragraph">
              <wp:posOffset>114300</wp:posOffset>
            </wp:positionV>
            <wp:extent cx="5486400" cy="3200400"/>
            <wp:effectExtent l="0" t="0" r="19050" b="19050"/>
            <wp:wrapSquare wrapText="bothSides"/>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14:sizeRelH relativeFrom="page">
              <wp14:pctWidth>0</wp14:pctWidth>
            </wp14:sizeRelH>
            <wp14:sizeRelV relativeFrom="page">
              <wp14:pctHeight>0</wp14:pctHeight>
            </wp14:sizeRelV>
          </wp:anchor>
        </w:drawing>
      </w:r>
    </w:p>
    <w:p w:rsidR="002D1E64" w:rsidRPr="00FA122F" w:rsidRDefault="00791868" w:rsidP="00FA122F">
      <w:pPr>
        <w:jc w:val="both"/>
        <w:rPr>
          <w:b/>
          <w:i/>
          <w:lang w:val="en-US"/>
        </w:rPr>
      </w:pPr>
      <w:r w:rsidRPr="00FA122F">
        <w:rPr>
          <w:b/>
          <w:i/>
          <w:lang w:val="en-US"/>
        </w:rPr>
        <w:t>Figure</w:t>
      </w:r>
      <w:r w:rsidR="00943BA3">
        <w:rPr>
          <w:b/>
          <w:i/>
          <w:lang w:val="en-US"/>
        </w:rPr>
        <w:t xml:space="preserve"> 11</w:t>
      </w:r>
      <w:r w:rsidRPr="00FA122F">
        <w:rPr>
          <w:b/>
          <w:i/>
          <w:lang w:val="en-US"/>
        </w:rPr>
        <w:t xml:space="preserve">: Evolution of quinoa exports by producer organizations (ANAPQUI and CECAOT) and private firms (Andean Valley, </w:t>
      </w:r>
      <w:proofErr w:type="spellStart"/>
      <w:r w:rsidRPr="00FA122F">
        <w:rPr>
          <w:b/>
          <w:i/>
          <w:lang w:val="en-US"/>
        </w:rPr>
        <w:t>Jatary</w:t>
      </w:r>
      <w:proofErr w:type="spellEnd"/>
      <w:r w:rsidRPr="00FA122F">
        <w:rPr>
          <w:b/>
          <w:i/>
          <w:lang w:val="en-US"/>
        </w:rPr>
        <w:t xml:space="preserve"> and Quinoa </w:t>
      </w:r>
      <w:proofErr w:type="spellStart"/>
      <w:r w:rsidRPr="00FA122F">
        <w:rPr>
          <w:b/>
          <w:i/>
          <w:lang w:val="en-US"/>
        </w:rPr>
        <w:t>Bol</w:t>
      </w:r>
      <w:proofErr w:type="spellEnd"/>
      <w:r w:rsidRPr="00FA122F">
        <w:rPr>
          <w:b/>
          <w:i/>
          <w:lang w:val="en-US"/>
        </w:rPr>
        <w:t xml:space="preserve"> S.R.L.) between 1990 -2004.</w:t>
      </w:r>
    </w:p>
    <w:p w:rsidR="002D1E64" w:rsidRPr="00FA122F" w:rsidRDefault="002D1E64" w:rsidP="002D1E64">
      <w:pPr>
        <w:ind w:firstLine="720"/>
        <w:jc w:val="both"/>
        <w:rPr>
          <w:b/>
          <w:i/>
          <w:lang w:val="en-US"/>
        </w:rPr>
      </w:pPr>
    </w:p>
    <w:p w:rsidR="00EE6243" w:rsidRPr="00B174C0" w:rsidRDefault="00EE6243" w:rsidP="00EE6243">
      <w:pPr>
        <w:ind w:firstLine="720"/>
        <w:jc w:val="both"/>
        <w:rPr>
          <w:lang w:val="en-US"/>
        </w:rPr>
      </w:pPr>
      <w:r w:rsidRPr="00B174C0">
        <w:rPr>
          <w:lang w:val="en-US"/>
        </w:rPr>
        <w:t xml:space="preserve">While the case of the private firm JATARY gave us an example of vertical integration within the Quinoa Value Chain and its implications for </w:t>
      </w:r>
      <w:r w:rsidRPr="000E5367">
        <w:rPr>
          <w:lang w:val="en-US"/>
        </w:rPr>
        <w:t>its structure and the farmers’ income</w:t>
      </w:r>
      <w:r w:rsidR="00111F75" w:rsidRPr="000E5367">
        <w:rPr>
          <w:lang w:val="en-US"/>
        </w:rPr>
        <w:t xml:space="preserve"> in the form of misleading price signals</w:t>
      </w:r>
      <w:r w:rsidRPr="000E5367">
        <w:rPr>
          <w:lang w:val="en-US"/>
        </w:rPr>
        <w:t xml:space="preserve">; the case of private firm Andean Valley allow us to explore and analyze the increased competitive environment that the entry of </w:t>
      </w:r>
      <w:r w:rsidRPr="00B174C0">
        <w:rPr>
          <w:lang w:val="en-US"/>
        </w:rPr>
        <w:t xml:space="preserve">new private firms have brought to the chain </w:t>
      </w:r>
      <w:r w:rsidR="00111F75">
        <w:rPr>
          <w:lang w:val="en-US"/>
        </w:rPr>
        <w:t xml:space="preserve">and how this mediates quinoa prices and the farmers’ income. </w:t>
      </w:r>
    </w:p>
    <w:p w:rsidR="00EE6243" w:rsidRPr="00B174C0" w:rsidRDefault="00EE6243" w:rsidP="00EE6243">
      <w:pPr>
        <w:ind w:firstLine="720"/>
        <w:jc w:val="both"/>
        <w:rPr>
          <w:lang w:val="en-US"/>
        </w:rPr>
      </w:pPr>
      <w:r w:rsidRPr="00B174C0">
        <w:rPr>
          <w:lang w:val="en-US"/>
        </w:rPr>
        <w:t>Andean Valley enters the organic quinoa market in 1999 and serves primarily the US market through the importing company Quinoa Corporation</w:t>
      </w:r>
      <w:r w:rsidRPr="00B174C0">
        <w:rPr>
          <w:vertAlign w:val="superscript"/>
          <w:lang w:val="en-US"/>
        </w:rPr>
        <w:footnoteReference w:id="33"/>
      </w:r>
      <w:r w:rsidRPr="00B174C0">
        <w:rPr>
          <w:lang w:val="en-US"/>
        </w:rPr>
        <w:t xml:space="preserve">. This importing company Quinoa Corporation used to work exclusively with producer organization ANAPQUI, however the entry of this new private firm Andean Valley caused the producer organization to lose its exclusivity contract with the importing company. This represented a significant loss for the producer organization since the US market constitutes almost half the market for the Bolivian quinoa imports. </w:t>
      </w:r>
    </w:p>
    <w:p w:rsidR="00110CEE" w:rsidRDefault="00CE535F" w:rsidP="00E06E16">
      <w:pPr>
        <w:ind w:firstLine="720"/>
        <w:jc w:val="both"/>
        <w:rPr>
          <w:lang w:val="en-US"/>
        </w:rPr>
      </w:pPr>
      <w:r w:rsidRPr="009A5415">
        <w:rPr>
          <w:lang w:val="en-US"/>
        </w:rPr>
        <w:t xml:space="preserve">The competitive environment that the entry of private firm Andean Valley created in the chain led to two interesting developments. First, the competition between Andean Valley and ANAPQUI brought down the FOB price for the organic quinoa. </w:t>
      </w:r>
    </w:p>
    <w:p w:rsidR="00CE535F" w:rsidRDefault="00CE535F" w:rsidP="00E06E16">
      <w:pPr>
        <w:ind w:firstLine="720"/>
        <w:jc w:val="both"/>
        <w:rPr>
          <w:lang w:val="en-US"/>
        </w:rPr>
      </w:pPr>
      <w:r w:rsidRPr="009A5415">
        <w:rPr>
          <w:lang w:val="en-US"/>
        </w:rPr>
        <w:lastRenderedPageBreak/>
        <w:t xml:space="preserve">While in 1999, importing company Quinoa Corporation paid $1.420 per ton of quinoa; between the years 2000 and 2005, the price that the importing company paid was lower and fluctuated between $960 and $1090. </w:t>
      </w:r>
    </w:p>
    <w:p w:rsidR="00DB063D" w:rsidRPr="00E06E16" w:rsidRDefault="00DB063D" w:rsidP="00E06E16">
      <w:pPr>
        <w:jc w:val="center"/>
        <w:rPr>
          <w:b/>
          <w:i/>
          <w:lang w:val="en-US"/>
        </w:rPr>
      </w:pPr>
      <w:bookmarkStart w:id="48" w:name="_Ref342157623"/>
      <w:r w:rsidRPr="00E06E16">
        <w:rPr>
          <w:b/>
          <w:i/>
          <w:lang w:val="en-US"/>
        </w:rPr>
        <w:t xml:space="preserve">Table </w:t>
      </w:r>
      <w:r w:rsidRPr="00E06E16">
        <w:rPr>
          <w:b/>
          <w:i/>
          <w:lang w:val="en-US"/>
        </w:rPr>
        <w:fldChar w:fldCharType="begin"/>
      </w:r>
      <w:r w:rsidRPr="00E06E16">
        <w:rPr>
          <w:b/>
          <w:i/>
          <w:lang w:val="en-US"/>
        </w:rPr>
        <w:instrText xml:space="preserve"> SEQ Table \* ARABIC </w:instrText>
      </w:r>
      <w:r w:rsidRPr="00E06E16">
        <w:rPr>
          <w:b/>
          <w:i/>
          <w:lang w:val="en-US"/>
        </w:rPr>
        <w:fldChar w:fldCharType="separate"/>
      </w:r>
      <w:r w:rsidR="00B906BF">
        <w:rPr>
          <w:b/>
          <w:i/>
          <w:noProof/>
          <w:lang w:val="en-US"/>
        </w:rPr>
        <w:t>5</w:t>
      </w:r>
      <w:r w:rsidRPr="00E06E16">
        <w:rPr>
          <w:b/>
          <w:i/>
          <w:lang w:val="en-US"/>
        </w:rPr>
        <w:fldChar w:fldCharType="end"/>
      </w:r>
      <w:r w:rsidRPr="00E06E16">
        <w:rPr>
          <w:b/>
          <w:i/>
          <w:lang w:val="en-US"/>
        </w:rPr>
        <w:t>: Price paid by Quinoa Corporation between 1999 and 2005.</w:t>
      </w:r>
      <w:bookmarkEnd w:id="48"/>
    </w:p>
    <w:tbl>
      <w:tblPr>
        <w:tblStyle w:val="TableGrid"/>
        <w:tblW w:w="0" w:type="auto"/>
        <w:tblLook w:val="04A0" w:firstRow="1" w:lastRow="0" w:firstColumn="1" w:lastColumn="0" w:noHBand="0" w:noVBand="1"/>
      </w:tblPr>
      <w:tblGrid>
        <w:gridCol w:w="4788"/>
        <w:gridCol w:w="4788"/>
      </w:tblGrid>
      <w:tr w:rsidR="005E3FA2" w:rsidRPr="009E65F1" w:rsidTr="000B6BF5">
        <w:tc>
          <w:tcPr>
            <w:tcW w:w="4788" w:type="dxa"/>
            <w:shd w:val="clear" w:color="auto" w:fill="FFFF00"/>
          </w:tcPr>
          <w:p w:rsidR="005E3FA2" w:rsidRDefault="005E3FA2" w:rsidP="00E34F75">
            <w:pPr>
              <w:jc w:val="center"/>
              <w:rPr>
                <w:b/>
                <w:i/>
                <w:lang w:val="en-US"/>
              </w:rPr>
            </w:pPr>
          </w:p>
        </w:tc>
        <w:tc>
          <w:tcPr>
            <w:tcW w:w="4788" w:type="dxa"/>
            <w:shd w:val="clear" w:color="auto" w:fill="FFFF00"/>
          </w:tcPr>
          <w:p w:rsidR="005E3FA2" w:rsidRDefault="000B6BF5" w:rsidP="00E34F75">
            <w:pPr>
              <w:jc w:val="center"/>
              <w:rPr>
                <w:b/>
                <w:i/>
                <w:lang w:val="en-US"/>
              </w:rPr>
            </w:pPr>
            <w:r>
              <w:rPr>
                <w:b/>
                <w:i/>
                <w:lang w:val="en-US"/>
              </w:rPr>
              <w:t>Price paid by Quinoa Corporation</w:t>
            </w:r>
          </w:p>
        </w:tc>
      </w:tr>
      <w:tr w:rsidR="005E3FA2" w:rsidTr="005E3FA2">
        <w:tc>
          <w:tcPr>
            <w:tcW w:w="4788" w:type="dxa"/>
          </w:tcPr>
          <w:p w:rsidR="005E3FA2" w:rsidRDefault="005E3FA2" w:rsidP="00E34F75">
            <w:pPr>
              <w:jc w:val="center"/>
              <w:rPr>
                <w:b/>
                <w:i/>
                <w:lang w:val="en-US"/>
              </w:rPr>
            </w:pPr>
            <w:r>
              <w:rPr>
                <w:b/>
                <w:i/>
                <w:lang w:val="en-US"/>
              </w:rPr>
              <w:t>1999</w:t>
            </w:r>
          </w:p>
        </w:tc>
        <w:tc>
          <w:tcPr>
            <w:tcW w:w="4788" w:type="dxa"/>
          </w:tcPr>
          <w:p w:rsidR="005E3FA2" w:rsidRDefault="000B6BF5" w:rsidP="00E34F75">
            <w:pPr>
              <w:jc w:val="center"/>
              <w:rPr>
                <w:b/>
                <w:i/>
                <w:lang w:val="en-US"/>
              </w:rPr>
            </w:pPr>
            <w:r>
              <w:rPr>
                <w:b/>
                <w:i/>
                <w:lang w:val="en-US"/>
              </w:rPr>
              <w:t xml:space="preserve">             </w:t>
            </w:r>
            <w:r w:rsidR="005E3FA2">
              <w:rPr>
                <w:b/>
                <w:i/>
                <w:lang w:val="en-US"/>
              </w:rPr>
              <w:t>$1420 per ton of quinoa</w:t>
            </w:r>
          </w:p>
        </w:tc>
      </w:tr>
      <w:tr w:rsidR="005E3FA2" w:rsidTr="005E3FA2">
        <w:tc>
          <w:tcPr>
            <w:tcW w:w="4788" w:type="dxa"/>
          </w:tcPr>
          <w:p w:rsidR="005E3FA2" w:rsidRDefault="005E3FA2" w:rsidP="00E34F75">
            <w:pPr>
              <w:jc w:val="center"/>
              <w:rPr>
                <w:b/>
                <w:i/>
                <w:lang w:val="en-US"/>
              </w:rPr>
            </w:pPr>
            <w:r>
              <w:rPr>
                <w:b/>
                <w:i/>
                <w:lang w:val="en-US"/>
              </w:rPr>
              <w:t>2000 - 2005</w:t>
            </w:r>
          </w:p>
        </w:tc>
        <w:tc>
          <w:tcPr>
            <w:tcW w:w="4788" w:type="dxa"/>
          </w:tcPr>
          <w:p w:rsidR="005E3FA2" w:rsidRDefault="005E3FA2" w:rsidP="00E34F75">
            <w:pPr>
              <w:jc w:val="center"/>
              <w:rPr>
                <w:b/>
                <w:i/>
                <w:lang w:val="en-US"/>
              </w:rPr>
            </w:pPr>
            <w:r>
              <w:rPr>
                <w:b/>
                <w:i/>
                <w:lang w:val="en-US"/>
              </w:rPr>
              <w:t>$960 - $1090</w:t>
            </w:r>
            <w:r w:rsidR="000B6BF5">
              <w:rPr>
                <w:b/>
                <w:i/>
                <w:lang w:val="en-US"/>
              </w:rPr>
              <w:t xml:space="preserve"> per ton of quinoa </w:t>
            </w:r>
          </w:p>
        </w:tc>
      </w:tr>
    </w:tbl>
    <w:p w:rsidR="005E3FA2" w:rsidRDefault="005E3FA2" w:rsidP="00E34F75">
      <w:pPr>
        <w:jc w:val="center"/>
        <w:rPr>
          <w:b/>
          <w:i/>
          <w:lang w:val="en-US"/>
        </w:rPr>
      </w:pPr>
    </w:p>
    <w:p w:rsidR="00CE535F" w:rsidRPr="009626AB" w:rsidRDefault="00CE535F" w:rsidP="00E06E16">
      <w:pPr>
        <w:ind w:firstLine="720"/>
        <w:jc w:val="both"/>
        <w:rPr>
          <w:lang w:val="en-US"/>
        </w:rPr>
      </w:pPr>
      <w:r w:rsidRPr="009626AB">
        <w:rPr>
          <w:lang w:val="en-US"/>
        </w:rPr>
        <w:t xml:space="preserve">Secondly, importing company Quinoa Corporation took advantage of this competitive environment and imposed greater requirements on its quinoa suppliers ANAPQUI and Andean Valley. The importing company required them to provide cleaner and homogenous grain, more punctual delivery, etc. Similar, types of developments seem to have taken place between producer organization ANAPQUI and its other importing companies in Europe, Asia and </w:t>
      </w:r>
      <w:proofErr w:type="spellStart"/>
      <w:r w:rsidRPr="009626AB">
        <w:rPr>
          <w:lang w:val="en-US"/>
        </w:rPr>
        <w:t>Latinamerica</w:t>
      </w:r>
      <w:proofErr w:type="spellEnd"/>
      <w:r w:rsidRPr="009626AB">
        <w:rPr>
          <w:lang w:val="en-US"/>
        </w:rPr>
        <w:t xml:space="preserve">. </w:t>
      </w:r>
    </w:p>
    <w:p w:rsidR="00B615DB" w:rsidRDefault="00CE535F" w:rsidP="00E06E16">
      <w:pPr>
        <w:ind w:firstLine="720"/>
        <w:jc w:val="both"/>
        <w:rPr>
          <w:lang w:val="en-US"/>
        </w:rPr>
      </w:pPr>
      <w:r w:rsidRPr="009626AB">
        <w:rPr>
          <w:lang w:val="en-US"/>
        </w:rPr>
        <w:t xml:space="preserve">Hence, the competition that Andean Valley brought to the market represents several losses for the producer organization ANAPQUI, such as: </w:t>
      </w:r>
    </w:p>
    <w:p w:rsidR="008A0E40" w:rsidRDefault="00CE535F" w:rsidP="00E06E16">
      <w:pPr>
        <w:ind w:firstLine="720"/>
        <w:jc w:val="both"/>
        <w:rPr>
          <w:lang w:val="en-US"/>
        </w:rPr>
      </w:pPr>
      <w:r w:rsidRPr="009626AB">
        <w:rPr>
          <w:lang w:val="en-US"/>
        </w:rPr>
        <w:t xml:space="preserve">a) </w:t>
      </w:r>
      <w:r w:rsidR="008A0E40" w:rsidRPr="009626AB">
        <w:rPr>
          <w:lang w:val="en-US"/>
        </w:rPr>
        <w:t>A</w:t>
      </w:r>
      <w:r w:rsidRPr="009626AB">
        <w:rPr>
          <w:lang w:val="en-US"/>
        </w:rPr>
        <w:t xml:space="preserve"> significant market s</w:t>
      </w:r>
      <w:r w:rsidR="00083101">
        <w:rPr>
          <w:lang w:val="en-US"/>
        </w:rPr>
        <w:t xml:space="preserve">hare loss, </w:t>
      </w:r>
      <w:r w:rsidRPr="009626AB">
        <w:rPr>
          <w:lang w:val="en-US"/>
        </w:rPr>
        <w:t xml:space="preserve">considering that the US is the main importer of Bolivian quinoa), </w:t>
      </w:r>
    </w:p>
    <w:p w:rsidR="008A0E40" w:rsidRDefault="00CE535F" w:rsidP="00E06E16">
      <w:pPr>
        <w:ind w:firstLine="720"/>
        <w:jc w:val="both"/>
        <w:rPr>
          <w:lang w:val="en-US"/>
        </w:rPr>
      </w:pPr>
      <w:r w:rsidRPr="009626AB">
        <w:rPr>
          <w:lang w:val="en-US"/>
        </w:rPr>
        <w:t xml:space="preserve">b) </w:t>
      </w:r>
      <w:r w:rsidR="008A0E40" w:rsidRPr="009626AB">
        <w:rPr>
          <w:lang w:val="en-US"/>
        </w:rPr>
        <w:t>Higher</w:t>
      </w:r>
      <w:r w:rsidR="00083101">
        <w:rPr>
          <w:lang w:val="en-US"/>
        </w:rPr>
        <w:t xml:space="preserve"> quality demands, </w:t>
      </w:r>
      <w:r w:rsidRPr="009626AB">
        <w:rPr>
          <w:lang w:val="en-US"/>
        </w:rPr>
        <w:t>which imply higher production and</w:t>
      </w:r>
      <w:r w:rsidR="00083101">
        <w:rPr>
          <w:lang w:val="en-US"/>
        </w:rPr>
        <w:t xml:space="preserve"> </w:t>
      </w:r>
      <w:r w:rsidRPr="009626AB">
        <w:rPr>
          <w:lang w:val="en-US"/>
        </w:rPr>
        <w:t xml:space="preserve">or transactions costs just to maintain the customer, </w:t>
      </w:r>
    </w:p>
    <w:p w:rsidR="008A0E40" w:rsidRDefault="00CE535F" w:rsidP="00E06E16">
      <w:pPr>
        <w:ind w:firstLine="720"/>
        <w:jc w:val="both"/>
        <w:rPr>
          <w:lang w:val="en-US"/>
        </w:rPr>
      </w:pPr>
      <w:r w:rsidRPr="009626AB">
        <w:rPr>
          <w:lang w:val="en-US"/>
        </w:rPr>
        <w:t xml:space="preserve">c) </w:t>
      </w:r>
      <w:r w:rsidR="008A0E40" w:rsidRPr="009626AB">
        <w:rPr>
          <w:lang w:val="en-US"/>
        </w:rPr>
        <w:t>A</w:t>
      </w:r>
      <w:r w:rsidRPr="009626AB">
        <w:rPr>
          <w:lang w:val="en-US"/>
        </w:rPr>
        <w:t xml:space="preserve"> lower FOB price which ultimately affects</w:t>
      </w:r>
      <w:r w:rsidR="008A0E40">
        <w:rPr>
          <w:lang w:val="en-US"/>
        </w:rPr>
        <w:t xml:space="preserve"> (d)</w:t>
      </w:r>
    </w:p>
    <w:p w:rsidR="00CE535F" w:rsidRPr="009626AB" w:rsidRDefault="00CE535F" w:rsidP="00E06E16">
      <w:pPr>
        <w:ind w:firstLine="720"/>
        <w:jc w:val="both"/>
        <w:rPr>
          <w:lang w:val="en-US"/>
        </w:rPr>
      </w:pPr>
      <w:r w:rsidRPr="009626AB">
        <w:rPr>
          <w:lang w:val="en-US"/>
        </w:rPr>
        <w:t xml:space="preserve"> d) </w:t>
      </w:r>
      <w:r w:rsidR="008A0E40" w:rsidRPr="009626AB">
        <w:rPr>
          <w:lang w:val="en-US"/>
        </w:rPr>
        <w:t>The</w:t>
      </w:r>
      <w:r w:rsidRPr="009626AB">
        <w:rPr>
          <w:lang w:val="en-US"/>
        </w:rPr>
        <w:t xml:space="preserve"> price paid to the farmer whether this is associated with ANAPQUI or works with the private firm (in this case) Andean Valley through the “contract system”. </w:t>
      </w:r>
    </w:p>
    <w:p w:rsidR="00CE535F" w:rsidRDefault="00CE535F" w:rsidP="00E06E16">
      <w:pPr>
        <w:ind w:firstLine="720"/>
        <w:jc w:val="both"/>
        <w:rPr>
          <w:lang w:val="en-US"/>
        </w:rPr>
      </w:pPr>
      <w:r w:rsidRPr="00967392">
        <w:rPr>
          <w:lang w:val="en-US"/>
        </w:rPr>
        <w:t xml:space="preserve">Furthermore, importing </w:t>
      </w:r>
      <w:r w:rsidRPr="008A0E40">
        <w:rPr>
          <w:lang w:val="en-US"/>
        </w:rPr>
        <w:t>companies appear to go back and forth from working with the producer organizations for their quinoa supply or the local private firms which causes huge imbalances in the</w:t>
      </w:r>
      <w:r w:rsidR="00110CEE">
        <w:rPr>
          <w:lang w:val="en-US"/>
        </w:rPr>
        <w:t xml:space="preserve"> PO’S </w:t>
      </w:r>
      <w:r w:rsidRPr="008A0E40">
        <w:rPr>
          <w:lang w:val="en-US"/>
        </w:rPr>
        <w:t xml:space="preserve">accounts.  </w:t>
      </w:r>
    </w:p>
    <w:p w:rsidR="00083101" w:rsidRPr="008A0E40" w:rsidRDefault="00083101" w:rsidP="00E06E16">
      <w:pPr>
        <w:ind w:firstLine="720"/>
        <w:jc w:val="both"/>
        <w:rPr>
          <w:lang w:val="en-US"/>
        </w:rPr>
      </w:pPr>
    </w:p>
    <w:p w:rsidR="00083101" w:rsidRDefault="00E34F75" w:rsidP="00E06E16">
      <w:pPr>
        <w:ind w:firstLine="720"/>
        <w:jc w:val="both"/>
        <w:rPr>
          <w:lang w:val="en-US"/>
        </w:rPr>
      </w:pPr>
      <w:r w:rsidRPr="00EE22BF">
        <w:rPr>
          <w:lang w:val="en-US"/>
        </w:rPr>
        <w:t xml:space="preserve">In conclusion, the themes raised in this last </w:t>
      </w:r>
      <w:r w:rsidR="008A0E40">
        <w:rPr>
          <w:lang w:val="en-US"/>
        </w:rPr>
        <w:t>chapter</w:t>
      </w:r>
      <w:r w:rsidRPr="00EE22BF">
        <w:rPr>
          <w:lang w:val="en-US"/>
        </w:rPr>
        <w:t xml:space="preserve"> make reference to the vulnerability that farmers face in the </w:t>
      </w:r>
      <w:r w:rsidR="00083101">
        <w:rPr>
          <w:lang w:val="en-US"/>
        </w:rPr>
        <w:t>current quinoa</w:t>
      </w:r>
      <w:r w:rsidRPr="00EE22BF">
        <w:rPr>
          <w:lang w:val="en-US"/>
        </w:rPr>
        <w:t xml:space="preserve"> market structure and in spite of its current “profitable prospects”.</w:t>
      </w:r>
    </w:p>
    <w:p w:rsidR="002328BC" w:rsidRDefault="00E34F75" w:rsidP="00083101">
      <w:pPr>
        <w:ind w:firstLine="720"/>
        <w:jc w:val="both"/>
        <w:rPr>
          <w:lang w:val="en-US"/>
        </w:rPr>
      </w:pPr>
      <w:r w:rsidRPr="00EE22BF">
        <w:rPr>
          <w:lang w:val="en-US"/>
        </w:rPr>
        <w:t xml:space="preserve"> This is manifested in their necessity to associate and participate in “contract systems” which conditions are not the most favorable yet at least (in principle) these provide some sense of “stability” and “predictability” for their transactions and livelihood. </w:t>
      </w:r>
      <w:r w:rsidR="00083101">
        <w:rPr>
          <w:lang w:val="en-US"/>
        </w:rPr>
        <w:t>Since</w:t>
      </w:r>
      <w:r w:rsidRPr="00EE22BF">
        <w:rPr>
          <w:lang w:val="en-US"/>
        </w:rPr>
        <w:t xml:space="preserve">, the buyer-driven nature of the chain </w:t>
      </w:r>
      <w:r w:rsidR="00083101">
        <w:rPr>
          <w:lang w:val="en-US"/>
        </w:rPr>
        <w:t xml:space="preserve">and the ‘closed vertical systems of coordination’ which exclude the farmer from the flows of communication and that the producer organization do not seem to be able to improve </w:t>
      </w:r>
      <w:r w:rsidR="002328BC">
        <w:rPr>
          <w:lang w:val="en-US"/>
        </w:rPr>
        <w:t>(</w:t>
      </w:r>
      <w:r w:rsidR="00083101">
        <w:rPr>
          <w:lang w:val="en-US"/>
        </w:rPr>
        <w:t>such flows of communication</w:t>
      </w:r>
      <w:r w:rsidR="002328BC">
        <w:rPr>
          <w:lang w:val="en-US"/>
        </w:rPr>
        <w:t>)</w:t>
      </w:r>
      <w:r w:rsidR="00083101">
        <w:rPr>
          <w:lang w:val="en-US"/>
        </w:rPr>
        <w:t xml:space="preserve">,  </w:t>
      </w:r>
      <w:r w:rsidRPr="00EE22BF">
        <w:rPr>
          <w:lang w:val="en-US"/>
        </w:rPr>
        <w:t xml:space="preserve">makes it increasingly difficult to cope with the volatile price swings that currently characterize </w:t>
      </w:r>
      <w:r w:rsidR="002328BC">
        <w:rPr>
          <w:lang w:val="en-US"/>
        </w:rPr>
        <w:t xml:space="preserve">the </w:t>
      </w:r>
      <w:r w:rsidR="002328BC">
        <w:rPr>
          <w:lang w:val="en-US"/>
        </w:rPr>
        <w:lastRenderedPageBreak/>
        <w:t>quinoa market structure</w:t>
      </w:r>
      <w:r w:rsidRPr="00EE22BF">
        <w:rPr>
          <w:lang w:val="en-US"/>
        </w:rPr>
        <w:t xml:space="preserve"> and </w:t>
      </w:r>
      <w:r w:rsidR="002328BC">
        <w:rPr>
          <w:lang w:val="en-US"/>
        </w:rPr>
        <w:t xml:space="preserve">that </w:t>
      </w:r>
      <w:r w:rsidRPr="00EE22BF">
        <w:rPr>
          <w:lang w:val="en-US"/>
        </w:rPr>
        <w:t xml:space="preserve">threatens the financial stability and security of the farmers who find themselves trying to “intuitively” catch the direction that the market is taking via some “price signals”, which are not always the most efficient indicators, leaving the farmers with significant losses in some instances. </w:t>
      </w:r>
    </w:p>
    <w:p w:rsidR="00E34F75" w:rsidRPr="00EE22BF" w:rsidRDefault="00E34F75" w:rsidP="00083101">
      <w:pPr>
        <w:ind w:firstLine="720"/>
        <w:jc w:val="both"/>
        <w:rPr>
          <w:lang w:val="en-US"/>
        </w:rPr>
      </w:pPr>
      <w:r w:rsidRPr="00EE22BF">
        <w:rPr>
          <w:lang w:val="en-US"/>
        </w:rPr>
        <w:t>The exclusion of the farmer within the dialogue of downstream and upstream actors or rather its inclusion as simply a receptor of information makes of the new quinoa market structure a pretty confusing and uncertain scenario for the farmer which neither the “contract systems” of the private firms nor the producer organizations commands are able to tone down but quite the opposite seem to exacerbate through their competition. Lastly, the “secondary role” that the farmer has in the new Quinoa Value Chain manifested in the conceiving of the farmer as simply a “worker” despite its direct contact with the production of the grain itself, speak of the unequal distribution of power within the chain swayed towards those actors who are able to more successfully enter the new models of coordination that the new private firms propose and</w:t>
      </w:r>
      <w:r w:rsidR="00881124">
        <w:rPr>
          <w:lang w:val="en-US"/>
        </w:rPr>
        <w:t xml:space="preserve"> therefore</w:t>
      </w:r>
      <w:r w:rsidRPr="00EE22BF">
        <w:rPr>
          <w:lang w:val="en-US"/>
        </w:rPr>
        <w:t xml:space="preserve"> influence or determine the distribution of profits within the chain.  </w:t>
      </w:r>
    </w:p>
    <w:p w:rsidR="004E5B8C" w:rsidRPr="004E5B8C" w:rsidRDefault="004E5B8C" w:rsidP="00E06E16">
      <w:pPr>
        <w:rPr>
          <w:lang w:val="en-US"/>
        </w:rPr>
      </w:pPr>
    </w:p>
    <w:p w:rsidR="00096B65" w:rsidRDefault="00096B65" w:rsidP="00FA122F">
      <w:pPr>
        <w:pStyle w:val="Heading1"/>
        <w:spacing w:before="0"/>
        <w:rPr>
          <w:rFonts w:ascii="Garamond" w:hAnsi="Garamond"/>
          <w:color w:val="auto"/>
          <w:sz w:val="36"/>
          <w:szCs w:val="36"/>
          <w:lang w:val="en-US"/>
        </w:rPr>
      </w:pPr>
      <w:bookmarkStart w:id="49" w:name="_Toc342160078"/>
      <w:bookmarkStart w:id="50" w:name="_Toc342160103"/>
      <w:r>
        <w:rPr>
          <w:rFonts w:ascii="Garamond" w:hAnsi="Garamond"/>
          <w:color w:val="auto"/>
          <w:sz w:val="36"/>
          <w:szCs w:val="36"/>
          <w:lang w:val="en-US"/>
        </w:rPr>
        <w:t>Chapter 6</w:t>
      </w:r>
    </w:p>
    <w:p w:rsidR="008F43CB" w:rsidRPr="00E06E16" w:rsidRDefault="0076641C" w:rsidP="00FA122F">
      <w:pPr>
        <w:pStyle w:val="Heading1"/>
        <w:spacing w:before="0"/>
        <w:rPr>
          <w:rFonts w:ascii="Garamond" w:hAnsi="Garamond"/>
          <w:b w:val="0"/>
          <w:sz w:val="36"/>
          <w:szCs w:val="36"/>
          <w:lang w:val="en-US"/>
        </w:rPr>
      </w:pPr>
      <w:r w:rsidRPr="00E06E16">
        <w:rPr>
          <w:rFonts w:ascii="Garamond" w:hAnsi="Garamond"/>
          <w:color w:val="auto"/>
          <w:sz w:val="36"/>
          <w:szCs w:val="36"/>
          <w:lang w:val="en-US"/>
        </w:rPr>
        <w:t>CONCLUSIONS</w:t>
      </w:r>
      <w:bookmarkEnd w:id="49"/>
      <w:bookmarkEnd w:id="50"/>
    </w:p>
    <w:p w:rsidR="004E5B8C" w:rsidRDefault="004E5B8C" w:rsidP="00A77BC2">
      <w:pPr>
        <w:jc w:val="both"/>
        <w:rPr>
          <w:lang w:val="en-US"/>
        </w:rPr>
      </w:pPr>
    </w:p>
    <w:p w:rsidR="0076641C" w:rsidRDefault="00DC6BBF" w:rsidP="00A77BC2">
      <w:pPr>
        <w:jc w:val="both"/>
        <w:rPr>
          <w:lang w:val="en-US"/>
        </w:rPr>
      </w:pPr>
      <w:r>
        <w:rPr>
          <w:lang w:val="en-US"/>
        </w:rPr>
        <w:t>My interest to study the issues raised throughout this paper sparked in a context in which commodities</w:t>
      </w:r>
      <w:r w:rsidR="00AE4A77">
        <w:rPr>
          <w:rStyle w:val="FootnoteReference"/>
          <w:lang w:val="en-US"/>
        </w:rPr>
        <w:footnoteReference w:id="34"/>
      </w:r>
      <w:r>
        <w:rPr>
          <w:lang w:val="en-US"/>
        </w:rPr>
        <w:t xml:space="preserve"> are back in the center stage of economic discussions due to </w:t>
      </w:r>
      <w:r w:rsidRPr="008C551D">
        <w:rPr>
          <w:lang w:val="en-US"/>
        </w:rPr>
        <w:t>the fairly recent spike in its prices</w:t>
      </w:r>
      <w:r w:rsidR="006B03BC" w:rsidRPr="008C551D">
        <w:rPr>
          <w:lang w:val="en-US"/>
        </w:rPr>
        <w:t>, its role in the</w:t>
      </w:r>
      <w:r w:rsidR="00480DCF" w:rsidRPr="008C551D">
        <w:rPr>
          <w:lang w:val="en-US"/>
        </w:rPr>
        <w:t xml:space="preserve"> craze for the</w:t>
      </w:r>
      <w:r w:rsidR="006B03BC" w:rsidRPr="008C551D">
        <w:rPr>
          <w:lang w:val="en-US"/>
        </w:rPr>
        <w:t xml:space="preserve"> creation of alternative energy sources</w:t>
      </w:r>
      <w:r w:rsidR="00480DCF" w:rsidRPr="008C551D">
        <w:rPr>
          <w:lang w:val="en-US"/>
        </w:rPr>
        <w:t xml:space="preserve">, </w:t>
      </w:r>
      <w:r w:rsidR="00983AF9" w:rsidRPr="008C551D">
        <w:rPr>
          <w:lang w:val="en-US"/>
        </w:rPr>
        <w:t>its potential to establish new power</w:t>
      </w:r>
      <w:r w:rsidR="003950A3" w:rsidRPr="008C551D">
        <w:rPr>
          <w:lang w:val="en-US"/>
        </w:rPr>
        <w:t xml:space="preserve"> structures depending on the control and ownership of such commodities and</w:t>
      </w:r>
      <w:r w:rsidR="00B96266" w:rsidRPr="008C551D">
        <w:rPr>
          <w:lang w:val="en-US"/>
        </w:rPr>
        <w:t xml:space="preserve"> lastly its crucial importance for the world as a whole</w:t>
      </w:r>
      <w:r w:rsidR="00204F9F" w:rsidRPr="008C551D">
        <w:rPr>
          <w:lang w:val="en-US"/>
        </w:rPr>
        <w:t>,</w:t>
      </w:r>
      <w:r w:rsidR="00B96266" w:rsidRPr="008C551D">
        <w:rPr>
          <w:lang w:val="en-US"/>
        </w:rPr>
        <w:t xml:space="preserve"> due to its direct connection for food security </w:t>
      </w:r>
      <w:r w:rsidR="00505CD7" w:rsidRPr="008C551D">
        <w:rPr>
          <w:lang w:val="en-US"/>
        </w:rPr>
        <w:t xml:space="preserve">in the midst of </w:t>
      </w:r>
      <w:r w:rsidR="000321A0" w:rsidRPr="008C551D">
        <w:rPr>
          <w:lang w:val="en-US"/>
        </w:rPr>
        <w:t xml:space="preserve">the </w:t>
      </w:r>
      <w:r w:rsidR="00505CD7" w:rsidRPr="008C551D">
        <w:rPr>
          <w:lang w:val="en-US"/>
        </w:rPr>
        <w:t xml:space="preserve">threats </w:t>
      </w:r>
      <w:r w:rsidR="000321A0">
        <w:rPr>
          <w:lang w:val="en-US"/>
        </w:rPr>
        <w:t xml:space="preserve">that </w:t>
      </w:r>
      <w:r w:rsidR="00505CD7">
        <w:rPr>
          <w:lang w:val="en-US"/>
        </w:rPr>
        <w:t xml:space="preserve">climate change </w:t>
      </w:r>
      <w:r w:rsidR="00505CD7" w:rsidRPr="00CC116C">
        <w:rPr>
          <w:lang w:val="en-US"/>
        </w:rPr>
        <w:t>brings</w:t>
      </w:r>
      <w:r w:rsidR="000321A0" w:rsidRPr="00CC116C">
        <w:rPr>
          <w:lang w:val="en-US"/>
        </w:rPr>
        <w:t xml:space="preserve"> </w:t>
      </w:r>
      <w:r w:rsidR="000321A0">
        <w:rPr>
          <w:lang w:val="en-US"/>
        </w:rPr>
        <w:t xml:space="preserve">to its availability. </w:t>
      </w:r>
    </w:p>
    <w:p w:rsidR="00204F9F" w:rsidRDefault="00197540" w:rsidP="00E06E16">
      <w:pPr>
        <w:ind w:firstLine="720"/>
        <w:jc w:val="both"/>
        <w:rPr>
          <w:lang w:val="en-US"/>
        </w:rPr>
      </w:pPr>
      <w:r>
        <w:rPr>
          <w:lang w:val="en-US"/>
        </w:rPr>
        <w:t>However, during my preliminary research I had encountered s</w:t>
      </w:r>
      <w:r w:rsidR="005F3160">
        <w:rPr>
          <w:lang w:val="en-US"/>
        </w:rPr>
        <w:t xml:space="preserve">everal studies </w:t>
      </w:r>
      <w:r>
        <w:rPr>
          <w:lang w:val="en-US"/>
        </w:rPr>
        <w:t xml:space="preserve">which suggested </w:t>
      </w:r>
      <w:r w:rsidR="005F3160">
        <w:rPr>
          <w:lang w:val="en-US"/>
        </w:rPr>
        <w:t xml:space="preserve">that the farmers involved in </w:t>
      </w:r>
      <w:r>
        <w:rPr>
          <w:lang w:val="en-US"/>
        </w:rPr>
        <w:t xml:space="preserve">the production of such commodities where not part of the exciting </w:t>
      </w:r>
      <w:r w:rsidR="004775B7">
        <w:rPr>
          <w:lang w:val="en-US"/>
        </w:rPr>
        <w:t xml:space="preserve">or promising part of the story. In fact, it appeared that in several instances the farmers’ income as a matter of fact were going down as the prices for the commodities they produced were rising. </w:t>
      </w:r>
    </w:p>
    <w:p w:rsidR="00340484" w:rsidRPr="008C551D" w:rsidRDefault="004775B7" w:rsidP="00E06E16">
      <w:pPr>
        <w:ind w:firstLine="720"/>
        <w:jc w:val="both"/>
        <w:rPr>
          <w:lang w:val="en-US"/>
        </w:rPr>
      </w:pPr>
      <w:r>
        <w:rPr>
          <w:lang w:val="en-US"/>
        </w:rPr>
        <w:t xml:space="preserve">Hence, when I choose to </w:t>
      </w:r>
      <w:r w:rsidRPr="008C551D">
        <w:rPr>
          <w:lang w:val="en-US"/>
        </w:rPr>
        <w:t>study the case of the quinoa farmers in Bolivia</w:t>
      </w:r>
      <w:r w:rsidR="00636D51" w:rsidRPr="008C551D">
        <w:rPr>
          <w:lang w:val="en-US"/>
        </w:rPr>
        <w:t>, right away I looked for</w:t>
      </w:r>
      <w:r w:rsidR="002B7300" w:rsidRPr="008C551D">
        <w:rPr>
          <w:lang w:val="en-US"/>
        </w:rPr>
        <w:t xml:space="preserve"> a</w:t>
      </w:r>
      <w:r w:rsidR="00636D51" w:rsidRPr="008C551D">
        <w:rPr>
          <w:lang w:val="en-US"/>
        </w:rPr>
        <w:t xml:space="preserve"> similar pattern. </w:t>
      </w:r>
      <w:r w:rsidRPr="008C551D">
        <w:rPr>
          <w:lang w:val="en-US"/>
        </w:rPr>
        <w:t xml:space="preserve"> </w:t>
      </w:r>
      <w:r w:rsidR="00BA6597" w:rsidRPr="008C551D">
        <w:rPr>
          <w:lang w:val="en-US"/>
        </w:rPr>
        <w:t xml:space="preserve">However, to my surprise producer prices had gone up </w:t>
      </w:r>
      <w:r w:rsidR="005E054A" w:rsidRPr="008C551D">
        <w:rPr>
          <w:lang w:val="en-US"/>
        </w:rPr>
        <w:t xml:space="preserve">just as quinoa prices had. </w:t>
      </w:r>
      <w:r w:rsidR="00DE6B31" w:rsidRPr="008C551D">
        <w:rPr>
          <w:lang w:val="en-US"/>
        </w:rPr>
        <w:t xml:space="preserve">This confused me and </w:t>
      </w:r>
      <w:r w:rsidR="00ED3185" w:rsidRPr="008C551D">
        <w:rPr>
          <w:lang w:val="en-US"/>
        </w:rPr>
        <w:t>I felt compelled to dispute this numbers.  I did not believe them. Yet</w:t>
      </w:r>
      <w:r w:rsidR="002B7300" w:rsidRPr="008C551D">
        <w:rPr>
          <w:lang w:val="en-US"/>
        </w:rPr>
        <w:t>,</w:t>
      </w:r>
      <w:r w:rsidR="00697211" w:rsidRPr="008C551D">
        <w:rPr>
          <w:lang w:val="en-US"/>
        </w:rPr>
        <w:t xml:space="preserve"> as I continued with my research I</w:t>
      </w:r>
      <w:r w:rsidR="005D5EE1" w:rsidRPr="008C551D">
        <w:rPr>
          <w:lang w:val="en-US"/>
        </w:rPr>
        <w:t xml:space="preserve"> understood </w:t>
      </w:r>
      <w:r w:rsidR="00697211" w:rsidRPr="008C551D">
        <w:rPr>
          <w:lang w:val="en-US"/>
        </w:rPr>
        <w:t>that</w:t>
      </w:r>
      <w:r w:rsidR="00340484" w:rsidRPr="008C551D">
        <w:rPr>
          <w:lang w:val="en-US"/>
        </w:rPr>
        <w:t xml:space="preserve"> my focus on the upward or downw</w:t>
      </w:r>
      <w:r w:rsidR="00BE2060" w:rsidRPr="008C551D">
        <w:rPr>
          <w:lang w:val="en-US"/>
        </w:rPr>
        <w:t xml:space="preserve">ard trend of the data </w:t>
      </w:r>
      <w:r w:rsidR="00340484" w:rsidRPr="008C551D">
        <w:rPr>
          <w:lang w:val="en-US"/>
        </w:rPr>
        <w:t>was erroneous and ran the risk of being simplistic with the analysis</w:t>
      </w:r>
      <w:r w:rsidR="00CF4D80" w:rsidRPr="008C551D">
        <w:rPr>
          <w:lang w:val="en-US"/>
        </w:rPr>
        <w:t>. Although this paper starts highlighting the increasing gap between producer prices and export prices</w:t>
      </w:r>
      <w:r w:rsidR="00CF2729" w:rsidRPr="008C551D">
        <w:rPr>
          <w:lang w:val="en-US"/>
        </w:rPr>
        <w:t xml:space="preserve"> this could only be a point of departure. </w:t>
      </w:r>
    </w:p>
    <w:p w:rsidR="00FC4A22" w:rsidRDefault="00555415" w:rsidP="00E06E16">
      <w:pPr>
        <w:ind w:firstLine="720"/>
        <w:jc w:val="both"/>
        <w:rPr>
          <w:color w:val="FF0000"/>
          <w:lang w:val="en-US"/>
        </w:rPr>
      </w:pPr>
      <w:r w:rsidRPr="008C551D">
        <w:rPr>
          <w:lang w:val="en-US"/>
        </w:rPr>
        <w:lastRenderedPageBreak/>
        <w:t xml:space="preserve">The Global Commodity Chain analytical framework </w:t>
      </w:r>
      <w:r w:rsidR="00BE5451" w:rsidRPr="008C551D">
        <w:rPr>
          <w:lang w:val="en-US"/>
        </w:rPr>
        <w:t xml:space="preserve">represented </w:t>
      </w:r>
      <w:r w:rsidRPr="008C551D">
        <w:rPr>
          <w:lang w:val="en-US"/>
        </w:rPr>
        <w:t xml:space="preserve">an alternative approach </w:t>
      </w:r>
      <w:r w:rsidR="00BE5451" w:rsidRPr="008C551D">
        <w:rPr>
          <w:lang w:val="en-US"/>
        </w:rPr>
        <w:t xml:space="preserve">to the emphasis that mainstream economics puts on data and figures </w:t>
      </w:r>
      <w:r w:rsidR="002E4C01" w:rsidRPr="008C551D">
        <w:rPr>
          <w:lang w:val="en-US"/>
        </w:rPr>
        <w:t xml:space="preserve">to draw conclusions from. </w:t>
      </w:r>
      <w:r w:rsidR="002D0FBB" w:rsidRPr="008C551D">
        <w:rPr>
          <w:lang w:val="en-US"/>
        </w:rPr>
        <w:t>Instead this paper attempted to uncover</w:t>
      </w:r>
      <w:r w:rsidR="005F7CEE" w:rsidRPr="008C551D">
        <w:rPr>
          <w:lang w:val="en-US"/>
        </w:rPr>
        <w:t xml:space="preserve"> the power </w:t>
      </w:r>
      <w:r w:rsidR="003F306A" w:rsidRPr="008C551D">
        <w:rPr>
          <w:lang w:val="en-US"/>
        </w:rPr>
        <w:t>dynamics</w:t>
      </w:r>
      <w:r w:rsidR="005F7CEE" w:rsidRPr="008C551D">
        <w:rPr>
          <w:lang w:val="en-US"/>
        </w:rPr>
        <w:t xml:space="preserve"> underneath the numbers</w:t>
      </w:r>
      <w:r w:rsidR="003F306A" w:rsidRPr="008C551D">
        <w:rPr>
          <w:lang w:val="en-US"/>
        </w:rPr>
        <w:t>,</w:t>
      </w:r>
      <w:r w:rsidR="005F7CEE" w:rsidRPr="008C551D">
        <w:rPr>
          <w:lang w:val="en-US"/>
        </w:rPr>
        <w:t xml:space="preserve"> </w:t>
      </w:r>
      <w:r w:rsidR="005F7CEE">
        <w:rPr>
          <w:lang w:val="en-US"/>
        </w:rPr>
        <w:t xml:space="preserve">conscious of the fact that as the GCC literature informs us </w:t>
      </w:r>
      <w:r w:rsidR="003F306A">
        <w:rPr>
          <w:lang w:val="en-US"/>
        </w:rPr>
        <w:t xml:space="preserve">the production process is inherently characterized by power relations which guide </w:t>
      </w:r>
      <w:r w:rsidR="00A711EC">
        <w:rPr>
          <w:lang w:val="en-US"/>
        </w:rPr>
        <w:t xml:space="preserve">the distribution of profits </w:t>
      </w:r>
      <w:r w:rsidR="003F306A">
        <w:rPr>
          <w:lang w:val="en-US"/>
        </w:rPr>
        <w:t xml:space="preserve">within </w:t>
      </w:r>
      <w:r w:rsidR="00102D03">
        <w:rPr>
          <w:lang w:val="en-US"/>
        </w:rPr>
        <w:t xml:space="preserve">and often reveal more </w:t>
      </w:r>
      <w:r w:rsidR="005655E5" w:rsidRPr="000D1288">
        <w:rPr>
          <w:lang w:val="en-US"/>
        </w:rPr>
        <w:t xml:space="preserve">than what the numbers do. </w:t>
      </w:r>
    </w:p>
    <w:p w:rsidR="00D92E3D" w:rsidRPr="000D1288" w:rsidRDefault="00D92E3D" w:rsidP="00E06E16">
      <w:pPr>
        <w:ind w:firstLine="720"/>
        <w:jc w:val="both"/>
        <w:rPr>
          <w:lang w:val="en-US"/>
        </w:rPr>
      </w:pPr>
      <w:r w:rsidRPr="000D1288">
        <w:rPr>
          <w:lang w:val="en-US"/>
        </w:rPr>
        <w:t xml:space="preserve">The tripling of quinoa prices over the last 20 </w:t>
      </w:r>
      <w:r w:rsidR="003A5059" w:rsidRPr="000D1288">
        <w:rPr>
          <w:lang w:val="en-US"/>
        </w:rPr>
        <w:t>years</w:t>
      </w:r>
      <w:r w:rsidRPr="000D1288">
        <w:rPr>
          <w:lang w:val="en-US"/>
        </w:rPr>
        <w:t xml:space="preserve"> </w:t>
      </w:r>
      <w:r w:rsidR="00FE5F37" w:rsidRPr="000D1288">
        <w:rPr>
          <w:lang w:val="en-US"/>
        </w:rPr>
        <w:t>however</w:t>
      </w:r>
      <w:r w:rsidR="000D1288" w:rsidRPr="000D1288">
        <w:rPr>
          <w:lang w:val="en-US"/>
        </w:rPr>
        <w:t>,</w:t>
      </w:r>
      <w:r w:rsidR="00FE5F37" w:rsidRPr="000D1288">
        <w:rPr>
          <w:lang w:val="en-US"/>
        </w:rPr>
        <w:t xml:space="preserve"> </w:t>
      </w:r>
      <w:r w:rsidRPr="000D1288">
        <w:rPr>
          <w:lang w:val="en-US"/>
        </w:rPr>
        <w:t xml:space="preserve">made it an interesting and challenging market to study from the GCC perspective, precisely due to the fact that such </w:t>
      </w:r>
      <w:r w:rsidR="00DA0F5B" w:rsidRPr="000D1288">
        <w:rPr>
          <w:lang w:val="en-US"/>
        </w:rPr>
        <w:t>“positive trend</w:t>
      </w:r>
      <w:r w:rsidR="00043D9C" w:rsidRPr="000D1288">
        <w:rPr>
          <w:lang w:val="en-US"/>
        </w:rPr>
        <w:t xml:space="preserve"> in prices</w:t>
      </w:r>
      <w:r w:rsidR="00DA0F5B" w:rsidRPr="000D1288">
        <w:rPr>
          <w:lang w:val="en-US"/>
        </w:rPr>
        <w:t xml:space="preserve">” </w:t>
      </w:r>
      <w:r w:rsidRPr="000D1288">
        <w:rPr>
          <w:lang w:val="en-US"/>
        </w:rPr>
        <w:t xml:space="preserve">on the </w:t>
      </w:r>
      <w:r w:rsidR="00BE7ACE" w:rsidRPr="000D1288">
        <w:rPr>
          <w:lang w:val="en-US"/>
        </w:rPr>
        <w:t xml:space="preserve">surface </w:t>
      </w:r>
      <w:r w:rsidR="00BE4160" w:rsidRPr="000D1288">
        <w:rPr>
          <w:lang w:val="en-US"/>
        </w:rPr>
        <w:t>already seemed to signal</w:t>
      </w:r>
      <w:r w:rsidR="00BE7ACE" w:rsidRPr="000D1288">
        <w:rPr>
          <w:lang w:val="en-US"/>
        </w:rPr>
        <w:t xml:space="preserve"> a promising scenario for all of those involved. </w:t>
      </w:r>
      <w:r w:rsidR="00BE7ACE" w:rsidRPr="000D1288">
        <w:rPr>
          <w:lang w:val="en-US"/>
        </w:rPr>
        <w:tab/>
      </w:r>
      <w:r w:rsidRPr="000D1288">
        <w:rPr>
          <w:lang w:val="en-US"/>
        </w:rPr>
        <w:t xml:space="preserve"> </w:t>
      </w:r>
      <w:r w:rsidR="003A5059" w:rsidRPr="000D1288">
        <w:rPr>
          <w:lang w:val="en-US"/>
        </w:rPr>
        <w:t xml:space="preserve">Yet, regardless of whether or not this was </w:t>
      </w:r>
      <w:r w:rsidR="00990A98" w:rsidRPr="000D1288">
        <w:rPr>
          <w:lang w:val="en-US"/>
        </w:rPr>
        <w:t>the case</w:t>
      </w:r>
      <w:r w:rsidR="003A5059" w:rsidRPr="000D1288">
        <w:rPr>
          <w:lang w:val="en-US"/>
        </w:rPr>
        <w:t xml:space="preserve">, </w:t>
      </w:r>
      <w:r w:rsidR="00822C9C" w:rsidRPr="000D1288">
        <w:rPr>
          <w:lang w:val="en-US"/>
        </w:rPr>
        <w:t xml:space="preserve">such a dramatic change in figures </w:t>
      </w:r>
      <w:r w:rsidR="00C2229F" w:rsidRPr="000D1288">
        <w:rPr>
          <w:lang w:val="en-US"/>
        </w:rPr>
        <w:t xml:space="preserve">deserved at least </w:t>
      </w:r>
      <w:r w:rsidR="00847D16" w:rsidRPr="000D1288">
        <w:rPr>
          <w:lang w:val="en-US"/>
        </w:rPr>
        <w:t>an analysis regarding</w:t>
      </w:r>
      <w:r w:rsidR="00C2229F" w:rsidRPr="000D1288">
        <w:rPr>
          <w:lang w:val="en-US"/>
        </w:rPr>
        <w:t xml:space="preserve"> the causes behind. </w:t>
      </w:r>
      <w:r w:rsidR="00C70B33" w:rsidRPr="000D1288">
        <w:rPr>
          <w:lang w:val="en-US"/>
        </w:rPr>
        <w:t xml:space="preserve">In the case of the quinoa market, the change in the preference for organic and fair trade related products by consumers in the industrialized countries led to a spike </w:t>
      </w:r>
      <w:r w:rsidR="00082692" w:rsidRPr="000D1288">
        <w:rPr>
          <w:lang w:val="en-US"/>
        </w:rPr>
        <w:t xml:space="preserve">in its demand, which was followed by </w:t>
      </w:r>
      <w:r w:rsidR="00CF05E3" w:rsidRPr="000D1288">
        <w:rPr>
          <w:lang w:val="en-US"/>
        </w:rPr>
        <w:t xml:space="preserve">a similar boom in its </w:t>
      </w:r>
      <w:r w:rsidR="00082692" w:rsidRPr="000D1288">
        <w:rPr>
          <w:lang w:val="en-US"/>
        </w:rPr>
        <w:t xml:space="preserve">prices, the </w:t>
      </w:r>
      <w:r w:rsidR="000D1288" w:rsidRPr="000D1288">
        <w:rPr>
          <w:lang w:val="en-US"/>
        </w:rPr>
        <w:t xml:space="preserve">value and </w:t>
      </w:r>
      <w:r w:rsidR="00082692" w:rsidRPr="000D1288">
        <w:rPr>
          <w:lang w:val="en-US"/>
        </w:rPr>
        <w:t>volume of</w:t>
      </w:r>
      <w:r w:rsidR="00CF05E3" w:rsidRPr="000D1288">
        <w:rPr>
          <w:lang w:val="en-US"/>
        </w:rPr>
        <w:t xml:space="preserve"> its</w:t>
      </w:r>
      <w:r w:rsidR="00082692" w:rsidRPr="000D1288">
        <w:rPr>
          <w:lang w:val="en-US"/>
        </w:rPr>
        <w:t xml:space="preserve"> exports and most importantly the immersion of new actors into the Quinoa Value Chain. </w:t>
      </w:r>
    </w:p>
    <w:p w:rsidR="00F853D7" w:rsidRDefault="00F853D7" w:rsidP="00E06E16">
      <w:pPr>
        <w:ind w:firstLine="720"/>
        <w:jc w:val="both"/>
        <w:rPr>
          <w:lang w:val="en-US"/>
        </w:rPr>
      </w:pPr>
      <w:r>
        <w:rPr>
          <w:lang w:val="en-US"/>
        </w:rPr>
        <w:t xml:space="preserve">The entry of new actors into the chain </w:t>
      </w:r>
      <w:r w:rsidR="008468C4">
        <w:rPr>
          <w:lang w:val="en-US"/>
        </w:rPr>
        <w:t xml:space="preserve">during the late 1990’s, </w:t>
      </w:r>
      <w:r>
        <w:rPr>
          <w:lang w:val="en-US"/>
        </w:rPr>
        <w:t xml:space="preserve">in the form of new private firms </w:t>
      </w:r>
      <w:r w:rsidR="006A035F">
        <w:rPr>
          <w:lang w:val="en-US"/>
        </w:rPr>
        <w:t xml:space="preserve">seized the </w:t>
      </w:r>
      <w:r w:rsidR="006A035F" w:rsidRPr="006A035F">
        <w:rPr>
          <w:lang w:val="en-US"/>
        </w:rPr>
        <w:t xml:space="preserve">quasi-monopoly held by the peasant producer organizations </w:t>
      </w:r>
      <w:r w:rsidR="006A035F">
        <w:rPr>
          <w:lang w:val="en-US"/>
        </w:rPr>
        <w:t xml:space="preserve">over the market for organic quinoa exports transforming </w:t>
      </w:r>
      <w:r w:rsidR="001018D2">
        <w:rPr>
          <w:lang w:val="en-US"/>
        </w:rPr>
        <w:t>its structure</w:t>
      </w:r>
      <w:r w:rsidR="006A035F">
        <w:rPr>
          <w:lang w:val="en-US"/>
        </w:rPr>
        <w:t xml:space="preserve"> not only due to the increase in the number of players in</w:t>
      </w:r>
      <w:r w:rsidR="00833351">
        <w:rPr>
          <w:lang w:val="en-US"/>
        </w:rPr>
        <w:t xml:space="preserve"> the market but also because the</w:t>
      </w:r>
      <w:r w:rsidR="006A035F">
        <w:rPr>
          <w:lang w:val="en-US"/>
        </w:rPr>
        <w:t>s</w:t>
      </w:r>
      <w:r w:rsidR="00833351">
        <w:rPr>
          <w:lang w:val="en-US"/>
        </w:rPr>
        <w:t>e</w:t>
      </w:r>
      <w:r w:rsidR="006A035F">
        <w:rPr>
          <w:lang w:val="en-US"/>
        </w:rPr>
        <w:t xml:space="preserve"> new private players </w:t>
      </w:r>
      <w:r w:rsidR="001018D2">
        <w:rPr>
          <w:lang w:val="en-US"/>
        </w:rPr>
        <w:t xml:space="preserve">brought with them novel forms of competition characterized by </w:t>
      </w:r>
      <w:r w:rsidR="00003BB3">
        <w:rPr>
          <w:lang w:val="en-US"/>
        </w:rPr>
        <w:t>vertical integration strategies which signified the continuous loss of market share by the producer organization</w:t>
      </w:r>
      <w:r w:rsidR="00BE4DD0">
        <w:rPr>
          <w:lang w:val="en-US"/>
        </w:rPr>
        <w:t>s</w:t>
      </w:r>
      <w:r w:rsidR="009D0528">
        <w:rPr>
          <w:lang w:val="en-US"/>
        </w:rPr>
        <w:t>;</w:t>
      </w:r>
      <w:r w:rsidR="00BE4DD0">
        <w:rPr>
          <w:lang w:val="en-US"/>
        </w:rPr>
        <w:t xml:space="preserve"> plus the</w:t>
      </w:r>
      <w:r w:rsidR="00003BB3">
        <w:rPr>
          <w:lang w:val="en-US"/>
        </w:rPr>
        <w:t xml:space="preserve"> increasing entry barriers </w:t>
      </w:r>
      <w:r w:rsidR="00BE4DD0">
        <w:rPr>
          <w:lang w:val="en-US"/>
        </w:rPr>
        <w:t>to higher value added activities along the chain</w:t>
      </w:r>
      <w:r w:rsidR="009D0528">
        <w:rPr>
          <w:lang w:val="en-US"/>
        </w:rPr>
        <w:t xml:space="preserve"> </w:t>
      </w:r>
      <w:r w:rsidR="00BE4DD0">
        <w:rPr>
          <w:lang w:val="en-US"/>
        </w:rPr>
        <w:t xml:space="preserve">due to the closed nature of such </w:t>
      </w:r>
      <w:r w:rsidR="00BE4DD0" w:rsidRPr="008F174C">
        <w:rPr>
          <w:lang w:val="en-US"/>
        </w:rPr>
        <w:t xml:space="preserve">vertical integration schemes </w:t>
      </w:r>
      <w:r w:rsidR="00DA6BCA">
        <w:rPr>
          <w:lang w:val="en-US"/>
        </w:rPr>
        <w:t xml:space="preserve">dominated by the private firms </w:t>
      </w:r>
      <w:r w:rsidR="00BE4DD0">
        <w:rPr>
          <w:lang w:val="en-US"/>
        </w:rPr>
        <w:t xml:space="preserve">which </w:t>
      </w:r>
      <w:r w:rsidR="00384728">
        <w:rPr>
          <w:lang w:val="en-US"/>
        </w:rPr>
        <w:t xml:space="preserve">also </w:t>
      </w:r>
      <w:r w:rsidR="00BE4DD0">
        <w:rPr>
          <w:lang w:val="en-US"/>
        </w:rPr>
        <w:t>include “contract systems”</w:t>
      </w:r>
      <w:r w:rsidR="00384728">
        <w:rPr>
          <w:lang w:val="en-US"/>
        </w:rPr>
        <w:t xml:space="preserve"> in its interaction with the farmers. </w:t>
      </w:r>
    </w:p>
    <w:p w:rsidR="00ED27EF" w:rsidRPr="008672E6" w:rsidRDefault="00012DFC" w:rsidP="00E06E16">
      <w:pPr>
        <w:ind w:firstLine="720"/>
        <w:jc w:val="both"/>
        <w:rPr>
          <w:lang w:val="en-US"/>
        </w:rPr>
      </w:pPr>
      <w:r>
        <w:rPr>
          <w:lang w:val="en-US"/>
        </w:rPr>
        <w:t xml:space="preserve">These </w:t>
      </w:r>
      <w:r w:rsidR="0097653E">
        <w:rPr>
          <w:lang w:val="en-US"/>
        </w:rPr>
        <w:t>“</w:t>
      </w:r>
      <w:r>
        <w:rPr>
          <w:lang w:val="en-US"/>
        </w:rPr>
        <w:t>contract systems</w:t>
      </w:r>
      <w:r w:rsidR="0097653E">
        <w:rPr>
          <w:lang w:val="en-US"/>
        </w:rPr>
        <w:t>”</w:t>
      </w:r>
      <w:r>
        <w:rPr>
          <w:lang w:val="en-US"/>
        </w:rPr>
        <w:t xml:space="preserve"> </w:t>
      </w:r>
      <w:r w:rsidR="006D7AD2">
        <w:rPr>
          <w:lang w:val="en-US"/>
        </w:rPr>
        <w:t xml:space="preserve">represent the change in the quinoa market structure that have had the biggest impact on aspects related to the farmers income since these limit the bargaining power of the farmer in the market to </w:t>
      </w:r>
      <w:r w:rsidR="00B82D72">
        <w:rPr>
          <w:lang w:val="en-US"/>
        </w:rPr>
        <w:t>its</w:t>
      </w:r>
      <w:r w:rsidR="006D7AD2">
        <w:rPr>
          <w:lang w:val="en-US"/>
        </w:rPr>
        <w:t xml:space="preserve"> contract specifications hence the</w:t>
      </w:r>
      <w:r w:rsidR="00CB1112">
        <w:rPr>
          <w:lang w:val="en-US"/>
        </w:rPr>
        <w:t xml:space="preserve"> </w:t>
      </w:r>
      <w:r w:rsidR="006D7AD2">
        <w:rPr>
          <w:lang w:val="en-US"/>
        </w:rPr>
        <w:t xml:space="preserve">farmer </w:t>
      </w:r>
      <w:r w:rsidR="00CB1112">
        <w:rPr>
          <w:lang w:val="en-US"/>
        </w:rPr>
        <w:t xml:space="preserve">under the new quinoa market structure has become </w:t>
      </w:r>
      <w:r w:rsidR="004152AE">
        <w:rPr>
          <w:lang w:val="en-US"/>
        </w:rPr>
        <w:t xml:space="preserve">primarily a “wage-worker” whose prospects of taking part on the distribution of profits </w:t>
      </w:r>
      <w:r w:rsidR="006639F3">
        <w:rPr>
          <w:lang w:val="en-US"/>
        </w:rPr>
        <w:t xml:space="preserve">is limited to the size and productivity of the land plus the labor force the farmer </w:t>
      </w:r>
      <w:r w:rsidR="00B82D72">
        <w:rPr>
          <w:lang w:val="en-US"/>
        </w:rPr>
        <w:t>possess or is able to hire.  The farmers’ participation from the gains of higher upg</w:t>
      </w:r>
      <w:r w:rsidR="00B7255F">
        <w:rPr>
          <w:lang w:val="en-US"/>
        </w:rPr>
        <w:t xml:space="preserve">rading activities or of any positive development within the chain </w:t>
      </w:r>
      <w:r w:rsidR="00BC7B9F">
        <w:rPr>
          <w:lang w:val="en-US"/>
        </w:rPr>
        <w:t>is</w:t>
      </w:r>
      <w:r w:rsidR="00B7255F">
        <w:rPr>
          <w:lang w:val="en-US"/>
        </w:rPr>
        <w:t xml:space="preserve"> severely </w:t>
      </w:r>
      <w:r w:rsidR="00BC7B9F">
        <w:rPr>
          <w:lang w:val="en-US"/>
        </w:rPr>
        <w:t>circumscribed</w:t>
      </w:r>
      <w:r w:rsidR="00B7255F">
        <w:rPr>
          <w:lang w:val="en-US"/>
        </w:rPr>
        <w:t xml:space="preserve"> </w:t>
      </w:r>
      <w:r w:rsidR="00BC7B9F">
        <w:rPr>
          <w:lang w:val="en-US"/>
        </w:rPr>
        <w:t xml:space="preserve">by those who are able to </w:t>
      </w:r>
      <w:r w:rsidR="00B51A47">
        <w:rPr>
          <w:lang w:val="en-US"/>
        </w:rPr>
        <w:t xml:space="preserve">more </w:t>
      </w:r>
      <w:r w:rsidR="00BC7B9F">
        <w:rPr>
          <w:lang w:val="en-US"/>
        </w:rPr>
        <w:t xml:space="preserve">successfully enter the vertical integration </w:t>
      </w:r>
      <w:r w:rsidR="008F174C">
        <w:rPr>
          <w:lang w:val="en-US"/>
        </w:rPr>
        <w:t>models</w:t>
      </w:r>
      <w:r w:rsidR="00BC7B9F">
        <w:rPr>
          <w:lang w:val="en-US"/>
        </w:rPr>
        <w:t>.</w:t>
      </w:r>
      <w:r w:rsidR="00990A98">
        <w:rPr>
          <w:lang w:val="en-US"/>
        </w:rPr>
        <w:t xml:space="preserve"> </w:t>
      </w:r>
    </w:p>
    <w:p w:rsidR="006B5A4B" w:rsidRPr="00B51A47" w:rsidRDefault="006B5A4B" w:rsidP="00E06E16">
      <w:pPr>
        <w:ind w:firstLine="720"/>
        <w:jc w:val="both"/>
        <w:rPr>
          <w:b/>
          <w:i/>
          <w:lang w:val="en-US"/>
        </w:rPr>
      </w:pPr>
      <w:r w:rsidRPr="00B51A47">
        <w:rPr>
          <w:b/>
          <w:i/>
          <w:lang w:val="en-US"/>
        </w:rPr>
        <w:t xml:space="preserve">“How do changes in the quinoa market structure mediate quinoa farmer’s income? </w:t>
      </w:r>
    </w:p>
    <w:p w:rsidR="004539F9" w:rsidRDefault="00AE4A77" w:rsidP="00E06E16">
      <w:pPr>
        <w:ind w:firstLine="720"/>
        <w:jc w:val="both"/>
        <w:rPr>
          <w:color w:val="FF0000"/>
          <w:lang w:val="en-US"/>
        </w:rPr>
      </w:pPr>
      <w:r w:rsidRPr="00B51A47">
        <w:rPr>
          <w:lang w:val="en-US"/>
        </w:rPr>
        <w:t xml:space="preserve">In </w:t>
      </w:r>
      <w:r w:rsidR="004539F9" w:rsidRPr="00B51A47">
        <w:rPr>
          <w:lang w:val="en-US"/>
        </w:rPr>
        <w:t>summary</w:t>
      </w:r>
      <w:r w:rsidR="00ED27EF" w:rsidRPr="00B51A47">
        <w:rPr>
          <w:lang w:val="en-US"/>
        </w:rPr>
        <w:t xml:space="preserve">, the </w:t>
      </w:r>
      <w:r w:rsidR="00ED27EF">
        <w:rPr>
          <w:lang w:val="en-US"/>
        </w:rPr>
        <w:t>changes that the structure of the quinoa market ha</w:t>
      </w:r>
      <w:r w:rsidR="00DC23C3">
        <w:rPr>
          <w:lang w:val="en-US"/>
        </w:rPr>
        <w:t>s</w:t>
      </w:r>
      <w:r w:rsidR="00ED27EF">
        <w:rPr>
          <w:lang w:val="en-US"/>
        </w:rPr>
        <w:t xml:space="preserve"> undergone as a result of the increased demand for this grain manifested in the immersion of new private </w:t>
      </w:r>
      <w:r w:rsidR="00A204FC">
        <w:rPr>
          <w:lang w:val="en-US"/>
        </w:rPr>
        <w:t xml:space="preserve">firms </w:t>
      </w:r>
      <w:r w:rsidR="00DC23C3">
        <w:rPr>
          <w:lang w:val="en-US"/>
        </w:rPr>
        <w:t>have at most</w:t>
      </w:r>
      <w:r w:rsidR="004539F9">
        <w:rPr>
          <w:lang w:val="en-US"/>
        </w:rPr>
        <w:t xml:space="preserve"> </w:t>
      </w:r>
      <w:r w:rsidR="00DC23C3">
        <w:rPr>
          <w:lang w:val="en-US"/>
        </w:rPr>
        <w:t xml:space="preserve">implied a second </w:t>
      </w:r>
      <w:r w:rsidR="00005571">
        <w:rPr>
          <w:lang w:val="en-US"/>
        </w:rPr>
        <w:t>best wage option for the farmer</w:t>
      </w:r>
      <w:r w:rsidR="00A204FC">
        <w:rPr>
          <w:lang w:val="en-US"/>
        </w:rPr>
        <w:t xml:space="preserve"> who</w:t>
      </w:r>
      <w:r w:rsidR="00BD0C03">
        <w:rPr>
          <w:lang w:val="en-US"/>
        </w:rPr>
        <w:t>se participation in the “</w:t>
      </w:r>
      <w:r w:rsidR="00455CB5">
        <w:rPr>
          <w:lang w:val="en-US"/>
        </w:rPr>
        <w:t>contract system</w:t>
      </w:r>
      <w:r w:rsidR="00BD0C03">
        <w:rPr>
          <w:lang w:val="en-US"/>
        </w:rPr>
        <w:t>”</w:t>
      </w:r>
      <w:r w:rsidR="00D95EF8">
        <w:rPr>
          <w:lang w:val="en-US"/>
        </w:rPr>
        <w:t>,</w:t>
      </w:r>
      <w:r w:rsidR="00BD0C03">
        <w:rPr>
          <w:lang w:val="en-US"/>
        </w:rPr>
        <w:t xml:space="preserve"> sponsored by the private firms </w:t>
      </w:r>
      <w:r w:rsidR="00214A49">
        <w:rPr>
          <w:lang w:val="en-US"/>
        </w:rPr>
        <w:t xml:space="preserve">contributes </w:t>
      </w:r>
      <w:r w:rsidR="00455CB5">
        <w:rPr>
          <w:lang w:val="en-US"/>
        </w:rPr>
        <w:t xml:space="preserve">to </w:t>
      </w:r>
      <w:r w:rsidR="00641177">
        <w:rPr>
          <w:lang w:val="en-US"/>
        </w:rPr>
        <w:t xml:space="preserve">the </w:t>
      </w:r>
      <w:r w:rsidR="00455CB5">
        <w:rPr>
          <w:lang w:val="en-US"/>
        </w:rPr>
        <w:t xml:space="preserve">strengthening </w:t>
      </w:r>
      <w:r w:rsidR="00641177">
        <w:rPr>
          <w:lang w:val="en-US"/>
        </w:rPr>
        <w:t xml:space="preserve">of this system </w:t>
      </w:r>
      <w:r w:rsidR="00455CB5">
        <w:rPr>
          <w:lang w:val="en-US"/>
        </w:rPr>
        <w:t xml:space="preserve">and the consequent market share </w:t>
      </w:r>
      <w:r w:rsidR="00BD0C03">
        <w:rPr>
          <w:lang w:val="en-US"/>
        </w:rPr>
        <w:t xml:space="preserve">loss </w:t>
      </w:r>
      <w:r w:rsidR="002F0AFA">
        <w:rPr>
          <w:lang w:val="en-US"/>
        </w:rPr>
        <w:t>by</w:t>
      </w:r>
      <w:r w:rsidR="00214A49">
        <w:rPr>
          <w:lang w:val="en-US"/>
        </w:rPr>
        <w:t xml:space="preserve"> </w:t>
      </w:r>
      <w:r w:rsidR="00BD0C03">
        <w:rPr>
          <w:lang w:val="en-US"/>
        </w:rPr>
        <w:t>the producer organizations</w:t>
      </w:r>
      <w:r w:rsidR="00861D7F">
        <w:rPr>
          <w:lang w:val="en-US"/>
        </w:rPr>
        <w:t>,</w:t>
      </w:r>
      <w:r w:rsidR="00455CB5">
        <w:rPr>
          <w:lang w:val="en-US"/>
        </w:rPr>
        <w:t xml:space="preserve"> reinforcing in this way the structures that are allowing the new private firms to contest the dominance of the chain</w:t>
      </w:r>
      <w:r w:rsidR="002F0AFA">
        <w:rPr>
          <w:lang w:val="en-US"/>
        </w:rPr>
        <w:t xml:space="preserve">. </w:t>
      </w:r>
    </w:p>
    <w:p w:rsidR="00861D7F" w:rsidRDefault="00861D7F" w:rsidP="00E06E16">
      <w:pPr>
        <w:ind w:firstLine="720"/>
        <w:jc w:val="both"/>
        <w:rPr>
          <w:lang w:val="en-US"/>
        </w:rPr>
      </w:pPr>
      <w:r>
        <w:rPr>
          <w:lang w:val="en-US"/>
        </w:rPr>
        <w:t xml:space="preserve">One of the limitations of the analysis in this paper has to do with the </w:t>
      </w:r>
      <w:r w:rsidR="00362D92">
        <w:rPr>
          <w:lang w:val="en-US"/>
        </w:rPr>
        <w:t xml:space="preserve">relationship between the farmer and the peasant producer organizations. </w:t>
      </w:r>
      <w:r w:rsidR="008112D7">
        <w:rPr>
          <w:lang w:val="en-US"/>
        </w:rPr>
        <w:t xml:space="preserve">Although both ANAPQUI and CECAOT </w:t>
      </w:r>
      <w:r w:rsidR="00BE1C82">
        <w:rPr>
          <w:lang w:val="en-US"/>
        </w:rPr>
        <w:t xml:space="preserve">in addition to </w:t>
      </w:r>
      <w:r w:rsidR="00BE1C82">
        <w:rPr>
          <w:lang w:val="en-US"/>
        </w:rPr>
        <w:lastRenderedPageBreak/>
        <w:t xml:space="preserve">their economic function </w:t>
      </w:r>
      <w:r w:rsidR="008112D7">
        <w:rPr>
          <w:lang w:val="en-US"/>
        </w:rPr>
        <w:t xml:space="preserve">are supposed to fulfill a social representation function, during my fieldwork I did not feel a </w:t>
      </w:r>
      <w:r w:rsidR="008112D7" w:rsidRPr="004539F9">
        <w:rPr>
          <w:lang w:val="en-US"/>
        </w:rPr>
        <w:t xml:space="preserve">strong </w:t>
      </w:r>
      <w:r w:rsidR="008D1013" w:rsidRPr="004539F9">
        <w:rPr>
          <w:lang w:val="en-US"/>
        </w:rPr>
        <w:t xml:space="preserve">affiliation between </w:t>
      </w:r>
      <w:r w:rsidR="008D1013">
        <w:rPr>
          <w:lang w:val="en-US"/>
        </w:rPr>
        <w:t xml:space="preserve">the farmers and the producer organizations nor a sense of belonging to the group. </w:t>
      </w:r>
      <w:r w:rsidR="002F12F6" w:rsidRPr="002F12F6">
        <w:rPr>
          <w:lang w:val="en-US"/>
        </w:rPr>
        <w:t xml:space="preserve">However, </w:t>
      </w:r>
      <w:r w:rsidR="002F12F6">
        <w:rPr>
          <w:lang w:val="en-US"/>
        </w:rPr>
        <w:t>this does not necessarily mean th</w:t>
      </w:r>
      <w:r w:rsidR="004539F9">
        <w:rPr>
          <w:lang w:val="en-US"/>
        </w:rPr>
        <w:t>at</w:t>
      </w:r>
      <w:r w:rsidR="002F12F6">
        <w:rPr>
          <w:lang w:val="en-US"/>
        </w:rPr>
        <w:t xml:space="preserve"> is the case. The questions asked during my fieldwork were not meant to address this. However, </w:t>
      </w:r>
      <w:r w:rsidR="00FF127D">
        <w:rPr>
          <w:lang w:val="en-US"/>
        </w:rPr>
        <w:t xml:space="preserve">I believe that finding out more about the </w:t>
      </w:r>
      <w:r w:rsidR="000C55B6">
        <w:rPr>
          <w:lang w:val="en-US"/>
        </w:rPr>
        <w:t xml:space="preserve">nature of the </w:t>
      </w:r>
      <w:r w:rsidR="00FF127D">
        <w:rPr>
          <w:lang w:val="en-US"/>
        </w:rPr>
        <w:t xml:space="preserve">relationship between the quinoa farmers in Bolivia and their producer organizations </w:t>
      </w:r>
      <w:r w:rsidR="00DC7969" w:rsidRPr="00374D58">
        <w:rPr>
          <w:lang w:val="en-US"/>
        </w:rPr>
        <w:t xml:space="preserve">(strong or weak) </w:t>
      </w:r>
      <w:r w:rsidR="00FF127D">
        <w:rPr>
          <w:lang w:val="en-US"/>
        </w:rPr>
        <w:t>would contribute to our understanding regarding issues such as the flaw</w:t>
      </w:r>
      <w:r w:rsidR="00A557C0">
        <w:rPr>
          <w:lang w:val="en-US"/>
        </w:rPr>
        <w:t>s</w:t>
      </w:r>
      <w:r w:rsidR="006848F5">
        <w:rPr>
          <w:lang w:val="en-US"/>
        </w:rPr>
        <w:t xml:space="preserve"> in price transmission </w:t>
      </w:r>
      <w:r w:rsidR="006848F5" w:rsidRPr="00EF2230">
        <w:rPr>
          <w:lang w:val="en-US"/>
        </w:rPr>
        <w:t>that affect negatively the farmers</w:t>
      </w:r>
      <w:r w:rsidR="00FF127D" w:rsidRPr="00EF2230">
        <w:rPr>
          <w:lang w:val="en-US"/>
        </w:rPr>
        <w:t xml:space="preserve">. </w:t>
      </w:r>
      <w:r w:rsidR="00A557C0" w:rsidRPr="00EF2230">
        <w:rPr>
          <w:lang w:val="en-US"/>
        </w:rPr>
        <w:t>Additionally</w:t>
      </w:r>
      <w:r w:rsidR="00A557C0">
        <w:rPr>
          <w:lang w:val="en-US"/>
        </w:rPr>
        <w:t xml:space="preserve">, further research is necessary on the </w:t>
      </w:r>
      <w:r w:rsidR="00272D93">
        <w:rPr>
          <w:lang w:val="en-US"/>
        </w:rPr>
        <w:t xml:space="preserve">scheme of the </w:t>
      </w:r>
      <w:r w:rsidR="00A557C0">
        <w:rPr>
          <w:lang w:val="en-US"/>
        </w:rPr>
        <w:t>distribution of profits within the producer organization</w:t>
      </w:r>
      <w:r w:rsidR="00045235">
        <w:rPr>
          <w:lang w:val="en-US"/>
        </w:rPr>
        <w:t xml:space="preserve"> itself</w:t>
      </w:r>
      <w:r w:rsidR="00374D58">
        <w:rPr>
          <w:lang w:val="en-US"/>
        </w:rPr>
        <w:t>,</w:t>
      </w:r>
      <w:r w:rsidR="00045235">
        <w:rPr>
          <w:lang w:val="en-US"/>
        </w:rPr>
        <w:t xml:space="preserve"> in order to better understand the real profiting prospects that the affiliated farmers have when participating in the upgrading activities within the producer organizations.</w:t>
      </w:r>
    </w:p>
    <w:p w:rsidR="00A13147" w:rsidRDefault="00D85328" w:rsidP="00E06E16">
      <w:pPr>
        <w:ind w:firstLine="720"/>
        <w:jc w:val="both"/>
        <w:rPr>
          <w:lang w:val="en-US"/>
        </w:rPr>
      </w:pPr>
      <w:r>
        <w:rPr>
          <w:lang w:val="en-US"/>
        </w:rPr>
        <w:t>In my view, p</w:t>
      </w:r>
      <w:r w:rsidR="00A13147">
        <w:rPr>
          <w:lang w:val="en-US"/>
        </w:rPr>
        <w:t xml:space="preserve">roducer organizations in the quinoa case in Bolivia </w:t>
      </w:r>
      <w:r w:rsidR="00524CCA">
        <w:rPr>
          <w:lang w:val="en-US"/>
        </w:rPr>
        <w:t xml:space="preserve">are important in the sense that </w:t>
      </w:r>
      <w:r w:rsidR="001216AC">
        <w:rPr>
          <w:lang w:val="en-US"/>
        </w:rPr>
        <w:t xml:space="preserve">the essential goal of the organization is to “protect the farmer”. </w:t>
      </w:r>
    </w:p>
    <w:p w:rsidR="001216AC" w:rsidRPr="001216AC" w:rsidRDefault="001216AC" w:rsidP="00E06E16">
      <w:pPr>
        <w:ind w:firstLine="720"/>
        <w:jc w:val="both"/>
        <w:rPr>
          <w:i/>
          <w:lang w:val="en-US"/>
        </w:rPr>
      </w:pPr>
      <w:r w:rsidRPr="001216AC">
        <w:rPr>
          <w:i/>
          <w:lang w:val="en-US"/>
        </w:rPr>
        <w:t>“</w:t>
      </w:r>
      <w:r w:rsidR="00D73324">
        <w:rPr>
          <w:i/>
          <w:lang w:val="en-US"/>
        </w:rPr>
        <w:t>What really le</w:t>
      </w:r>
      <w:r w:rsidRPr="001216AC">
        <w:rPr>
          <w:i/>
          <w:lang w:val="en-US"/>
        </w:rPr>
        <w:t>d us to organize is the fact that the middle-men were “fattening” on a constant basis</w:t>
      </w:r>
      <w:r w:rsidR="00D15D8C">
        <w:rPr>
          <w:i/>
          <w:lang w:val="en-US"/>
        </w:rPr>
        <w:t xml:space="preserve"> at the expense of the farmer </w:t>
      </w:r>
      <w:r w:rsidRPr="001216AC">
        <w:rPr>
          <w:i/>
          <w:lang w:val="en-US"/>
        </w:rPr>
        <w:t>because the price of quinoa was quoted at really low prices and also the “</w:t>
      </w:r>
      <w:proofErr w:type="spellStart"/>
      <w:r w:rsidRPr="001216AC">
        <w:rPr>
          <w:i/>
          <w:lang w:val="en-US"/>
        </w:rPr>
        <w:t>trueque</w:t>
      </w:r>
      <w:proofErr w:type="spellEnd"/>
      <w:r w:rsidR="008328FF">
        <w:rPr>
          <w:i/>
          <w:lang w:val="en-US"/>
        </w:rPr>
        <w:t>”</w:t>
      </w:r>
      <w:r w:rsidR="00F21D7D">
        <w:rPr>
          <w:rStyle w:val="FootnoteReference"/>
          <w:i/>
          <w:lang w:val="en-US"/>
        </w:rPr>
        <w:footnoteReference w:id="35"/>
      </w:r>
      <w:r w:rsidRPr="001216AC">
        <w:rPr>
          <w:i/>
          <w:lang w:val="en-US"/>
        </w:rPr>
        <w:t>used to be pract</w:t>
      </w:r>
      <w:r w:rsidR="00D73324">
        <w:rPr>
          <w:i/>
          <w:lang w:val="en-US"/>
        </w:rPr>
        <w:t>ic</w:t>
      </w:r>
      <w:r w:rsidRPr="001216AC">
        <w:rPr>
          <w:i/>
          <w:lang w:val="en-US"/>
        </w:rPr>
        <w:t>ed. This means that the middle-men for example would bring us a shirt to be exchanged for 1 quintal of quinoa”.</w:t>
      </w:r>
    </w:p>
    <w:p w:rsidR="001216AC" w:rsidRDefault="001216AC" w:rsidP="001216AC">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Santiago </w:t>
      </w:r>
      <w:proofErr w:type="spellStart"/>
      <w:r>
        <w:rPr>
          <w:lang w:val="en-US"/>
        </w:rPr>
        <w:t>Alanes</w:t>
      </w:r>
      <w:proofErr w:type="spellEnd"/>
    </w:p>
    <w:p w:rsidR="001216AC" w:rsidRDefault="001216AC" w:rsidP="001216AC">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Supervision Secretary at ANAPQUI</w:t>
      </w:r>
    </w:p>
    <w:p w:rsidR="00033E75" w:rsidRDefault="00033E75" w:rsidP="00A77BC2">
      <w:pPr>
        <w:jc w:val="both"/>
        <w:rPr>
          <w:lang w:val="en-US"/>
        </w:rPr>
      </w:pPr>
    </w:p>
    <w:p w:rsidR="001216AC" w:rsidRPr="00967392" w:rsidRDefault="00934F9F" w:rsidP="00E06E16">
      <w:pPr>
        <w:ind w:firstLine="720"/>
        <w:jc w:val="both"/>
        <w:rPr>
          <w:lang w:val="en-US"/>
        </w:rPr>
      </w:pPr>
      <w:r w:rsidRPr="00967392">
        <w:rPr>
          <w:lang w:val="en-US"/>
        </w:rPr>
        <w:t xml:space="preserve">In addition, </w:t>
      </w:r>
      <w:r w:rsidR="006848F5" w:rsidRPr="00967392">
        <w:rPr>
          <w:lang w:val="en-US"/>
        </w:rPr>
        <w:t xml:space="preserve">there </w:t>
      </w:r>
      <w:r w:rsidR="006848F5">
        <w:rPr>
          <w:lang w:val="en-US"/>
        </w:rPr>
        <w:t xml:space="preserve">is </w:t>
      </w:r>
      <w:r>
        <w:rPr>
          <w:lang w:val="en-US"/>
        </w:rPr>
        <w:t xml:space="preserve">a </w:t>
      </w:r>
      <w:r w:rsidRPr="00D15D8C">
        <w:rPr>
          <w:lang w:val="en-US"/>
        </w:rPr>
        <w:t xml:space="preserve">crucial </w:t>
      </w:r>
      <w:r w:rsidR="006848F5" w:rsidRPr="00D15D8C">
        <w:rPr>
          <w:lang w:val="en-US"/>
        </w:rPr>
        <w:t xml:space="preserve">difference </w:t>
      </w:r>
      <w:r w:rsidR="006848F5">
        <w:rPr>
          <w:lang w:val="en-US"/>
        </w:rPr>
        <w:t xml:space="preserve">between </w:t>
      </w:r>
      <w:r>
        <w:rPr>
          <w:lang w:val="en-US"/>
        </w:rPr>
        <w:t>the private firms and</w:t>
      </w:r>
      <w:r w:rsidR="006848F5">
        <w:rPr>
          <w:lang w:val="en-US"/>
        </w:rPr>
        <w:t xml:space="preserve"> the producer organizations and that is the fact </w:t>
      </w:r>
      <w:r>
        <w:rPr>
          <w:lang w:val="en-US"/>
        </w:rPr>
        <w:t xml:space="preserve">that they own the land. In Bolivia, the quinoa fields belong to the </w:t>
      </w:r>
      <w:r w:rsidR="00336E02">
        <w:rPr>
          <w:lang w:val="en-US"/>
        </w:rPr>
        <w:t>farmers</w:t>
      </w:r>
      <w:r>
        <w:rPr>
          <w:lang w:val="en-US"/>
        </w:rPr>
        <w:t xml:space="preserve"> or are considered as communitarian. Therefore according to law, the land cannot be sold to private companies. </w:t>
      </w:r>
      <w:r w:rsidR="00685782">
        <w:rPr>
          <w:lang w:val="en-US"/>
        </w:rPr>
        <w:t xml:space="preserve">The affiliated </w:t>
      </w:r>
      <w:r w:rsidR="00336E02">
        <w:rPr>
          <w:lang w:val="en-US"/>
        </w:rPr>
        <w:t>farmers</w:t>
      </w:r>
      <w:r w:rsidR="00685782">
        <w:rPr>
          <w:lang w:val="en-US"/>
        </w:rPr>
        <w:t xml:space="preserve"> own the producer organizations as well as the tracts of land or have the right to use the land because they a</w:t>
      </w:r>
      <w:r w:rsidR="0087057C">
        <w:rPr>
          <w:lang w:val="en-US"/>
        </w:rPr>
        <w:t xml:space="preserve">re part of the given community </w:t>
      </w:r>
      <w:r w:rsidR="00967392" w:rsidRPr="00967392">
        <w:rPr>
          <w:lang w:val="en-US"/>
        </w:rPr>
        <w:t>(</w:t>
      </w:r>
      <w:proofErr w:type="spellStart"/>
      <w:r w:rsidR="00967392" w:rsidRPr="00967392">
        <w:rPr>
          <w:lang w:val="en-US"/>
        </w:rPr>
        <w:t>Birbuet</w:t>
      </w:r>
      <w:proofErr w:type="spellEnd"/>
      <w:r w:rsidR="00967392" w:rsidRPr="00967392">
        <w:rPr>
          <w:lang w:val="en-US"/>
        </w:rPr>
        <w:t xml:space="preserve"> and </w:t>
      </w:r>
      <w:proofErr w:type="spellStart"/>
      <w:r w:rsidR="00967392" w:rsidRPr="00967392">
        <w:rPr>
          <w:lang w:val="en-US"/>
        </w:rPr>
        <w:t>Machicado</w:t>
      </w:r>
      <w:proofErr w:type="spellEnd"/>
      <w:r w:rsidR="00967392" w:rsidRPr="00967392">
        <w:rPr>
          <w:lang w:val="en-US"/>
        </w:rPr>
        <w:t xml:space="preserve">, </w:t>
      </w:r>
      <w:r w:rsidR="0087057C" w:rsidRPr="00967392">
        <w:rPr>
          <w:lang w:val="en-US"/>
        </w:rPr>
        <w:t xml:space="preserve"> 2009). </w:t>
      </w:r>
    </w:p>
    <w:p w:rsidR="00347387" w:rsidRDefault="00347387" w:rsidP="00E06E16">
      <w:pPr>
        <w:ind w:firstLine="720"/>
        <w:jc w:val="both"/>
        <w:rPr>
          <w:lang w:val="en-US"/>
        </w:rPr>
      </w:pPr>
      <w:r>
        <w:rPr>
          <w:lang w:val="en-US"/>
        </w:rPr>
        <w:t xml:space="preserve">Hence, although the </w:t>
      </w:r>
      <w:r w:rsidR="001D6C56">
        <w:rPr>
          <w:lang w:val="en-US"/>
        </w:rPr>
        <w:t xml:space="preserve">mission of the </w:t>
      </w:r>
      <w:r>
        <w:rPr>
          <w:lang w:val="en-US"/>
        </w:rPr>
        <w:t xml:space="preserve">peasant producer organizations ANAPQUI and CECAOT </w:t>
      </w:r>
      <w:r w:rsidR="001D6C56">
        <w:rPr>
          <w:lang w:val="en-US"/>
        </w:rPr>
        <w:t>is becoming increasingly difficult to fulfill due to the challenges that the immersion of new private firms have brought to the quinoa market structure (as illustrated throughout the paper)</w:t>
      </w:r>
      <w:r w:rsidR="00AE4A77">
        <w:rPr>
          <w:lang w:val="en-US"/>
        </w:rPr>
        <w:t>,</w:t>
      </w:r>
      <w:r w:rsidR="001D6C56">
        <w:rPr>
          <w:lang w:val="en-US"/>
        </w:rPr>
        <w:t xml:space="preserve"> </w:t>
      </w:r>
      <w:r w:rsidR="001D6C56" w:rsidRPr="00EF2230">
        <w:rPr>
          <w:lang w:val="en-US"/>
        </w:rPr>
        <w:t xml:space="preserve">these remain important for the lives of the farmers since </w:t>
      </w:r>
      <w:r w:rsidR="00E1665F" w:rsidRPr="00EF2230">
        <w:rPr>
          <w:lang w:val="en-US"/>
        </w:rPr>
        <w:t xml:space="preserve">their presence and existence continues to represent a buffer between </w:t>
      </w:r>
      <w:r w:rsidR="00E1665F">
        <w:rPr>
          <w:lang w:val="en-US"/>
        </w:rPr>
        <w:t xml:space="preserve">the farmer and the new private firms </w:t>
      </w:r>
      <w:r w:rsidR="00D86E1D">
        <w:rPr>
          <w:lang w:val="en-US"/>
        </w:rPr>
        <w:t xml:space="preserve">which until now take the practices of the producer organizations as a point of reference for their interactions with the farmers. Furthermore, </w:t>
      </w:r>
      <w:r w:rsidR="001D6C56">
        <w:rPr>
          <w:lang w:val="en-US"/>
        </w:rPr>
        <w:t>unlike any of the other players in the market</w:t>
      </w:r>
      <w:r w:rsidR="00D86E1D">
        <w:rPr>
          <w:lang w:val="en-US"/>
        </w:rPr>
        <w:t xml:space="preserve">, the producer organizations </w:t>
      </w:r>
      <w:r w:rsidR="001E2FA3">
        <w:rPr>
          <w:lang w:val="en-US"/>
        </w:rPr>
        <w:t>have the goal of integrating the farmer into higher upgrading activities along the chain and into any positive development</w:t>
      </w:r>
      <w:r w:rsidR="00EA22F3">
        <w:rPr>
          <w:lang w:val="en-US"/>
        </w:rPr>
        <w:t xml:space="preserve"> </w:t>
      </w:r>
      <w:r w:rsidR="001E2FA3">
        <w:rPr>
          <w:lang w:val="en-US"/>
        </w:rPr>
        <w:t xml:space="preserve">within it. </w:t>
      </w:r>
      <w:r w:rsidR="001D6C56">
        <w:rPr>
          <w:lang w:val="en-US"/>
        </w:rPr>
        <w:t xml:space="preserve"> </w:t>
      </w:r>
      <w:r>
        <w:rPr>
          <w:lang w:val="en-US"/>
        </w:rPr>
        <w:t xml:space="preserve"> </w:t>
      </w:r>
    </w:p>
    <w:p w:rsidR="0076688D" w:rsidRDefault="00EA22F3" w:rsidP="00E06E16">
      <w:pPr>
        <w:ind w:firstLine="720"/>
        <w:jc w:val="both"/>
        <w:rPr>
          <w:lang w:val="en-US"/>
        </w:rPr>
      </w:pPr>
      <w:r>
        <w:rPr>
          <w:lang w:val="en-US"/>
        </w:rPr>
        <w:t xml:space="preserve">Recently, the producer organizations were </w:t>
      </w:r>
      <w:r w:rsidR="00A108E0">
        <w:rPr>
          <w:lang w:val="en-US"/>
        </w:rPr>
        <w:t>able to</w:t>
      </w:r>
      <w:r>
        <w:rPr>
          <w:lang w:val="en-US"/>
        </w:rPr>
        <w:t xml:space="preserve"> </w:t>
      </w:r>
      <w:r w:rsidR="00A109CF">
        <w:rPr>
          <w:lang w:val="en-US"/>
        </w:rPr>
        <w:t xml:space="preserve">gain some important shares in the internal market over the private firms such as: </w:t>
      </w:r>
    </w:p>
    <w:p w:rsidR="0076688D" w:rsidRDefault="00A109CF" w:rsidP="00E06E16">
      <w:pPr>
        <w:ind w:firstLine="720"/>
        <w:jc w:val="both"/>
        <w:rPr>
          <w:lang w:val="en-US"/>
        </w:rPr>
      </w:pPr>
      <w:r>
        <w:rPr>
          <w:lang w:val="en-US"/>
        </w:rPr>
        <w:lastRenderedPageBreak/>
        <w:t>1) Make the producer organizations eligible for the provision of food for nutritional programs. Something which until 2004 had been reserved for firms inscribed in the Bolivian Chamber of Commerce (hence</w:t>
      </w:r>
      <w:r w:rsidR="0076688D">
        <w:rPr>
          <w:lang w:val="en-US"/>
        </w:rPr>
        <w:t xml:space="preserve"> private firms had preference), and </w:t>
      </w:r>
    </w:p>
    <w:p w:rsidR="00EA22F3" w:rsidRDefault="00536DAB" w:rsidP="00E06E16">
      <w:pPr>
        <w:ind w:firstLine="720"/>
        <w:jc w:val="both"/>
        <w:rPr>
          <w:lang w:val="en-US"/>
        </w:rPr>
      </w:pPr>
      <w:r>
        <w:rPr>
          <w:lang w:val="en-US"/>
        </w:rPr>
        <w:t xml:space="preserve">2) The producer organizations were decisive in changing the policy of government-sponsored food nutritional programs. This means that now Andean cereals such as the quinoa are a central component of the government’s food security program. As of today, the quinoa is a major </w:t>
      </w:r>
      <w:r w:rsidR="00FF468F">
        <w:rPr>
          <w:lang w:val="en-US"/>
        </w:rPr>
        <w:t xml:space="preserve">ingredient on public school breakfasts. </w:t>
      </w:r>
    </w:p>
    <w:p w:rsidR="00D626B9" w:rsidRDefault="00FF468F" w:rsidP="00E06E16">
      <w:pPr>
        <w:ind w:firstLine="720"/>
        <w:jc w:val="both"/>
        <w:rPr>
          <w:lang w:val="en-US"/>
        </w:rPr>
      </w:pPr>
      <w:r>
        <w:rPr>
          <w:lang w:val="en-US"/>
        </w:rPr>
        <w:t xml:space="preserve">The introduction of this sort of policies has been easier under the current government headed by </w:t>
      </w:r>
      <w:r w:rsidR="002A60A3">
        <w:rPr>
          <w:lang w:val="en-US"/>
        </w:rPr>
        <w:t xml:space="preserve">President </w:t>
      </w:r>
      <w:proofErr w:type="spellStart"/>
      <w:r w:rsidR="002A60A3">
        <w:rPr>
          <w:lang w:val="en-US"/>
        </w:rPr>
        <w:t>Evo</w:t>
      </w:r>
      <w:proofErr w:type="spellEnd"/>
      <w:r>
        <w:rPr>
          <w:lang w:val="en-US"/>
        </w:rPr>
        <w:t xml:space="preserve"> Morales, since it prides itself in being an indigenous government hence a very important part of its agenda is to preserve and if possible re-implement ancestral indigenous practices. </w:t>
      </w:r>
      <w:r w:rsidR="00A072FD">
        <w:rPr>
          <w:lang w:val="en-US"/>
        </w:rPr>
        <w:t xml:space="preserve">In fact, one of the goals of the current government is to have 50% of the total quinoa production coming from the producer </w:t>
      </w:r>
      <w:r w:rsidR="00A072FD" w:rsidRPr="00341B71">
        <w:rPr>
          <w:lang w:val="en-US"/>
        </w:rPr>
        <w:t>organizations (</w:t>
      </w:r>
      <w:r w:rsidR="00BB728F" w:rsidRPr="00341B71">
        <w:rPr>
          <w:lang w:val="en-US"/>
        </w:rPr>
        <w:t>Ministry of Economy and Public Finance, 2011).</w:t>
      </w:r>
    </w:p>
    <w:p w:rsidR="004E376C" w:rsidRDefault="00674FB6" w:rsidP="00E06E16">
      <w:pPr>
        <w:ind w:firstLine="720"/>
        <w:jc w:val="both"/>
        <w:rPr>
          <w:lang w:val="en-US"/>
        </w:rPr>
      </w:pPr>
      <w:r>
        <w:rPr>
          <w:lang w:val="en-US"/>
        </w:rPr>
        <w:t xml:space="preserve">Currently, quinoa production represents about 3.6% of the </w:t>
      </w:r>
      <w:r w:rsidR="00DA2AE5">
        <w:rPr>
          <w:lang w:val="en-US"/>
        </w:rPr>
        <w:t xml:space="preserve">Bolivian </w:t>
      </w:r>
      <w:r>
        <w:rPr>
          <w:lang w:val="en-US"/>
        </w:rPr>
        <w:t xml:space="preserve">agricultural </w:t>
      </w:r>
      <w:r w:rsidR="00DA2AE5">
        <w:rPr>
          <w:lang w:val="en-US"/>
        </w:rPr>
        <w:t xml:space="preserve">GDP </w:t>
      </w:r>
      <w:r>
        <w:rPr>
          <w:lang w:val="en-US"/>
        </w:rPr>
        <w:t xml:space="preserve">and its participation has been rising in recent years. </w:t>
      </w:r>
      <w:r w:rsidR="00DA2AE5">
        <w:rPr>
          <w:lang w:val="en-US"/>
        </w:rPr>
        <w:t>As of 2007, Bolivia’s agricultural GDP was of $320</w:t>
      </w:r>
      <w:r w:rsidR="005E478A">
        <w:rPr>
          <w:lang w:val="en-US"/>
        </w:rPr>
        <w:t xml:space="preserve"> </w:t>
      </w:r>
      <w:r w:rsidR="00DA2AE5">
        <w:rPr>
          <w:lang w:val="en-US"/>
        </w:rPr>
        <w:t>million and its contribution to the national GDP was of 17%.</w:t>
      </w:r>
    </w:p>
    <w:p w:rsidR="00401A24" w:rsidRPr="00A252AF" w:rsidRDefault="0076688D" w:rsidP="00E06E16">
      <w:pPr>
        <w:ind w:firstLine="720"/>
        <w:jc w:val="both"/>
        <w:rPr>
          <w:color w:val="FF0000"/>
          <w:lang w:val="en-US"/>
        </w:rPr>
      </w:pPr>
      <w:r>
        <w:rPr>
          <w:lang w:val="en-US"/>
        </w:rPr>
        <w:t xml:space="preserve">Under the </w:t>
      </w:r>
      <w:r w:rsidRPr="0076688D">
        <w:rPr>
          <w:lang w:val="en-US"/>
        </w:rPr>
        <w:t>GCC</w:t>
      </w:r>
      <w:r>
        <w:rPr>
          <w:lang w:val="en-US"/>
        </w:rPr>
        <w:t xml:space="preserve"> analytical </w:t>
      </w:r>
      <w:r w:rsidR="00D15D8C">
        <w:rPr>
          <w:lang w:val="en-US"/>
        </w:rPr>
        <w:t>framework</w:t>
      </w:r>
      <w:r w:rsidRPr="0076688D">
        <w:rPr>
          <w:lang w:val="en-US"/>
        </w:rPr>
        <w:t xml:space="preserve">, </w:t>
      </w:r>
      <w:r w:rsidR="00A252AF">
        <w:rPr>
          <w:lang w:val="en-US"/>
        </w:rPr>
        <w:t xml:space="preserve">upgrading is a necessary condition for survival in this era </w:t>
      </w:r>
      <w:r w:rsidR="00D15D8C">
        <w:rPr>
          <w:lang w:val="en-US"/>
        </w:rPr>
        <w:t>of global production processes:</w:t>
      </w:r>
      <w:r w:rsidR="00A252AF">
        <w:rPr>
          <w:lang w:val="en-US"/>
        </w:rPr>
        <w:t xml:space="preserve"> ‘In order for countries to succeed in today’s international economy, they need to position themselves strategically within.. global networks and develop strategies for gaining access to the lead firms in order to improve their </w:t>
      </w:r>
      <w:r w:rsidR="00A252AF" w:rsidRPr="00967392">
        <w:rPr>
          <w:lang w:val="en-US"/>
        </w:rPr>
        <w:t xml:space="preserve">position’ (Bair, 2005) </w:t>
      </w:r>
    </w:p>
    <w:p w:rsidR="002D6DF4" w:rsidRDefault="00D6308D" w:rsidP="00E06E16">
      <w:pPr>
        <w:ind w:firstLine="720"/>
        <w:jc w:val="both"/>
        <w:rPr>
          <w:lang w:val="en-US"/>
        </w:rPr>
      </w:pPr>
      <w:r>
        <w:rPr>
          <w:lang w:val="en-US"/>
        </w:rPr>
        <w:t>Developing</w:t>
      </w:r>
      <w:r w:rsidR="00CB2DE3">
        <w:rPr>
          <w:lang w:val="en-US"/>
        </w:rPr>
        <w:t xml:space="preserve"> countries </w:t>
      </w:r>
      <w:r w:rsidR="00D64301">
        <w:rPr>
          <w:lang w:val="en-US"/>
        </w:rPr>
        <w:t>around</w:t>
      </w:r>
      <w:r w:rsidR="00CB2DE3">
        <w:rPr>
          <w:lang w:val="en-US"/>
        </w:rPr>
        <w:t xml:space="preserve"> the world </w:t>
      </w:r>
      <w:r w:rsidR="00D64301">
        <w:rPr>
          <w:lang w:val="en-US"/>
        </w:rPr>
        <w:t xml:space="preserve">seem to be very well aware about </w:t>
      </w:r>
      <w:r w:rsidR="00D26C05">
        <w:rPr>
          <w:lang w:val="en-US"/>
        </w:rPr>
        <w:t xml:space="preserve">the </w:t>
      </w:r>
      <w:r w:rsidR="00D15D8C">
        <w:rPr>
          <w:lang w:val="en-US"/>
        </w:rPr>
        <w:t>importance of immersing</w:t>
      </w:r>
      <w:r w:rsidR="00D26C05">
        <w:rPr>
          <w:lang w:val="en-US"/>
        </w:rPr>
        <w:t xml:space="preserve"> themselves within value chains </w:t>
      </w:r>
      <w:r w:rsidR="00B43C75">
        <w:rPr>
          <w:lang w:val="en-US"/>
        </w:rPr>
        <w:t xml:space="preserve">in order to prosper </w:t>
      </w:r>
      <w:r w:rsidR="00336B6F">
        <w:rPr>
          <w:lang w:val="en-US"/>
        </w:rPr>
        <w:t>economically</w:t>
      </w:r>
      <w:r w:rsidR="00B43C75">
        <w:rPr>
          <w:lang w:val="en-US"/>
        </w:rPr>
        <w:t xml:space="preserve">. </w:t>
      </w:r>
      <w:r w:rsidR="00336B6F">
        <w:rPr>
          <w:lang w:val="en-US"/>
        </w:rPr>
        <w:t xml:space="preserve">An example </w:t>
      </w:r>
      <w:r w:rsidR="00B43C75">
        <w:rPr>
          <w:lang w:val="en-US"/>
        </w:rPr>
        <w:t xml:space="preserve">of this are the UNCTAD meetings were </w:t>
      </w:r>
      <w:r w:rsidR="00336B6F">
        <w:rPr>
          <w:lang w:val="en-US"/>
        </w:rPr>
        <w:t>ideas and initiatives</w:t>
      </w:r>
      <w:r w:rsidR="00B43C75">
        <w:rPr>
          <w:lang w:val="en-US"/>
        </w:rPr>
        <w:t xml:space="preserve"> promoti</w:t>
      </w:r>
      <w:r w:rsidR="00E42EB9">
        <w:rPr>
          <w:lang w:val="en-US"/>
        </w:rPr>
        <w:t>ng</w:t>
      </w:r>
      <w:r w:rsidR="00B43C75">
        <w:rPr>
          <w:lang w:val="en-US"/>
        </w:rPr>
        <w:t xml:space="preserve"> </w:t>
      </w:r>
      <w:r w:rsidR="00336B6F">
        <w:rPr>
          <w:lang w:val="en-US"/>
        </w:rPr>
        <w:t xml:space="preserve">the immersion of developing countries into value chains </w:t>
      </w:r>
      <w:r w:rsidR="005A2F20">
        <w:rPr>
          <w:lang w:val="en-US"/>
        </w:rPr>
        <w:t>are championed by these</w:t>
      </w:r>
      <w:r w:rsidR="002F491C">
        <w:rPr>
          <w:lang w:val="en-US"/>
        </w:rPr>
        <w:t xml:space="preserve">. </w:t>
      </w:r>
      <w:r w:rsidR="005A2F20" w:rsidRPr="00B84E29">
        <w:rPr>
          <w:color w:val="FF0000"/>
          <w:lang w:val="en-US"/>
        </w:rPr>
        <w:t xml:space="preserve"> </w:t>
      </w:r>
      <w:r w:rsidR="005A2F20">
        <w:rPr>
          <w:lang w:val="en-US"/>
        </w:rPr>
        <w:t>The</w:t>
      </w:r>
      <w:r w:rsidR="007E1EB1">
        <w:rPr>
          <w:lang w:val="en-US"/>
        </w:rPr>
        <w:t xml:space="preserve">re seems to be </w:t>
      </w:r>
      <w:r w:rsidR="00636DF1">
        <w:rPr>
          <w:lang w:val="en-US"/>
        </w:rPr>
        <w:t>a general consensus still that believes</w:t>
      </w:r>
      <w:r w:rsidR="007E1EB1">
        <w:rPr>
          <w:lang w:val="en-US"/>
        </w:rPr>
        <w:t xml:space="preserve"> that if a country is able to </w:t>
      </w:r>
      <w:r w:rsidR="007E1EB1" w:rsidRPr="004C7307">
        <w:rPr>
          <w:lang w:val="en-US"/>
        </w:rPr>
        <w:t xml:space="preserve">successfully </w:t>
      </w:r>
      <w:r w:rsidR="005A2F20" w:rsidRPr="004C7307">
        <w:rPr>
          <w:lang w:val="en-US"/>
        </w:rPr>
        <w:t xml:space="preserve">shift from import-substituting industrialization strategies </w:t>
      </w:r>
      <w:r w:rsidR="002E52D6" w:rsidRPr="004C7307">
        <w:rPr>
          <w:lang w:val="en-US"/>
        </w:rPr>
        <w:t>in favor of export oriented initiatives</w:t>
      </w:r>
      <w:r w:rsidR="00636DF1">
        <w:rPr>
          <w:lang w:val="en-US"/>
        </w:rPr>
        <w:t>,</w:t>
      </w:r>
      <w:r w:rsidR="002E52D6" w:rsidRPr="004C7307">
        <w:rPr>
          <w:lang w:val="en-US"/>
        </w:rPr>
        <w:t xml:space="preserve"> </w:t>
      </w:r>
      <w:r w:rsidR="00303D2E" w:rsidRPr="004C7307">
        <w:rPr>
          <w:lang w:val="en-US"/>
        </w:rPr>
        <w:t>the c</w:t>
      </w:r>
      <w:r w:rsidR="00303D2E">
        <w:rPr>
          <w:lang w:val="en-US"/>
        </w:rPr>
        <w:t>ountry as a whole will benefit and i</w:t>
      </w:r>
      <w:r w:rsidR="00A252AF">
        <w:rPr>
          <w:lang w:val="en-US"/>
        </w:rPr>
        <w:t>mme</w:t>
      </w:r>
      <w:r w:rsidR="00303D2E">
        <w:rPr>
          <w:lang w:val="en-US"/>
        </w:rPr>
        <w:t xml:space="preserve">diately assume a bright picture for all of those involved in such export strategies. </w:t>
      </w:r>
      <w:r w:rsidR="00AD62CB">
        <w:rPr>
          <w:lang w:val="en-US"/>
        </w:rPr>
        <w:t>Yet, as I have attempted to show throughout this paper often</w:t>
      </w:r>
      <w:r w:rsidR="00636DF1">
        <w:rPr>
          <w:lang w:val="en-US"/>
        </w:rPr>
        <w:t>,</w:t>
      </w:r>
      <w:r w:rsidR="00AD62CB">
        <w:rPr>
          <w:lang w:val="en-US"/>
        </w:rPr>
        <w:t xml:space="preserve"> the story is much more complex than what the numbers </w:t>
      </w:r>
      <w:r w:rsidR="00C560F6">
        <w:rPr>
          <w:lang w:val="en-US"/>
        </w:rPr>
        <w:t xml:space="preserve">seem to indicate. </w:t>
      </w:r>
    </w:p>
    <w:p w:rsidR="008F781B" w:rsidRPr="001C72C4" w:rsidRDefault="00636DF1" w:rsidP="00E06E16">
      <w:pPr>
        <w:ind w:firstLine="720"/>
        <w:jc w:val="both"/>
        <w:rPr>
          <w:lang w:val="en-US"/>
        </w:rPr>
      </w:pPr>
      <w:r>
        <w:rPr>
          <w:lang w:val="en-US"/>
        </w:rPr>
        <w:t>Furthermore, d</w:t>
      </w:r>
      <w:r w:rsidR="00886EFA">
        <w:rPr>
          <w:lang w:val="en-US"/>
        </w:rPr>
        <w:t xml:space="preserve">espite of the not so rosy picture </w:t>
      </w:r>
      <w:r w:rsidR="00A52A5D">
        <w:rPr>
          <w:lang w:val="en-US"/>
        </w:rPr>
        <w:t xml:space="preserve">presented in this paper regarding the economic implications of the current quinoa market structure on the </w:t>
      </w:r>
      <w:r w:rsidR="00A52A5D" w:rsidRPr="001C72C4">
        <w:rPr>
          <w:lang w:val="en-US"/>
        </w:rPr>
        <w:t xml:space="preserve">farmers’ income, </w:t>
      </w:r>
      <w:r w:rsidRPr="001C72C4">
        <w:rPr>
          <w:lang w:val="en-US"/>
        </w:rPr>
        <w:t xml:space="preserve">I </w:t>
      </w:r>
      <w:r>
        <w:rPr>
          <w:lang w:val="en-US"/>
        </w:rPr>
        <w:t xml:space="preserve">must recognize that </w:t>
      </w:r>
      <w:r w:rsidR="00A52A5D">
        <w:rPr>
          <w:lang w:val="en-US"/>
        </w:rPr>
        <w:t>during my fieldwork in addition to the wide frustration expressed by the farmers due to the volatility in prices</w:t>
      </w:r>
      <w:r w:rsidR="0018105D">
        <w:rPr>
          <w:lang w:val="en-US"/>
        </w:rPr>
        <w:t xml:space="preserve">, </w:t>
      </w:r>
      <w:r w:rsidR="00A52A5D">
        <w:rPr>
          <w:lang w:val="en-US"/>
        </w:rPr>
        <w:t xml:space="preserve">I was also able to perceive an overall sentiment </w:t>
      </w:r>
      <w:r w:rsidR="00A52A5D" w:rsidRPr="00636DF1">
        <w:rPr>
          <w:lang w:val="en-US"/>
        </w:rPr>
        <w:t xml:space="preserve">of </w:t>
      </w:r>
      <w:r w:rsidR="00B70EF4" w:rsidRPr="00636DF1">
        <w:rPr>
          <w:lang w:val="en-US"/>
        </w:rPr>
        <w:t xml:space="preserve">down to earth </w:t>
      </w:r>
      <w:r w:rsidR="00B70EF4">
        <w:rPr>
          <w:lang w:val="en-US"/>
        </w:rPr>
        <w:t>expectation that this “quinoa boom” could in fact contribute to an improvement in their quality of life</w:t>
      </w:r>
      <w:r w:rsidR="0018105D">
        <w:rPr>
          <w:lang w:val="en-US"/>
        </w:rPr>
        <w:t>.</w:t>
      </w:r>
      <w:r w:rsidR="00D40ED7">
        <w:rPr>
          <w:lang w:val="en-US"/>
        </w:rPr>
        <w:t xml:space="preserve"> </w:t>
      </w:r>
      <w:r w:rsidRPr="001C72C4">
        <w:rPr>
          <w:lang w:val="en-US"/>
        </w:rPr>
        <w:t xml:space="preserve">After all up until the increase in the demand for this grain, the quinoa </w:t>
      </w:r>
      <w:r w:rsidR="001C72C4">
        <w:rPr>
          <w:lang w:val="en-US"/>
        </w:rPr>
        <w:t xml:space="preserve">producing </w:t>
      </w:r>
      <w:r w:rsidRPr="001C72C4">
        <w:rPr>
          <w:lang w:val="en-US"/>
        </w:rPr>
        <w:t xml:space="preserve">communities had no real profiting prospects whatsoever. </w:t>
      </w:r>
    </w:p>
    <w:p w:rsidR="008F781B" w:rsidRDefault="002140FE" w:rsidP="00E06E16">
      <w:pPr>
        <w:ind w:firstLine="720"/>
        <w:jc w:val="both"/>
        <w:rPr>
          <w:lang w:val="en-US"/>
        </w:rPr>
      </w:pPr>
      <w:r>
        <w:rPr>
          <w:lang w:val="en-US"/>
        </w:rPr>
        <w:t xml:space="preserve">There seems to be a perception by the farmers </w:t>
      </w:r>
      <w:r w:rsidR="00413559">
        <w:rPr>
          <w:lang w:val="en-US"/>
        </w:rPr>
        <w:t>interviewed</w:t>
      </w:r>
      <w:r w:rsidR="008F781B">
        <w:rPr>
          <w:lang w:val="en-US"/>
        </w:rPr>
        <w:t xml:space="preserve">, </w:t>
      </w:r>
      <w:r>
        <w:rPr>
          <w:lang w:val="en-US"/>
        </w:rPr>
        <w:t xml:space="preserve">that </w:t>
      </w:r>
      <w:r w:rsidR="008F781B">
        <w:rPr>
          <w:lang w:val="en-US"/>
        </w:rPr>
        <w:t xml:space="preserve">some </w:t>
      </w:r>
      <w:r w:rsidR="001C72C4">
        <w:rPr>
          <w:lang w:val="en-US"/>
        </w:rPr>
        <w:t xml:space="preserve">farmers </w:t>
      </w:r>
      <w:r w:rsidR="008F781B">
        <w:rPr>
          <w:lang w:val="en-US"/>
        </w:rPr>
        <w:t xml:space="preserve">have in fact reaped the economic benefits of the “craze for quinoa”. </w:t>
      </w:r>
      <w:r w:rsidR="00413559">
        <w:rPr>
          <w:lang w:val="en-US"/>
        </w:rPr>
        <w:t xml:space="preserve">Below is a quote from a farmer who I asked if she thought that farmers were benefiting from the current high quinoa prices. This was her response: </w:t>
      </w:r>
    </w:p>
    <w:p w:rsidR="00413559" w:rsidRPr="006B30FA" w:rsidRDefault="00413559" w:rsidP="00A37673">
      <w:pPr>
        <w:jc w:val="both"/>
        <w:rPr>
          <w:i/>
          <w:lang w:val="en-US"/>
        </w:rPr>
      </w:pPr>
      <w:r w:rsidRPr="006B30FA">
        <w:rPr>
          <w:i/>
          <w:lang w:val="en-US"/>
        </w:rPr>
        <w:lastRenderedPageBreak/>
        <w:t>‘Yes, of course! Before here you use to only see “little cars” now you see “big Volvos”!’</w:t>
      </w:r>
    </w:p>
    <w:p w:rsidR="006B30FA" w:rsidRDefault="006B30FA" w:rsidP="006B30FA">
      <w:pPr>
        <w:pStyle w:val="NoSpacing"/>
        <w:jc w:val="right"/>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sidRPr="006B30FA">
        <w:rPr>
          <w:lang w:val="en-US"/>
        </w:rPr>
        <w:t xml:space="preserve">Quinoa Farmer </w:t>
      </w:r>
    </w:p>
    <w:p w:rsidR="006B30FA" w:rsidRPr="006B30FA" w:rsidRDefault="006B30FA" w:rsidP="006B30FA">
      <w:pPr>
        <w:pStyle w:val="NoSpacing"/>
        <w:jc w:val="right"/>
        <w:rPr>
          <w:lang w:val="en-US"/>
        </w:rPr>
      </w:pPr>
      <w:r w:rsidRPr="006B30FA">
        <w:rPr>
          <w:lang w:val="en-US"/>
        </w:rPr>
        <w:t>Interviewed at the “</w:t>
      </w:r>
      <w:proofErr w:type="spellStart"/>
      <w:r w:rsidRPr="006B30FA">
        <w:rPr>
          <w:lang w:val="en-US"/>
        </w:rPr>
        <w:t>Challapata</w:t>
      </w:r>
      <w:proofErr w:type="spellEnd"/>
      <w:r w:rsidRPr="006B30FA">
        <w:rPr>
          <w:lang w:val="en-US"/>
        </w:rPr>
        <w:t xml:space="preserve"> Fair”</w:t>
      </w:r>
    </w:p>
    <w:p w:rsidR="006B30FA" w:rsidRDefault="006B30FA" w:rsidP="006B30FA">
      <w:pPr>
        <w:pStyle w:val="NoSpacing"/>
        <w:jc w:val="right"/>
        <w:rPr>
          <w:lang w:val="en-US"/>
        </w:rPr>
      </w:pPr>
      <w:r w:rsidRPr="006B30FA">
        <w:rPr>
          <w:lang w:val="en-US"/>
        </w:rPr>
        <w:t>August 18</w:t>
      </w:r>
      <w:r w:rsidRPr="006B30FA">
        <w:rPr>
          <w:vertAlign w:val="superscript"/>
          <w:lang w:val="en-US"/>
        </w:rPr>
        <w:t>th</w:t>
      </w:r>
      <w:r w:rsidRPr="006B30FA">
        <w:rPr>
          <w:lang w:val="en-US"/>
        </w:rPr>
        <w:t>, 2012</w:t>
      </w:r>
    </w:p>
    <w:p w:rsidR="006B30FA" w:rsidRPr="006B30FA" w:rsidRDefault="006B30FA" w:rsidP="006B30FA">
      <w:pPr>
        <w:pStyle w:val="NoSpacing"/>
        <w:jc w:val="right"/>
        <w:rPr>
          <w:lang w:val="en-US"/>
        </w:rPr>
      </w:pPr>
    </w:p>
    <w:p w:rsidR="00297C8D" w:rsidRDefault="00297C8D" w:rsidP="00A37673">
      <w:pPr>
        <w:jc w:val="both"/>
        <w:rPr>
          <w:lang w:val="en-US"/>
        </w:rPr>
      </w:pPr>
    </w:p>
    <w:p w:rsidR="00E26A6A" w:rsidRDefault="001C72C4" w:rsidP="00E06E16">
      <w:pPr>
        <w:ind w:firstLine="720"/>
        <w:jc w:val="both"/>
        <w:rPr>
          <w:lang w:val="en-US"/>
        </w:rPr>
      </w:pPr>
      <w:r>
        <w:rPr>
          <w:lang w:val="en-US"/>
        </w:rPr>
        <w:t>In addition</w:t>
      </w:r>
      <w:r w:rsidR="006B30FA">
        <w:rPr>
          <w:lang w:val="en-US"/>
        </w:rPr>
        <w:t>, quinoa communities have been experiencing a reversal in migration. Quinoa farmers who had previously migrated to other cities looking for better economic opportunities are coming back to the quinoa fields encouraged by the news of the high quinoa price</w:t>
      </w:r>
      <w:r w:rsidR="00AD0BC7">
        <w:rPr>
          <w:lang w:val="en-US"/>
        </w:rPr>
        <w:t>s and the promises for profits. There is also another group of “farmers” who although continue to live in the cities they had previously migrated to</w:t>
      </w:r>
      <w:r w:rsidR="00E26A6A">
        <w:rPr>
          <w:lang w:val="en-US"/>
        </w:rPr>
        <w:t>,</w:t>
      </w:r>
      <w:r w:rsidR="00AD0BC7">
        <w:rPr>
          <w:lang w:val="en-US"/>
        </w:rPr>
        <w:t xml:space="preserve"> they “plant quinoa by cell”. Meaning, they </w:t>
      </w:r>
      <w:r w:rsidR="000D0601">
        <w:rPr>
          <w:lang w:val="en-US"/>
        </w:rPr>
        <w:t xml:space="preserve">just call and </w:t>
      </w:r>
      <w:r w:rsidR="00AD0BC7">
        <w:rPr>
          <w:lang w:val="en-US"/>
        </w:rPr>
        <w:t xml:space="preserve">hire people to plant quinoa for them and </w:t>
      </w:r>
      <w:r w:rsidR="000D0601">
        <w:rPr>
          <w:lang w:val="en-US"/>
        </w:rPr>
        <w:t>only</w:t>
      </w:r>
      <w:r w:rsidR="00AD0BC7">
        <w:rPr>
          <w:lang w:val="en-US"/>
        </w:rPr>
        <w:t xml:space="preserve"> come to the quinoa fields during harvest time.  </w:t>
      </w:r>
      <w:r w:rsidR="000D0601">
        <w:rPr>
          <w:lang w:val="en-US"/>
        </w:rPr>
        <w:t>Interestingly, this reverse migration is causing some tension amongst the farmers since some ha</w:t>
      </w:r>
      <w:r w:rsidR="002140FE">
        <w:rPr>
          <w:lang w:val="en-US"/>
        </w:rPr>
        <w:t>ve</w:t>
      </w:r>
      <w:r w:rsidR="000D0601">
        <w:rPr>
          <w:lang w:val="en-US"/>
        </w:rPr>
        <w:t xml:space="preserve"> overtaken these lands thinking they had been abandoned. </w:t>
      </w:r>
      <w:r w:rsidR="000F5E70">
        <w:rPr>
          <w:lang w:val="en-US"/>
        </w:rPr>
        <w:t xml:space="preserve">Lastly, several quinoa farmers encouraged by the high quinoa prices are becoming </w:t>
      </w:r>
      <w:proofErr w:type="spellStart"/>
      <w:r w:rsidR="000F5E70">
        <w:rPr>
          <w:lang w:val="en-US"/>
        </w:rPr>
        <w:t>monocrop</w:t>
      </w:r>
      <w:proofErr w:type="spellEnd"/>
      <w:r w:rsidR="000F5E70">
        <w:rPr>
          <w:lang w:val="en-US"/>
        </w:rPr>
        <w:t xml:space="preserve"> farmers dedicating themselves exclusively to the plantation of quinoa leaving no space for the raising of llamas, previously a second source of </w:t>
      </w:r>
      <w:r w:rsidR="000F5E70" w:rsidRPr="001C72C4">
        <w:rPr>
          <w:lang w:val="en-US"/>
        </w:rPr>
        <w:t xml:space="preserve">income for the farmer. The </w:t>
      </w:r>
      <w:r w:rsidR="000F5E70">
        <w:rPr>
          <w:lang w:val="en-US"/>
        </w:rPr>
        <w:t xml:space="preserve">aggressive plantation of quinoa </w:t>
      </w:r>
      <w:r w:rsidR="002140FE">
        <w:rPr>
          <w:lang w:val="en-US"/>
        </w:rPr>
        <w:t>(</w:t>
      </w:r>
      <w:r w:rsidR="000F5E70">
        <w:rPr>
          <w:lang w:val="en-US"/>
        </w:rPr>
        <w:t>non-stop</w:t>
      </w:r>
      <w:r w:rsidR="002140FE">
        <w:rPr>
          <w:lang w:val="en-US"/>
        </w:rPr>
        <w:t>)</w:t>
      </w:r>
      <w:r w:rsidR="000F5E70">
        <w:rPr>
          <w:lang w:val="en-US"/>
        </w:rPr>
        <w:t xml:space="preserve"> is also dangerously threatening the future productivity of the quinoa fields. </w:t>
      </w:r>
    </w:p>
    <w:p w:rsidR="0091056C" w:rsidRPr="0091056C" w:rsidRDefault="000D0601" w:rsidP="0091056C">
      <w:pPr>
        <w:ind w:firstLine="720"/>
        <w:jc w:val="both"/>
        <w:rPr>
          <w:lang w:val="en-US"/>
        </w:rPr>
      </w:pPr>
      <w:r>
        <w:rPr>
          <w:lang w:val="en-US"/>
        </w:rPr>
        <w:t>Al</w:t>
      </w:r>
      <w:r w:rsidR="00E26A6A">
        <w:rPr>
          <w:lang w:val="en-US"/>
        </w:rPr>
        <w:t xml:space="preserve">though the focus of this paper is not on the social </w:t>
      </w:r>
      <w:r w:rsidR="00A75649">
        <w:rPr>
          <w:lang w:val="en-US"/>
        </w:rPr>
        <w:t xml:space="preserve">or environmental </w:t>
      </w:r>
      <w:r w:rsidR="00E26A6A">
        <w:rPr>
          <w:lang w:val="en-US"/>
        </w:rPr>
        <w:t xml:space="preserve">implications of the </w:t>
      </w:r>
      <w:r w:rsidR="002F3760">
        <w:rPr>
          <w:lang w:val="en-US"/>
        </w:rPr>
        <w:t>increased demand for quinoa</w:t>
      </w:r>
      <w:r w:rsidR="00A75649">
        <w:rPr>
          <w:lang w:val="en-US"/>
        </w:rPr>
        <w:t>, these developments reinforce the need for a much stronger presence of the Bolivian state in the quinoa fields. So far the intervention of the Bolivian government in the Quinoa Value Chain has mostly been limited to policy surround</w:t>
      </w:r>
      <w:r w:rsidR="005C553A">
        <w:rPr>
          <w:lang w:val="en-US"/>
        </w:rPr>
        <w:t>ing</w:t>
      </w:r>
      <w:r w:rsidR="00A75649">
        <w:rPr>
          <w:lang w:val="en-US"/>
        </w:rPr>
        <w:t xml:space="preserve"> the promotion of the quinoa </w:t>
      </w:r>
      <w:r w:rsidR="002F3760">
        <w:rPr>
          <w:lang w:val="en-US"/>
        </w:rPr>
        <w:t xml:space="preserve">looking </w:t>
      </w:r>
      <w:r w:rsidR="00A75649">
        <w:rPr>
          <w:lang w:val="en-US"/>
        </w:rPr>
        <w:t xml:space="preserve">to increase its consumption and demand </w:t>
      </w:r>
      <w:r w:rsidR="002F3760">
        <w:rPr>
          <w:lang w:val="en-US"/>
        </w:rPr>
        <w:t xml:space="preserve">in </w:t>
      </w:r>
      <w:r w:rsidR="00A75649">
        <w:rPr>
          <w:lang w:val="en-US"/>
        </w:rPr>
        <w:t xml:space="preserve">external markets. Yet, given the current trend in the </w:t>
      </w:r>
      <w:r w:rsidR="002F3760">
        <w:rPr>
          <w:lang w:val="en-US"/>
        </w:rPr>
        <w:t xml:space="preserve">preference of the consumers in the </w:t>
      </w:r>
      <w:r w:rsidR="00A75649">
        <w:rPr>
          <w:lang w:val="en-US"/>
        </w:rPr>
        <w:t xml:space="preserve">industrialized countries for high quality organic </w:t>
      </w:r>
      <w:r w:rsidR="005C553A">
        <w:rPr>
          <w:lang w:val="en-US"/>
        </w:rPr>
        <w:t xml:space="preserve">and fair trade related products, </w:t>
      </w:r>
      <w:r w:rsidR="0063448F">
        <w:rPr>
          <w:lang w:val="en-US"/>
        </w:rPr>
        <w:t xml:space="preserve">such as the quinoa, </w:t>
      </w:r>
      <w:r w:rsidR="005C553A">
        <w:rPr>
          <w:lang w:val="en-US"/>
        </w:rPr>
        <w:t xml:space="preserve">the intervention of the Bolivian government to promote its consumption seems an unnecessary double effort. </w:t>
      </w:r>
      <w:r w:rsidR="0091056C">
        <w:rPr>
          <w:lang w:val="en-US"/>
        </w:rPr>
        <w:t>T</w:t>
      </w:r>
      <w:r w:rsidR="0091056C" w:rsidRPr="0091056C">
        <w:rPr>
          <w:lang w:val="en-US"/>
        </w:rPr>
        <w:t xml:space="preserve">here seems </w:t>
      </w:r>
      <w:r w:rsidR="00B93FB6">
        <w:rPr>
          <w:lang w:val="en-US"/>
        </w:rPr>
        <w:t xml:space="preserve">to </w:t>
      </w:r>
      <w:r w:rsidR="0091056C" w:rsidRPr="0091056C">
        <w:rPr>
          <w:lang w:val="en-US"/>
        </w:rPr>
        <w:t xml:space="preserve">be an impression by the current government that an increased demand for the grain automatically translates into a benefit for the farmers which as seen throughout the paper this is not necessarily the case. </w:t>
      </w:r>
    </w:p>
    <w:p w:rsidR="00886EFA" w:rsidRDefault="005C553A" w:rsidP="00E06E16">
      <w:pPr>
        <w:ind w:firstLine="720"/>
        <w:jc w:val="both"/>
        <w:rPr>
          <w:lang w:val="en-US"/>
        </w:rPr>
      </w:pPr>
      <w:r>
        <w:rPr>
          <w:lang w:val="en-US"/>
        </w:rPr>
        <w:t xml:space="preserve">Instead, I believe a lot more intervention is needed in the </w:t>
      </w:r>
      <w:r w:rsidRPr="00BB08B5">
        <w:rPr>
          <w:lang w:val="en-US"/>
        </w:rPr>
        <w:t xml:space="preserve">area of </w:t>
      </w:r>
      <w:r w:rsidR="00BB08B5" w:rsidRPr="00BB08B5">
        <w:rPr>
          <w:lang w:val="en-US"/>
        </w:rPr>
        <w:t>regulation</w:t>
      </w:r>
      <w:r w:rsidRPr="00BB08B5">
        <w:rPr>
          <w:lang w:val="en-US"/>
        </w:rPr>
        <w:t xml:space="preserve">. For </w:t>
      </w:r>
      <w:r>
        <w:rPr>
          <w:lang w:val="en-US"/>
        </w:rPr>
        <w:t xml:space="preserve">example, during my fieldwork </w:t>
      </w:r>
      <w:r w:rsidR="008712AF">
        <w:rPr>
          <w:lang w:val="en-US"/>
        </w:rPr>
        <w:t xml:space="preserve">I could perceive that in the town of </w:t>
      </w:r>
      <w:proofErr w:type="spellStart"/>
      <w:r w:rsidR="008712AF">
        <w:rPr>
          <w:lang w:val="en-US"/>
        </w:rPr>
        <w:t>Challapata</w:t>
      </w:r>
      <w:proofErr w:type="spellEnd"/>
      <w:r w:rsidR="008712AF">
        <w:rPr>
          <w:lang w:val="en-US"/>
        </w:rPr>
        <w:t xml:space="preserve"> where the fair is located, there is absolutely no control to stop the smuggling of quinoa to the bordering country of Peru. </w:t>
      </w:r>
      <w:r w:rsidR="00D40ED7">
        <w:rPr>
          <w:lang w:val="en-US"/>
        </w:rPr>
        <w:t>Farmers</w:t>
      </w:r>
      <w:r w:rsidR="008712AF">
        <w:rPr>
          <w:lang w:val="en-US"/>
        </w:rPr>
        <w:t xml:space="preserve"> would openly mention that the quinoa commercialize</w:t>
      </w:r>
      <w:r w:rsidR="00E129F5">
        <w:rPr>
          <w:lang w:val="en-US"/>
        </w:rPr>
        <w:t>d</w:t>
      </w:r>
      <w:r w:rsidR="008712AF">
        <w:rPr>
          <w:lang w:val="en-US"/>
        </w:rPr>
        <w:t xml:space="preserve"> in the fair was also being illegally </w:t>
      </w:r>
      <w:r w:rsidR="00D40ED7">
        <w:rPr>
          <w:lang w:val="en-US"/>
        </w:rPr>
        <w:t>destined</w:t>
      </w:r>
      <w:r w:rsidR="008712AF">
        <w:rPr>
          <w:lang w:val="en-US"/>
        </w:rPr>
        <w:t xml:space="preserve"> for Peru. </w:t>
      </w:r>
    </w:p>
    <w:p w:rsidR="008712AF" w:rsidRPr="002F3760" w:rsidRDefault="00E129F5" w:rsidP="00E06E16">
      <w:pPr>
        <w:ind w:firstLine="720"/>
        <w:jc w:val="both"/>
        <w:rPr>
          <w:i/>
          <w:lang w:val="en-US"/>
        </w:rPr>
      </w:pPr>
      <w:r w:rsidRPr="002F3760">
        <w:rPr>
          <w:i/>
          <w:lang w:val="en-US"/>
        </w:rPr>
        <w:t xml:space="preserve">“[..] all the quinoa here is going to Peru, via </w:t>
      </w:r>
      <w:proofErr w:type="spellStart"/>
      <w:r w:rsidRPr="002F3760">
        <w:rPr>
          <w:i/>
          <w:lang w:val="en-US"/>
        </w:rPr>
        <w:t>desaguadero</w:t>
      </w:r>
      <w:proofErr w:type="spellEnd"/>
      <w:r w:rsidRPr="002F3760">
        <w:rPr>
          <w:i/>
          <w:lang w:val="en-US"/>
        </w:rPr>
        <w:t>”.</w:t>
      </w:r>
    </w:p>
    <w:p w:rsidR="00E129F5" w:rsidRPr="00E129F5" w:rsidRDefault="00E129F5" w:rsidP="00E129F5">
      <w:pPr>
        <w:jc w:val="both"/>
        <w:rPr>
          <w:i/>
          <w:color w:val="FF0000"/>
          <w:lang w:val="en-US"/>
        </w:rPr>
      </w:pPr>
      <w:r>
        <w:rPr>
          <w:i/>
          <w:color w:val="FF0000"/>
          <w:lang w:val="en-US"/>
        </w:rPr>
        <w:tab/>
      </w:r>
      <w:r>
        <w:rPr>
          <w:i/>
          <w:color w:val="FF0000"/>
          <w:lang w:val="en-US"/>
        </w:rPr>
        <w:tab/>
      </w:r>
      <w:r>
        <w:rPr>
          <w:i/>
          <w:color w:val="FF0000"/>
          <w:lang w:val="en-US"/>
        </w:rPr>
        <w:tab/>
      </w:r>
      <w:r>
        <w:rPr>
          <w:i/>
          <w:color w:val="FF0000"/>
          <w:lang w:val="en-US"/>
        </w:rPr>
        <w:tab/>
      </w:r>
      <w:r>
        <w:rPr>
          <w:i/>
          <w:color w:val="FF0000"/>
          <w:lang w:val="en-US"/>
        </w:rPr>
        <w:tab/>
      </w:r>
      <w:r>
        <w:rPr>
          <w:i/>
          <w:color w:val="FF0000"/>
          <w:lang w:val="en-US"/>
        </w:rPr>
        <w:tab/>
      </w:r>
      <w:r>
        <w:rPr>
          <w:i/>
          <w:color w:val="FF0000"/>
          <w:lang w:val="en-US"/>
        </w:rPr>
        <w:tab/>
      </w:r>
      <w:r>
        <w:rPr>
          <w:i/>
          <w:color w:val="FF0000"/>
          <w:lang w:val="en-US"/>
        </w:rPr>
        <w:tab/>
      </w:r>
      <w:r>
        <w:rPr>
          <w:i/>
          <w:color w:val="FF0000"/>
          <w:lang w:val="en-US"/>
        </w:rPr>
        <w:tab/>
      </w:r>
    </w:p>
    <w:p w:rsidR="006B30FA" w:rsidRPr="00E129F5" w:rsidRDefault="006B30FA" w:rsidP="00E129F5">
      <w:pPr>
        <w:pStyle w:val="NoSpacing"/>
        <w:jc w:val="right"/>
        <w:rPr>
          <w:lang w:val="en-US"/>
        </w:rPr>
      </w:pPr>
      <w:r w:rsidRPr="00E129F5">
        <w:rPr>
          <w:lang w:val="en-US"/>
        </w:rPr>
        <w:tab/>
      </w:r>
      <w:r w:rsidRPr="00E129F5">
        <w:rPr>
          <w:lang w:val="en-US"/>
        </w:rPr>
        <w:tab/>
      </w:r>
      <w:r w:rsidRPr="00E129F5">
        <w:rPr>
          <w:lang w:val="en-US"/>
        </w:rPr>
        <w:tab/>
      </w:r>
      <w:r w:rsidRPr="00E129F5">
        <w:rPr>
          <w:lang w:val="en-US"/>
        </w:rPr>
        <w:tab/>
      </w:r>
      <w:r w:rsidRPr="00E129F5">
        <w:rPr>
          <w:lang w:val="en-US"/>
        </w:rPr>
        <w:tab/>
      </w:r>
      <w:r w:rsidRPr="00E129F5">
        <w:rPr>
          <w:lang w:val="en-US"/>
        </w:rPr>
        <w:tab/>
      </w:r>
      <w:r w:rsidRPr="00E129F5">
        <w:rPr>
          <w:lang w:val="en-US"/>
        </w:rPr>
        <w:tab/>
      </w:r>
      <w:proofErr w:type="spellStart"/>
      <w:r w:rsidR="00E129F5">
        <w:rPr>
          <w:lang w:val="en-US"/>
        </w:rPr>
        <w:t>Gonzalia</w:t>
      </w:r>
      <w:proofErr w:type="spellEnd"/>
      <w:r w:rsidR="00E129F5">
        <w:rPr>
          <w:lang w:val="en-US"/>
        </w:rPr>
        <w:t xml:space="preserve">, </w:t>
      </w:r>
      <w:r w:rsidRPr="00E129F5">
        <w:rPr>
          <w:lang w:val="en-US"/>
        </w:rPr>
        <w:t xml:space="preserve">Quinoa Farmer </w:t>
      </w:r>
    </w:p>
    <w:p w:rsidR="006B30FA" w:rsidRPr="00E129F5" w:rsidRDefault="006B30FA" w:rsidP="00E129F5">
      <w:pPr>
        <w:pStyle w:val="NoSpacing"/>
        <w:jc w:val="right"/>
        <w:rPr>
          <w:lang w:val="en-US"/>
        </w:rPr>
      </w:pPr>
      <w:r w:rsidRPr="00E129F5">
        <w:rPr>
          <w:lang w:val="en-US"/>
        </w:rPr>
        <w:t>Interviewed at the “</w:t>
      </w:r>
      <w:proofErr w:type="spellStart"/>
      <w:r w:rsidRPr="00E129F5">
        <w:rPr>
          <w:lang w:val="en-US"/>
        </w:rPr>
        <w:t>Challapata</w:t>
      </w:r>
      <w:proofErr w:type="spellEnd"/>
      <w:r w:rsidRPr="00E129F5">
        <w:rPr>
          <w:lang w:val="en-US"/>
        </w:rPr>
        <w:t xml:space="preserve"> Fair”</w:t>
      </w:r>
    </w:p>
    <w:p w:rsidR="00E129F5" w:rsidRDefault="006B30FA" w:rsidP="00E129F5">
      <w:pPr>
        <w:pStyle w:val="NoSpacing"/>
        <w:jc w:val="right"/>
        <w:rPr>
          <w:lang w:val="en-US"/>
        </w:rPr>
      </w:pPr>
      <w:r w:rsidRPr="00E129F5">
        <w:rPr>
          <w:lang w:val="en-US"/>
        </w:rPr>
        <w:t>August 18</w:t>
      </w:r>
      <w:r w:rsidRPr="00E129F5">
        <w:rPr>
          <w:vertAlign w:val="superscript"/>
          <w:lang w:val="en-US"/>
        </w:rPr>
        <w:t>th</w:t>
      </w:r>
      <w:r w:rsidRPr="00E129F5">
        <w:rPr>
          <w:lang w:val="en-US"/>
        </w:rPr>
        <w:t>, 2012</w:t>
      </w:r>
    </w:p>
    <w:p w:rsidR="00E129F5" w:rsidRDefault="00E129F5" w:rsidP="00E129F5">
      <w:pPr>
        <w:pStyle w:val="NoSpacing"/>
        <w:rPr>
          <w:lang w:val="en-US"/>
        </w:rPr>
      </w:pPr>
    </w:p>
    <w:p w:rsidR="00EF2CF8" w:rsidRDefault="00E129F5" w:rsidP="002F3760">
      <w:pPr>
        <w:ind w:firstLine="720"/>
        <w:jc w:val="both"/>
        <w:rPr>
          <w:lang w:val="en-US"/>
        </w:rPr>
      </w:pPr>
      <w:r>
        <w:rPr>
          <w:lang w:val="en-US"/>
        </w:rPr>
        <w:lastRenderedPageBreak/>
        <w:t xml:space="preserve">Furthermore, </w:t>
      </w:r>
      <w:r w:rsidR="000E4262">
        <w:rPr>
          <w:lang w:val="en-US"/>
        </w:rPr>
        <w:t>government interve</w:t>
      </w:r>
      <w:r w:rsidR="002F3760">
        <w:rPr>
          <w:lang w:val="en-US"/>
        </w:rPr>
        <w:t xml:space="preserve">ntion is needed to help bring some </w:t>
      </w:r>
      <w:r w:rsidR="000E4262">
        <w:rPr>
          <w:lang w:val="en-US"/>
        </w:rPr>
        <w:t xml:space="preserve">stability to the volatile </w:t>
      </w:r>
      <w:r w:rsidR="002F3760">
        <w:rPr>
          <w:lang w:val="en-US"/>
        </w:rPr>
        <w:t xml:space="preserve">nature of </w:t>
      </w:r>
      <w:r w:rsidR="000E4262">
        <w:rPr>
          <w:lang w:val="en-US"/>
        </w:rPr>
        <w:t>the current quinoa market structure that responds to changes in the demand, often causing huge losses for the farmers who find themselves trying to “intuitively” determine the direction of the market</w:t>
      </w:r>
      <w:r w:rsidR="00BB08B5">
        <w:rPr>
          <w:lang w:val="en-US"/>
        </w:rPr>
        <w:t>,</w:t>
      </w:r>
      <w:r w:rsidR="000E4262">
        <w:rPr>
          <w:lang w:val="en-US"/>
        </w:rPr>
        <w:t xml:space="preserve"> following some price signals which are not the most efficient indicators. </w:t>
      </w:r>
      <w:r w:rsidR="00A343AF">
        <w:rPr>
          <w:lang w:val="en-US"/>
        </w:rPr>
        <w:t>As mentioned earlier government efforts seem to be concentrated on the promotion of the product</w:t>
      </w:r>
      <w:r w:rsidR="00BB08B5">
        <w:rPr>
          <w:lang w:val="en-US"/>
        </w:rPr>
        <w:t xml:space="preserve">. During my research I did not encounter any government entity in charge of overseeing and or regulating the developments happening in the Quinoa Value Chain. </w:t>
      </w:r>
    </w:p>
    <w:p w:rsidR="00EF2CF8" w:rsidRDefault="00EF2CF8" w:rsidP="002F3760">
      <w:pPr>
        <w:pStyle w:val="NoSpacing"/>
        <w:jc w:val="both"/>
        <w:rPr>
          <w:lang w:val="en-US"/>
        </w:rPr>
      </w:pPr>
    </w:p>
    <w:p w:rsidR="00D40ED7" w:rsidRPr="00A343AF" w:rsidRDefault="00BB08B5" w:rsidP="00BB08B5">
      <w:pPr>
        <w:ind w:firstLine="720"/>
        <w:jc w:val="both"/>
        <w:rPr>
          <w:lang w:val="en-US"/>
        </w:rPr>
      </w:pPr>
      <w:r>
        <w:rPr>
          <w:lang w:val="en-US"/>
        </w:rPr>
        <w:t>In addition, g</w:t>
      </w:r>
      <w:r w:rsidR="00D40ED7">
        <w:rPr>
          <w:lang w:val="en-US"/>
        </w:rPr>
        <w:t xml:space="preserve">iven the important role that </w:t>
      </w:r>
      <w:r w:rsidR="004E4FDA">
        <w:rPr>
          <w:lang w:val="en-US"/>
        </w:rPr>
        <w:t xml:space="preserve">the </w:t>
      </w:r>
      <w:r w:rsidR="00D40ED7">
        <w:rPr>
          <w:lang w:val="en-US"/>
        </w:rPr>
        <w:t xml:space="preserve">producer organizations </w:t>
      </w:r>
      <w:r w:rsidR="004E4FDA">
        <w:rPr>
          <w:lang w:val="en-US"/>
        </w:rPr>
        <w:t xml:space="preserve">still </w:t>
      </w:r>
      <w:r w:rsidR="00D40ED7">
        <w:rPr>
          <w:lang w:val="en-US"/>
        </w:rPr>
        <w:t xml:space="preserve">play in the lives of the </w:t>
      </w:r>
      <w:r w:rsidR="004E4FDA">
        <w:rPr>
          <w:lang w:val="en-US"/>
        </w:rPr>
        <w:t>quinoa farmers</w:t>
      </w:r>
      <w:r w:rsidR="00D40ED7">
        <w:rPr>
          <w:lang w:val="en-US"/>
        </w:rPr>
        <w:t xml:space="preserve">, government support is needed to strengthen the producer organizations and thereby </w:t>
      </w:r>
      <w:r w:rsidR="000E2A4D">
        <w:rPr>
          <w:lang w:val="en-US"/>
        </w:rPr>
        <w:t xml:space="preserve">help </w:t>
      </w:r>
      <w:r w:rsidR="00D40ED7">
        <w:rPr>
          <w:lang w:val="en-US"/>
        </w:rPr>
        <w:t xml:space="preserve">strengthen the position of the farmers within the chain. As illustrated throughout the paper, the new business </w:t>
      </w:r>
      <w:r w:rsidR="00D40ED7" w:rsidRPr="00967392">
        <w:rPr>
          <w:lang w:val="en-US"/>
        </w:rPr>
        <w:t xml:space="preserve">practices (i.e. vertical integration) that </w:t>
      </w:r>
      <w:r w:rsidR="00D40ED7">
        <w:rPr>
          <w:lang w:val="en-US"/>
        </w:rPr>
        <w:t>the private firms bring to the Quinoa Value Chain are quite difficult to compete</w:t>
      </w:r>
      <w:r w:rsidR="008873F0">
        <w:rPr>
          <w:lang w:val="en-US"/>
        </w:rPr>
        <w:t xml:space="preserve"> with</w:t>
      </w:r>
      <w:r w:rsidR="00D40ED7">
        <w:rPr>
          <w:lang w:val="en-US"/>
        </w:rPr>
        <w:t xml:space="preserve"> due to its “close</w:t>
      </w:r>
      <w:r w:rsidR="004E4FDA">
        <w:rPr>
          <w:lang w:val="en-US"/>
        </w:rPr>
        <w:t>d</w:t>
      </w:r>
      <w:r w:rsidR="00D40ED7">
        <w:rPr>
          <w:lang w:val="en-US"/>
        </w:rPr>
        <w:t xml:space="preserve"> nature”. </w:t>
      </w:r>
      <w:r w:rsidR="004E4FDA">
        <w:rPr>
          <w:lang w:val="en-US"/>
        </w:rPr>
        <w:t>Similarly, producer organizations should take advantage of the pride and the identification of the current Bolivian government</w:t>
      </w:r>
      <w:r w:rsidR="0091056C">
        <w:rPr>
          <w:lang w:val="en-US"/>
        </w:rPr>
        <w:t>,</w:t>
      </w:r>
      <w:r w:rsidR="004E4FDA">
        <w:rPr>
          <w:lang w:val="en-US"/>
        </w:rPr>
        <w:t xml:space="preserve"> which promotes the quinoa grain internationally as </w:t>
      </w:r>
      <w:r w:rsidR="0091056C">
        <w:rPr>
          <w:lang w:val="en-US"/>
        </w:rPr>
        <w:t xml:space="preserve">a </w:t>
      </w:r>
      <w:r w:rsidR="004E4FDA">
        <w:rPr>
          <w:lang w:val="en-US"/>
        </w:rPr>
        <w:t xml:space="preserve">“gift from the indigenous to the world” with indigenous causes to help create policy in their favor. </w:t>
      </w:r>
    </w:p>
    <w:p w:rsidR="00BE7808" w:rsidRPr="00F94770" w:rsidRDefault="00B87FC7" w:rsidP="004E4FDA">
      <w:pPr>
        <w:ind w:firstLine="720"/>
        <w:jc w:val="both"/>
        <w:rPr>
          <w:lang w:val="en-US"/>
        </w:rPr>
      </w:pPr>
      <w:r w:rsidRPr="00F94770">
        <w:rPr>
          <w:lang w:val="en-US"/>
        </w:rPr>
        <w:t>Lastly</w:t>
      </w:r>
      <w:r w:rsidR="000E2A4D" w:rsidRPr="00F94770">
        <w:rPr>
          <w:lang w:val="en-US"/>
        </w:rPr>
        <w:t xml:space="preserve">, the “quinoa craze” is leading some other countries such as India, Canada </w:t>
      </w:r>
      <w:r w:rsidR="004960FF" w:rsidRPr="00F94770">
        <w:rPr>
          <w:lang w:val="en-US"/>
        </w:rPr>
        <w:t xml:space="preserve">and </w:t>
      </w:r>
      <w:r w:rsidR="000E2A4D" w:rsidRPr="00F94770">
        <w:rPr>
          <w:lang w:val="en-US"/>
        </w:rPr>
        <w:t>the US to start experiment</w:t>
      </w:r>
      <w:r w:rsidR="004960FF" w:rsidRPr="00F94770">
        <w:rPr>
          <w:lang w:val="en-US"/>
        </w:rPr>
        <w:t>ing with</w:t>
      </w:r>
      <w:r w:rsidR="000E2A4D" w:rsidRPr="00F94770">
        <w:rPr>
          <w:lang w:val="en-US"/>
        </w:rPr>
        <w:t xml:space="preserve"> the plantation of quinoa in their lands.</w:t>
      </w:r>
      <w:r w:rsidR="004960FF" w:rsidRPr="00F94770">
        <w:rPr>
          <w:lang w:val="en-US"/>
        </w:rPr>
        <w:t xml:space="preserve"> Currently these crops are under test given that the ideal </w:t>
      </w:r>
      <w:r w:rsidR="001356A8" w:rsidRPr="00F94770">
        <w:rPr>
          <w:lang w:val="en-US"/>
        </w:rPr>
        <w:t>condition for the quinoa plant to grow is</w:t>
      </w:r>
      <w:r w:rsidR="004960FF" w:rsidRPr="00F94770">
        <w:rPr>
          <w:lang w:val="en-US"/>
        </w:rPr>
        <w:t xml:space="preserve"> the cold weather found in the Bolivian salt flats.</w:t>
      </w:r>
      <w:r w:rsidR="001356A8" w:rsidRPr="00F94770">
        <w:rPr>
          <w:lang w:val="en-US"/>
        </w:rPr>
        <w:t xml:space="preserve"> Should these countries be successful in adapting the quinoa plant to their fields a </w:t>
      </w:r>
      <w:r w:rsidR="00E731E9" w:rsidRPr="00F94770">
        <w:rPr>
          <w:lang w:val="en-US"/>
        </w:rPr>
        <w:t xml:space="preserve">very interesting question emerges: </w:t>
      </w:r>
      <w:r w:rsidR="004960FF" w:rsidRPr="00F94770">
        <w:rPr>
          <w:lang w:val="en-US"/>
        </w:rPr>
        <w:t xml:space="preserve"> </w:t>
      </w:r>
      <w:r w:rsidR="00E731E9" w:rsidRPr="00F94770">
        <w:rPr>
          <w:lang w:val="en-US"/>
        </w:rPr>
        <w:t xml:space="preserve">how would the Bolivian quinoa farmer fair in a market with </w:t>
      </w:r>
      <w:r w:rsidR="00F94770" w:rsidRPr="00F94770">
        <w:rPr>
          <w:lang w:val="en-US"/>
        </w:rPr>
        <w:t xml:space="preserve">even </w:t>
      </w:r>
      <w:r w:rsidR="00E731E9" w:rsidRPr="00F94770">
        <w:rPr>
          <w:lang w:val="en-US"/>
        </w:rPr>
        <w:t xml:space="preserve">a lot more players? </w:t>
      </w:r>
    </w:p>
    <w:p w:rsidR="00E129F5" w:rsidRPr="00BB08B5" w:rsidRDefault="00E129F5" w:rsidP="00BB08B5">
      <w:pPr>
        <w:jc w:val="both"/>
        <w:rPr>
          <w:color w:val="FF0000"/>
          <w:lang w:val="en-US"/>
        </w:rPr>
      </w:pPr>
    </w:p>
    <w:p w:rsidR="00BE7808" w:rsidRPr="00851C6A" w:rsidRDefault="00BE7808" w:rsidP="00BB08B5">
      <w:pPr>
        <w:jc w:val="both"/>
        <w:rPr>
          <w:color w:val="FF0000"/>
          <w:lang w:val="en-US"/>
        </w:rPr>
      </w:pPr>
    </w:p>
    <w:p w:rsidR="007532D5" w:rsidRPr="00A37673" w:rsidRDefault="007532D5" w:rsidP="00BB08B5">
      <w:pPr>
        <w:jc w:val="both"/>
        <w:rPr>
          <w:b/>
          <w:i/>
          <w:color w:val="FF0000"/>
          <w:lang w:val="en-US"/>
        </w:rPr>
      </w:pPr>
    </w:p>
    <w:p w:rsidR="00FE4771" w:rsidRDefault="00FE4771" w:rsidP="00570527">
      <w:pPr>
        <w:jc w:val="both"/>
        <w:rPr>
          <w:i/>
          <w:color w:val="FF0000"/>
          <w:lang w:val="en-US"/>
        </w:rPr>
      </w:pPr>
    </w:p>
    <w:p w:rsidR="005612EB" w:rsidRPr="00057CBB" w:rsidRDefault="005612EB" w:rsidP="00570527">
      <w:pPr>
        <w:jc w:val="both"/>
        <w:rPr>
          <w:i/>
          <w:color w:val="FF0000"/>
          <w:lang w:val="en-US"/>
        </w:rPr>
      </w:pPr>
    </w:p>
    <w:p w:rsidR="001233D1" w:rsidRPr="001233D1" w:rsidRDefault="001233D1" w:rsidP="00570527">
      <w:pPr>
        <w:jc w:val="both"/>
        <w:rPr>
          <w:lang w:val="en-US"/>
        </w:rPr>
      </w:pPr>
    </w:p>
    <w:p w:rsidR="00EA3EE2" w:rsidRPr="00E10FD5" w:rsidRDefault="00EA3EE2" w:rsidP="00570527">
      <w:pPr>
        <w:jc w:val="both"/>
        <w:rPr>
          <w:color w:val="FF0000"/>
          <w:lang w:val="en-US"/>
        </w:rPr>
      </w:pPr>
    </w:p>
    <w:p w:rsidR="00D0233B" w:rsidRPr="00DB4228" w:rsidRDefault="00107379" w:rsidP="00D0233B">
      <w:pPr>
        <w:jc w:val="both"/>
        <w:rPr>
          <w:i/>
          <w:color w:val="FF0000"/>
          <w:lang w:val="en-US"/>
        </w:rPr>
      </w:pPr>
      <w:r w:rsidRPr="00DB4228">
        <w:rPr>
          <w:lang w:val="en-US"/>
        </w:rPr>
        <w:t xml:space="preserve"> </w:t>
      </w:r>
    </w:p>
    <w:p w:rsidR="00511848" w:rsidRDefault="00511848">
      <w:pPr>
        <w:rPr>
          <w:lang w:val="en-US"/>
        </w:rPr>
      </w:pPr>
      <w:r>
        <w:rPr>
          <w:lang w:val="en-US"/>
        </w:rPr>
        <w:br w:type="page"/>
      </w:r>
    </w:p>
    <w:p w:rsidR="00511848" w:rsidRPr="00FA122F" w:rsidRDefault="00511848" w:rsidP="00FA122F">
      <w:pPr>
        <w:outlineLvl w:val="0"/>
        <w:rPr>
          <w:rFonts w:ascii="Garamond" w:hAnsi="Garamond"/>
          <w:b/>
          <w:sz w:val="36"/>
          <w:szCs w:val="36"/>
          <w:lang w:val="en-US"/>
        </w:rPr>
      </w:pPr>
      <w:bookmarkStart w:id="51" w:name="_Toc323136854"/>
      <w:bookmarkStart w:id="52" w:name="_Ref342163726"/>
      <w:bookmarkStart w:id="53" w:name="_Ref342163739"/>
      <w:r w:rsidRPr="00FA122F">
        <w:rPr>
          <w:rFonts w:ascii="Garamond" w:hAnsi="Garamond"/>
          <w:b/>
          <w:sz w:val="36"/>
          <w:szCs w:val="36"/>
          <w:lang w:val="en-US"/>
        </w:rPr>
        <w:lastRenderedPageBreak/>
        <w:t>Appendices</w:t>
      </w:r>
      <w:bookmarkEnd w:id="51"/>
      <w:bookmarkEnd w:id="52"/>
      <w:bookmarkEnd w:id="53"/>
    </w:p>
    <w:p w:rsidR="008573B8" w:rsidRDefault="008573B8" w:rsidP="00511848">
      <w:pPr>
        <w:pStyle w:val="ListParagraph"/>
        <w:jc w:val="center"/>
        <w:rPr>
          <w:b/>
          <w:lang w:val="en-US"/>
        </w:rPr>
      </w:pPr>
    </w:p>
    <w:p w:rsidR="00B906BF" w:rsidRPr="00E06E16" w:rsidRDefault="00B906BF" w:rsidP="00E06E16">
      <w:pPr>
        <w:pStyle w:val="ListParagraph"/>
        <w:jc w:val="center"/>
        <w:rPr>
          <w:lang w:val="en-US"/>
        </w:rPr>
      </w:pPr>
      <w:bookmarkStart w:id="54" w:name="_Ref342161619"/>
      <w:r w:rsidRPr="00E06E16">
        <w:rPr>
          <w:b/>
          <w:lang w:val="en-US"/>
        </w:rPr>
        <w:t xml:space="preserve">Diagram </w:t>
      </w:r>
      <w:r w:rsidRPr="00E06E16">
        <w:rPr>
          <w:b/>
          <w:lang w:val="en-US"/>
        </w:rPr>
        <w:fldChar w:fldCharType="begin"/>
      </w:r>
      <w:r w:rsidRPr="00E06E16">
        <w:rPr>
          <w:b/>
          <w:lang w:val="en-US"/>
        </w:rPr>
        <w:instrText xml:space="preserve"> SEQ Diagram \* ARABIC </w:instrText>
      </w:r>
      <w:r w:rsidRPr="00E06E16">
        <w:rPr>
          <w:b/>
          <w:lang w:val="en-US"/>
        </w:rPr>
        <w:fldChar w:fldCharType="separate"/>
      </w:r>
      <w:r>
        <w:rPr>
          <w:b/>
          <w:noProof/>
          <w:lang w:val="en-US"/>
        </w:rPr>
        <w:t>3</w:t>
      </w:r>
      <w:r w:rsidRPr="00E06E16">
        <w:rPr>
          <w:b/>
          <w:lang w:val="en-US"/>
        </w:rPr>
        <w:fldChar w:fldCharType="end"/>
      </w:r>
      <w:r w:rsidRPr="00E06E16">
        <w:rPr>
          <w:b/>
          <w:lang w:val="en-US"/>
        </w:rPr>
        <w:t>: Mapping of producer organizations ANAPQUI and CECAOT</w:t>
      </w:r>
      <w:bookmarkEnd w:id="54"/>
    </w:p>
    <w:p w:rsidR="00511848" w:rsidRDefault="00511848" w:rsidP="00511848">
      <w:pPr>
        <w:pStyle w:val="ListParagraph"/>
        <w:jc w:val="center"/>
        <w:rPr>
          <w:b/>
          <w:lang w:val="en-US"/>
        </w:rPr>
      </w:pPr>
      <w:r w:rsidRPr="00E06E16">
        <w:rPr>
          <w:noProof/>
          <w:lang w:val="en-US"/>
        </w:rPr>
        <w:drawing>
          <wp:inline distT="0" distB="0" distL="0" distR="0" wp14:anchorId="310457E2" wp14:editId="0EAC556B">
            <wp:extent cx="5486400" cy="5981700"/>
            <wp:effectExtent l="0" t="0" r="0" b="57150"/>
            <wp:docPr id="23" name="Di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B906BF" w:rsidRPr="00E06E16" w:rsidRDefault="00B906BF" w:rsidP="00E06E16">
      <w:pPr>
        <w:pStyle w:val="ListParagraph"/>
        <w:jc w:val="center"/>
        <w:rPr>
          <w:lang w:val="en-US"/>
        </w:rPr>
      </w:pPr>
      <w:bookmarkStart w:id="55" w:name="_Ref342161625"/>
      <w:r w:rsidRPr="00E06E16">
        <w:rPr>
          <w:b/>
          <w:lang w:val="en-US"/>
        </w:rPr>
        <w:lastRenderedPageBreak/>
        <w:t xml:space="preserve">Diagram </w:t>
      </w:r>
      <w:r w:rsidRPr="00E06E16">
        <w:rPr>
          <w:b/>
          <w:lang w:val="en-US"/>
        </w:rPr>
        <w:fldChar w:fldCharType="begin"/>
      </w:r>
      <w:r w:rsidRPr="00E06E16">
        <w:rPr>
          <w:b/>
          <w:lang w:val="en-US"/>
        </w:rPr>
        <w:instrText xml:space="preserve"> SEQ Diagram \* ARABIC </w:instrText>
      </w:r>
      <w:r w:rsidRPr="00E06E16">
        <w:rPr>
          <w:b/>
          <w:lang w:val="en-US"/>
        </w:rPr>
        <w:fldChar w:fldCharType="separate"/>
      </w:r>
      <w:r>
        <w:rPr>
          <w:b/>
          <w:noProof/>
          <w:lang w:val="en-US"/>
        </w:rPr>
        <w:t>4</w:t>
      </w:r>
      <w:r w:rsidRPr="00E06E16">
        <w:rPr>
          <w:b/>
          <w:lang w:val="en-US"/>
        </w:rPr>
        <w:fldChar w:fldCharType="end"/>
      </w:r>
      <w:r w:rsidRPr="00E06E16">
        <w:rPr>
          <w:b/>
          <w:lang w:val="en-US"/>
        </w:rPr>
        <w:t xml:space="preserve">: Mapping of the vertical integration by </w:t>
      </w:r>
      <w:proofErr w:type="spellStart"/>
      <w:r w:rsidRPr="00E06E16">
        <w:rPr>
          <w:b/>
          <w:lang w:val="en-US"/>
        </w:rPr>
        <w:t>Jatary</w:t>
      </w:r>
      <w:proofErr w:type="spellEnd"/>
      <w:r w:rsidRPr="00E06E16">
        <w:rPr>
          <w:b/>
          <w:lang w:val="en-US"/>
        </w:rPr>
        <w:t xml:space="preserve"> and Quinoa </w:t>
      </w:r>
      <w:proofErr w:type="spellStart"/>
      <w:r w:rsidRPr="00E06E16">
        <w:rPr>
          <w:b/>
          <w:lang w:val="en-US"/>
        </w:rPr>
        <w:t>Bol</w:t>
      </w:r>
      <w:proofErr w:type="spellEnd"/>
      <w:r w:rsidRPr="00E06E16">
        <w:rPr>
          <w:b/>
          <w:lang w:val="en-US"/>
        </w:rPr>
        <w:t xml:space="preserve"> S.R.L.</w:t>
      </w:r>
      <w:bookmarkEnd w:id="55"/>
    </w:p>
    <w:p w:rsidR="00511848" w:rsidRDefault="00511848" w:rsidP="00511848">
      <w:pPr>
        <w:pStyle w:val="ListParagraph"/>
        <w:jc w:val="center"/>
        <w:rPr>
          <w:b/>
          <w:lang w:val="en-US"/>
        </w:rPr>
      </w:pPr>
      <w:r w:rsidRPr="00E06E16">
        <w:rPr>
          <w:b/>
          <w:noProof/>
          <w:lang w:val="en-US"/>
        </w:rPr>
        <w:drawing>
          <wp:inline distT="0" distB="0" distL="0" distR="0" wp14:anchorId="045594F5" wp14:editId="62403F7D">
            <wp:extent cx="5619750" cy="4819650"/>
            <wp:effectExtent l="0" t="0" r="19050" b="1905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B906BF" w:rsidRDefault="00B906BF" w:rsidP="00E06E16">
      <w:pPr>
        <w:pStyle w:val="ListParagraph"/>
        <w:jc w:val="center"/>
        <w:rPr>
          <w:lang w:val="en-US"/>
        </w:rPr>
      </w:pPr>
      <w:bookmarkStart w:id="56" w:name="_Ref342161630"/>
      <w:r w:rsidRPr="00E06E16">
        <w:rPr>
          <w:b/>
          <w:lang w:val="en-US"/>
        </w:rPr>
        <w:lastRenderedPageBreak/>
        <w:t xml:space="preserve">Diagram </w:t>
      </w:r>
      <w:r w:rsidRPr="00E06E16">
        <w:rPr>
          <w:b/>
          <w:lang w:val="en-US"/>
        </w:rPr>
        <w:fldChar w:fldCharType="begin"/>
      </w:r>
      <w:r w:rsidRPr="00E06E16">
        <w:rPr>
          <w:b/>
          <w:lang w:val="en-US"/>
        </w:rPr>
        <w:instrText xml:space="preserve"> SEQ Diagram \* ARABIC </w:instrText>
      </w:r>
      <w:r w:rsidRPr="00E06E16">
        <w:rPr>
          <w:b/>
          <w:lang w:val="en-US"/>
        </w:rPr>
        <w:fldChar w:fldCharType="separate"/>
      </w:r>
      <w:r w:rsidRPr="00E06E16">
        <w:rPr>
          <w:b/>
          <w:lang w:val="en-US"/>
        </w:rPr>
        <w:t>5</w:t>
      </w:r>
      <w:r w:rsidRPr="00E06E16">
        <w:rPr>
          <w:b/>
          <w:lang w:val="en-US"/>
        </w:rPr>
        <w:fldChar w:fldCharType="end"/>
      </w:r>
      <w:r w:rsidRPr="00E06E16">
        <w:rPr>
          <w:b/>
          <w:lang w:val="en-US"/>
        </w:rPr>
        <w:t>: Mapping of the US market</w:t>
      </w:r>
      <w:bookmarkEnd w:id="56"/>
    </w:p>
    <w:p w:rsidR="00B906BF" w:rsidRPr="00E06E16" w:rsidRDefault="00B906BF" w:rsidP="00E06E16">
      <w:pPr>
        <w:pStyle w:val="ListParagraph"/>
        <w:jc w:val="center"/>
        <w:rPr>
          <w:lang w:val="en-US"/>
        </w:rPr>
      </w:pPr>
    </w:p>
    <w:p w:rsidR="00511848" w:rsidRDefault="00511848" w:rsidP="00511848">
      <w:pPr>
        <w:pStyle w:val="ListParagraph"/>
        <w:jc w:val="center"/>
        <w:rPr>
          <w:b/>
          <w:lang w:val="en-US"/>
        </w:rPr>
      </w:pPr>
      <w:r w:rsidRPr="00E06E16">
        <w:rPr>
          <w:b/>
          <w:noProof/>
          <w:lang w:val="en-US"/>
        </w:rPr>
        <w:drawing>
          <wp:inline distT="0" distB="0" distL="0" distR="0" wp14:anchorId="55D078FF" wp14:editId="39BEBFA1">
            <wp:extent cx="5486400" cy="4191000"/>
            <wp:effectExtent l="0" t="0" r="0" b="38100"/>
            <wp:docPr id="26" name="Diagram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967392" w:rsidRDefault="00967392" w:rsidP="00511848">
      <w:pPr>
        <w:pStyle w:val="ListParagraph"/>
        <w:jc w:val="center"/>
        <w:rPr>
          <w:b/>
          <w:lang w:val="en-US"/>
        </w:rPr>
      </w:pPr>
    </w:p>
    <w:p w:rsidR="00B906BF" w:rsidRPr="00E06E16" w:rsidRDefault="00B906BF" w:rsidP="00E06E16">
      <w:pPr>
        <w:pStyle w:val="ListParagraph"/>
        <w:jc w:val="center"/>
        <w:rPr>
          <w:b/>
          <w:lang w:val="en-US"/>
        </w:rPr>
      </w:pPr>
      <w:bookmarkStart w:id="57" w:name="_Ref342241124"/>
      <w:r w:rsidRPr="00E06E16">
        <w:rPr>
          <w:b/>
          <w:lang w:val="en-US"/>
        </w:rPr>
        <w:lastRenderedPageBreak/>
        <w:t xml:space="preserve">Table </w:t>
      </w:r>
      <w:r w:rsidRPr="00E06E16">
        <w:rPr>
          <w:b/>
          <w:lang w:val="en-US"/>
        </w:rPr>
        <w:fldChar w:fldCharType="begin"/>
      </w:r>
      <w:r w:rsidRPr="00E06E16">
        <w:rPr>
          <w:b/>
          <w:lang w:val="en-US"/>
        </w:rPr>
        <w:instrText xml:space="preserve"> SEQ Table \* ARABIC </w:instrText>
      </w:r>
      <w:r w:rsidRPr="00E06E16">
        <w:rPr>
          <w:b/>
          <w:lang w:val="en-US"/>
        </w:rPr>
        <w:fldChar w:fldCharType="separate"/>
      </w:r>
      <w:r w:rsidRPr="00E06E16">
        <w:rPr>
          <w:b/>
          <w:lang w:val="en-US"/>
        </w:rPr>
        <w:t>6</w:t>
      </w:r>
      <w:r w:rsidRPr="00E06E16">
        <w:rPr>
          <w:b/>
          <w:lang w:val="en-US"/>
        </w:rPr>
        <w:fldChar w:fldCharType="end"/>
      </w:r>
      <w:r>
        <w:rPr>
          <w:b/>
          <w:lang w:val="en-US"/>
        </w:rPr>
        <w:t>: Quinoa price trend between 1990 and 2010 (FOB)</w:t>
      </w:r>
      <w:bookmarkEnd w:id="57"/>
    </w:p>
    <w:tbl>
      <w:tblPr>
        <w:tblStyle w:val="TableGrid"/>
        <w:tblW w:w="0" w:type="auto"/>
        <w:tblInd w:w="720" w:type="dxa"/>
        <w:tblLook w:val="04A0" w:firstRow="1" w:lastRow="0" w:firstColumn="1" w:lastColumn="0" w:noHBand="0" w:noVBand="1"/>
      </w:tblPr>
      <w:tblGrid>
        <w:gridCol w:w="4420"/>
        <w:gridCol w:w="4436"/>
      </w:tblGrid>
      <w:tr w:rsidR="00511848" w:rsidTr="00E54F78">
        <w:tc>
          <w:tcPr>
            <w:tcW w:w="4420" w:type="dxa"/>
            <w:shd w:val="clear" w:color="auto" w:fill="FFFF00"/>
          </w:tcPr>
          <w:p w:rsidR="00511848" w:rsidRDefault="00511848" w:rsidP="00E54F78">
            <w:pPr>
              <w:pStyle w:val="ListParagraph"/>
              <w:ind w:left="0"/>
              <w:jc w:val="center"/>
              <w:rPr>
                <w:b/>
                <w:lang w:val="en-US"/>
              </w:rPr>
            </w:pPr>
            <w:r>
              <w:rPr>
                <w:b/>
                <w:lang w:val="en-US"/>
              </w:rPr>
              <w:t>Year</w:t>
            </w:r>
          </w:p>
        </w:tc>
        <w:tc>
          <w:tcPr>
            <w:tcW w:w="4436" w:type="dxa"/>
            <w:shd w:val="clear" w:color="auto" w:fill="FFFF00"/>
          </w:tcPr>
          <w:p w:rsidR="00511848" w:rsidRDefault="00511848" w:rsidP="00E54F78">
            <w:pPr>
              <w:pStyle w:val="ListParagraph"/>
              <w:ind w:left="0"/>
              <w:rPr>
                <w:b/>
                <w:lang w:val="en-US"/>
              </w:rPr>
            </w:pPr>
            <w:r>
              <w:rPr>
                <w:b/>
                <w:lang w:val="en-US"/>
              </w:rPr>
              <w:t>Export quinoa prices (FOB)</w:t>
            </w:r>
          </w:p>
        </w:tc>
      </w:tr>
      <w:tr w:rsidR="00511848" w:rsidTr="00E54F78">
        <w:tc>
          <w:tcPr>
            <w:tcW w:w="4420" w:type="dxa"/>
          </w:tcPr>
          <w:p w:rsidR="00511848" w:rsidRDefault="00511848" w:rsidP="00E54F78">
            <w:pPr>
              <w:pStyle w:val="ListParagraph"/>
              <w:ind w:left="0"/>
              <w:jc w:val="center"/>
              <w:rPr>
                <w:b/>
                <w:lang w:val="en-US"/>
              </w:rPr>
            </w:pPr>
            <w:r>
              <w:rPr>
                <w:b/>
                <w:lang w:val="en-US"/>
              </w:rPr>
              <w:t>1990</w:t>
            </w:r>
          </w:p>
        </w:tc>
        <w:tc>
          <w:tcPr>
            <w:tcW w:w="4436" w:type="dxa"/>
          </w:tcPr>
          <w:p w:rsidR="00511848" w:rsidRDefault="00511848" w:rsidP="00E54F78">
            <w:pPr>
              <w:pStyle w:val="ListParagraph"/>
              <w:ind w:left="0"/>
              <w:jc w:val="center"/>
              <w:rPr>
                <w:b/>
                <w:lang w:val="en-US"/>
              </w:rPr>
            </w:pPr>
            <w:r>
              <w:rPr>
                <w:b/>
                <w:lang w:val="en-US"/>
              </w:rPr>
              <w:t>830</w:t>
            </w:r>
          </w:p>
        </w:tc>
      </w:tr>
      <w:tr w:rsidR="00511848" w:rsidTr="00E54F78">
        <w:tc>
          <w:tcPr>
            <w:tcW w:w="4420" w:type="dxa"/>
          </w:tcPr>
          <w:p w:rsidR="00511848" w:rsidRDefault="00511848" w:rsidP="00E54F78">
            <w:pPr>
              <w:pStyle w:val="ListParagraph"/>
              <w:ind w:left="0"/>
              <w:jc w:val="center"/>
              <w:rPr>
                <w:b/>
                <w:lang w:val="en-US"/>
              </w:rPr>
            </w:pPr>
            <w:r>
              <w:rPr>
                <w:b/>
                <w:lang w:val="en-US"/>
              </w:rPr>
              <w:t>1991</w:t>
            </w:r>
          </w:p>
        </w:tc>
        <w:tc>
          <w:tcPr>
            <w:tcW w:w="4436" w:type="dxa"/>
          </w:tcPr>
          <w:p w:rsidR="00511848" w:rsidRDefault="00511848" w:rsidP="00E54F78">
            <w:pPr>
              <w:pStyle w:val="ListParagraph"/>
              <w:ind w:left="0"/>
              <w:jc w:val="center"/>
              <w:rPr>
                <w:b/>
                <w:lang w:val="en-US"/>
              </w:rPr>
            </w:pPr>
            <w:r>
              <w:rPr>
                <w:b/>
                <w:lang w:val="en-US"/>
              </w:rPr>
              <w:t>900</w:t>
            </w:r>
          </w:p>
        </w:tc>
      </w:tr>
      <w:tr w:rsidR="00511848" w:rsidTr="00E54F78">
        <w:tc>
          <w:tcPr>
            <w:tcW w:w="4420" w:type="dxa"/>
          </w:tcPr>
          <w:p w:rsidR="00511848" w:rsidRDefault="00511848" w:rsidP="00E54F78">
            <w:pPr>
              <w:pStyle w:val="ListParagraph"/>
              <w:ind w:left="0"/>
              <w:jc w:val="center"/>
              <w:rPr>
                <w:b/>
                <w:lang w:val="en-US"/>
              </w:rPr>
            </w:pPr>
            <w:r>
              <w:rPr>
                <w:b/>
                <w:lang w:val="en-US"/>
              </w:rPr>
              <w:t>1992</w:t>
            </w:r>
          </w:p>
        </w:tc>
        <w:tc>
          <w:tcPr>
            <w:tcW w:w="4436" w:type="dxa"/>
          </w:tcPr>
          <w:p w:rsidR="00511848" w:rsidRDefault="00511848" w:rsidP="00E54F78">
            <w:pPr>
              <w:pStyle w:val="ListParagraph"/>
              <w:ind w:left="0"/>
              <w:jc w:val="center"/>
              <w:rPr>
                <w:b/>
                <w:lang w:val="en-US"/>
              </w:rPr>
            </w:pPr>
            <w:r>
              <w:rPr>
                <w:b/>
                <w:lang w:val="en-US"/>
              </w:rPr>
              <w:t>920</w:t>
            </w:r>
          </w:p>
        </w:tc>
      </w:tr>
      <w:tr w:rsidR="00511848" w:rsidTr="00E54F78">
        <w:tc>
          <w:tcPr>
            <w:tcW w:w="4420" w:type="dxa"/>
          </w:tcPr>
          <w:p w:rsidR="00511848" w:rsidRDefault="00511848" w:rsidP="00E54F78">
            <w:pPr>
              <w:pStyle w:val="ListParagraph"/>
              <w:ind w:left="0"/>
              <w:jc w:val="center"/>
              <w:rPr>
                <w:b/>
                <w:lang w:val="en-US"/>
              </w:rPr>
            </w:pPr>
            <w:r>
              <w:rPr>
                <w:b/>
                <w:lang w:val="en-US"/>
              </w:rPr>
              <w:t>1993</w:t>
            </w:r>
          </w:p>
        </w:tc>
        <w:tc>
          <w:tcPr>
            <w:tcW w:w="4436" w:type="dxa"/>
          </w:tcPr>
          <w:p w:rsidR="00511848" w:rsidRDefault="00511848" w:rsidP="00E54F78">
            <w:pPr>
              <w:pStyle w:val="ListParagraph"/>
              <w:ind w:left="0"/>
              <w:jc w:val="center"/>
              <w:rPr>
                <w:b/>
                <w:lang w:val="en-US"/>
              </w:rPr>
            </w:pPr>
            <w:r>
              <w:rPr>
                <w:b/>
                <w:lang w:val="en-US"/>
              </w:rPr>
              <w:t>1020</w:t>
            </w:r>
          </w:p>
        </w:tc>
      </w:tr>
      <w:tr w:rsidR="00511848" w:rsidTr="00E54F78">
        <w:tc>
          <w:tcPr>
            <w:tcW w:w="4420" w:type="dxa"/>
          </w:tcPr>
          <w:p w:rsidR="00511848" w:rsidRDefault="00511848" w:rsidP="00E54F78">
            <w:pPr>
              <w:pStyle w:val="ListParagraph"/>
              <w:ind w:left="0"/>
              <w:jc w:val="center"/>
              <w:rPr>
                <w:b/>
                <w:lang w:val="en-US"/>
              </w:rPr>
            </w:pPr>
            <w:r>
              <w:rPr>
                <w:b/>
                <w:lang w:val="en-US"/>
              </w:rPr>
              <w:t>1994</w:t>
            </w:r>
          </w:p>
        </w:tc>
        <w:tc>
          <w:tcPr>
            <w:tcW w:w="4436" w:type="dxa"/>
          </w:tcPr>
          <w:p w:rsidR="00511848" w:rsidRDefault="00511848" w:rsidP="00E54F78">
            <w:pPr>
              <w:pStyle w:val="ListParagraph"/>
              <w:ind w:left="0"/>
              <w:jc w:val="center"/>
              <w:rPr>
                <w:b/>
                <w:lang w:val="en-US"/>
              </w:rPr>
            </w:pPr>
            <w:r>
              <w:rPr>
                <w:b/>
                <w:lang w:val="en-US"/>
              </w:rPr>
              <w:t>1300</w:t>
            </w:r>
          </w:p>
        </w:tc>
      </w:tr>
      <w:tr w:rsidR="00511848" w:rsidTr="00E54F78">
        <w:tc>
          <w:tcPr>
            <w:tcW w:w="4420" w:type="dxa"/>
          </w:tcPr>
          <w:p w:rsidR="00511848" w:rsidRDefault="00511848" w:rsidP="00E54F78">
            <w:pPr>
              <w:pStyle w:val="ListParagraph"/>
              <w:ind w:left="0"/>
              <w:jc w:val="center"/>
              <w:rPr>
                <w:b/>
                <w:lang w:val="en-US"/>
              </w:rPr>
            </w:pPr>
            <w:r>
              <w:rPr>
                <w:b/>
                <w:lang w:val="en-US"/>
              </w:rPr>
              <w:t>1995</w:t>
            </w:r>
          </w:p>
        </w:tc>
        <w:tc>
          <w:tcPr>
            <w:tcW w:w="4436" w:type="dxa"/>
          </w:tcPr>
          <w:p w:rsidR="00511848" w:rsidRDefault="00511848" w:rsidP="00E54F78">
            <w:pPr>
              <w:pStyle w:val="ListParagraph"/>
              <w:ind w:left="0"/>
              <w:jc w:val="center"/>
              <w:rPr>
                <w:b/>
                <w:lang w:val="en-US"/>
              </w:rPr>
            </w:pPr>
            <w:r>
              <w:rPr>
                <w:b/>
                <w:lang w:val="en-US"/>
              </w:rPr>
              <w:t>1250</w:t>
            </w:r>
          </w:p>
        </w:tc>
      </w:tr>
      <w:tr w:rsidR="00511848" w:rsidTr="00E54F78">
        <w:tc>
          <w:tcPr>
            <w:tcW w:w="4420" w:type="dxa"/>
          </w:tcPr>
          <w:p w:rsidR="00511848" w:rsidRDefault="00511848" w:rsidP="00E54F78">
            <w:pPr>
              <w:pStyle w:val="ListParagraph"/>
              <w:ind w:left="0"/>
              <w:jc w:val="center"/>
              <w:rPr>
                <w:b/>
                <w:lang w:val="en-US"/>
              </w:rPr>
            </w:pPr>
            <w:r>
              <w:rPr>
                <w:b/>
                <w:lang w:val="en-US"/>
              </w:rPr>
              <w:t>1996</w:t>
            </w:r>
          </w:p>
        </w:tc>
        <w:tc>
          <w:tcPr>
            <w:tcW w:w="4436" w:type="dxa"/>
          </w:tcPr>
          <w:p w:rsidR="00511848" w:rsidRDefault="00511848" w:rsidP="00E54F78">
            <w:pPr>
              <w:pStyle w:val="ListParagraph"/>
              <w:ind w:left="0"/>
              <w:jc w:val="center"/>
              <w:rPr>
                <w:b/>
                <w:lang w:val="en-US"/>
              </w:rPr>
            </w:pPr>
            <w:r>
              <w:rPr>
                <w:b/>
                <w:lang w:val="en-US"/>
              </w:rPr>
              <w:t>1050</w:t>
            </w:r>
          </w:p>
        </w:tc>
      </w:tr>
      <w:tr w:rsidR="00511848" w:rsidTr="00E54F78">
        <w:tc>
          <w:tcPr>
            <w:tcW w:w="4420" w:type="dxa"/>
          </w:tcPr>
          <w:p w:rsidR="00511848" w:rsidRDefault="00511848" w:rsidP="00E54F78">
            <w:pPr>
              <w:pStyle w:val="ListParagraph"/>
              <w:ind w:left="0"/>
              <w:jc w:val="center"/>
              <w:rPr>
                <w:b/>
                <w:lang w:val="en-US"/>
              </w:rPr>
            </w:pPr>
            <w:r>
              <w:rPr>
                <w:b/>
                <w:lang w:val="en-US"/>
              </w:rPr>
              <w:t>1997</w:t>
            </w:r>
          </w:p>
        </w:tc>
        <w:tc>
          <w:tcPr>
            <w:tcW w:w="4436" w:type="dxa"/>
          </w:tcPr>
          <w:p w:rsidR="00511848" w:rsidRDefault="00511848" w:rsidP="00E54F78">
            <w:pPr>
              <w:pStyle w:val="ListParagraph"/>
              <w:ind w:left="0"/>
              <w:jc w:val="center"/>
              <w:rPr>
                <w:b/>
                <w:lang w:val="en-US"/>
              </w:rPr>
            </w:pPr>
            <w:r>
              <w:rPr>
                <w:b/>
                <w:lang w:val="en-US"/>
              </w:rPr>
              <w:t>1210</w:t>
            </w:r>
          </w:p>
        </w:tc>
      </w:tr>
      <w:tr w:rsidR="00511848" w:rsidTr="00E54F78">
        <w:tc>
          <w:tcPr>
            <w:tcW w:w="4420" w:type="dxa"/>
          </w:tcPr>
          <w:p w:rsidR="00511848" w:rsidRDefault="00511848" w:rsidP="00E54F78">
            <w:pPr>
              <w:pStyle w:val="ListParagraph"/>
              <w:ind w:left="0"/>
              <w:jc w:val="center"/>
              <w:rPr>
                <w:b/>
                <w:lang w:val="en-US"/>
              </w:rPr>
            </w:pPr>
            <w:r>
              <w:rPr>
                <w:b/>
                <w:lang w:val="en-US"/>
              </w:rPr>
              <w:t>1998</w:t>
            </w:r>
          </w:p>
        </w:tc>
        <w:tc>
          <w:tcPr>
            <w:tcW w:w="4436" w:type="dxa"/>
          </w:tcPr>
          <w:p w:rsidR="00511848" w:rsidRDefault="00511848" w:rsidP="00E54F78">
            <w:pPr>
              <w:pStyle w:val="ListParagraph"/>
              <w:ind w:left="0"/>
              <w:jc w:val="center"/>
              <w:rPr>
                <w:b/>
                <w:lang w:val="en-US"/>
              </w:rPr>
            </w:pPr>
            <w:r>
              <w:rPr>
                <w:b/>
                <w:lang w:val="en-US"/>
              </w:rPr>
              <w:t>1260</w:t>
            </w:r>
          </w:p>
        </w:tc>
      </w:tr>
      <w:tr w:rsidR="00511848" w:rsidTr="00E54F78">
        <w:tc>
          <w:tcPr>
            <w:tcW w:w="4420" w:type="dxa"/>
          </w:tcPr>
          <w:p w:rsidR="00511848" w:rsidRDefault="00511848" w:rsidP="00E54F78">
            <w:pPr>
              <w:pStyle w:val="ListParagraph"/>
              <w:ind w:left="0"/>
              <w:jc w:val="center"/>
              <w:rPr>
                <w:b/>
                <w:lang w:val="en-US"/>
              </w:rPr>
            </w:pPr>
            <w:r>
              <w:rPr>
                <w:b/>
                <w:lang w:val="en-US"/>
              </w:rPr>
              <w:t>1999</w:t>
            </w:r>
          </w:p>
        </w:tc>
        <w:tc>
          <w:tcPr>
            <w:tcW w:w="4436" w:type="dxa"/>
          </w:tcPr>
          <w:p w:rsidR="00511848" w:rsidRDefault="00511848" w:rsidP="00E54F78">
            <w:pPr>
              <w:pStyle w:val="ListParagraph"/>
              <w:ind w:left="0"/>
              <w:jc w:val="center"/>
              <w:rPr>
                <w:b/>
                <w:lang w:val="en-US"/>
              </w:rPr>
            </w:pPr>
            <w:r>
              <w:rPr>
                <w:b/>
                <w:lang w:val="en-US"/>
              </w:rPr>
              <w:t>1343</w:t>
            </w:r>
          </w:p>
        </w:tc>
      </w:tr>
      <w:tr w:rsidR="00511848" w:rsidTr="00E54F78">
        <w:tc>
          <w:tcPr>
            <w:tcW w:w="4420" w:type="dxa"/>
          </w:tcPr>
          <w:p w:rsidR="00511848" w:rsidRDefault="00511848" w:rsidP="00E54F78">
            <w:pPr>
              <w:pStyle w:val="ListParagraph"/>
              <w:ind w:left="0"/>
              <w:jc w:val="center"/>
              <w:rPr>
                <w:b/>
                <w:lang w:val="en-US"/>
              </w:rPr>
            </w:pPr>
            <w:r>
              <w:rPr>
                <w:b/>
                <w:lang w:val="en-US"/>
              </w:rPr>
              <w:t>2000</w:t>
            </w:r>
          </w:p>
        </w:tc>
        <w:tc>
          <w:tcPr>
            <w:tcW w:w="4436" w:type="dxa"/>
          </w:tcPr>
          <w:p w:rsidR="00511848" w:rsidRDefault="00511848" w:rsidP="00E54F78">
            <w:pPr>
              <w:pStyle w:val="ListParagraph"/>
              <w:ind w:left="0"/>
              <w:jc w:val="center"/>
              <w:rPr>
                <w:b/>
                <w:lang w:val="en-US"/>
              </w:rPr>
            </w:pPr>
            <w:r>
              <w:rPr>
                <w:b/>
                <w:lang w:val="en-US"/>
              </w:rPr>
              <w:t>1259</w:t>
            </w:r>
          </w:p>
        </w:tc>
      </w:tr>
      <w:tr w:rsidR="00511848" w:rsidTr="00E54F78">
        <w:tc>
          <w:tcPr>
            <w:tcW w:w="4420" w:type="dxa"/>
          </w:tcPr>
          <w:p w:rsidR="00511848" w:rsidRDefault="00511848" w:rsidP="00E54F78">
            <w:pPr>
              <w:pStyle w:val="ListParagraph"/>
              <w:ind w:left="0"/>
              <w:jc w:val="center"/>
              <w:rPr>
                <w:b/>
                <w:lang w:val="en-US"/>
              </w:rPr>
            </w:pPr>
            <w:r>
              <w:rPr>
                <w:b/>
                <w:lang w:val="en-US"/>
              </w:rPr>
              <w:t>2001</w:t>
            </w:r>
          </w:p>
        </w:tc>
        <w:tc>
          <w:tcPr>
            <w:tcW w:w="4436" w:type="dxa"/>
          </w:tcPr>
          <w:p w:rsidR="00511848" w:rsidRDefault="00511848" w:rsidP="00E54F78">
            <w:pPr>
              <w:pStyle w:val="ListParagraph"/>
              <w:ind w:left="0"/>
              <w:jc w:val="center"/>
              <w:rPr>
                <w:b/>
                <w:lang w:val="en-US"/>
              </w:rPr>
            </w:pPr>
            <w:r>
              <w:rPr>
                <w:b/>
                <w:lang w:val="en-US"/>
              </w:rPr>
              <w:t>1136</w:t>
            </w:r>
          </w:p>
        </w:tc>
      </w:tr>
      <w:tr w:rsidR="00511848" w:rsidTr="00E54F78">
        <w:tc>
          <w:tcPr>
            <w:tcW w:w="4420" w:type="dxa"/>
          </w:tcPr>
          <w:p w:rsidR="00511848" w:rsidRDefault="00511848" w:rsidP="00E54F78">
            <w:pPr>
              <w:pStyle w:val="ListParagraph"/>
              <w:tabs>
                <w:tab w:val="left" w:pos="1875"/>
                <w:tab w:val="center" w:pos="2102"/>
              </w:tabs>
              <w:ind w:left="0"/>
              <w:rPr>
                <w:b/>
                <w:lang w:val="en-US"/>
              </w:rPr>
            </w:pPr>
            <w:r>
              <w:rPr>
                <w:b/>
                <w:lang w:val="en-US"/>
              </w:rPr>
              <w:tab/>
            </w:r>
            <w:r>
              <w:rPr>
                <w:b/>
                <w:lang w:val="en-US"/>
              </w:rPr>
              <w:tab/>
              <w:t>2002</w:t>
            </w:r>
          </w:p>
        </w:tc>
        <w:tc>
          <w:tcPr>
            <w:tcW w:w="4436" w:type="dxa"/>
          </w:tcPr>
          <w:p w:rsidR="00511848" w:rsidRDefault="00511848" w:rsidP="00E54F78">
            <w:pPr>
              <w:pStyle w:val="ListParagraph"/>
              <w:ind w:left="0"/>
              <w:jc w:val="center"/>
              <w:rPr>
                <w:b/>
                <w:lang w:val="en-US"/>
              </w:rPr>
            </w:pPr>
            <w:r>
              <w:rPr>
                <w:b/>
                <w:lang w:val="en-US"/>
              </w:rPr>
              <w:t>1153</w:t>
            </w:r>
          </w:p>
        </w:tc>
      </w:tr>
      <w:tr w:rsidR="00511848" w:rsidTr="00E54F78">
        <w:tc>
          <w:tcPr>
            <w:tcW w:w="4420" w:type="dxa"/>
          </w:tcPr>
          <w:p w:rsidR="00511848" w:rsidRDefault="00511848" w:rsidP="00E54F78">
            <w:pPr>
              <w:pStyle w:val="ListParagraph"/>
              <w:ind w:left="0"/>
              <w:jc w:val="center"/>
              <w:rPr>
                <w:b/>
                <w:lang w:val="en-US"/>
              </w:rPr>
            </w:pPr>
            <w:r>
              <w:rPr>
                <w:b/>
                <w:lang w:val="en-US"/>
              </w:rPr>
              <w:t>2003</w:t>
            </w:r>
          </w:p>
        </w:tc>
        <w:tc>
          <w:tcPr>
            <w:tcW w:w="4436" w:type="dxa"/>
          </w:tcPr>
          <w:p w:rsidR="00511848" w:rsidRDefault="00511848" w:rsidP="00E54F78">
            <w:pPr>
              <w:pStyle w:val="ListParagraph"/>
              <w:ind w:left="0"/>
              <w:jc w:val="center"/>
              <w:rPr>
                <w:b/>
                <w:lang w:val="en-US"/>
              </w:rPr>
            </w:pPr>
            <w:r>
              <w:rPr>
                <w:b/>
                <w:lang w:val="en-US"/>
              </w:rPr>
              <w:t>1101</w:t>
            </w:r>
          </w:p>
        </w:tc>
      </w:tr>
      <w:tr w:rsidR="00511848" w:rsidTr="00E54F78">
        <w:tc>
          <w:tcPr>
            <w:tcW w:w="4420" w:type="dxa"/>
          </w:tcPr>
          <w:p w:rsidR="00511848" w:rsidRDefault="00511848" w:rsidP="00E54F78">
            <w:pPr>
              <w:pStyle w:val="ListParagraph"/>
              <w:ind w:left="0"/>
              <w:jc w:val="center"/>
              <w:rPr>
                <w:b/>
                <w:lang w:val="en-US"/>
              </w:rPr>
            </w:pPr>
            <w:r>
              <w:rPr>
                <w:b/>
                <w:lang w:val="en-US"/>
              </w:rPr>
              <w:t>2004</w:t>
            </w:r>
          </w:p>
        </w:tc>
        <w:tc>
          <w:tcPr>
            <w:tcW w:w="4436" w:type="dxa"/>
          </w:tcPr>
          <w:p w:rsidR="00511848" w:rsidRDefault="00511848" w:rsidP="00E54F78">
            <w:pPr>
              <w:pStyle w:val="ListParagraph"/>
              <w:ind w:left="0"/>
              <w:jc w:val="center"/>
              <w:rPr>
                <w:b/>
                <w:lang w:val="en-US"/>
              </w:rPr>
            </w:pPr>
            <w:r>
              <w:rPr>
                <w:b/>
                <w:lang w:val="en-US"/>
              </w:rPr>
              <w:t>1140</w:t>
            </w:r>
          </w:p>
        </w:tc>
      </w:tr>
      <w:tr w:rsidR="00511848" w:rsidTr="00E54F78">
        <w:tc>
          <w:tcPr>
            <w:tcW w:w="4420" w:type="dxa"/>
          </w:tcPr>
          <w:p w:rsidR="00511848" w:rsidRDefault="00511848" w:rsidP="00E54F78">
            <w:pPr>
              <w:pStyle w:val="ListParagraph"/>
              <w:ind w:left="0"/>
              <w:jc w:val="center"/>
              <w:rPr>
                <w:b/>
                <w:lang w:val="en-US"/>
              </w:rPr>
            </w:pPr>
            <w:r>
              <w:rPr>
                <w:b/>
                <w:lang w:val="en-US"/>
              </w:rPr>
              <w:t>2005</w:t>
            </w:r>
          </w:p>
        </w:tc>
        <w:tc>
          <w:tcPr>
            <w:tcW w:w="4436" w:type="dxa"/>
          </w:tcPr>
          <w:p w:rsidR="00511848" w:rsidRDefault="00511848" w:rsidP="00E54F78">
            <w:pPr>
              <w:pStyle w:val="ListParagraph"/>
              <w:ind w:left="0"/>
              <w:jc w:val="center"/>
              <w:rPr>
                <w:b/>
                <w:lang w:val="en-US"/>
              </w:rPr>
            </w:pPr>
            <w:r>
              <w:rPr>
                <w:b/>
                <w:lang w:val="en-US"/>
              </w:rPr>
              <w:t>1155</w:t>
            </w:r>
          </w:p>
        </w:tc>
      </w:tr>
      <w:tr w:rsidR="00511848" w:rsidTr="00E54F78">
        <w:tc>
          <w:tcPr>
            <w:tcW w:w="4420" w:type="dxa"/>
          </w:tcPr>
          <w:p w:rsidR="00511848" w:rsidRDefault="00511848" w:rsidP="00E54F78">
            <w:pPr>
              <w:pStyle w:val="ListParagraph"/>
              <w:ind w:left="0"/>
              <w:jc w:val="center"/>
              <w:rPr>
                <w:b/>
                <w:lang w:val="en-US"/>
              </w:rPr>
            </w:pPr>
            <w:r>
              <w:rPr>
                <w:b/>
                <w:lang w:val="en-US"/>
              </w:rPr>
              <w:t>2006</w:t>
            </w:r>
          </w:p>
        </w:tc>
        <w:tc>
          <w:tcPr>
            <w:tcW w:w="4436" w:type="dxa"/>
          </w:tcPr>
          <w:p w:rsidR="00511848" w:rsidRDefault="00511848" w:rsidP="00E54F78">
            <w:pPr>
              <w:pStyle w:val="ListParagraph"/>
              <w:ind w:left="0"/>
              <w:jc w:val="center"/>
              <w:rPr>
                <w:b/>
                <w:lang w:val="en-US"/>
              </w:rPr>
            </w:pPr>
            <w:r>
              <w:rPr>
                <w:b/>
                <w:lang w:val="en-US"/>
              </w:rPr>
              <w:t>1166</w:t>
            </w:r>
          </w:p>
        </w:tc>
      </w:tr>
      <w:tr w:rsidR="00511848" w:rsidTr="00E54F78">
        <w:tc>
          <w:tcPr>
            <w:tcW w:w="4420" w:type="dxa"/>
          </w:tcPr>
          <w:p w:rsidR="00511848" w:rsidRDefault="00511848" w:rsidP="00E54F78">
            <w:pPr>
              <w:pStyle w:val="ListParagraph"/>
              <w:ind w:left="0"/>
              <w:jc w:val="center"/>
              <w:rPr>
                <w:b/>
                <w:lang w:val="en-US"/>
              </w:rPr>
            </w:pPr>
            <w:r>
              <w:rPr>
                <w:b/>
                <w:lang w:val="en-US"/>
              </w:rPr>
              <w:t>2007</w:t>
            </w:r>
          </w:p>
        </w:tc>
        <w:tc>
          <w:tcPr>
            <w:tcW w:w="4436" w:type="dxa"/>
          </w:tcPr>
          <w:p w:rsidR="00511848" w:rsidRDefault="00511848" w:rsidP="00E54F78">
            <w:pPr>
              <w:pStyle w:val="ListParagraph"/>
              <w:ind w:left="0"/>
              <w:jc w:val="center"/>
              <w:rPr>
                <w:b/>
                <w:lang w:val="en-US"/>
              </w:rPr>
            </w:pPr>
            <w:r>
              <w:rPr>
                <w:b/>
                <w:lang w:val="en-US"/>
              </w:rPr>
              <w:t>1254</w:t>
            </w:r>
          </w:p>
        </w:tc>
      </w:tr>
      <w:tr w:rsidR="00511848" w:rsidTr="00E54F78">
        <w:tc>
          <w:tcPr>
            <w:tcW w:w="4420" w:type="dxa"/>
          </w:tcPr>
          <w:p w:rsidR="00511848" w:rsidRDefault="00511848" w:rsidP="00E54F78">
            <w:pPr>
              <w:pStyle w:val="ListParagraph"/>
              <w:ind w:left="0"/>
              <w:jc w:val="center"/>
              <w:rPr>
                <w:b/>
                <w:lang w:val="en-US"/>
              </w:rPr>
            </w:pPr>
            <w:r>
              <w:rPr>
                <w:b/>
                <w:lang w:val="en-US"/>
              </w:rPr>
              <w:t>2008</w:t>
            </w:r>
          </w:p>
        </w:tc>
        <w:tc>
          <w:tcPr>
            <w:tcW w:w="4436" w:type="dxa"/>
          </w:tcPr>
          <w:p w:rsidR="00511848" w:rsidRDefault="00511848" w:rsidP="00E54F78">
            <w:pPr>
              <w:pStyle w:val="ListParagraph"/>
              <w:ind w:left="0"/>
              <w:jc w:val="center"/>
              <w:rPr>
                <w:b/>
                <w:lang w:val="en-US"/>
              </w:rPr>
            </w:pPr>
            <w:r>
              <w:rPr>
                <w:b/>
                <w:lang w:val="en-US"/>
              </w:rPr>
              <w:t>2233</w:t>
            </w:r>
          </w:p>
        </w:tc>
      </w:tr>
      <w:tr w:rsidR="00511848" w:rsidTr="00E54F78">
        <w:tc>
          <w:tcPr>
            <w:tcW w:w="4420" w:type="dxa"/>
          </w:tcPr>
          <w:p w:rsidR="00511848" w:rsidRDefault="00511848" w:rsidP="00E54F78">
            <w:pPr>
              <w:pStyle w:val="ListParagraph"/>
              <w:ind w:left="0"/>
              <w:jc w:val="center"/>
              <w:rPr>
                <w:b/>
                <w:lang w:val="en-US"/>
              </w:rPr>
            </w:pPr>
            <w:r>
              <w:rPr>
                <w:b/>
                <w:lang w:val="en-US"/>
              </w:rPr>
              <w:t>2009</w:t>
            </w:r>
          </w:p>
        </w:tc>
        <w:tc>
          <w:tcPr>
            <w:tcW w:w="4436" w:type="dxa"/>
          </w:tcPr>
          <w:p w:rsidR="00511848" w:rsidRDefault="00511848" w:rsidP="00E54F78">
            <w:pPr>
              <w:pStyle w:val="ListParagraph"/>
              <w:ind w:left="0"/>
              <w:jc w:val="center"/>
              <w:rPr>
                <w:b/>
                <w:lang w:val="en-US"/>
              </w:rPr>
            </w:pPr>
            <w:r>
              <w:rPr>
                <w:b/>
                <w:lang w:val="en-US"/>
              </w:rPr>
              <w:t>3002</w:t>
            </w:r>
          </w:p>
        </w:tc>
      </w:tr>
      <w:tr w:rsidR="00511848" w:rsidTr="00E54F78">
        <w:tc>
          <w:tcPr>
            <w:tcW w:w="4420" w:type="dxa"/>
          </w:tcPr>
          <w:p w:rsidR="00511848" w:rsidRDefault="00511848" w:rsidP="00E54F78">
            <w:pPr>
              <w:pStyle w:val="ListParagraph"/>
              <w:ind w:left="0"/>
              <w:jc w:val="center"/>
              <w:rPr>
                <w:b/>
                <w:lang w:val="en-US"/>
              </w:rPr>
            </w:pPr>
            <w:r>
              <w:rPr>
                <w:b/>
                <w:lang w:val="en-US"/>
              </w:rPr>
              <w:t>2010</w:t>
            </w:r>
          </w:p>
        </w:tc>
        <w:tc>
          <w:tcPr>
            <w:tcW w:w="4436" w:type="dxa"/>
          </w:tcPr>
          <w:p w:rsidR="00511848" w:rsidRDefault="00511848" w:rsidP="00E54F78">
            <w:pPr>
              <w:pStyle w:val="ListParagraph"/>
              <w:ind w:left="0"/>
              <w:jc w:val="center"/>
              <w:rPr>
                <w:b/>
                <w:lang w:val="en-US"/>
              </w:rPr>
            </w:pPr>
            <w:r>
              <w:rPr>
                <w:b/>
                <w:lang w:val="en-US"/>
              </w:rPr>
              <w:t>3061</w:t>
            </w:r>
          </w:p>
        </w:tc>
      </w:tr>
    </w:tbl>
    <w:p w:rsidR="00511848" w:rsidRPr="00F7065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511848" w:rsidRDefault="00511848" w:rsidP="00511848">
      <w:pPr>
        <w:pStyle w:val="ListParagraph"/>
        <w:jc w:val="center"/>
        <w:rPr>
          <w:b/>
          <w:lang w:val="en-US"/>
        </w:rPr>
      </w:pPr>
    </w:p>
    <w:p w:rsidR="00D0233B" w:rsidRDefault="00D0233B" w:rsidP="00E06E16">
      <w:pPr>
        <w:pStyle w:val="Caption"/>
        <w:jc w:val="center"/>
        <w:rPr>
          <w:lang w:val="en-US"/>
        </w:rPr>
      </w:pPr>
    </w:p>
    <w:p w:rsidR="00F136F6" w:rsidRDefault="00F136F6" w:rsidP="00FA122F">
      <w:pPr>
        <w:rPr>
          <w:lang w:val="en-US"/>
        </w:rPr>
      </w:pPr>
    </w:p>
    <w:p w:rsidR="00F136F6" w:rsidRDefault="00F136F6" w:rsidP="00FA122F">
      <w:pPr>
        <w:rPr>
          <w:lang w:val="en-US"/>
        </w:rPr>
      </w:pPr>
    </w:p>
    <w:p w:rsidR="00F136F6" w:rsidRDefault="00F136F6" w:rsidP="00F136F6">
      <w:pPr>
        <w:pStyle w:val="ListParagraph"/>
        <w:jc w:val="center"/>
        <w:rPr>
          <w:b/>
          <w:lang w:val="en-US"/>
        </w:rPr>
      </w:pPr>
      <w:r w:rsidRPr="00FA122F">
        <w:rPr>
          <w:noProof/>
          <w:lang w:val="en-US"/>
        </w:rPr>
        <w:lastRenderedPageBreak/>
        <w:drawing>
          <wp:inline distT="0" distB="0" distL="0" distR="0" wp14:anchorId="65CA5A07" wp14:editId="1EECB6E1">
            <wp:extent cx="5943600" cy="4286250"/>
            <wp:effectExtent l="0" t="0" r="19050" b="1905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F136F6" w:rsidRDefault="00F136F6" w:rsidP="00F136F6">
      <w:pPr>
        <w:pStyle w:val="ListParagraph"/>
        <w:jc w:val="center"/>
        <w:rPr>
          <w:b/>
          <w:lang w:val="en-US"/>
        </w:rPr>
      </w:pPr>
      <w:r>
        <w:rPr>
          <w:b/>
          <w:lang w:val="en-US"/>
        </w:rPr>
        <w:t>Fi</w:t>
      </w:r>
      <w:r w:rsidR="00967392">
        <w:rPr>
          <w:b/>
          <w:lang w:val="en-US"/>
        </w:rPr>
        <w:t xml:space="preserve">gure 12: Commodity Prices Trend including quinoa prices </w:t>
      </w:r>
      <w:r>
        <w:rPr>
          <w:b/>
          <w:lang w:val="en-US"/>
        </w:rPr>
        <w:t>(US$/TM)</w:t>
      </w:r>
    </w:p>
    <w:p w:rsidR="004F43CE" w:rsidRDefault="004F43CE">
      <w:pPr>
        <w:rPr>
          <w:lang w:val="en-US"/>
        </w:rPr>
      </w:pPr>
      <w:r>
        <w:rPr>
          <w:lang w:val="en-US"/>
        </w:rPr>
        <w:br w:type="page"/>
      </w:r>
    </w:p>
    <w:p w:rsidR="004F43CE" w:rsidRPr="00046BF3" w:rsidRDefault="004F43CE" w:rsidP="004F43CE">
      <w:pPr>
        <w:pStyle w:val="Heading1"/>
        <w:rPr>
          <w:rFonts w:ascii="Garamond" w:hAnsi="Garamond"/>
          <w:b w:val="0"/>
          <w:color w:val="auto"/>
          <w:sz w:val="36"/>
          <w:szCs w:val="36"/>
          <w:lang w:val="en-US"/>
        </w:rPr>
      </w:pPr>
      <w:bookmarkStart w:id="58" w:name="_Ref342251768"/>
      <w:r w:rsidRPr="00046BF3">
        <w:rPr>
          <w:rFonts w:ascii="Garamond" w:hAnsi="Garamond"/>
          <w:b w:val="0"/>
          <w:color w:val="auto"/>
          <w:sz w:val="36"/>
          <w:szCs w:val="36"/>
          <w:lang w:val="en-US"/>
        </w:rPr>
        <w:lastRenderedPageBreak/>
        <w:t>References</w:t>
      </w:r>
      <w:bookmarkEnd w:id="58"/>
    </w:p>
    <w:p w:rsidR="004F43CE" w:rsidRPr="001D2A1F" w:rsidRDefault="004F43CE" w:rsidP="004F43CE">
      <w:pPr>
        <w:autoSpaceDE w:val="0"/>
        <w:autoSpaceDN w:val="0"/>
        <w:adjustRightInd w:val="0"/>
        <w:spacing w:after="240" w:line="240" w:lineRule="auto"/>
        <w:ind w:left="432" w:hanging="432"/>
        <w:rPr>
          <w:rFonts w:cs="TimesNewRomanPSMT"/>
          <w:lang w:val="en-US"/>
        </w:rPr>
      </w:pPr>
      <w:proofErr w:type="spellStart"/>
      <w:r w:rsidRPr="001D2A1F">
        <w:rPr>
          <w:rFonts w:cs="TimesNewRomanPSMT"/>
          <w:lang w:val="en-US"/>
        </w:rPr>
        <w:t>Abdulai</w:t>
      </w:r>
      <w:proofErr w:type="spellEnd"/>
      <w:r w:rsidRPr="001D2A1F">
        <w:rPr>
          <w:rFonts w:cs="TimesNewRomanPSMT"/>
          <w:lang w:val="en-US"/>
        </w:rPr>
        <w:t xml:space="preserve">, A. (2006) </w:t>
      </w:r>
      <w:r>
        <w:rPr>
          <w:rFonts w:cs="TimesNewRomanPSMT"/>
          <w:lang w:val="en-US"/>
        </w:rPr>
        <w:t>‘</w:t>
      </w:r>
      <w:r w:rsidRPr="001D2A1F">
        <w:rPr>
          <w:rFonts w:cs="TimesNewRomanPSMT"/>
          <w:lang w:val="en-US"/>
        </w:rPr>
        <w:t>Spatial integration and price transmission in agricultural commodity markets in sub-Saharan Africa</w:t>
      </w:r>
      <w:r>
        <w:rPr>
          <w:rFonts w:cs="TimesNewRomanPSMT"/>
          <w:lang w:val="en-US"/>
        </w:rPr>
        <w:t>’</w:t>
      </w:r>
      <w:r w:rsidRPr="001D2A1F">
        <w:rPr>
          <w:rFonts w:cs="TimesNewRomanPSMT"/>
          <w:lang w:val="en-US"/>
        </w:rPr>
        <w:t xml:space="preserve">. </w:t>
      </w:r>
      <w:r>
        <w:rPr>
          <w:rFonts w:cs="TimesNewRomanPSMT"/>
          <w:lang w:val="en-US"/>
        </w:rPr>
        <w:t xml:space="preserve"> </w:t>
      </w:r>
      <w:r w:rsidRPr="001D2A1F">
        <w:rPr>
          <w:rFonts w:cs="TimesNewRomanPSMT"/>
          <w:i/>
          <w:lang w:val="en-US"/>
        </w:rPr>
        <w:t>Agricultural Commodity Markets and Trade: New Approaches to Analyzing Market Structure and Instability</w:t>
      </w:r>
      <w:r w:rsidRPr="001D2A1F">
        <w:rPr>
          <w:rFonts w:cs="TimesNewRomanPSMT"/>
          <w:lang w:val="en-US"/>
        </w:rPr>
        <w:t xml:space="preserve">. A. Sarris and D. </w:t>
      </w:r>
      <w:proofErr w:type="spellStart"/>
      <w:r w:rsidRPr="001D2A1F">
        <w:rPr>
          <w:rFonts w:cs="TimesNewRomanPSMT"/>
          <w:lang w:val="en-US"/>
        </w:rPr>
        <w:t>Hallam</w:t>
      </w:r>
      <w:proofErr w:type="spellEnd"/>
      <w:r w:rsidRPr="001D2A1F">
        <w:rPr>
          <w:rFonts w:cs="TimesNewRomanPSMT"/>
          <w:lang w:val="en-US"/>
        </w:rPr>
        <w:t>, Food and Agricultural Organization of the United Nations &amp; Edward Elgar.</w:t>
      </w:r>
    </w:p>
    <w:p w:rsidR="004F43CE" w:rsidRDefault="004F43CE" w:rsidP="004F43CE">
      <w:pPr>
        <w:autoSpaceDE w:val="0"/>
        <w:autoSpaceDN w:val="0"/>
        <w:adjustRightInd w:val="0"/>
        <w:spacing w:after="240" w:line="240" w:lineRule="auto"/>
        <w:ind w:left="432" w:hanging="432"/>
        <w:rPr>
          <w:rFonts w:cs="TimesNewRomanPSMT"/>
          <w:lang w:val="en-US"/>
        </w:rPr>
      </w:pPr>
      <w:proofErr w:type="spellStart"/>
      <w:proofErr w:type="gramStart"/>
      <w:r w:rsidRPr="001D2A1F">
        <w:rPr>
          <w:rFonts w:cs="TimesNewRomanPSMT"/>
          <w:lang w:val="en-US"/>
        </w:rPr>
        <w:t>Bargawi</w:t>
      </w:r>
      <w:proofErr w:type="spellEnd"/>
      <w:r w:rsidRPr="001D2A1F">
        <w:rPr>
          <w:rFonts w:cs="TimesNewRomanPSMT"/>
          <w:lang w:val="en-US"/>
        </w:rPr>
        <w:t xml:space="preserve">, H. (2009) </w:t>
      </w:r>
      <w:r>
        <w:rPr>
          <w:rFonts w:cs="TimesNewRomanPSMT"/>
          <w:lang w:val="en-US"/>
        </w:rPr>
        <w:t>‘</w:t>
      </w:r>
      <w:r w:rsidRPr="001D2A1F">
        <w:rPr>
          <w:rFonts w:cs="TimesNewRomanPSMT"/>
          <w:lang w:val="en-US"/>
        </w:rPr>
        <w:t>Commodity Prices and Producers in Tanzania's Post-</w:t>
      </w:r>
      <w:proofErr w:type="spellStart"/>
      <w:r w:rsidRPr="001D2A1F">
        <w:rPr>
          <w:rFonts w:cs="TimesNewRomanPSMT"/>
          <w:lang w:val="en-US"/>
        </w:rPr>
        <w:t>liberalisation</w:t>
      </w:r>
      <w:proofErr w:type="spellEnd"/>
      <w:r w:rsidRPr="001D2A1F">
        <w:rPr>
          <w:rFonts w:cs="TimesNewRomanPSMT"/>
          <w:lang w:val="en-US"/>
        </w:rPr>
        <w:t xml:space="preserve"> Coffee and Cotton Sectors</w:t>
      </w:r>
      <w:r>
        <w:rPr>
          <w:rFonts w:cs="TimesNewRomanPSMT"/>
          <w:lang w:val="en-US"/>
        </w:rPr>
        <w:t>’</w:t>
      </w:r>
      <w:r w:rsidRPr="001D2A1F">
        <w:rPr>
          <w:rFonts w:cs="TimesNewRomanPSMT"/>
          <w:lang w:val="en-US"/>
        </w:rPr>
        <w:t>.</w:t>
      </w:r>
      <w:proofErr w:type="gramEnd"/>
      <w:r w:rsidRPr="001D2A1F">
        <w:rPr>
          <w:rFonts w:cs="TimesNewRomanPSMT"/>
          <w:lang w:val="en-US"/>
        </w:rPr>
        <w:t xml:space="preserve"> </w:t>
      </w:r>
      <w:r w:rsidRPr="001D2A1F">
        <w:rPr>
          <w:rFonts w:cs="TimesNewRomanPSMT"/>
          <w:i/>
          <w:lang w:val="en-US"/>
        </w:rPr>
        <w:t>Economics</w:t>
      </w:r>
      <w:r w:rsidRPr="001D2A1F">
        <w:rPr>
          <w:rFonts w:cs="TimesNewRomanPSMT"/>
          <w:lang w:val="en-US"/>
        </w:rPr>
        <w:t xml:space="preserve">, School of Oriental and African Studies, </w:t>
      </w:r>
      <w:proofErr w:type="spellStart"/>
      <w:r w:rsidRPr="001D2A1F">
        <w:rPr>
          <w:rFonts w:cs="TimesNewRomanPSMT"/>
          <w:lang w:val="en-US"/>
        </w:rPr>
        <w:t>Univeristy</w:t>
      </w:r>
      <w:proofErr w:type="spellEnd"/>
      <w:r w:rsidRPr="001D2A1F">
        <w:rPr>
          <w:rFonts w:cs="TimesNewRomanPSMT"/>
          <w:lang w:val="en-US"/>
        </w:rPr>
        <w:t xml:space="preserve"> of London. . </w:t>
      </w:r>
      <w:proofErr w:type="gramStart"/>
      <w:r w:rsidRPr="001D2A1F">
        <w:rPr>
          <w:rFonts w:cs="TimesNewRomanPS-BoldMT"/>
          <w:b/>
          <w:bCs/>
          <w:lang w:val="en-US"/>
        </w:rPr>
        <w:t>PhD</w:t>
      </w:r>
      <w:r w:rsidRPr="001D2A1F">
        <w:rPr>
          <w:rFonts w:cs="TimesNewRomanPSMT"/>
          <w:lang w:val="en-US"/>
        </w:rPr>
        <w:t>.</w:t>
      </w:r>
      <w:proofErr w:type="gramEnd"/>
    </w:p>
    <w:p w:rsidR="00046BF3" w:rsidRPr="00046BF3" w:rsidRDefault="00046BF3" w:rsidP="004F43CE">
      <w:pPr>
        <w:autoSpaceDE w:val="0"/>
        <w:autoSpaceDN w:val="0"/>
        <w:adjustRightInd w:val="0"/>
        <w:spacing w:after="240" w:line="240" w:lineRule="auto"/>
        <w:ind w:left="432" w:hanging="432"/>
        <w:rPr>
          <w:lang w:val="en-US"/>
        </w:rPr>
      </w:pPr>
      <w:proofErr w:type="spellStart"/>
      <w:r w:rsidRPr="00046BF3">
        <w:rPr>
          <w:lang w:val="en-US"/>
        </w:rPr>
        <w:t>Bargawi</w:t>
      </w:r>
      <w:proofErr w:type="spellEnd"/>
      <w:r w:rsidRPr="00046BF3">
        <w:rPr>
          <w:lang w:val="en-US"/>
        </w:rPr>
        <w:t xml:space="preserve">, H &amp; Newman, S.A. (2009). From futures markets to the farm-gate: assessing the impact of the financial crisis along coffee chains. Annual Conference 2009: </w:t>
      </w:r>
      <w:proofErr w:type="spellStart"/>
      <w:r w:rsidRPr="00046BF3">
        <w:rPr>
          <w:lang w:val="en-US"/>
        </w:rPr>
        <w:t>Coleraine</w:t>
      </w:r>
      <w:proofErr w:type="spellEnd"/>
      <w:r w:rsidRPr="00046BF3">
        <w:rPr>
          <w:lang w:val="en-US"/>
        </w:rPr>
        <w:t xml:space="preserve"> (2009, </w:t>
      </w:r>
      <w:proofErr w:type="spellStart"/>
      <w:proofErr w:type="gramStart"/>
      <w:r w:rsidRPr="00046BF3">
        <w:rPr>
          <w:lang w:val="en-US"/>
        </w:rPr>
        <w:t>september</w:t>
      </w:r>
      <w:proofErr w:type="spellEnd"/>
      <w:proofErr w:type="gramEnd"/>
      <w:r w:rsidRPr="00046BF3">
        <w:rPr>
          <w:lang w:val="en-US"/>
        </w:rPr>
        <w:t xml:space="preserve"> 02 - 2009, </w:t>
      </w:r>
      <w:proofErr w:type="spellStart"/>
      <w:r w:rsidRPr="00046BF3">
        <w:rPr>
          <w:lang w:val="en-US"/>
        </w:rPr>
        <w:t>september</w:t>
      </w:r>
      <w:proofErr w:type="spellEnd"/>
      <w:r w:rsidRPr="00046BF3">
        <w:rPr>
          <w:lang w:val="en-US"/>
        </w:rPr>
        <w:t xml:space="preserve"> 04).</w:t>
      </w:r>
    </w:p>
    <w:p w:rsidR="004F43CE" w:rsidRPr="00401EBF" w:rsidRDefault="004F43CE" w:rsidP="004F43CE">
      <w:pPr>
        <w:spacing w:after="240"/>
        <w:ind w:left="432" w:hanging="432"/>
        <w:rPr>
          <w:lang w:val="en-US"/>
        </w:rPr>
      </w:pPr>
      <w:r w:rsidRPr="00401EBF">
        <w:rPr>
          <w:lang w:val="en-US"/>
        </w:rPr>
        <w:t xml:space="preserve">Bair, J. (2005) ‘Global Capitalism and Commodity Chains: Looking Back, Going Forward’ </w:t>
      </w:r>
      <w:r w:rsidRPr="00401EBF">
        <w:rPr>
          <w:i/>
          <w:lang w:val="en-US"/>
        </w:rPr>
        <w:t xml:space="preserve">Competition and Change </w:t>
      </w:r>
      <w:r w:rsidRPr="00401EBF">
        <w:rPr>
          <w:lang w:val="en-US"/>
        </w:rPr>
        <w:t>9(2): 153-180.</w:t>
      </w:r>
    </w:p>
    <w:p w:rsidR="004F43CE" w:rsidRPr="00401EBF" w:rsidRDefault="004F43CE" w:rsidP="004F43CE">
      <w:pPr>
        <w:spacing w:after="240"/>
        <w:ind w:left="432" w:hanging="432"/>
        <w:rPr>
          <w:i/>
          <w:lang w:val="en-US"/>
        </w:rPr>
      </w:pPr>
      <w:proofErr w:type="spellStart"/>
      <w:r w:rsidRPr="00401EBF">
        <w:rPr>
          <w:lang w:val="en-US"/>
        </w:rPr>
        <w:t>Birbuet</w:t>
      </w:r>
      <w:proofErr w:type="spellEnd"/>
      <w:r w:rsidRPr="00401EBF">
        <w:rPr>
          <w:lang w:val="en-US"/>
        </w:rPr>
        <w:t xml:space="preserve">, J. and C. </w:t>
      </w:r>
      <w:proofErr w:type="spellStart"/>
      <w:r w:rsidRPr="00401EBF">
        <w:rPr>
          <w:lang w:val="en-US"/>
        </w:rPr>
        <w:t>Machicado</w:t>
      </w:r>
      <w:proofErr w:type="spellEnd"/>
      <w:r w:rsidRPr="00401EBF">
        <w:rPr>
          <w:lang w:val="en-US"/>
        </w:rPr>
        <w:t xml:space="preserve"> (2009) </w:t>
      </w:r>
      <w:r>
        <w:rPr>
          <w:lang w:val="en-US"/>
        </w:rPr>
        <w:t>‘</w:t>
      </w:r>
      <w:r w:rsidRPr="00401EBF">
        <w:rPr>
          <w:i/>
          <w:lang w:val="en-US"/>
        </w:rPr>
        <w:t>Technological Progress and Productivity in the Quinoa Sector</w:t>
      </w:r>
      <w:r>
        <w:rPr>
          <w:i/>
          <w:lang w:val="en-US"/>
        </w:rPr>
        <w:t>’</w:t>
      </w:r>
      <w:r w:rsidRPr="00401EBF">
        <w:rPr>
          <w:i/>
          <w:lang w:val="en-US"/>
        </w:rPr>
        <w:t xml:space="preserve"> </w:t>
      </w:r>
    </w:p>
    <w:p w:rsidR="004F43CE" w:rsidRPr="00401EBF" w:rsidRDefault="004F43CE" w:rsidP="004F43CE">
      <w:pPr>
        <w:spacing w:after="240"/>
        <w:ind w:left="432" w:hanging="432"/>
        <w:rPr>
          <w:i/>
          <w:lang w:val="en-US"/>
        </w:rPr>
      </w:pPr>
      <w:r w:rsidRPr="00046BF3">
        <w:rPr>
          <w:i/>
        </w:rPr>
        <w:t>Cáceres, Z. (2005) “</w:t>
      </w:r>
      <w:proofErr w:type="spellStart"/>
      <w:r w:rsidRPr="00046BF3">
        <w:rPr>
          <w:i/>
        </w:rPr>
        <w:t>Quinoa</w:t>
      </w:r>
      <w:proofErr w:type="spellEnd"/>
      <w:r w:rsidRPr="00046BF3">
        <w:rPr>
          <w:i/>
        </w:rPr>
        <w:t xml:space="preserve">: A </w:t>
      </w:r>
      <w:proofErr w:type="spellStart"/>
      <w:r w:rsidRPr="00046BF3">
        <w:rPr>
          <w:i/>
        </w:rPr>
        <w:t>tradição</w:t>
      </w:r>
      <w:proofErr w:type="spellEnd"/>
      <w:r w:rsidRPr="00046BF3">
        <w:rPr>
          <w:i/>
        </w:rPr>
        <w:t xml:space="preserve"> frente </w:t>
      </w:r>
      <w:proofErr w:type="spellStart"/>
      <w:r w:rsidRPr="00046BF3">
        <w:rPr>
          <w:i/>
        </w:rPr>
        <w:t>ao</w:t>
      </w:r>
      <w:proofErr w:type="spellEnd"/>
      <w:r w:rsidRPr="00046BF3">
        <w:rPr>
          <w:i/>
        </w:rPr>
        <w:t xml:space="preserve"> </w:t>
      </w:r>
      <w:proofErr w:type="spellStart"/>
      <w:r w:rsidRPr="00046BF3">
        <w:rPr>
          <w:i/>
        </w:rPr>
        <w:t>desfío</w:t>
      </w:r>
      <w:proofErr w:type="spellEnd"/>
      <w:r w:rsidRPr="00046BF3">
        <w:rPr>
          <w:i/>
        </w:rPr>
        <w:t xml:space="preserve"> dos </w:t>
      </w:r>
      <w:proofErr w:type="spellStart"/>
      <w:r w:rsidRPr="00046BF3">
        <w:rPr>
          <w:i/>
        </w:rPr>
        <w:t>novos</w:t>
      </w:r>
      <w:proofErr w:type="spellEnd"/>
      <w:r w:rsidRPr="00046BF3">
        <w:rPr>
          <w:i/>
        </w:rPr>
        <w:t xml:space="preserve"> mercados de </w:t>
      </w:r>
      <w:proofErr w:type="spellStart"/>
      <w:r w:rsidRPr="00046BF3">
        <w:rPr>
          <w:i/>
        </w:rPr>
        <w:t>qualidade</w:t>
      </w:r>
      <w:proofErr w:type="spellEnd"/>
      <w:r w:rsidRPr="00046BF3">
        <w:rPr>
          <w:i/>
        </w:rPr>
        <w:t xml:space="preserve">.” </w:t>
      </w:r>
      <w:proofErr w:type="spellStart"/>
      <w:r w:rsidRPr="00401EBF">
        <w:rPr>
          <w:i/>
          <w:lang w:val="en-US"/>
        </w:rPr>
        <w:t>Tesis</w:t>
      </w:r>
      <w:proofErr w:type="spellEnd"/>
      <w:r w:rsidRPr="00401EBF">
        <w:rPr>
          <w:i/>
          <w:lang w:val="en-US"/>
        </w:rPr>
        <w:t xml:space="preserve"> de </w:t>
      </w:r>
      <w:proofErr w:type="spellStart"/>
      <w:r w:rsidRPr="00401EBF">
        <w:rPr>
          <w:i/>
          <w:lang w:val="en-US"/>
        </w:rPr>
        <w:t>doctorado</w:t>
      </w:r>
      <w:proofErr w:type="spellEnd"/>
      <w:r w:rsidRPr="00401EBF">
        <w:rPr>
          <w:i/>
          <w:lang w:val="en-US"/>
        </w:rPr>
        <w:t xml:space="preserve">, CPDA-UFRRJ, </w:t>
      </w:r>
      <w:proofErr w:type="spellStart"/>
      <w:r w:rsidRPr="00401EBF">
        <w:rPr>
          <w:i/>
          <w:lang w:val="en-US"/>
        </w:rPr>
        <w:t>Brasil</w:t>
      </w:r>
      <w:proofErr w:type="spellEnd"/>
      <w:r w:rsidRPr="00401EBF">
        <w:rPr>
          <w:i/>
          <w:lang w:val="en-US"/>
        </w:rPr>
        <w:t>.</w:t>
      </w:r>
    </w:p>
    <w:p w:rsidR="004F43CE" w:rsidRPr="00401EBF" w:rsidRDefault="004F43CE" w:rsidP="004F43CE">
      <w:pPr>
        <w:spacing w:after="240"/>
        <w:ind w:left="432" w:hanging="432"/>
        <w:rPr>
          <w:i/>
          <w:lang w:val="en-US"/>
        </w:rPr>
      </w:pPr>
      <w:r w:rsidRPr="00401EBF">
        <w:rPr>
          <w:i/>
          <w:lang w:val="en-US"/>
        </w:rPr>
        <w:t>Cramer, C. (1999) `Can Africa Industrialize by Processing Primary Commodities? The Case of Mozambican Cashews', World Development 27(7): 1247±66.</w:t>
      </w:r>
    </w:p>
    <w:p w:rsidR="004F43CE" w:rsidRPr="00046BF3" w:rsidRDefault="004F43CE" w:rsidP="004F43CE">
      <w:pPr>
        <w:spacing w:after="240"/>
        <w:ind w:left="432" w:hanging="432"/>
        <w:rPr>
          <w:lang w:val="en-US"/>
        </w:rPr>
      </w:pPr>
      <w:proofErr w:type="spellStart"/>
      <w:r w:rsidRPr="00046BF3">
        <w:rPr>
          <w:lang w:val="en-US"/>
        </w:rPr>
        <w:t>Exportacion</w:t>
      </w:r>
      <w:proofErr w:type="spellEnd"/>
      <w:r w:rsidRPr="00046BF3">
        <w:rPr>
          <w:lang w:val="en-US"/>
        </w:rPr>
        <w:t xml:space="preserve"> de Quinoa se </w:t>
      </w:r>
      <w:proofErr w:type="spellStart"/>
      <w:r w:rsidRPr="00046BF3">
        <w:rPr>
          <w:lang w:val="en-US"/>
        </w:rPr>
        <w:t>duplicara</w:t>
      </w:r>
      <w:proofErr w:type="spellEnd"/>
      <w:r w:rsidRPr="00046BF3">
        <w:rPr>
          <w:lang w:val="en-US"/>
        </w:rPr>
        <w:t xml:space="preserve"> el 2012 (2012) Radio Fides, La Paz, accessed 12 June 2012 &lt;http://www.radiofides.com/noticia/economia/Exportacion_de_quinua_se_duplicara_el_2012&gt;. </w:t>
      </w:r>
    </w:p>
    <w:p w:rsidR="004F43CE" w:rsidRPr="00046BF3" w:rsidRDefault="004F43CE" w:rsidP="004F43CE">
      <w:pPr>
        <w:spacing w:after="240"/>
        <w:ind w:left="432" w:hanging="432"/>
        <w:rPr>
          <w:lang w:val="en-US"/>
        </w:rPr>
      </w:pPr>
      <w:r w:rsidRPr="00046BF3">
        <w:rPr>
          <w:lang w:val="en-US"/>
        </w:rPr>
        <w:t xml:space="preserve">Dolan, C. and Humphrey, J. (2000) ‘Governance and Trade in Fresh Vegetables: The Impact of UK Supermarkets on the African Horticulture Industry,’ </w:t>
      </w:r>
      <w:proofErr w:type="gramStart"/>
      <w:r w:rsidRPr="00046BF3">
        <w:rPr>
          <w:i/>
          <w:lang w:val="en-US"/>
        </w:rPr>
        <w:t>The</w:t>
      </w:r>
      <w:proofErr w:type="gramEnd"/>
      <w:r w:rsidRPr="00046BF3">
        <w:rPr>
          <w:i/>
          <w:lang w:val="en-US"/>
        </w:rPr>
        <w:t xml:space="preserve"> Journal of Development Studies</w:t>
      </w:r>
      <w:r w:rsidRPr="00046BF3">
        <w:rPr>
          <w:lang w:val="en-US"/>
        </w:rPr>
        <w:t xml:space="preserve">. </w:t>
      </w:r>
      <w:proofErr w:type="spellStart"/>
      <w:r w:rsidRPr="00046BF3">
        <w:rPr>
          <w:lang w:val="en-US"/>
        </w:rPr>
        <w:t>Vol</w:t>
      </w:r>
      <w:proofErr w:type="spellEnd"/>
      <w:r w:rsidRPr="00046BF3">
        <w:rPr>
          <w:lang w:val="en-US"/>
        </w:rPr>
        <w:t xml:space="preserve"> 37, Issue 2, December 2000. pp. 147–176.</w:t>
      </w:r>
    </w:p>
    <w:p w:rsidR="004F43CE" w:rsidRPr="00401EBF" w:rsidRDefault="004F43CE" w:rsidP="004F43CE">
      <w:pPr>
        <w:spacing w:after="240"/>
        <w:ind w:left="432" w:hanging="432"/>
      </w:pPr>
      <w:proofErr w:type="spellStart"/>
      <w:proofErr w:type="gramStart"/>
      <w:r w:rsidRPr="00046BF3">
        <w:rPr>
          <w:lang w:val="en-US"/>
        </w:rPr>
        <w:t>Fafchamps</w:t>
      </w:r>
      <w:proofErr w:type="spellEnd"/>
      <w:r w:rsidRPr="00046BF3">
        <w:rPr>
          <w:lang w:val="en-US"/>
        </w:rPr>
        <w:t>, M. and R. Vargas Hill (2008) ‘Price Transmission and Trader Entry in Domestic Commodity Markets.’</w:t>
      </w:r>
      <w:proofErr w:type="gramEnd"/>
      <w:r w:rsidRPr="00046BF3">
        <w:rPr>
          <w:lang w:val="en-US"/>
        </w:rPr>
        <w:t xml:space="preserve"> </w:t>
      </w:r>
      <w:proofErr w:type="spellStart"/>
      <w:r w:rsidRPr="001D2A1F">
        <w:rPr>
          <w:i/>
        </w:rPr>
        <w:t>Economic</w:t>
      </w:r>
      <w:proofErr w:type="spellEnd"/>
      <w:r w:rsidRPr="001D2A1F">
        <w:rPr>
          <w:i/>
        </w:rPr>
        <w:t xml:space="preserve"> </w:t>
      </w:r>
      <w:proofErr w:type="spellStart"/>
      <w:r w:rsidRPr="001D2A1F">
        <w:rPr>
          <w:i/>
        </w:rPr>
        <w:t>Development</w:t>
      </w:r>
      <w:proofErr w:type="spellEnd"/>
      <w:r w:rsidRPr="001D2A1F">
        <w:rPr>
          <w:i/>
        </w:rPr>
        <w:t xml:space="preserve"> and Cultural </w:t>
      </w:r>
      <w:proofErr w:type="spellStart"/>
      <w:r w:rsidRPr="001D2A1F">
        <w:rPr>
          <w:i/>
        </w:rPr>
        <w:t>Change</w:t>
      </w:r>
      <w:proofErr w:type="spellEnd"/>
      <w:r w:rsidRPr="00401EBF">
        <w:t xml:space="preserve"> (56): 729-766.</w:t>
      </w:r>
    </w:p>
    <w:p w:rsidR="004F43CE" w:rsidRPr="00046BF3" w:rsidRDefault="004F43CE" w:rsidP="004F43CE">
      <w:pPr>
        <w:spacing w:after="240"/>
        <w:ind w:left="432" w:hanging="432"/>
        <w:rPr>
          <w:lang w:val="en-US"/>
        </w:rPr>
      </w:pPr>
      <w:r w:rsidRPr="00401EBF">
        <w:t xml:space="preserve">Gandarillas, A., Gabriel J., and R. Pereira (2011) </w:t>
      </w:r>
      <w:r>
        <w:t>“</w:t>
      </w:r>
      <w:r w:rsidRPr="00401EBF">
        <w:t>Catálogo  de Nuevas Variedades de papa en Bolivia</w:t>
      </w:r>
      <w:r>
        <w:t>”</w:t>
      </w:r>
      <w:r w:rsidRPr="00401EBF">
        <w:t xml:space="preserve">. </w:t>
      </w:r>
      <w:r w:rsidRPr="00046BF3">
        <w:rPr>
          <w:lang w:val="en-US"/>
        </w:rPr>
        <w:t xml:space="preserve">Cochabamba. </w:t>
      </w:r>
      <w:proofErr w:type="gramStart"/>
      <w:r w:rsidRPr="00046BF3">
        <w:rPr>
          <w:lang w:val="en-US"/>
        </w:rPr>
        <w:t>PROINPA.</w:t>
      </w:r>
      <w:proofErr w:type="gramEnd"/>
      <w:r w:rsidRPr="00046BF3">
        <w:rPr>
          <w:lang w:val="en-US"/>
        </w:rPr>
        <w:t xml:space="preserve">  55 p (</w:t>
      </w:r>
      <w:proofErr w:type="spellStart"/>
      <w:r w:rsidRPr="00046BF3">
        <w:rPr>
          <w:lang w:val="en-US"/>
        </w:rPr>
        <w:t>Anexo</w:t>
      </w:r>
      <w:proofErr w:type="spellEnd"/>
      <w:r w:rsidRPr="00046BF3">
        <w:rPr>
          <w:lang w:val="en-US"/>
        </w:rPr>
        <w:t xml:space="preserve"> 1)</w:t>
      </w:r>
      <w:r w:rsidRPr="00046BF3">
        <w:rPr>
          <w:lang w:val="en-US"/>
        </w:rPr>
        <w:tab/>
      </w:r>
    </w:p>
    <w:p w:rsidR="004F43CE" w:rsidRPr="00BB728F" w:rsidRDefault="004F43CE" w:rsidP="004F43CE">
      <w:pPr>
        <w:spacing w:after="240"/>
        <w:ind w:left="432" w:hanging="432"/>
        <w:jc w:val="both"/>
        <w:rPr>
          <w:lang w:val="en-US"/>
        </w:rPr>
      </w:pPr>
      <w:proofErr w:type="spellStart"/>
      <w:r w:rsidRPr="00BB728F">
        <w:rPr>
          <w:lang w:val="en-US"/>
        </w:rPr>
        <w:t>Gereffi</w:t>
      </w:r>
      <w:proofErr w:type="spellEnd"/>
      <w:r w:rsidRPr="00BB728F">
        <w:rPr>
          <w:lang w:val="en-US"/>
        </w:rPr>
        <w:t xml:space="preserve">, G. (1994) ‘The Organization of Buyer-Driven Global Commodity Chains: How U.S. Retailers Shape Overseas Production Networks.’ </w:t>
      </w:r>
      <w:r w:rsidRPr="00BB728F">
        <w:rPr>
          <w:i/>
          <w:lang w:val="en-US"/>
        </w:rPr>
        <w:t>“Commodity Chains and Global Capitalism”.</w:t>
      </w:r>
      <w:r w:rsidRPr="00BB728F">
        <w:rPr>
          <w:lang w:val="en-US"/>
        </w:rPr>
        <w:t xml:space="preserve"> G. </w:t>
      </w:r>
      <w:proofErr w:type="spellStart"/>
      <w:r w:rsidRPr="00BB728F">
        <w:rPr>
          <w:lang w:val="en-US"/>
        </w:rPr>
        <w:t>Gereffi</w:t>
      </w:r>
      <w:proofErr w:type="spellEnd"/>
      <w:r w:rsidRPr="00BB728F">
        <w:rPr>
          <w:lang w:val="en-US"/>
        </w:rPr>
        <w:t xml:space="preserve"> and M. </w:t>
      </w:r>
      <w:proofErr w:type="spellStart"/>
      <w:r w:rsidRPr="00BB728F">
        <w:rPr>
          <w:lang w:val="en-US"/>
        </w:rPr>
        <w:t>Korzeniewicz</w:t>
      </w:r>
      <w:proofErr w:type="spellEnd"/>
      <w:r w:rsidRPr="00BB728F">
        <w:rPr>
          <w:lang w:val="en-US"/>
        </w:rPr>
        <w:t xml:space="preserve">. London, </w:t>
      </w:r>
      <w:proofErr w:type="spellStart"/>
      <w:r w:rsidRPr="00BB728F">
        <w:rPr>
          <w:lang w:val="en-US"/>
        </w:rPr>
        <w:t>Praeger</w:t>
      </w:r>
      <w:proofErr w:type="spellEnd"/>
      <w:r w:rsidRPr="00BB728F">
        <w:rPr>
          <w:lang w:val="en-US"/>
        </w:rPr>
        <w:t>.</w:t>
      </w:r>
    </w:p>
    <w:p w:rsidR="004F43CE" w:rsidRPr="001D2A1F" w:rsidRDefault="004F43CE" w:rsidP="004F43CE">
      <w:pPr>
        <w:autoSpaceDE w:val="0"/>
        <w:autoSpaceDN w:val="0"/>
        <w:adjustRightInd w:val="0"/>
        <w:spacing w:after="240" w:line="240" w:lineRule="auto"/>
        <w:ind w:left="432" w:hanging="432"/>
        <w:rPr>
          <w:rFonts w:cs="TimesNewRomanPSMT"/>
          <w:lang w:val="en-US"/>
        </w:rPr>
      </w:pPr>
      <w:proofErr w:type="spellStart"/>
      <w:r w:rsidRPr="001D2A1F">
        <w:rPr>
          <w:rFonts w:cs="TimesNewRomanPSMT"/>
          <w:lang w:val="en-US"/>
        </w:rPr>
        <w:t>Gereffi</w:t>
      </w:r>
      <w:proofErr w:type="spellEnd"/>
      <w:r w:rsidRPr="001D2A1F">
        <w:rPr>
          <w:rFonts w:cs="TimesNewRomanPSMT"/>
          <w:lang w:val="en-US"/>
        </w:rPr>
        <w:t xml:space="preserve">, G. and M. </w:t>
      </w:r>
      <w:proofErr w:type="spellStart"/>
      <w:r w:rsidRPr="001D2A1F">
        <w:rPr>
          <w:rFonts w:cs="TimesNewRomanPSMT"/>
          <w:lang w:val="en-US"/>
        </w:rPr>
        <w:t>Korzeniewicz</w:t>
      </w:r>
      <w:proofErr w:type="spellEnd"/>
      <w:r w:rsidRPr="001D2A1F">
        <w:rPr>
          <w:rFonts w:cs="TimesNewRomanPSMT"/>
          <w:lang w:val="en-US"/>
        </w:rPr>
        <w:t xml:space="preserve"> (1994) ‘Commodity chains and global capitalism’. Westport, Conn, </w:t>
      </w:r>
      <w:proofErr w:type="spellStart"/>
      <w:r w:rsidRPr="001D2A1F">
        <w:rPr>
          <w:rFonts w:cs="TimesNewRomanPSMT"/>
          <w:lang w:val="en-US"/>
        </w:rPr>
        <w:t>Praeger</w:t>
      </w:r>
      <w:proofErr w:type="spellEnd"/>
      <w:r w:rsidRPr="001D2A1F">
        <w:rPr>
          <w:rFonts w:cs="TimesNewRomanPSMT"/>
          <w:lang w:val="en-US"/>
        </w:rPr>
        <w:t>.</w:t>
      </w:r>
    </w:p>
    <w:p w:rsidR="004F43CE" w:rsidRPr="001D2A1F" w:rsidRDefault="004F43CE" w:rsidP="004F43CE">
      <w:pPr>
        <w:autoSpaceDE w:val="0"/>
        <w:autoSpaceDN w:val="0"/>
        <w:adjustRightInd w:val="0"/>
        <w:spacing w:after="240" w:line="240" w:lineRule="auto"/>
        <w:ind w:left="432" w:hanging="432"/>
        <w:rPr>
          <w:rFonts w:cs="TimesNewRomanPSMT"/>
          <w:lang w:val="en-US"/>
        </w:rPr>
      </w:pPr>
      <w:proofErr w:type="spellStart"/>
      <w:r w:rsidRPr="001D2A1F">
        <w:rPr>
          <w:rFonts w:cs="TimesNewRomanPSMT"/>
          <w:lang w:val="en-US"/>
        </w:rPr>
        <w:t>Gereffi</w:t>
      </w:r>
      <w:proofErr w:type="spellEnd"/>
      <w:r w:rsidRPr="001D2A1F">
        <w:rPr>
          <w:rFonts w:cs="TimesNewRomanPSMT"/>
          <w:lang w:val="en-US"/>
        </w:rPr>
        <w:t>, G. (2001)</w:t>
      </w:r>
      <w:r>
        <w:rPr>
          <w:rFonts w:cs="TimesNewRomanPSMT"/>
          <w:lang w:val="en-US"/>
        </w:rPr>
        <w:t xml:space="preserve"> ‘</w:t>
      </w:r>
      <w:r w:rsidRPr="001D2A1F">
        <w:rPr>
          <w:rFonts w:cs="TimesNewRomanPSMT"/>
          <w:lang w:val="en-US"/>
        </w:rPr>
        <w:t>Shifting Governance Structures in Global Commodity Chains, With Spe</w:t>
      </w:r>
      <w:r>
        <w:rPr>
          <w:rFonts w:cs="TimesNewRomanPSMT"/>
          <w:lang w:val="en-US"/>
        </w:rPr>
        <w:t>cial Reference to the Internet.’</w:t>
      </w:r>
      <w:r w:rsidRPr="001D2A1F">
        <w:rPr>
          <w:rFonts w:cs="TimesNewRomanPSMT"/>
          <w:lang w:val="en-US"/>
        </w:rPr>
        <w:t xml:space="preserve"> </w:t>
      </w:r>
      <w:r w:rsidRPr="001D2A1F">
        <w:rPr>
          <w:rFonts w:cs="TimesNewRomanPSMT"/>
          <w:i/>
          <w:lang w:val="en-US"/>
        </w:rPr>
        <w:t xml:space="preserve">American Behavioral </w:t>
      </w:r>
      <w:r w:rsidRPr="00341B71">
        <w:rPr>
          <w:rFonts w:cs="TimesNewRomanPSMT"/>
          <w:i/>
          <w:lang w:val="en-US"/>
        </w:rPr>
        <w:t>Scientist</w:t>
      </w:r>
      <w:r w:rsidRPr="00341B71">
        <w:rPr>
          <w:rFonts w:cs="TimesNewRomanPSMT"/>
          <w:lang w:val="en-US"/>
        </w:rPr>
        <w:t xml:space="preserve"> </w:t>
      </w:r>
      <w:r w:rsidRPr="00341B71">
        <w:rPr>
          <w:rFonts w:cs="TimesNewRomanPS-BoldMT"/>
          <w:bCs/>
          <w:lang w:val="en-US"/>
        </w:rPr>
        <w:t>44</w:t>
      </w:r>
      <w:r w:rsidRPr="00341B71">
        <w:rPr>
          <w:rFonts w:cs="TimesNewRomanPSMT"/>
          <w:lang w:val="en-US"/>
        </w:rPr>
        <w:t>:1616-1637</w:t>
      </w:r>
      <w:r w:rsidRPr="001D2A1F">
        <w:rPr>
          <w:rFonts w:cs="TimesNewRomanPSMT"/>
          <w:lang w:val="en-US"/>
        </w:rPr>
        <w:t>.</w:t>
      </w:r>
    </w:p>
    <w:p w:rsidR="004F43CE" w:rsidRPr="00401EBF" w:rsidRDefault="004F43CE" w:rsidP="004F43CE">
      <w:pPr>
        <w:spacing w:after="240"/>
        <w:ind w:left="432" w:hanging="432"/>
        <w:jc w:val="both"/>
        <w:rPr>
          <w:color w:val="FF0000"/>
          <w:lang w:val="en-US"/>
        </w:rPr>
      </w:pPr>
      <w:proofErr w:type="spellStart"/>
      <w:r w:rsidRPr="00046BF3">
        <w:rPr>
          <w:color w:val="000000"/>
          <w:lang w:val="en-US"/>
        </w:rPr>
        <w:lastRenderedPageBreak/>
        <w:t>Gereffi</w:t>
      </w:r>
      <w:proofErr w:type="spellEnd"/>
      <w:r w:rsidRPr="00046BF3">
        <w:rPr>
          <w:color w:val="000000"/>
          <w:lang w:val="en-US"/>
        </w:rPr>
        <w:t>, Gary (2001b) ‘Beyond the Producer-driven/Buyer-driven Dichotomy: The Evolution of Global Value Chains in the Internet Era.’</w:t>
      </w:r>
      <w:r w:rsidRPr="00046BF3">
        <w:rPr>
          <w:rStyle w:val="apple-converted-space"/>
          <w:color w:val="000000"/>
          <w:lang w:val="en-US"/>
        </w:rPr>
        <w:t> </w:t>
      </w:r>
      <w:r w:rsidRPr="00046BF3">
        <w:rPr>
          <w:i/>
          <w:iCs/>
          <w:color w:val="000000"/>
          <w:lang w:val="en-US"/>
        </w:rPr>
        <w:t>IDS Bulletin</w:t>
      </w:r>
      <w:r w:rsidRPr="00046BF3">
        <w:rPr>
          <w:rStyle w:val="apple-converted-space"/>
          <w:color w:val="000000"/>
          <w:lang w:val="en-US"/>
        </w:rPr>
        <w:t> </w:t>
      </w:r>
      <w:r w:rsidRPr="00046BF3">
        <w:rPr>
          <w:color w:val="000000"/>
          <w:lang w:val="en-US"/>
        </w:rPr>
        <w:t>32, 3: 30-40.</w:t>
      </w:r>
    </w:p>
    <w:p w:rsidR="004F43CE" w:rsidRPr="00BB728F" w:rsidRDefault="004F43CE" w:rsidP="004F43CE">
      <w:pPr>
        <w:spacing w:after="240"/>
        <w:ind w:left="432" w:hanging="432"/>
        <w:jc w:val="both"/>
        <w:rPr>
          <w:lang w:val="en-US"/>
        </w:rPr>
      </w:pPr>
      <w:r w:rsidRPr="00BB728F">
        <w:rPr>
          <w:lang w:val="en-US"/>
        </w:rPr>
        <w:t xml:space="preserve">Gibbon, P. (2001) ‘Upgrading Primary Production: A Global Commodity Chain Approach.’ </w:t>
      </w:r>
      <w:r w:rsidRPr="00BB728F">
        <w:rPr>
          <w:i/>
          <w:lang w:val="en-US"/>
        </w:rPr>
        <w:t>World Development</w:t>
      </w:r>
      <w:r w:rsidRPr="00BB728F">
        <w:rPr>
          <w:lang w:val="en-US"/>
        </w:rPr>
        <w:t xml:space="preserve"> 29(2): 345-363</w:t>
      </w:r>
    </w:p>
    <w:p w:rsidR="004F43CE" w:rsidRPr="001D2A1F" w:rsidRDefault="004F43CE" w:rsidP="004F43CE">
      <w:pPr>
        <w:autoSpaceDE w:val="0"/>
        <w:autoSpaceDN w:val="0"/>
        <w:adjustRightInd w:val="0"/>
        <w:spacing w:after="240" w:line="240" w:lineRule="auto"/>
        <w:ind w:left="432" w:hanging="432"/>
        <w:rPr>
          <w:rFonts w:cs="TimesNewRomanPSMT"/>
          <w:lang w:val="en-US"/>
        </w:rPr>
      </w:pPr>
      <w:proofErr w:type="gramStart"/>
      <w:r w:rsidRPr="001D2A1F">
        <w:rPr>
          <w:rFonts w:cs="TimesNewRomanPSMT"/>
          <w:lang w:val="en-US"/>
        </w:rPr>
        <w:t>Hopkins, T.</w:t>
      </w:r>
      <w:r>
        <w:rPr>
          <w:rFonts w:cs="TimesNewRomanPSMT"/>
          <w:lang w:val="en-US"/>
        </w:rPr>
        <w:t xml:space="preserve"> K. and I. </w:t>
      </w:r>
      <w:proofErr w:type="spellStart"/>
      <w:r>
        <w:rPr>
          <w:rFonts w:cs="TimesNewRomanPSMT"/>
          <w:lang w:val="en-US"/>
        </w:rPr>
        <w:t>Wallerstein</w:t>
      </w:r>
      <w:proofErr w:type="spellEnd"/>
      <w:r>
        <w:rPr>
          <w:rFonts w:cs="TimesNewRomanPSMT"/>
          <w:lang w:val="en-US"/>
        </w:rPr>
        <w:t xml:space="preserve"> (1986).</w:t>
      </w:r>
      <w:proofErr w:type="gramEnd"/>
      <w:r>
        <w:rPr>
          <w:rFonts w:cs="TimesNewRomanPSMT"/>
          <w:lang w:val="en-US"/>
        </w:rPr>
        <w:t xml:space="preserve"> ‘</w:t>
      </w:r>
      <w:r w:rsidRPr="001D2A1F">
        <w:rPr>
          <w:rFonts w:cs="TimesNewRomanPSMT"/>
          <w:lang w:val="en-US"/>
        </w:rPr>
        <w:t xml:space="preserve">Commodities in the world economy prior to </w:t>
      </w:r>
      <w:r>
        <w:rPr>
          <w:rFonts w:cs="TimesNewRomanPSMT"/>
          <w:lang w:val="en-US"/>
        </w:rPr>
        <w:t>1800.’</w:t>
      </w:r>
      <w:r w:rsidRPr="001D2A1F">
        <w:rPr>
          <w:rFonts w:cs="TimesNewRomanPSMT"/>
          <w:lang w:val="en-US"/>
        </w:rPr>
        <w:t xml:space="preserve"> </w:t>
      </w:r>
      <w:r w:rsidRPr="001D2A1F">
        <w:rPr>
          <w:rFonts w:cs="TimesNewRomanPSMT"/>
          <w:i/>
          <w:lang w:val="en-US"/>
        </w:rPr>
        <w:t>Review</w:t>
      </w:r>
      <w:r w:rsidRPr="001D2A1F">
        <w:rPr>
          <w:rFonts w:cs="TimesNewRomanPSMT"/>
          <w:lang w:val="en-US"/>
        </w:rPr>
        <w:t xml:space="preserve"> </w:t>
      </w:r>
      <w:r w:rsidRPr="001D2A1F">
        <w:rPr>
          <w:rFonts w:cs="TimesNewRomanPS-BoldMT"/>
          <w:b/>
          <w:bCs/>
          <w:lang w:val="en-US"/>
        </w:rPr>
        <w:t>10</w:t>
      </w:r>
      <w:r w:rsidRPr="001D2A1F">
        <w:rPr>
          <w:rFonts w:cs="TimesNewRomanPSMT"/>
          <w:lang w:val="en-US"/>
        </w:rPr>
        <w:t>(1): 157-70.</w:t>
      </w:r>
    </w:p>
    <w:p w:rsidR="004F43CE" w:rsidRPr="001D2A1F" w:rsidRDefault="004F43CE" w:rsidP="004F43CE">
      <w:pPr>
        <w:autoSpaceDE w:val="0"/>
        <w:autoSpaceDN w:val="0"/>
        <w:adjustRightInd w:val="0"/>
        <w:spacing w:after="240" w:line="240" w:lineRule="auto"/>
        <w:ind w:left="432" w:hanging="432"/>
        <w:rPr>
          <w:rFonts w:cs="TimesNewRomanPSMT"/>
          <w:lang w:val="en-US"/>
        </w:rPr>
      </w:pPr>
      <w:r w:rsidRPr="001D2A1F">
        <w:rPr>
          <w:rFonts w:cs="TimesNewRomanPSMT"/>
          <w:lang w:val="en-US"/>
        </w:rPr>
        <w:t>Humphr</w:t>
      </w:r>
      <w:r>
        <w:rPr>
          <w:rFonts w:cs="TimesNewRomanPSMT"/>
          <w:lang w:val="en-US"/>
        </w:rPr>
        <w:t>ey, J. and H. Schmitz (2001). ‘</w:t>
      </w:r>
      <w:r w:rsidRPr="001D2A1F">
        <w:rPr>
          <w:rFonts w:cs="TimesNewRomanPSMT"/>
          <w:lang w:val="en-US"/>
        </w:rPr>
        <w:t>Gov</w:t>
      </w:r>
      <w:r>
        <w:rPr>
          <w:rFonts w:cs="TimesNewRomanPSMT"/>
          <w:lang w:val="en-US"/>
        </w:rPr>
        <w:t>ernance in global value chains.’</w:t>
      </w:r>
      <w:r w:rsidRPr="001D2A1F">
        <w:rPr>
          <w:rFonts w:cs="TimesNewRomanPSMT"/>
          <w:lang w:val="en-US"/>
        </w:rPr>
        <w:t xml:space="preserve"> </w:t>
      </w:r>
      <w:r w:rsidRPr="001D2A1F">
        <w:rPr>
          <w:rFonts w:cs="TimesNewRomanPSMT"/>
          <w:i/>
          <w:lang w:val="en-US"/>
        </w:rPr>
        <w:t>IDS Bulletin</w:t>
      </w:r>
      <w:r w:rsidRPr="001D2A1F">
        <w:rPr>
          <w:rFonts w:cs="TimesNewRomanPSMT"/>
          <w:lang w:val="en-US"/>
        </w:rPr>
        <w:t xml:space="preserve"> </w:t>
      </w:r>
      <w:r w:rsidRPr="001D2A1F">
        <w:rPr>
          <w:rFonts w:cs="TimesNewRomanPS-BoldMT"/>
          <w:b/>
          <w:bCs/>
          <w:lang w:val="en-US"/>
        </w:rPr>
        <w:t>32</w:t>
      </w:r>
      <w:r w:rsidRPr="001D2A1F">
        <w:rPr>
          <w:rFonts w:cs="TimesNewRomanPSMT"/>
          <w:lang w:val="en-US"/>
        </w:rPr>
        <w:t>(2): 19-29.</w:t>
      </w:r>
    </w:p>
    <w:p w:rsidR="004F43CE" w:rsidRPr="00BB728F" w:rsidRDefault="004F43CE" w:rsidP="004F43CE">
      <w:pPr>
        <w:spacing w:after="240"/>
        <w:ind w:left="432" w:hanging="432"/>
        <w:jc w:val="both"/>
      </w:pPr>
      <w:r w:rsidRPr="009E65F1">
        <w:t xml:space="preserve">Laguna P., Z. Cáceres &amp; A. </w:t>
      </w:r>
      <w:proofErr w:type="spellStart"/>
      <w:r w:rsidRPr="009E65F1">
        <w:t>Carimentrand</w:t>
      </w:r>
      <w:proofErr w:type="spellEnd"/>
      <w:r w:rsidRPr="009E65F1">
        <w:t xml:space="preserve">, 2006. </w:t>
      </w:r>
      <w:r w:rsidRPr="00BB728F">
        <w:rPr>
          <w:lang w:val="en-US"/>
        </w:rPr>
        <w:t xml:space="preserve">‘Bolivian Southern </w:t>
      </w:r>
      <w:proofErr w:type="spellStart"/>
      <w:r w:rsidRPr="00BB728F">
        <w:rPr>
          <w:lang w:val="en-US"/>
        </w:rPr>
        <w:t>Altiplano</w:t>
      </w:r>
      <w:proofErr w:type="spellEnd"/>
      <w:r w:rsidRPr="00BB728F">
        <w:rPr>
          <w:lang w:val="en-US"/>
        </w:rPr>
        <w:t xml:space="preserve"> to the global market: coordination and governance structures in the value chain of organic quinoa and fair trade.’  </w:t>
      </w:r>
      <w:r w:rsidRPr="00BB728F">
        <w:rPr>
          <w:i/>
        </w:rPr>
        <w:t>Agroalimentaria</w:t>
      </w:r>
      <w:r w:rsidRPr="00BB728F">
        <w:t>, 22, 65-76.</w:t>
      </w:r>
    </w:p>
    <w:p w:rsidR="004F43CE" w:rsidRPr="00046BF3" w:rsidRDefault="004F43CE" w:rsidP="004F43CE">
      <w:pPr>
        <w:spacing w:after="240"/>
        <w:ind w:left="432" w:hanging="432"/>
        <w:jc w:val="both"/>
        <w:rPr>
          <w:lang w:val="en-US"/>
        </w:rPr>
      </w:pPr>
      <w:proofErr w:type="spellStart"/>
      <w:r w:rsidRPr="00401EBF">
        <w:t>Ledezma</w:t>
      </w:r>
      <w:proofErr w:type="spellEnd"/>
      <w:r w:rsidRPr="00401EBF">
        <w:t xml:space="preserve">, C.C., C. Escalera, J. Arteaga, </w:t>
      </w:r>
      <w:proofErr w:type="spellStart"/>
      <w:r w:rsidRPr="00401EBF">
        <w:t>J.Montano</w:t>
      </w:r>
      <w:proofErr w:type="spellEnd"/>
      <w:r w:rsidRPr="00401EBF">
        <w:t xml:space="preserve">, </w:t>
      </w:r>
      <w:proofErr w:type="spellStart"/>
      <w:r w:rsidRPr="00401EBF">
        <w:t>C.Nogales</w:t>
      </w:r>
      <w:proofErr w:type="spellEnd"/>
      <w:r w:rsidRPr="00401EBF">
        <w:t xml:space="preserve"> (2011) </w:t>
      </w:r>
      <w:r w:rsidRPr="00401EBF">
        <w:rPr>
          <w:i/>
        </w:rPr>
        <w:t xml:space="preserve">Beneficiado en Seco de la </w:t>
      </w:r>
      <w:proofErr w:type="spellStart"/>
      <w:r w:rsidRPr="00401EBF">
        <w:rPr>
          <w:i/>
        </w:rPr>
        <w:t>Quinoa</w:t>
      </w:r>
      <w:proofErr w:type="spellEnd"/>
      <w:r w:rsidRPr="00401EBF">
        <w:rPr>
          <w:i/>
        </w:rPr>
        <w:t xml:space="preserve">. </w:t>
      </w:r>
      <w:r w:rsidRPr="00046BF3">
        <w:rPr>
          <w:lang w:val="en-US"/>
        </w:rPr>
        <w:t>La Paz: PIEB.</w:t>
      </w:r>
    </w:p>
    <w:p w:rsidR="004F43CE" w:rsidRPr="00401EBF" w:rsidRDefault="004F43CE" w:rsidP="004F43CE">
      <w:pPr>
        <w:spacing w:after="240"/>
        <w:ind w:left="432" w:hanging="432"/>
        <w:jc w:val="both"/>
        <w:rPr>
          <w:lang w:val="en-US"/>
        </w:rPr>
      </w:pPr>
      <w:r w:rsidRPr="00046BF3">
        <w:rPr>
          <w:lang w:val="en-US"/>
        </w:rPr>
        <w:t>FAO (2012</w:t>
      </w:r>
      <w:r w:rsidRPr="00401EBF">
        <w:rPr>
          <w:lang w:val="en-US"/>
        </w:rPr>
        <w:t>) ‘FAO opens new liaison office for agricultural cooperatives’. (press release, 9 July).</w:t>
      </w:r>
    </w:p>
    <w:p w:rsidR="004F43CE" w:rsidRPr="00046BF3" w:rsidRDefault="004F43CE" w:rsidP="004F43CE">
      <w:pPr>
        <w:spacing w:after="240"/>
        <w:ind w:left="432" w:hanging="432"/>
        <w:jc w:val="both"/>
      </w:pPr>
      <w:proofErr w:type="spellStart"/>
      <w:r w:rsidRPr="00401EBF">
        <w:rPr>
          <w:lang w:val="en-US"/>
        </w:rPr>
        <w:t>Gandarillas</w:t>
      </w:r>
      <w:proofErr w:type="spellEnd"/>
      <w:r w:rsidRPr="00401EBF">
        <w:rPr>
          <w:lang w:val="en-US"/>
        </w:rPr>
        <w:t xml:space="preserve">, M.A. (2011) ‘The Quinoa Industry: Opportunities and constraints to increase value adding activities in Bolivia’ Master thesis. </w:t>
      </w:r>
      <w:proofErr w:type="spellStart"/>
      <w:r w:rsidRPr="00046BF3">
        <w:t>Wageningen</w:t>
      </w:r>
      <w:proofErr w:type="spellEnd"/>
      <w:r w:rsidRPr="00046BF3">
        <w:t xml:space="preserve">: </w:t>
      </w:r>
      <w:proofErr w:type="spellStart"/>
      <w:r w:rsidRPr="00046BF3">
        <w:t>Wageningen</w:t>
      </w:r>
      <w:proofErr w:type="spellEnd"/>
      <w:r w:rsidRPr="00046BF3">
        <w:t xml:space="preserve"> </w:t>
      </w:r>
      <w:proofErr w:type="spellStart"/>
      <w:r w:rsidRPr="00046BF3">
        <w:t>University</w:t>
      </w:r>
      <w:proofErr w:type="spellEnd"/>
      <w:r w:rsidRPr="00046BF3">
        <w:t>.</w:t>
      </w:r>
    </w:p>
    <w:p w:rsidR="004F43CE" w:rsidRPr="00401EBF" w:rsidRDefault="004F43CE" w:rsidP="004F43CE">
      <w:pPr>
        <w:spacing w:after="240"/>
        <w:ind w:left="432" w:hanging="432"/>
        <w:jc w:val="both"/>
      </w:pPr>
      <w:r w:rsidRPr="00401EBF">
        <w:t xml:space="preserve">Laguna, P., Z. </w:t>
      </w:r>
      <w:proofErr w:type="spellStart"/>
      <w:r w:rsidRPr="00401EBF">
        <w:t>Caceres</w:t>
      </w:r>
      <w:proofErr w:type="spellEnd"/>
      <w:r w:rsidRPr="00401EBF">
        <w:t xml:space="preserve">, A. </w:t>
      </w:r>
      <w:proofErr w:type="spellStart"/>
      <w:r w:rsidRPr="00401EBF">
        <w:t>Carimentrand</w:t>
      </w:r>
      <w:proofErr w:type="spellEnd"/>
      <w:r w:rsidRPr="00401EBF">
        <w:t xml:space="preserve"> (2006), ‘Del altiplano sur Boliviano hasta el mercado global: coordinación y estructuras de </w:t>
      </w:r>
      <w:proofErr w:type="spellStart"/>
      <w:r w:rsidRPr="00401EBF">
        <w:t>gobernancia</w:t>
      </w:r>
      <w:proofErr w:type="spellEnd"/>
      <w:r w:rsidRPr="00401EBF">
        <w:t xml:space="preserve"> en la cadena de valor de la </w:t>
      </w:r>
      <w:proofErr w:type="spellStart"/>
      <w:r w:rsidRPr="00401EBF">
        <w:t>quinoa</w:t>
      </w:r>
      <w:proofErr w:type="spellEnd"/>
      <w:r w:rsidRPr="00401EBF">
        <w:t xml:space="preserve"> orgánica y del comercio justo’, </w:t>
      </w:r>
      <w:proofErr w:type="spellStart"/>
      <w:r w:rsidRPr="00B94F3A">
        <w:rPr>
          <w:i/>
        </w:rPr>
        <w:t>Journal</w:t>
      </w:r>
      <w:proofErr w:type="spellEnd"/>
      <w:r w:rsidRPr="00B94F3A">
        <w:rPr>
          <w:i/>
        </w:rPr>
        <w:t xml:space="preserve"> Agroalimentaria</w:t>
      </w:r>
      <w:r w:rsidRPr="00401EBF">
        <w:rPr>
          <w:i/>
        </w:rPr>
        <w:t xml:space="preserve"> </w:t>
      </w:r>
      <w:r w:rsidRPr="00401EBF">
        <w:t>(22)</w:t>
      </w:r>
    </w:p>
    <w:p w:rsidR="00B847C8" w:rsidRDefault="00B847C8" w:rsidP="004F43CE">
      <w:pPr>
        <w:autoSpaceDE w:val="0"/>
        <w:autoSpaceDN w:val="0"/>
        <w:adjustRightInd w:val="0"/>
        <w:spacing w:after="240" w:line="240" w:lineRule="auto"/>
        <w:ind w:left="432" w:hanging="432"/>
        <w:rPr>
          <w:rFonts w:cs="TimesNewRomanPSMT"/>
          <w:lang w:val="en-US"/>
        </w:rPr>
      </w:pPr>
      <w:r>
        <w:rPr>
          <w:rFonts w:cs="TimesNewRomanPSMT"/>
          <w:lang w:val="en-US"/>
        </w:rPr>
        <w:t>Ministry of Economy and Public Finance (2011)</w:t>
      </w:r>
      <w:r>
        <w:rPr>
          <w:rFonts w:cs="TimesNewRomanPSMT"/>
          <w:lang w:val="en-US"/>
        </w:rPr>
        <w:tab/>
        <w:t>‘</w:t>
      </w:r>
      <w:proofErr w:type="spellStart"/>
      <w:r>
        <w:rPr>
          <w:rFonts w:cs="TimesNewRomanPSMT"/>
          <w:lang w:val="en-US"/>
        </w:rPr>
        <w:t>Credito</w:t>
      </w:r>
      <w:proofErr w:type="spellEnd"/>
      <w:r>
        <w:rPr>
          <w:rFonts w:cs="TimesNewRomanPSMT"/>
          <w:lang w:val="en-US"/>
        </w:rPr>
        <w:t xml:space="preserve"> </w:t>
      </w:r>
      <w:proofErr w:type="spellStart"/>
      <w:r>
        <w:rPr>
          <w:rFonts w:cs="TimesNewRomanPSMT"/>
          <w:lang w:val="en-US"/>
        </w:rPr>
        <w:t>para</w:t>
      </w:r>
      <w:proofErr w:type="spellEnd"/>
      <w:r>
        <w:rPr>
          <w:rFonts w:cs="TimesNewRomanPSMT"/>
          <w:lang w:val="en-US"/>
        </w:rPr>
        <w:t xml:space="preserve"> la Quinoa’ (press release 3 September)</w:t>
      </w:r>
    </w:p>
    <w:p w:rsidR="004F43CE" w:rsidRDefault="004F43CE" w:rsidP="004F43CE">
      <w:pPr>
        <w:autoSpaceDE w:val="0"/>
        <w:autoSpaceDN w:val="0"/>
        <w:adjustRightInd w:val="0"/>
        <w:spacing w:after="240" w:line="240" w:lineRule="auto"/>
        <w:ind w:left="432" w:hanging="432"/>
        <w:rPr>
          <w:rFonts w:cs="TimesNewRomanPSMT"/>
          <w:lang w:val="en-US"/>
        </w:rPr>
      </w:pPr>
      <w:proofErr w:type="spellStart"/>
      <w:r>
        <w:rPr>
          <w:rFonts w:cs="TimesNewRomanPSMT"/>
          <w:lang w:val="en-US"/>
        </w:rPr>
        <w:t>Morisset</w:t>
      </w:r>
      <w:proofErr w:type="spellEnd"/>
      <w:r>
        <w:rPr>
          <w:rFonts w:cs="TimesNewRomanPSMT"/>
          <w:lang w:val="en-US"/>
        </w:rPr>
        <w:t>, J. (1998). ‘</w:t>
      </w:r>
      <w:r w:rsidRPr="001D2A1F">
        <w:rPr>
          <w:rFonts w:cs="TimesNewRomanPSMT"/>
          <w:lang w:val="en-US"/>
        </w:rPr>
        <w:t xml:space="preserve">Unfair Trade? </w:t>
      </w:r>
      <w:proofErr w:type="gramStart"/>
      <w:r w:rsidRPr="001D2A1F">
        <w:rPr>
          <w:rFonts w:cs="TimesNewRomanPSMT"/>
          <w:lang w:val="en-US"/>
        </w:rPr>
        <w:t>The Increasing Gap between World and Domestic Prices in Commodity Ma</w:t>
      </w:r>
      <w:r>
        <w:rPr>
          <w:rFonts w:cs="TimesNewRomanPSMT"/>
          <w:lang w:val="en-US"/>
        </w:rPr>
        <w:t>rkets during the Past 25 Years.’</w:t>
      </w:r>
      <w:proofErr w:type="gramEnd"/>
      <w:r w:rsidRPr="001D2A1F">
        <w:rPr>
          <w:rFonts w:cs="TimesNewRomanPSMT"/>
          <w:lang w:val="en-US"/>
        </w:rPr>
        <w:t xml:space="preserve"> </w:t>
      </w:r>
      <w:r w:rsidRPr="001D2A1F">
        <w:rPr>
          <w:rFonts w:cs="TimesNewRomanPSMT"/>
          <w:i/>
          <w:lang w:val="en-US"/>
        </w:rPr>
        <w:t>The World Bank Economic Review</w:t>
      </w:r>
      <w:r w:rsidRPr="001D2A1F">
        <w:rPr>
          <w:rFonts w:cs="TimesNewRomanPSMT"/>
          <w:lang w:val="en-US"/>
        </w:rPr>
        <w:t xml:space="preserve"> </w:t>
      </w:r>
      <w:r w:rsidRPr="00B847C8">
        <w:rPr>
          <w:rFonts w:cs="TimesNewRomanPS-BoldMT"/>
          <w:bCs/>
          <w:lang w:val="en-US"/>
        </w:rPr>
        <w:t>12</w:t>
      </w:r>
      <w:r w:rsidRPr="001D2A1F">
        <w:rPr>
          <w:rFonts w:cs="TimesNewRomanPSMT"/>
          <w:lang w:val="en-US"/>
        </w:rPr>
        <w:t>(3): 503-26.</w:t>
      </w:r>
    </w:p>
    <w:p w:rsidR="00B847C8" w:rsidRPr="00046BF3" w:rsidRDefault="00B847C8" w:rsidP="004F43CE">
      <w:pPr>
        <w:autoSpaceDE w:val="0"/>
        <w:autoSpaceDN w:val="0"/>
        <w:adjustRightInd w:val="0"/>
        <w:spacing w:after="240" w:line="240" w:lineRule="auto"/>
        <w:ind w:left="432" w:hanging="432"/>
        <w:rPr>
          <w:lang w:val="en-US"/>
        </w:rPr>
      </w:pPr>
      <w:r>
        <w:rPr>
          <w:rFonts w:cs="TimesNewRomanPSMT"/>
          <w:lang w:val="en-US"/>
        </w:rPr>
        <w:t xml:space="preserve">National Public Radio ‘The Quinoa Craze inspires North America to start growing its </w:t>
      </w:r>
      <w:proofErr w:type="gramStart"/>
      <w:r>
        <w:rPr>
          <w:rFonts w:cs="TimesNewRomanPSMT"/>
          <w:lang w:val="en-US"/>
        </w:rPr>
        <w:t xml:space="preserve">own’ </w:t>
      </w:r>
      <w:r w:rsidR="00816B0E">
        <w:rPr>
          <w:rFonts w:cs="TimesNewRomanPSMT"/>
          <w:lang w:val="en-US"/>
        </w:rPr>
        <w:t>,</w:t>
      </w:r>
      <w:proofErr w:type="gramEnd"/>
      <w:r w:rsidR="00816B0E">
        <w:rPr>
          <w:rFonts w:cs="TimesNewRomanPSMT"/>
          <w:lang w:val="en-US"/>
        </w:rPr>
        <w:t xml:space="preserve"> accessed 26 November 2012 </w:t>
      </w:r>
      <w:r>
        <w:rPr>
          <w:rFonts w:cs="TimesNewRomanPSMT"/>
          <w:lang w:val="en-US"/>
        </w:rPr>
        <w:t xml:space="preserve"> </w:t>
      </w:r>
      <w:r w:rsidR="00816B0E">
        <w:rPr>
          <w:rFonts w:cs="TimesNewRomanPSMT"/>
          <w:lang w:val="en-US"/>
        </w:rPr>
        <w:t>&lt;</w:t>
      </w:r>
      <w:r w:rsidR="00816B0E" w:rsidRPr="00816B0E">
        <w:rPr>
          <w:rFonts w:cs="TimesNewRomanPSMT"/>
          <w:lang w:val="en-US"/>
        </w:rPr>
        <w:t>http://wamu.org/news/12/11/29/quinoa_craze_inspires_north_america_to_start_growing_its_own#.ULhvaeRUAaI.email</w:t>
      </w:r>
      <w:r w:rsidR="00816B0E">
        <w:rPr>
          <w:rFonts w:cs="TimesNewRomanPSMT"/>
          <w:lang w:val="en-US"/>
        </w:rPr>
        <w:t>&gt;</w:t>
      </w:r>
    </w:p>
    <w:p w:rsidR="00046BF3" w:rsidRDefault="00046BF3" w:rsidP="004F43CE">
      <w:pPr>
        <w:autoSpaceDE w:val="0"/>
        <w:autoSpaceDN w:val="0"/>
        <w:adjustRightInd w:val="0"/>
        <w:spacing w:after="240" w:line="240" w:lineRule="auto"/>
        <w:ind w:left="432" w:hanging="432"/>
        <w:rPr>
          <w:rFonts w:cs="TimesNewRomanPSMT"/>
        </w:rPr>
      </w:pPr>
      <w:r w:rsidRPr="00046BF3">
        <w:rPr>
          <w:rFonts w:cs="TimesNewRomanPSMT"/>
          <w:lang w:val="en-US"/>
        </w:rPr>
        <w:t xml:space="preserve">Newman, S.A. (2012). </w:t>
      </w:r>
      <w:proofErr w:type="gramStart"/>
      <w:r w:rsidRPr="00046BF3">
        <w:rPr>
          <w:rFonts w:cs="TimesNewRomanPSMT"/>
          <w:lang w:val="en-US"/>
        </w:rPr>
        <w:t>Global commodity chains and global value chains.</w:t>
      </w:r>
      <w:proofErr w:type="gramEnd"/>
      <w:r w:rsidRPr="00046BF3">
        <w:rPr>
          <w:rFonts w:cs="TimesNewRomanPSMT"/>
          <w:lang w:val="en-US"/>
        </w:rPr>
        <w:t xml:space="preserve"> In A. </w:t>
      </w:r>
      <w:proofErr w:type="spellStart"/>
      <w:r w:rsidRPr="00046BF3">
        <w:rPr>
          <w:rFonts w:cs="TimesNewRomanPSMT"/>
          <w:lang w:val="en-US"/>
        </w:rPr>
        <w:t>Saad</w:t>
      </w:r>
      <w:proofErr w:type="spellEnd"/>
      <w:r w:rsidRPr="00046BF3">
        <w:rPr>
          <w:rFonts w:cs="TimesNewRomanPSMT"/>
          <w:lang w:val="en-US"/>
        </w:rPr>
        <w:t xml:space="preserve"> </w:t>
      </w:r>
      <w:proofErr w:type="spellStart"/>
      <w:r w:rsidRPr="00046BF3">
        <w:rPr>
          <w:rFonts w:cs="TimesNewRomanPSMT"/>
          <w:lang w:val="en-US"/>
        </w:rPr>
        <w:t>Filho</w:t>
      </w:r>
      <w:proofErr w:type="spellEnd"/>
      <w:r w:rsidRPr="00046BF3">
        <w:rPr>
          <w:rFonts w:cs="TimesNewRomanPSMT"/>
          <w:lang w:val="en-US"/>
        </w:rPr>
        <w:t xml:space="preserve"> &amp; B. Fine (Eds.), </w:t>
      </w:r>
      <w:proofErr w:type="gramStart"/>
      <w:r w:rsidRPr="00046BF3">
        <w:rPr>
          <w:rFonts w:cs="TimesNewRomanPSMT"/>
          <w:i/>
          <w:iCs/>
          <w:lang w:val="en-US"/>
        </w:rPr>
        <w:t>The</w:t>
      </w:r>
      <w:proofErr w:type="gramEnd"/>
      <w:r w:rsidRPr="00046BF3">
        <w:rPr>
          <w:rFonts w:cs="TimesNewRomanPSMT"/>
          <w:i/>
          <w:iCs/>
          <w:lang w:val="en-US"/>
        </w:rPr>
        <w:t xml:space="preserve"> Elgar Companion to Marxist Economics</w:t>
      </w:r>
      <w:r w:rsidRPr="00046BF3">
        <w:rPr>
          <w:rFonts w:cs="TimesNewRomanPSMT"/>
          <w:lang w:val="en-US"/>
        </w:rPr>
        <w:t xml:space="preserve"> (pp. 155-162). </w:t>
      </w:r>
      <w:proofErr w:type="spellStart"/>
      <w:r w:rsidRPr="00046BF3">
        <w:rPr>
          <w:rFonts w:cs="TimesNewRomanPSMT"/>
        </w:rPr>
        <w:t>Aldershot</w:t>
      </w:r>
      <w:proofErr w:type="spellEnd"/>
      <w:r w:rsidRPr="00046BF3">
        <w:rPr>
          <w:rFonts w:cs="TimesNewRomanPSMT"/>
        </w:rPr>
        <w:t xml:space="preserve">: Edward </w:t>
      </w:r>
      <w:proofErr w:type="spellStart"/>
      <w:r w:rsidRPr="00046BF3">
        <w:rPr>
          <w:rFonts w:cs="TimesNewRomanPSMT"/>
        </w:rPr>
        <w:t>Elgar</w:t>
      </w:r>
      <w:proofErr w:type="spellEnd"/>
      <w:r w:rsidRPr="00046BF3">
        <w:rPr>
          <w:rFonts w:cs="TimesNewRomanPSMT"/>
        </w:rPr>
        <w:t>.</w:t>
      </w:r>
    </w:p>
    <w:p w:rsidR="00046BF3" w:rsidRDefault="00046BF3" w:rsidP="004F43CE">
      <w:pPr>
        <w:autoSpaceDE w:val="0"/>
        <w:autoSpaceDN w:val="0"/>
        <w:adjustRightInd w:val="0"/>
        <w:spacing w:after="240" w:line="240" w:lineRule="auto"/>
        <w:ind w:left="432" w:hanging="432"/>
        <w:rPr>
          <w:rFonts w:cs="TimesNewRomanPSMT"/>
          <w:lang w:val="en-US"/>
        </w:rPr>
      </w:pPr>
      <w:r w:rsidRPr="00046BF3">
        <w:rPr>
          <w:rFonts w:cs="TimesNewRomanPSMT"/>
          <w:lang w:val="en-US"/>
        </w:rPr>
        <w:t>Newman, S.A</w:t>
      </w:r>
      <w:r w:rsidR="00BB728F">
        <w:rPr>
          <w:rFonts w:cs="TimesNewRomanPSMT"/>
          <w:lang w:val="en-US"/>
        </w:rPr>
        <w:t>.</w:t>
      </w:r>
      <w:r w:rsidRPr="00046BF3">
        <w:rPr>
          <w:rFonts w:cs="TimesNewRomanPSMT"/>
          <w:lang w:val="en-US"/>
        </w:rPr>
        <w:t xml:space="preserve"> (2009)</w:t>
      </w:r>
      <w:r w:rsidR="00BB728F">
        <w:rPr>
          <w:rFonts w:cs="TimesNewRomanPSMT"/>
          <w:lang w:val="en-US"/>
        </w:rPr>
        <w:t>.</w:t>
      </w:r>
      <w:r w:rsidRPr="00046BF3">
        <w:rPr>
          <w:rFonts w:cs="TimesNewRomanPSMT"/>
          <w:lang w:val="en-US"/>
        </w:rPr>
        <w:t xml:space="preserve"> Futures markets and coffee markets. </w:t>
      </w:r>
      <w:proofErr w:type="gramStart"/>
      <w:r>
        <w:rPr>
          <w:rFonts w:cs="TimesNewRomanPSMT"/>
          <w:lang w:val="en-US"/>
        </w:rPr>
        <w:t>Economics.</w:t>
      </w:r>
      <w:proofErr w:type="gramEnd"/>
      <w:r>
        <w:rPr>
          <w:rFonts w:cs="TimesNewRomanPSMT"/>
          <w:lang w:val="en-US"/>
        </w:rPr>
        <w:t xml:space="preserve"> </w:t>
      </w:r>
      <w:proofErr w:type="gramStart"/>
      <w:r>
        <w:rPr>
          <w:rFonts w:cs="TimesNewRomanPSMT"/>
          <w:lang w:val="en-US"/>
        </w:rPr>
        <w:t>London, SOAS, University of London.</w:t>
      </w:r>
      <w:proofErr w:type="gramEnd"/>
      <w:r>
        <w:rPr>
          <w:rFonts w:cs="TimesNewRomanPSMT"/>
          <w:lang w:val="en-US"/>
        </w:rPr>
        <w:t xml:space="preserve"> PHD</w:t>
      </w:r>
    </w:p>
    <w:p w:rsidR="004F43CE" w:rsidRPr="00401EBF" w:rsidRDefault="004F43CE" w:rsidP="004F43CE">
      <w:pPr>
        <w:autoSpaceDE w:val="0"/>
        <w:autoSpaceDN w:val="0"/>
        <w:adjustRightInd w:val="0"/>
        <w:spacing w:after="240" w:line="240" w:lineRule="auto"/>
        <w:ind w:left="432" w:hanging="432"/>
        <w:rPr>
          <w:color w:val="FF0000"/>
          <w:lang w:val="en-US"/>
        </w:rPr>
      </w:pPr>
      <w:proofErr w:type="gramStart"/>
      <w:r>
        <w:rPr>
          <w:rFonts w:cs="TimesNewRomanPSMT"/>
          <w:lang w:val="en-US"/>
        </w:rPr>
        <w:t>Ponte, S. (2002).</w:t>
      </w:r>
      <w:proofErr w:type="gramEnd"/>
      <w:r>
        <w:rPr>
          <w:rFonts w:cs="TimesNewRomanPSMT"/>
          <w:lang w:val="en-US"/>
        </w:rPr>
        <w:t xml:space="preserve"> ‘</w:t>
      </w:r>
      <w:r w:rsidRPr="001D2A1F">
        <w:rPr>
          <w:rFonts w:cs="TimesNewRomanPSMT"/>
          <w:lang w:val="en-US"/>
        </w:rPr>
        <w:t>Brewing a Bitter Cup? Deregulation, Quality and the Re-organization of C</w:t>
      </w:r>
      <w:r>
        <w:rPr>
          <w:rFonts w:cs="TimesNewRomanPSMT"/>
          <w:lang w:val="en-US"/>
        </w:rPr>
        <w:t>offee Marketing in East Africa.’</w:t>
      </w:r>
      <w:r w:rsidRPr="001D2A1F">
        <w:rPr>
          <w:rFonts w:cs="TimesNewRomanPSMT"/>
          <w:lang w:val="en-US"/>
        </w:rPr>
        <w:t xml:space="preserve"> </w:t>
      </w:r>
      <w:r w:rsidRPr="001D2A1F">
        <w:rPr>
          <w:rFonts w:cs="TimesNewRomanPSMT"/>
          <w:i/>
          <w:lang w:val="en-US"/>
        </w:rPr>
        <w:t>Journal of Agrarian Change</w:t>
      </w:r>
      <w:r w:rsidRPr="001D2A1F">
        <w:rPr>
          <w:rFonts w:cs="TimesNewRomanPSMT"/>
          <w:lang w:val="en-US"/>
        </w:rPr>
        <w:t xml:space="preserve"> </w:t>
      </w:r>
      <w:r w:rsidRPr="001D2A1F">
        <w:rPr>
          <w:rFonts w:cs="TimesNewRomanPS-BoldMT"/>
          <w:b/>
          <w:bCs/>
          <w:lang w:val="en-US"/>
        </w:rPr>
        <w:t>2</w:t>
      </w:r>
      <w:r w:rsidRPr="001D2A1F">
        <w:rPr>
          <w:rFonts w:cs="TimesNewRomanPSMT"/>
          <w:lang w:val="en-US"/>
        </w:rPr>
        <w:t>(2): 248-272.</w:t>
      </w:r>
    </w:p>
    <w:p w:rsidR="004F43CE" w:rsidRPr="00401EBF" w:rsidRDefault="004F43CE" w:rsidP="004F43CE">
      <w:pPr>
        <w:spacing w:after="240"/>
        <w:ind w:left="432" w:hanging="432"/>
        <w:jc w:val="both"/>
        <w:rPr>
          <w:lang w:val="en-US"/>
        </w:rPr>
      </w:pPr>
      <w:proofErr w:type="spellStart"/>
      <w:r w:rsidRPr="00401EBF">
        <w:rPr>
          <w:lang w:val="en-US"/>
        </w:rPr>
        <w:lastRenderedPageBreak/>
        <w:t>Raynolds</w:t>
      </w:r>
      <w:proofErr w:type="spellEnd"/>
      <w:r w:rsidRPr="00401EBF">
        <w:rPr>
          <w:lang w:val="en-US"/>
        </w:rPr>
        <w:t xml:space="preserve">, L., D. Murray, J. Wilkinson (2007) </w:t>
      </w:r>
      <w:r>
        <w:rPr>
          <w:lang w:val="en-US"/>
        </w:rPr>
        <w:t>“</w:t>
      </w:r>
      <w:r w:rsidRPr="00401EBF">
        <w:rPr>
          <w:i/>
          <w:lang w:val="en-US"/>
        </w:rPr>
        <w:t>Fair Trade: The challenges of transforming globalization</w:t>
      </w:r>
      <w:r>
        <w:rPr>
          <w:i/>
          <w:lang w:val="en-US"/>
        </w:rPr>
        <w:t>”</w:t>
      </w:r>
      <w:r w:rsidRPr="00401EBF">
        <w:rPr>
          <w:i/>
          <w:lang w:val="en-US"/>
        </w:rPr>
        <w:t xml:space="preserve">. </w:t>
      </w:r>
      <w:r w:rsidRPr="00401EBF">
        <w:rPr>
          <w:lang w:val="en-US"/>
        </w:rPr>
        <w:t xml:space="preserve">New York: </w:t>
      </w:r>
      <w:proofErr w:type="spellStart"/>
      <w:r w:rsidRPr="00401EBF">
        <w:rPr>
          <w:lang w:val="en-US"/>
        </w:rPr>
        <w:t>Routledge</w:t>
      </w:r>
      <w:proofErr w:type="spellEnd"/>
      <w:r w:rsidRPr="00401EBF">
        <w:rPr>
          <w:lang w:val="en-US"/>
        </w:rPr>
        <w:t xml:space="preserve">. </w:t>
      </w:r>
    </w:p>
    <w:p w:rsidR="004F43CE" w:rsidRPr="00401EBF" w:rsidRDefault="004F43CE" w:rsidP="004F43CE">
      <w:pPr>
        <w:spacing w:after="240"/>
        <w:ind w:left="432" w:hanging="432"/>
        <w:jc w:val="both"/>
        <w:rPr>
          <w:lang w:val="en-US"/>
        </w:rPr>
      </w:pPr>
      <w:proofErr w:type="spellStart"/>
      <w:r>
        <w:rPr>
          <w:lang w:val="en-US"/>
        </w:rPr>
        <w:t>Schurman</w:t>
      </w:r>
      <w:proofErr w:type="spellEnd"/>
      <w:r>
        <w:rPr>
          <w:lang w:val="en-US"/>
        </w:rPr>
        <w:t>, Rachel A. 2001. ‘</w:t>
      </w:r>
      <w:r w:rsidRPr="00401EBF">
        <w:rPr>
          <w:lang w:val="en-US"/>
        </w:rPr>
        <w:t>Uncertain Gains: Labor</w:t>
      </w:r>
      <w:r>
        <w:rPr>
          <w:lang w:val="en-US"/>
        </w:rPr>
        <w:t xml:space="preserve"> in Chile’s New Export Sectors.’</w:t>
      </w:r>
      <w:r w:rsidRPr="00401EBF">
        <w:rPr>
          <w:lang w:val="en-US"/>
        </w:rPr>
        <w:t xml:space="preserve"> </w:t>
      </w:r>
      <w:r w:rsidRPr="001D2A1F">
        <w:rPr>
          <w:i/>
          <w:lang w:val="en-US"/>
        </w:rPr>
        <w:t>Latin American Research Review</w:t>
      </w:r>
      <w:r w:rsidRPr="00401EBF">
        <w:rPr>
          <w:lang w:val="en-US"/>
        </w:rPr>
        <w:t xml:space="preserve"> 36: 3-29.</w:t>
      </w:r>
    </w:p>
    <w:p w:rsidR="004F43CE" w:rsidRPr="00401EBF" w:rsidRDefault="004F43CE" w:rsidP="004F43CE">
      <w:pPr>
        <w:spacing w:after="240"/>
        <w:ind w:left="432" w:hanging="432"/>
        <w:jc w:val="both"/>
        <w:rPr>
          <w:lang w:val="en-US"/>
        </w:rPr>
      </w:pPr>
      <w:r>
        <w:rPr>
          <w:lang w:val="en-US"/>
        </w:rPr>
        <w:t>Shepard, B. (2004). ‘</w:t>
      </w:r>
      <w:r w:rsidRPr="00401EBF">
        <w:rPr>
          <w:lang w:val="en-US"/>
        </w:rPr>
        <w:t xml:space="preserve">Market Power in International Commodity Processing Chains: Preliminary </w:t>
      </w:r>
      <w:r>
        <w:rPr>
          <w:lang w:val="en-US"/>
        </w:rPr>
        <w:t>Results from the Coffee Market.’</w:t>
      </w:r>
      <w:r w:rsidRPr="00401EBF">
        <w:rPr>
          <w:lang w:val="en-US"/>
        </w:rPr>
        <w:t xml:space="preserve"> </w:t>
      </w:r>
      <w:proofErr w:type="spellStart"/>
      <w:r w:rsidRPr="001D2A1F">
        <w:rPr>
          <w:i/>
          <w:lang w:val="en-US"/>
        </w:rPr>
        <w:t>Groupe</w:t>
      </w:r>
      <w:proofErr w:type="spellEnd"/>
      <w:r w:rsidRPr="001D2A1F">
        <w:rPr>
          <w:i/>
          <w:lang w:val="en-US"/>
        </w:rPr>
        <w:t xml:space="preserve"> </w:t>
      </w:r>
      <w:proofErr w:type="spellStart"/>
      <w:r w:rsidRPr="001D2A1F">
        <w:rPr>
          <w:i/>
          <w:lang w:val="en-US"/>
        </w:rPr>
        <w:t>d'Economie</w:t>
      </w:r>
      <w:proofErr w:type="spellEnd"/>
      <w:r w:rsidRPr="001D2A1F">
        <w:rPr>
          <w:i/>
          <w:lang w:val="en-US"/>
        </w:rPr>
        <w:t xml:space="preserve"> </w:t>
      </w:r>
      <w:proofErr w:type="spellStart"/>
      <w:r w:rsidRPr="001D2A1F">
        <w:rPr>
          <w:i/>
          <w:lang w:val="en-US"/>
        </w:rPr>
        <w:t>Mondiale</w:t>
      </w:r>
      <w:proofErr w:type="spellEnd"/>
      <w:r w:rsidRPr="001D2A1F">
        <w:rPr>
          <w:i/>
          <w:lang w:val="en-US"/>
        </w:rPr>
        <w:t>.</w:t>
      </w:r>
    </w:p>
    <w:p w:rsidR="004F43CE" w:rsidRPr="00FF70DE" w:rsidRDefault="004F43CE" w:rsidP="004F43CE">
      <w:pPr>
        <w:autoSpaceDE w:val="0"/>
        <w:autoSpaceDN w:val="0"/>
        <w:adjustRightInd w:val="0"/>
        <w:spacing w:after="240" w:line="240" w:lineRule="auto"/>
        <w:ind w:left="432" w:hanging="432"/>
        <w:rPr>
          <w:rFonts w:cs="TimesNewRomanPSMT"/>
          <w:lang w:val="en-US"/>
        </w:rPr>
      </w:pPr>
      <w:r>
        <w:rPr>
          <w:rFonts w:cs="TimesNewRomanPSMT"/>
          <w:lang w:val="en-US"/>
        </w:rPr>
        <w:t>Talbot, J. M. (1997). ‘</w:t>
      </w:r>
      <w:r w:rsidRPr="001D2A1F">
        <w:rPr>
          <w:rFonts w:cs="TimesNewRomanPSMT"/>
          <w:lang w:val="en-US"/>
        </w:rPr>
        <w:t>Where Does Your Coffee Dollar Go?: The Division of Income and Surplus along the Coffee Commodity Chain</w:t>
      </w:r>
      <w:r>
        <w:rPr>
          <w:rFonts w:cs="TimesNewRomanPSMT"/>
          <w:lang w:val="en-US"/>
        </w:rPr>
        <w:t>.’</w:t>
      </w:r>
      <w:r w:rsidRPr="001D2A1F">
        <w:rPr>
          <w:rFonts w:cs="TimesNewRomanPSMT"/>
          <w:lang w:val="en-US"/>
        </w:rPr>
        <w:t xml:space="preserve"> </w:t>
      </w:r>
      <w:r w:rsidRPr="001D2A1F">
        <w:rPr>
          <w:rFonts w:cs="TimesNewRomanPSMT"/>
          <w:i/>
          <w:lang w:val="en-US"/>
        </w:rPr>
        <w:t>Studies in Comparative International Development</w:t>
      </w:r>
      <w:r w:rsidRPr="001D2A1F">
        <w:rPr>
          <w:rFonts w:cs="TimesNewRomanPSMT"/>
          <w:lang w:val="en-US"/>
        </w:rPr>
        <w:t xml:space="preserve"> </w:t>
      </w:r>
      <w:r w:rsidRPr="001D2A1F">
        <w:rPr>
          <w:rFonts w:cs="TimesNewRomanPS-BoldMT"/>
          <w:b/>
          <w:bCs/>
          <w:lang w:val="en-US"/>
        </w:rPr>
        <w:t>32</w:t>
      </w:r>
      <w:r w:rsidRPr="001D2A1F">
        <w:rPr>
          <w:rFonts w:cs="TimesNewRomanPSMT"/>
          <w:lang w:val="en-US"/>
        </w:rPr>
        <w:t>(1): 56-91.</w:t>
      </w:r>
    </w:p>
    <w:p w:rsidR="004F43CE" w:rsidRPr="00401EBF" w:rsidRDefault="004F43CE" w:rsidP="004F43CE">
      <w:pPr>
        <w:spacing w:after="240"/>
        <w:ind w:left="432" w:hanging="432"/>
        <w:jc w:val="both"/>
        <w:rPr>
          <w:lang w:val="en-US"/>
        </w:rPr>
      </w:pPr>
      <w:r w:rsidRPr="00401EBF">
        <w:rPr>
          <w:lang w:val="en-US"/>
        </w:rPr>
        <w:t xml:space="preserve">Ton, G., J. </w:t>
      </w:r>
      <w:proofErr w:type="spellStart"/>
      <w:r w:rsidRPr="00401EBF">
        <w:rPr>
          <w:lang w:val="en-US"/>
        </w:rPr>
        <w:t>Bijman</w:t>
      </w:r>
      <w:proofErr w:type="spellEnd"/>
      <w:r w:rsidRPr="00401EBF">
        <w:rPr>
          <w:lang w:val="en-US"/>
        </w:rPr>
        <w:t xml:space="preserve"> (2006) ‘The role of producer </w:t>
      </w:r>
      <w:proofErr w:type="spellStart"/>
      <w:r w:rsidRPr="00401EBF">
        <w:rPr>
          <w:lang w:val="en-US"/>
        </w:rPr>
        <w:t>organisations</w:t>
      </w:r>
      <w:proofErr w:type="spellEnd"/>
      <w:r w:rsidRPr="00401EBF">
        <w:rPr>
          <w:lang w:val="en-US"/>
        </w:rPr>
        <w:t xml:space="preserve"> in the process of developing an integrated supply chain; experiences from Quinoa chain development in Bolivia’, paper presented at the 7</w:t>
      </w:r>
      <w:r w:rsidRPr="00401EBF">
        <w:rPr>
          <w:vertAlign w:val="superscript"/>
          <w:lang w:val="en-US"/>
        </w:rPr>
        <w:t>th</w:t>
      </w:r>
      <w:r w:rsidRPr="00401EBF">
        <w:rPr>
          <w:lang w:val="en-US"/>
        </w:rPr>
        <w:t xml:space="preserve"> International Conference on Management in </w:t>
      </w:r>
      <w:proofErr w:type="spellStart"/>
      <w:r w:rsidRPr="00401EBF">
        <w:rPr>
          <w:lang w:val="en-US"/>
        </w:rPr>
        <w:t>AgriFood</w:t>
      </w:r>
      <w:proofErr w:type="spellEnd"/>
      <w:r w:rsidRPr="00401EBF">
        <w:rPr>
          <w:lang w:val="en-US"/>
        </w:rPr>
        <w:t xml:space="preserve"> Chains and Networks, Ede, The Netherlands (31 May – 2 June). </w:t>
      </w:r>
    </w:p>
    <w:p w:rsidR="00F136F6" w:rsidRPr="00334ECA" w:rsidRDefault="00F136F6" w:rsidP="00FA122F">
      <w:pPr>
        <w:rPr>
          <w:lang w:val="en-US"/>
        </w:rPr>
      </w:pPr>
    </w:p>
    <w:sectPr w:rsidR="00F136F6" w:rsidRPr="00334ECA" w:rsidSect="00E06E16">
      <w:footerReference w:type="default" r:id="rId49"/>
      <w:headerReference w:type="first" r:id="rId5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6AA6" w:rsidRDefault="006F6AA6" w:rsidP="004614BF">
      <w:pPr>
        <w:spacing w:after="0" w:line="240" w:lineRule="auto"/>
      </w:pPr>
      <w:r>
        <w:separator/>
      </w:r>
    </w:p>
  </w:endnote>
  <w:endnote w:type="continuationSeparator" w:id="0">
    <w:p w:rsidR="006F6AA6" w:rsidRDefault="006F6AA6" w:rsidP="00461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NewRomanPS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068943"/>
      <w:docPartObj>
        <w:docPartGallery w:val="Page Numbers (Bottom of Page)"/>
        <w:docPartUnique/>
      </w:docPartObj>
    </w:sdtPr>
    <w:sdtEndPr>
      <w:rPr>
        <w:noProof/>
      </w:rPr>
    </w:sdtEndPr>
    <w:sdtContent>
      <w:p w:rsidR="00341B71" w:rsidRDefault="00341B71">
        <w:pPr>
          <w:pStyle w:val="Footer"/>
          <w:jc w:val="center"/>
        </w:pPr>
        <w:r>
          <w:fldChar w:fldCharType="begin"/>
        </w:r>
        <w:r>
          <w:instrText xml:space="preserve"> PAGE   \* MERGEFORMAT </w:instrText>
        </w:r>
        <w:r>
          <w:fldChar w:fldCharType="separate"/>
        </w:r>
        <w:r w:rsidR="009E65F1">
          <w:rPr>
            <w:noProof/>
          </w:rPr>
          <w:t>3</w:t>
        </w:r>
        <w:r>
          <w:rPr>
            <w:noProof/>
          </w:rPr>
          <w:fldChar w:fldCharType="end"/>
        </w:r>
      </w:p>
    </w:sdtContent>
  </w:sdt>
  <w:p w:rsidR="00341B71" w:rsidRDefault="00341B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6AA6" w:rsidRDefault="006F6AA6" w:rsidP="004614BF">
      <w:pPr>
        <w:spacing w:after="0" w:line="240" w:lineRule="auto"/>
      </w:pPr>
      <w:r>
        <w:separator/>
      </w:r>
    </w:p>
  </w:footnote>
  <w:footnote w:type="continuationSeparator" w:id="0">
    <w:p w:rsidR="006F6AA6" w:rsidRDefault="006F6AA6" w:rsidP="004614BF">
      <w:pPr>
        <w:spacing w:after="0" w:line="240" w:lineRule="auto"/>
      </w:pPr>
      <w:r>
        <w:continuationSeparator/>
      </w:r>
    </w:p>
  </w:footnote>
  <w:footnote w:id="1">
    <w:p w:rsidR="00341B71" w:rsidRPr="00851769" w:rsidRDefault="00341B71">
      <w:pPr>
        <w:pStyle w:val="FootnoteText"/>
        <w:rPr>
          <w:lang w:val="en-US"/>
        </w:rPr>
      </w:pPr>
      <w:r>
        <w:rPr>
          <w:rStyle w:val="FootnoteReference"/>
        </w:rPr>
        <w:footnoteRef/>
      </w:r>
      <w:r w:rsidRPr="00851769">
        <w:rPr>
          <w:lang w:val="en-US"/>
        </w:rPr>
        <w:t xml:space="preserve"> </w:t>
      </w:r>
      <w:r>
        <w:rPr>
          <w:lang w:val="en-US"/>
        </w:rPr>
        <w:t xml:space="preserve">I visited the </w:t>
      </w:r>
      <w:proofErr w:type="spellStart"/>
      <w:r>
        <w:rPr>
          <w:lang w:val="en-US"/>
        </w:rPr>
        <w:t>Floriade</w:t>
      </w:r>
      <w:proofErr w:type="spellEnd"/>
      <w:r>
        <w:rPr>
          <w:lang w:val="en-US"/>
        </w:rPr>
        <w:t xml:space="preserve"> event as part of my fieldwork activities. </w:t>
      </w:r>
    </w:p>
  </w:footnote>
  <w:footnote w:id="2">
    <w:p w:rsidR="00341B71" w:rsidRPr="005E2780" w:rsidRDefault="00341B71">
      <w:pPr>
        <w:pStyle w:val="FootnoteText"/>
        <w:rPr>
          <w:lang w:val="en-US"/>
        </w:rPr>
      </w:pPr>
      <w:r>
        <w:rPr>
          <w:rStyle w:val="FootnoteReference"/>
        </w:rPr>
        <w:footnoteRef/>
      </w:r>
      <w:r w:rsidRPr="005E2780">
        <w:rPr>
          <w:lang w:val="en-US"/>
        </w:rPr>
        <w:t xml:space="preserve"> </w:t>
      </w:r>
      <w:r>
        <w:rPr>
          <w:lang w:val="en-US"/>
        </w:rPr>
        <w:t xml:space="preserve">Currently 0, 4% of the world’s population suffers from celiac </w:t>
      </w:r>
      <w:r w:rsidRPr="00FA122F">
        <w:rPr>
          <w:lang w:val="en-US"/>
        </w:rPr>
        <w:t>disease (</w:t>
      </w:r>
      <w:proofErr w:type="spellStart"/>
      <w:r w:rsidRPr="00FA122F">
        <w:rPr>
          <w:lang w:val="en-US"/>
        </w:rPr>
        <w:t>Birbuet</w:t>
      </w:r>
      <w:proofErr w:type="spellEnd"/>
      <w:r w:rsidRPr="00FA122F">
        <w:rPr>
          <w:lang w:val="en-US"/>
        </w:rPr>
        <w:t xml:space="preserve"> and </w:t>
      </w:r>
      <w:proofErr w:type="spellStart"/>
      <w:r w:rsidRPr="00FA122F">
        <w:rPr>
          <w:lang w:val="en-US"/>
        </w:rPr>
        <w:t>Machicado</w:t>
      </w:r>
      <w:proofErr w:type="spellEnd"/>
      <w:r w:rsidRPr="00FA122F">
        <w:rPr>
          <w:lang w:val="en-US"/>
        </w:rPr>
        <w:t xml:space="preserve">, 2009). </w:t>
      </w:r>
    </w:p>
  </w:footnote>
  <w:footnote w:id="3">
    <w:p w:rsidR="00341B71" w:rsidRPr="00B65E87" w:rsidRDefault="00341B71" w:rsidP="009C6520">
      <w:pPr>
        <w:pStyle w:val="FootnoteText"/>
        <w:rPr>
          <w:lang w:val="en-US"/>
        </w:rPr>
      </w:pPr>
      <w:r>
        <w:rPr>
          <w:rStyle w:val="FootnoteReference"/>
        </w:rPr>
        <w:footnoteRef/>
      </w:r>
      <w:r w:rsidRPr="00B65E87">
        <w:rPr>
          <w:lang w:val="en-US"/>
        </w:rPr>
        <w:t xml:space="preserve"> </w:t>
      </w:r>
      <w:r>
        <w:rPr>
          <w:lang w:val="en-US"/>
        </w:rPr>
        <w:t xml:space="preserve">Although the level of volume exports has come down during the last year, it continues to be double what the </w:t>
      </w:r>
      <w:r w:rsidRPr="0071130E">
        <w:rPr>
          <w:lang w:val="en-US"/>
        </w:rPr>
        <w:t xml:space="preserve">level was </w:t>
      </w:r>
      <w:r>
        <w:rPr>
          <w:lang w:val="en-US"/>
        </w:rPr>
        <w:t>just six years back in 2006 with 8.378 (MT), as the graph shows.</w:t>
      </w:r>
    </w:p>
  </w:footnote>
  <w:footnote w:id="4">
    <w:p w:rsidR="00341B71" w:rsidRPr="009F0A19" w:rsidRDefault="00341B71">
      <w:pPr>
        <w:pStyle w:val="FootnoteText"/>
        <w:rPr>
          <w:lang w:val="en-US"/>
        </w:rPr>
      </w:pPr>
      <w:r>
        <w:rPr>
          <w:rStyle w:val="FootnoteReference"/>
        </w:rPr>
        <w:footnoteRef/>
      </w:r>
      <w:r w:rsidRPr="009F0A19">
        <w:rPr>
          <w:lang w:val="en-US"/>
        </w:rPr>
        <w:t xml:space="preserve"> </w:t>
      </w:r>
      <w:r>
        <w:rPr>
          <w:lang w:val="en-US"/>
        </w:rPr>
        <w:t xml:space="preserve">Brazil is a young market, but is growing rapidly. </w:t>
      </w:r>
    </w:p>
  </w:footnote>
  <w:footnote w:id="5">
    <w:p w:rsidR="00341B71" w:rsidRPr="009F0A19" w:rsidRDefault="00341B71">
      <w:pPr>
        <w:pStyle w:val="FootnoteText"/>
        <w:rPr>
          <w:lang w:val="en-US"/>
        </w:rPr>
      </w:pPr>
      <w:r>
        <w:rPr>
          <w:rStyle w:val="FootnoteReference"/>
        </w:rPr>
        <w:footnoteRef/>
      </w:r>
      <w:r w:rsidRPr="009F0A19">
        <w:rPr>
          <w:lang w:val="en-US"/>
        </w:rPr>
        <w:t xml:space="preserve"> </w:t>
      </w:r>
      <w:r>
        <w:rPr>
          <w:lang w:val="en-US"/>
        </w:rPr>
        <w:t>Although Peru is one of the main quinoa producing countries (along with Ecuador) they also import quinoa. However, the majority of the quinoa that goes to this country is actually smuggled through the “Black Market” in the “</w:t>
      </w:r>
      <w:proofErr w:type="spellStart"/>
      <w:r>
        <w:rPr>
          <w:lang w:val="en-US"/>
        </w:rPr>
        <w:t>Challapata</w:t>
      </w:r>
      <w:proofErr w:type="spellEnd"/>
      <w:r>
        <w:rPr>
          <w:lang w:val="en-US"/>
        </w:rPr>
        <w:t xml:space="preserve"> Fair” versus being officially imported. Peru is the biggest consumer of quinoa around the world. </w:t>
      </w:r>
    </w:p>
  </w:footnote>
  <w:footnote w:id="6">
    <w:p w:rsidR="00341B71" w:rsidRPr="0072126E" w:rsidRDefault="00341B71" w:rsidP="00B57329">
      <w:pPr>
        <w:pStyle w:val="FootnoteText"/>
        <w:rPr>
          <w:lang w:val="en-US"/>
        </w:rPr>
      </w:pPr>
      <w:r>
        <w:rPr>
          <w:rStyle w:val="FootnoteReference"/>
        </w:rPr>
        <w:footnoteRef/>
      </w:r>
      <w:r w:rsidRPr="0072126E">
        <w:rPr>
          <w:lang w:val="en-US"/>
        </w:rPr>
        <w:t xml:space="preserve"> </w:t>
      </w:r>
      <w:r>
        <w:rPr>
          <w:lang w:val="en-US"/>
        </w:rPr>
        <w:t xml:space="preserve">The farmers’ ability to pay back the loans is measured by the number of cultivated areas. </w:t>
      </w:r>
    </w:p>
  </w:footnote>
  <w:footnote w:id="7">
    <w:p w:rsidR="00341B71" w:rsidRPr="004710C0" w:rsidRDefault="00341B71">
      <w:pPr>
        <w:pStyle w:val="FootnoteText"/>
        <w:rPr>
          <w:lang w:val="en-US"/>
        </w:rPr>
      </w:pPr>
      <w:r>
        <w:rPr>
          <w:rStyle w:val="FootnoteReference"/>
        </w:rPr>
        <w:footnoteRef/>
      </w:r>
      <w:r w:rsidRPr="004710C0">
        <w:rPr>
          <w:lang w:val="en-US"/>
        </w:rPr>
        <w:t xml:space="preserve"> </w:t>
      </w:r>
      <w:r>
        <w:rPr>
          <w:lang w:val="en-US"/>
        </w:rPr>
        <w:t xml:space="preserve">Another set of actors considered as supporting institutions/bodies are: public institutions, NGO’s, certifying companies, international organisms of </w:t>
      </w:r>
      <w:r w:rsidRPr="00536EE8">
        <w:rPr>
          <w:lang w:val="en-US"/>
        </w:rPr>
        <w:t>cooperation (Laguna</w:t>
      </w:r>
      <w:proofErr w:type="gramStart"/>
      <w:r w:rsidRPr="00536EE8">
        <w:rPr>
          <w:lang w:val="en-US"/>
        </w:rPr>
        <w:t>,2006</w:t>
      </w:r>
      <w:proofErr w:type="gramEnd"/>
      <w:r w:rsidRPr="00536EE8">
        <w:rPr>
          <w:lang w:val="en-US"/>
        </w:rPr>
        <w:t>).</w:t>
      </w:r>
    </w:p>
  </w:footnote>
  <w:footnote w:id="8">
    <w:p w:rsidR="00341B71" w:rsidRPr="00F33B01" w:rsidRDefault="00341B71">
      <w:pPr>
        <w:pStyle w:val="FootnoteText"/>
        <w:rPr>
          <w:lang w:val="en-US"/>
        </w:rPr>
      </w:pPr>
      <w:r>
        <w:rPr>
          <w:rStyle w:val="FootnoteReference"/>
        </w:rPr>
        <w:footnoteRef/>
      </w:r>
      <w:r w:rsidRPr="00F33B01">
        <w:rPr>
          <w:lang w:val="en-US"/>
        </w:rPr>
        <w:t xml:space="preserve"> </w:t>
      </w:r>
      <w:r>
        <w:rPr>
          <w:lang w:val="en-US"/>
        </w:rPr>
        <w:t xml:space="preserve">This was one of the locations I visited during my fieldwork. </w:t>
      </w:r>
    </w:p>
  </w:footnote>
  <w:footnote w:id="9">
    <w:p w:rsidR="00341B71" w:rsidRPr="008E67FD" w:rsidRDefault="00341B71" w:rsidP="00C02A63">
      <w:pPr>
        <w:pStyle w:val="FootnoteText"/>
        <w:rPr>
          <w:lang w:val="en-US"/>
        </w:rPr>
      </w:pPr>
      <w:r>
        <w:rPr>
          <w:rStyle w:val="FootnoteReference"/>
        </w:rPr>
        <w:footnoteRef/>
      </w:r>
      <w:r w:rsidRPr="008E67FD">
        <w:rPr>
          <w:lang w:val="en-US"/>
        </w:rPr>
        <w:t xml:space="preserve"> </w:t>
      </w:r>
      <w:r>
        <w:rPr>
          <w:lang w:val="en-US"/>
        </w:rPr>
        <w:t xml:space="preserve">I visited both PO’s during my fieldwork and interviewed the presidents of both organizations. A diagram with the list of the regional associations under ANAPQUI is provided in </w:t>
      </w:r>
      <w:r w:rsidRPr="00E67695">
        <w:rPr>
          <w:lang w:val="en-US"/>
        </w:rPr>
        <w:t xml:space="preserve">the Appendix – Diagram #3. </w:t>
      </w:r>
    </w:p>
  </w:footnote>
  <w:footnote w:id="10">
    <w:p w:rsidR="00341B71" w:rsidRPr="00426161" w:rsidRDefault="00341B71" w:rsidP="00C02A63">
      <w:pPr>
        <w:pStyle w:val="FootnoteText"/>
        <w:rPr>
          <w:lang w:val="en-US"/>
        </w:rPr>
      </w:pPr>
      <w:r>
        <w:rPr>
          <w:rStyle w:val="FootnoteReference"/>
        </w:rPr>
        <w:footnoteRef/>
      </w:r>
      <w:r w:rsidRPr="00426161">
        <w:rPr>
          <w:lang w:val="en-US"/>
        </w:rPr>
        <w:t xml:space="preserve"> </w:t>
      </w:r>
      <w:r>
        <w:rPr>
          <w:lang w:val="en-US"/>
        </w:rPr>
        <w:t xml:space="preserve">CECAOT is organized as a cooperative. </w:t>
      </w:r>
    </w:p>
  </w:footnote>
  <w:footnote w:id="11">
    <w:p w:rsidR="00341B71" w:rsidRPr="00B33ED5" w:rsidRDefault="00341B71" w:rsidP="00E05108">
      <w:pPr>
        <w:pStyle w:val="FootnoteText"/>
        <w:rPr>
          <w:lang w:val="en-US"/>
        </w:rPr>
      </w:pPr>
      <w:r>
        <w:rPr>
          <w:rStyle w:val="FootnoteReference"/>
        </w:rPr>
        <w:footnoteRef/>
      </w:r>
      <w:r w:rsidRPr="00CC2697">
        <w:rPr>
          <w:lang w:val="en-US"/>
        </w:rPr>
        <w:t xml:space="preserve"> </w:t>
      </w:r>
      <w:r>
        <w:rPr>
          <w:lang w:val="en-US"/>
        </w:rPr>
        <w:t xml:space="preserve">This organization was created in 2005. </w:t>
      </w:r>
    </w:p>
  </w:footnote>
  <w:footnote w:id="12">
    <w:p w:rsidR="00341B71" w:rsidRPr="000C10E8" w:rsidRDefault="00341B71">
      <w:pPr>
        <w:pStyle w:val="FootnoteText"/>
        <w:rPr>
          <w:lang w:val="en-US"/>
        </w:rPr>
      </w:pPr>
      <w:r>
        <w:rPr>
          <w:rStyle w:val="FootnoteReference"/>
        </w:rPr>
        <w:footnoteRef/>
      </w:r>
      <w:r w:rsidRPr="000C10E8">
        <w:rPr>
          <w:lang w:val="en-US"/>
        </w:rPr>
        <w:t xml:space="preserve"> </w:t>
      </w:r>
      <w:r>
        <w:rPr>
          <w:lang w:val="en-US"/>
        </w:rPr>
        <w:t>I visited this private firm during my fieldwork.</w:t>
      </w:r>
    </w:p>
  </w:footnote>
  <w:footnote w:id="13">
    <w:p w:rsidR="00341B71" w:rsidRPr="00BA0279" w:rsidRDefault="00341B71" w:rsidP="00E05108">
      <w:pPr>
        <w:pStyle w:val="FootnoteText"/>
        <w:rPr>
          <w:lang w:val="en-US"/>
        </w:rPr>
      </w:pPr>
      <w:r>
        <w:rPr>
          <w:rStyle w:val="FootnoteReference"/>
        </w:rPr>
        <w:footnoteRef/>
      </w:r>
      <w:r w:rsidRPr="00BA0279">
        <w:rPr>
          <w:lang w:val="en-US"/>
        </w:rPr>
        <w:t xml:space="preserve"> </w:t>
      </w:r>
      <w:r>
        <w:rPr>
          <w:lang w:val="en-US"/>
        </w:rPr>
        <w:t xml:space="preserve">The </w:t>
      </w:r>
      <w:proofErr w:type="spellStart"/>
      <w:r>
        <w:rPr>
          <w:lang w:val="en-US"/>
        </w:rPr>
        <w:t>saponin</w:t>
      </w:r>
      <w:proofErr w:type="spellEnd"/>
      <w:r>
        <w:rPr>
          <w:lang w:val="en-US"/>
        </w:rPr>
        <w:t xml:space="preserve"> is a bitter coat that covers the quinoa grain. </w:t>
      </w:r>
    </w:p>
  </w:footnote>
  <w:footnote w:id="14">
    <w:p w:rsidR="00341B71" w:rsidRPr="00E10FD5" w:rsidRDefault="00341B71" w:rsidP="00E05108">
      <w:pPr>
        <w:pStyle w:val="FootnoteText"/>
        <w:rPr>
          <w:lang w:val="en-US"/>
        </w:rPr>
      </w:pPr>
      <w:r>
        <w:rPr>
          <w:rStyle w:val="FootnoteReference"/>
        </w:rPr>
        <w:footnoteRef/>
      </w:r>
      <w:r w:rsidRPr="00E10FD5">
        <w:rPr>
          <w:lang w:val="en-US"/>
        </w:rPr>
        <w:t xml:space="preserve"> </w:t>
      </w:r>
      <w:r>
        <w:rPr>
          <w:lang w:val="en-US"/>
        </w:rPr>
        <w:t xml:space="preserve">Ideally, certified organic quinoa is preferred. </w:t>
      </w:r>
    </w:p>
  </w:footnote>
  <w:footnote w:id="15">
    <w:p w:rsidR="00341B71" w:rsidRPr="006F01C4" w:rsidRDefault="00341B71">
      <w:pPr>
        <w:pStyle w:val="FootnoteText"/>
        <w:rPr>
          <w:lang w:val="en-US"/>
        </w:rPr>
      </w:pPr>
      <w:r>
        <w:rPr>
          <w:rStyle w:val="FootnoteReference"/>
        </w:rPr>
        <w:footnoteRef/>
      </w:r>
      <w:r w:rsidRPr="006F01C4">
        <w:rPr>
          <w:lang w:val="en-US"/>
        </w:rPr>
        <w:t xml:space="preserve"> </w:t>
      </w:r>
      <w:r>
        <w:rPr>
          <w:lang w:val="en-US"/>
        </w:rPr>
        <w:t xml:space="preserve">A diagram with the list of the companies vertically integrated is provided in </w:t>
      </w:r>
      <w:r w:rsidRPr="00E67695">
        <w:rPr>
          <w:lang w:val="en-US"/>
        </w:rPr>
        <w:t>the Appendix – Diagram # 4.</w:t>
      </w:r>
    </w:p>
  </w:footnote>
  <w:footnote w:id="16">
    <w:p w:rsidR="00341B71" w:rsidRPr="006C727E" w:rsidRDefault="00341B71">
      <w:pPr>
        <w:pStyle w:val="FootnoteText"/>
        <w:rPr>
          <w:lang w:val="en-US"/>
        </w:rPr>
      </w:pPr>
      <w:r>
        <w:rPr>
          <w:rStyle w:val="FootnoteReference"/>
        </w:rPr>
        <w:footnoteRef/>
      </w:r>
      <w:r w:rsidRPr="006C727E">
        <w:rPr>
          <w:lang w:val="en-US"/>
        </w:rPr>
        <w:t xml:space="preserve"> </w:t>
      </w:r>
      <w:r>
        <w:rPr>
          <w:lang w:val="en-US"/>
        </w:rPr>
        <w:t xml:space="preserve">As mentioned earlier Peru is the biggest consumer of quinoa in the world. </w:t>
      </w:r>
    </w:p>
  </w:footnote>
  <w:footnote w:id="17">
    <w:p w:rsidR="00341B71" w:rsidRPr="00F4615A" w:rsidRDefault="00341B71">
      <w:pPr>
        <w:pStyle w:val="FootnoteText"/>
        <w:rPr>
          <w:lang w:val="en-US"/>
        </w:rPr>
      </w:pPr>
      <w:r>
        <w:rPr>
          <w:rStyle w:val="FootnoteReference"/>
        </w:rPr>
        <w:footnoteRef/>
      </w:r>
      <w:r w:rsidRPr="00F4615A">
        <w:rPr>
          <w:lang w:val="en-US"/>
        </w:rPr>
        <w:t xml:space="preserve"> </w:t>
      </w:r>
      <w:proofErr w:type="gramStart"/>
      <w:r>
        <w:rPr>
          <w:lang w:val="en-US"/>
        </w:rPr>
        <w:t>Local word that means exchange.</w:t>
      </w:r>
      <w:proofErr w:type="gramEnd"/>
      <w:r>
        <w:rPr>
          <w:lang w:val="en-US"/>
        </w:rPr>
        <w:t xml:space="preserve"> </w:t>
      </w:r>
    </w:p>
  </w:footnote>
  <w:footnote w:id="18">
    <w:p w:rsidR="00341B71" w:rsidRPr="00AA173F" w:rsidRDefault="00341B71">
      <w:pPr>
        <w:pStyle w:val="FootnoteText"/>
        <w:rPr>
          <w:lang w:val="en-US"/>
        </w:rPr>
      </w:pPr>
      <w:r>
        <w:rPr>
          <w:rStyle w:val="FootnoteReference"/>
        </w:rPr>
        <w:footnoteRef/>
      </w:r>
      <w:r w:rsidRPr="00AA173F">
        <w:rPr>
          <w:lang w:val="en-US"/>
        </w:rPr>
        <w:t xml:space="preserve"> </w:t>
      </w:r>
      <w:r>
        <w:rPr>
          <w:lang w:val="en-US"/>
        </w:rPr>
        <w:t xml:space="preserve">Nevertheless this is not meant to be a complete list but rather the factors I identify as important. </w:t>
      </w:r>
    </w:p>
  </w:footnote>
  <w:footnote w:id="19">
    <w:p w:rsidR="00341B71" w:rsidRPr="001F305D" w:rsidRDefault="00341B71">
      <w:pPr>
        <w:pStyle w:val="FootnoteText"/>
        <w:rPr>
          <w:lang w:val="en-US"/>
        </w:rPr>
      </w:pPr>
      <w:r>
        <w:rPr>
          <w:rStyle w:val="FootnoteReference"/>
        </w:rPr>
        <w:footnoteRef/>
      </w:r>
      <w:r w:rsidRPr="001F305D">
        <w:rPr>
          <w:lang w:val="en-US"/>
        </w:rPr>
        <w:t xml:space="preserve"> </w:t>
      </w:r>
      <w:r>
        <w:rPr>
          <w:lang w:val="en-US"/>
        </w:rPr>
        <w:t>The “</w:t>
      </w:r>
      <w:proofErr w:type="spellStart"/>
      <w:r>
        <w:rPr>
          <w:lang w:val="en-US"/>
        </w:rPr>
        <w:t>Challapata</w:t>
      </w:r>
      <w:proofErr w:type="spellEnd"/>
      <w:r>
        <w:rPr>
          <w:lang w:val="en-US"/>
        </w:rPr>
        <w:t xml:space="preserve"> Fair” is also called the “Black Market” since quinoa is also smuggled to the bordering country of Peru through this point. </w:t>
      </w:r>
    </w:p>
  </w:footnote>
  <w:footnote w:id="20">
    <w:p w:rsidR="00341B71" w:rsidRPr="00966B08" w:rsidRDefault="00341B71">
      <w:pPr>
        <w:pStyle w:val="FootnoteText"/>
        <w:rPr>
          <w:lang w:val="en-US"/>
        </w:rPr>
      </w:pPr>
      <w:r>
        <w:rPr>
          <w:rStyle w:val="FootnoteReference"/>
        </w:rPr>
        <w:footnoteRef/>
      </w:r>
      <w:r w:rsidRPr="00966B08">
        <w:rPr>
          <w:lang w:val="en-US"/>
        </w:rPr>
        <w:t xml:space="preserve"> </w:t>
      </w:r>
      <w:r>
        <w:rPr>
          <w:lang w:val="en-US"/>
        </w:rPr>
        <w:t xml:space="preserve">There are several kinds of quinoa. The “white” variety is the most highly commercialized and preferred. </w:t>
      </w:r>
    </w:p>
  </w:footnote>
  <w:footnote w:id="21">
    <w:p w:rsidR="00341B71" w:rsidRPr="001F305D" w:rsidRDefault="00341B71">
      <w:pPr>
        <w:pStyle w:val="FootnoteText"/>
        <w:rPr>
          <w:lang w:val="en-US"/>
        </w:rPr>
      </w:pPr>
      <w:r>
        <w:rPr>
          <w:rStyle w:val="FootnoteReference"/>
        </w:rPr>
        <w:footnoteRef/>
      </w:r>
      <w:r w:rsidRPr="001F305D">
        <w:rPr>
          <w:lang w:val="en-US"/>
        </w:rPr>
        <w:t xml:space="preserve"> </w:t>
      </w:r>
      <w:proofErr w:type="gramStart"/>
      <w:r w:rsidRPr="000E5367">
        <w:rPr>
          <w:lang w:val="en-US"/>
        </w:rPr>
        <w:t>Conversion rate as of 24/10/2012.</w:t>
      </w:r>
      <w:proofErr w:type="gramEnd"/>
    </w:p>
  </w:footnote>
  <w:footnote w:id="22">
    <w:p w:rsidR="00341B71" w:rsidRPr="00827833" w:rsidRDefault="00341B71" w:rsidP="00417614">
      <w:pPr>
        <w:pStyle w:val="FootnoteText"/>
        <w:rPr>
          <w:lang w:val="en-US"/>
        </w:rPr>
      </w:pPr>
      <w:r>
        <w:rPr>
          <w:rStyle w:val="FootnoteReference"/>
        </w:rPr>
        <w:footnoteRef/>
      </w:r>
      <w:r>
        <w:rPr>
          <w:lang w:val="en-US"/>
        </w:rPr>
        <w:t xml:space="preserve"> The p</w:t>
      </w:r>
      <w:r w:rsidRPr="00827833">
        <w:rPr>
          <w:lang w:val="en-US"/>
        </w:rPr>
        <w:t xml:space="preserve">rivate firm </w:t>
      </w:r>
      <w:r>
        <w:rPr>
          <w:lang w:val="en-US"/>
        </w:rPr>
        <w:t>retains</w:t>
      </w:r>
      <w:r w:rsidRPr="00827833">
        <w:rPr>
          <w:lang w:val="en-US"/>
        </w:rPr>
        <w:t xml:space="preserve"> these organic certificates. </w:t>
      </w:r>
    </w:p>
  </w:footnote>
  <w:footnote w:id="23">
    <w:p w:rsidR="00341B71" w:rsidRPr="00CA42F3" w:rsidRDefault="00341B71" w:rsidP="004F20D8">
      <w:pPr>
        <w:pStyle w:val="FootnoteText"/>
        <w:rPr>
          <w:lang w:val="en-US"/>
        </w:rPr>
      </w:pPr>
      <w:r w:rsidRPr="00CA42F3">
        <w:rPr>
          <w:rStyle w:val="FootnoteReference"/>
        </w:rPr>
        <w:footnoteRef/>
      </w:r>
      <w:r w:rsidRPr="00CA42F3">
        <w:rPr>
          <w:lang w:val="en-US"/>
        </w:rPr>
        <w:t xml:space="preserve"> The white quinoa real is the most highly commercialized quinoa hence its </w:t>
      </w:r>
      <w:r w:rsidRPr="000E5367">
        <w:rPr>
          <w:lang w:val="en-US"/>
        </w:rPr>
        <w:t xml:space="preserve">prices serve as </w:t>
      </w:r>
      <w:r w:rsidRPr="00CA42F3">
        <w:rPr>
          <w:lang w:val="en-US"/>
        </w:rPr>
        <w:t xml:space="preserve">a reference point for </w:t>
      </w:r>
      <w:r>
        <w:rPr>
          <w:lang w:val="en-US"/>
        </w:rPr>
        <w:t xml:space="preserve">the </w:t>
      </w:r>
      <w:r w:rsidRPr="00CA42F3">
        <w:rPr>
          <w:lang w:val="en-US"/>
        </w:rPr>
        <w:t xml:space="preserve">setting </w:t>
      </w:r>
      <w:r>
        <w:rPr>
          <w:lang w:val="en-US"/>
        </w:rPr>
        <w:t xml:space="preserve">of </w:t>
      </w:r>
      <w:r w:rsidRPr="00CA42F3">
        <w:rPr>
          <w:lang w:val="en-US"/>
        </w:rPr>
        <w:t xml:space="preserve">prices of all other kinds of quinoa.  </w:t>
      </w:r>
    </w:p>
  </w:footnote>
  <w:footnote w:id="24">
    <w:p w:rsidR="00341B71" w:rsidRPr="00C678E2" w:rsidRDefault="00341B71" w:rsidP="004F20D8">
      <w:pPr>
        <w:pStyle w:val="FootnoteText"/>
        <w:rPr>
          <w:lang w:val="en-US"/>
        </w:rPr>
      </w:pPr>
      <w:r>
        <w:rPr>
          <w:rStyle w:val="FootnoteReference"/>
        </w:rPr>
        <w:footnoteRef/>
      </w:r>
      <w:r w:rsidRPr="00ED172B">
        <w:rPr>
          <w:lang w:val="en-US"/>
        </w:rPr>
        <w:t xml:space="preserve"> </w:t>
      </w:r>
      <w:proofErr w:type="gramStart"/>
      <w:r>
        <w:rPr>
          <w:lang w:val="en-US"/>
        </w:rPr>
        <w:t>Conversion rate as of 25/10/2012.</w:t>
      </w:r>
      <w:proofErr w:type="gramEnd"/>
      <w:r>
        <w:rPr>
          <w:lang w:val="en-US"/>
        </w:rPr>
        <w:t xml:space="preserve"> </w:t>
      </w:r>
    </w:p>
  </w:footnote>
  <w:footnote w:id="25">
    <w:p w:rsidR="00341B71" w:rsidRPr="00F71294" w:rsidRDefault="00341B71" w:rsidP="004F20D8">
      <w:pPr>
        <w:pStyle w:val="FootnoteText"/>
        <w:rPr>
          <w:lang w:val="en-US"/>
        </w:rPr>
      </w:pPr>
      <w:r>
        <w:rPr>
          <w:rStyle w:val="FootnoteReference"/>
        </w:rPr>
        <w:footnoteRef/>
      </w:r>
      <w:r w:rsidRPr="00F71294">
        <w:rPr>
          <w:lang w:val="en-US"/>
        </w:rPr>
        <w:t xml:space="preserve"> </w:t>
      </w:r>
      <w:r>
        <w:rPr>
          <w:lang w:val="en-US"/>
        </w:rPr>
        <w:t xml:space="preserve">Month dedicated to the field work in the quinoa producing communities of Bolivia. </w:t>
      </w:r>
    </w:p>
  </w:footnote>
  <w:footnote w:id="26">
    <w:p w:rsidR="00341B71" w:rsidRPr="00E67695" w:rsidRDefault="00341B71">
      <w:pPr>
        <w:pStyle w:val="FootnoteText"/>
        <w:rPr>
          <w:lang w:val="en-US"/>
        </w:rPr>
      </w:pPr>
      <w:r>
        <w:rPr>
          <w:rStyle w:val="FootnoteReference"/>
        </w:rPr>
        <w:footnoteRef/>
      </w:r>
      <w:r w:rsidRPr="00E67695">
        <w:rPr>
          <w:lang w:val="en-US"/>
        </w:rPr>
        <w:t xml:space="preserve"> </w:t>
      </w:r>
      <w:r>
        <w:rPr>
          <w:lang w:val="en-US"/>
        </w:rPr>
        <w:t xml:space="preserve">The private companies retain the certificates. </w:t>
      </w:r>
    </w:p>
  </w:footnote>
  <w:footnote w:id="27">
    <w:p w:rsidR="00341B71" w:rsidRPr="006E723A" w:rsidRDefault="00341B71" w:rsidP="004D225E">
      <w:pPr>
        <w:pStyle w:val="FootnoteText"/>
        <w:rPr>
          <w:lang w:val="en-US"/>
        </w:rPr>
      </w:pPr>
      <w:r w:rsidRPr="000E5367">
        <w:rPr>
          <w:rStyle w:val="FootnoteReference"/>
        </w:rPr>
        <w:footnoteRef/>
      </w:r>
      <w:r w:rsidRPr="000E5367">
        <w:rPr>
          <w:lang w:val="en-US"/>
        </w:rPr>
        <w:t xml:space="preserve"> The continuous quinoa plantation is leading to the degradation of the land therefore to a loss in productivity. While in 2003, the productivity per hectare was of 26,46 (MT), by 2007 this productivity went down to 23,17 </w:t>
      </w:r>
      <w:r w:rsidRPr="002F491C">
        <w:rPr>
          <w:lang w:val="en-US"/>
        </w:rPr>
        <w:t>(MT).(</w:t>
      </w:r>
      <w:proofErr w:type="spellStart"/>
      <w:r w:rsidRPr="002F491C">
        <w:rPr>
          <w:lang w:val="en-US"/>
        </w:rPr>
        <w:t>Ledezma</w:t>
      </w:r>
      <w:proofErr w:type="spellEnd"/>
      <w:r w:rsidRPr="002F491C">
        <w:rPr>
          <w:lang w:val="en-US"/>
        </w:rPr>
        <w:t xml:space="preserve">, 2011) </w:t>
      </w:r>
    </w:p>
  </w:footnote>
  <w:footnote w:id="28">
    <w:p w:rsidR="00341B71" w:rsidRPr="00272E11" w:rsidRDefault="00341B71" w:rsidP="004D225E">
      <w:pPr>
        <w:pStyle w:val="FootnoteText"/>
        <w:rPr>
          <w:lang w:val="en-US"/>
        </w:rPr>
      </w:pPr>
      <w:r>
        <w:rPr>
          <w:rStyle w:val="FootnoteReference"/>
        </w:rPr>
        <w:footnoteRef/>
      </w:r>
      <w:r w:rsidRPr="00272E11">
        <w:rPr>
          <w:lang w:val="en-US"/>
        </w:rPr>
        <w:t xml:space="preserve"> </w:t>
      </w:r>
      <w:proofErr w:type="gramStart"/>
      <w:r>
        <w:rPr>
          <w:lang w:val="en-US"/>
        </w:rPr>
        <w:t>Interviewed during my fieldwork.</w:t>
      </w:r>
      <w:proofErr w:type="gramEnd"/>
      <w:r>
        <w:rPr>
          <w:lang w:val="en-US"/>
        </w:rPr>
        <w:t xml:space="preserve"> </w:t>
      </w:r>
    </w:p>
  </w:footnote>
  <w:footnote w:id="29">
    <w:p w:rsidR="00341B71" w:rsidRPr="00600F93" w:rsidRDefault="00341B71" w:rsidP="004D225E">
      <w:pPr>
        <w:pStyle w:val="FootnoteText"/>
        <w:rPr>
          <w:lang w:val="en-US"/>
        </w:rPr>
      </w:pPr>
      <w:r>
        <w:rPr>
          <w:rStyle w:val="FootnoteReference"/>
        </w:rPr>
        <w:footnoteRef/>
      </w:r>
      <w:r w:rsidRPr="00600F93">
        <w:rPr>
          <w:lang w:val="en-US"/>
        </w:rPr>
        <w:t xml:space="preserve"> </w:t>
      </w:r>
      <w:r>
        <w:rPr>
          <w:lang w:val="en-US"/>
        </w:rPr>
        <w:t xml:space="preserve">There are different types of quinoa. The “Quinoa Real” is the most highly commercialized. </w:t>
      </w:r>
    </w:p>
  </w:footnote>
  <w:footnote w:id="30">
    <w:p w:rsidR="00341B71" w:rsidRPr="00641630" w:rsidRDefault="00341B71" w:rsidP="004D225E">
      <w:pPr>
        <w:pStyle w:val="FootnoteText"/>
        <w:rPr>
          <w:lang w:val="en-US"/>
        </w:rPr>
      </w:pPr>
      <w:r>
        <w:rPr>
          <w:rStyle w:val="FootnoteReference"/>
        </w:rPr>
        <w:footnoteRef/>
      </w:r>
      <w:r w:rsidRPr="00641630">
        <w:rPr>
          <w:lang w:val="en-US"/>
        </w:rPr>
        <w:t xml:space="preserve"> </w:t>
      </w:r>
      <w:proofErr w:type="gramStart"/>
      <w:r>
        <w:rPr>
          <w:lang w:val="en-US"/>
        </w:rPr>
        <w:t>Conversion rate as of 12/10/2012.</w:t>
      </w:r>
      <w:proofErr w:type="gramEnd"/>
      <w:r>
        <w:rPr>
          <w:lang w:val="en-US"/>
        </w:rPr>
        <w:t xml:space="preserve"> </w:t>
      </w:r>
    </w:p>
  </w:footnote>
  <w:footnote w:id="31">
    <w:p w:rsidR="00341B71" w:rsidRPr="00F0216C" w:rsidRDefault="00341B71" w:rsidP="004D225E">
      <w:pPr>
        <w:pStyle w:val="FootnoteText"/>
        <w:rPr>
          <w:lang w:val="en-US"/>
        </w:rPr>
      </w:pPr>
      <w:r>
        <w:rPr>
          <w:rStyle w:val="FootnoteReference"/>
        </w:rPr>
        <w:footnoteRef/>
      </w:r>
      <w:r w:rsidRPr="00F0216C">
        <w:rPr>
          <w:lang w:val="en-US"/>
        </w:rPr>
        <w:t xml:space="preserve"> </w:t>
      </w:r>
      <w:r>
        <w:rPr>
          <w:lang w:val="en-US"/>
        </w:rPr>
        <w:t xml:space="preserve">SOPROQUI, CEDEINKU and APROQUILLAN are regional producer organizations affiliated under ANAPQUI (its main umbrella organization). I interviewed the president of regional organization SOPROQUI during my fieldwork. The list of all regional producer organizations under ANAPQUI is provided in the index </w:t>
      </w:r>
      <w:r w:rsidRPr="000E5367">
        <w:rPr>
          <w:lang w:val="en-US"/>
        </w:rPr>
        <w:t>under Diagram #3</w:t>
      </w:r>
    </w:p>
  </w:footnote>
  <w:footnote w:id="32">
    <w:p w:rsidR="00341B71" w:rsidRPr="00027B58" w:rsidRDefault="00341B71" w:rsidP="004D225E">
      <w:pPr>
        <w:pStyle w:val="FootnoteText"/>
        <w:rPr>
          <w:lang w:val="en-US"/>
        </w:rPr>
      </w:pPr>
      <w:r>
        <w:rPr>
          <w:rStyle w:val="FootnoteReference"/>
        </w:rPr>
        <w:footnoteRef/>
      </w:r>
      <w:r w:rsidRPr="00027B58">
        <w:rPr>
          <w:lang w:val="en-US"/>
        </w:rPr>
        <w:t xml:space="preserve"> </w:t>
      </w:r>
      <w:r>
        <w:rPr>
          <w:lang w:val="en-US"/>
        </w:rPr>
        <w:t>The “</w:t>
      </w:r>
      <w:proofErr w:type="spellStart"/>
      <w:r>
        <w:rPr>
          <w:lang w:val="en-US"/>
        </w:rPr>
        <w:t>Challapata</w:t>
      </w:r>
      <w:proofErr w:type="spellEnd"/>
      <w:r>
        <w:rPr>
          <w:lang w:val="en-US"/>
        </w:rPr>
        <w:t xml:space="preserve"> Fair” is also known as the “Black Market” since most of the quinoa destine towards the bordering country of Peru is </w:t>
      </w:r>
      <w:r w:rsidRPr="000E5367">
        <w:rPr>
          <w:lang w:val="en-US"/>
        </w:rPr>
        <w:t xml:space="preserve">smuggled through this market/location. </w:t>
      </w:r>
    </w:p>
  </w:footnote>
  <w:footnote w:id="33">
    <w:p w:rsidR="00341B71" w:rsidRPr="004839ED" w:rsidRDefault="00341B71" w:rsidP="00EE6243">
      <w:pPr>
        <w:pStyle w:val="FootnoteText"/>
        <w:rPr>
          <w:lang w:val="en-US"/>
        </w:rPr>
      </w:pPr>
      <w:r>
        <w:rPr>
          <w:rStyle w:val="FootnoteReference"/>
        </w:rPr>
        <w:footnoteRef/>
      </w:r>
      <w:r w:rsidRPr="004839ED">
        <w:rPr>
          <w:lang w:val="en-US"/>
        </w:rPr>
        <w:t xml:space="preserve"> </w:t>
      </w:r>
      <w:r>
        <w:rPr>
          <w:lang w:val="en-US"/>
        </w:rPr>
        <w:t xml:space="preserve">A diagram mapping its market is included in the </w:t>
      </w:r>
      <w:r w:rsidRPr="000E5367">
        <w:rPr>
          <w:lang w:val="en-US"/>
        </w:rPr>
        <w:t>appendix under – Diagram #4</w:t>
      </w:r>
    </w:p>
  </w:footnote>
  <w:footnote w:id="34">
    <w:p w:rsidR="00341B71" w:rsidRPr="00967392" w:rsidRDefault="00341B71">
      <w:pPr>
        <w:pStyle w:val="FootnoteText"/>
        <w:rPr>
          <w:color w:val="FF0000"/>
          <w:lang w:val="en-US"/>
        </w:rPr>
      </w:pPr>
      <w:r>
        <w:rPr>
          <w:rStyle w:val="FootnoteReference"/>
        </w:rPr>
        <w:footnoteRef/>
      </w:r>
      <w:r w:rsidRPr="00AE4A77">
        <w:rPr>
          <w:lang w:val="en-US"/>
        </w:rPr>
        <w:t xml:space="preserve"> </w:t>
      </w:r>
      <w:r>
        <w:rPr>
          <w:lang w:val="en-US"/>
        </w:rPr>
        <w:t xml:space="preserve">A figure plotting the quinoa price trends along with the other commodities is included in the </w:t>
      </w:r>
      <w:r w:rsidRPr="002704F3">
        <w:rPr>
          <w:lang w:val="en-US"/>
        </w:rPr>
        <w:t>Appendix – Table 6.</w:t>
      </w:r>
    </w:p>
  </w:footnote>
  <w:footnote w:id="35">
    <w:p w:rsidR="00341B71" w:rsidRPr="00F21D7D" w:rsidRDefault="00341B71">
      <w:pPr>
        <w:pStyle w:val="FootnoteText"/>
        <w:rPr>
          <w:lang w:val="en-US"/>
        </w:rPr>
      </w:pPr>
      <w:r>
        <w:rPr>
          <w:rStyle w:val="FootnoteReference"/>
        </w:rPr>
        <w:footnoteRef/>
      </w:r>
      <w:r w:rsidRPr="008328FF">
        <w:rPr>
          <w:lang w:val="en-US"/>
        </w:rPr>
        <w:t xml:space="preserve"> </w:t>
      </w:r>
      <w:proofErr w:type="gramStart"/>
      <w:r>
        <w:rPr>
          <w:lang w:val="en-US"/>
        </w:rPr>
        <w:t>Local word that means “exchange”.</w:t>
      </w:r>
      <w:proofErr w:type="gramEnd"/>
      <w:r>
        <w:rPr>
          <w:lang w:val="en-US"/>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1B71" w:rsidRDefault="00341B71">
    <w:pPr>
      <w:pStyle w:val="Header"/>
      <w:rPr>
        <w:noProof/>
        <w:lang w:val="en-US"/>
      </w:rPr>
    </w:pPr>
    <w:r>
      <w:rPr>
        <w:noProof/>
        <w:lang w:val="en-US"/>
      </w:rPr>
      <w:drawing>
        <wp:anchor distT="0" distB="0" distL="114300" distR="114300" simplePos="0" relativeHeight="251659264" behindDoc="0" locked="0" layoutInCell="1" allowOverlap="0" wp14:anchorId="0AA8A39B" wp14:editId="02992F47">
          <wp:simplePos x="0" y="0"/>
          <wp:positionH relativeFrom="column">
            <wp:posOffset>932180</wp:posOffset>
          </wp:positionH>
          <wp:positionV relativeFrom="page">
            <wp:posOffset>537210</wp:posOffset>
          </wp:positionV>
          <wp:extent cx="3695700" cy="1400175"/>
          <wp:effectExtent l="0" t="0" r="0" b="9525"/>
          <wp:wrapTopAndBottom/>
          <wp:docPr id="10" name="Picture 10"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rPr>
        <w:noProof/>
        <w:lang w:val="en-US"/>
      </w:rPr>
    </w:pPr>
  </w:p>
  <w:p w:rsidR="00341B71" w:rsidRDefault="00341B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65"/>
    <w:multiLevelType w:val="hybridMultilevel"/>
    <w:tmpl w:val="E5E4EF46"/>
    <w:lvl w:ilvl="0" w:tplc="7F52FD24">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1D5E39"/>
    <w:multiLevelType w:val="hybridMultilevel"/>
    <w:tmpl w:val="E2D23A7A"/>
    <w:lvl w:ilvl="0" w:tplc="8F7C154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416CE5"/>
    <w:multiLevelType w:val="hybridMultilevel"/>
    <w:tmpl w:val="06C623A0"/>
    <w:lvl w:ilvl="0" w:tplc="80DC0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7E57F65"/>
    <w:multiLevelType w:val="hybridMultilevel"/>
    <w:tmpl w:val="E2D23A7A"/>
    <w:lvl w:ilvl="0" w:tplc="8F7C154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50E"/>
    <w:multiLevelType w:val="hybridMultilevel"/>
    <w:tmpl w:val="B1D23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B04B0C"/>
    <w:multiLevelType w:val="hybridMultilevel"/>
    <w:tmpl w:val="A8320D86"/>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914FB9"/>
    <w:multiLevelType w:val="hybridMultilevel"/>
    <w:tmpl w:val="F3EC3002"/>
    <w:lvl w:ilvl="0" w:tplc="9984FA68">
      <w:start w:val="1"/>
      <w:numFmt w:val="low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5034A2"/>
    <w:multiLevelType w:val="hybridMultilevel"/>
    <w:tmpl w:val="E2D23A7A"/>
    <w:lvl w:ilvl="0" w:tplc="8F7C154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516B92"/>
    <w:multiLevelType w:val="hybridMultilevel"/>
    <w:tmpl w:val="2B0AAC74"/>
    <w:lvl w:ilvl="0" w:tplc="D8444B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0B7531E"/>
    <w:multiLevelType w:val="hybridMultilevel"/>
    <w:tmpl w:val="2CB6C5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37578A1"/>
    <w:multiLevelType w:val="hybridMultilevel"/>
    <w:tmpl w:val="FD22B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615A46"/>
    <w:multiLevelType w:val="hybridMultilevel"/>
    <w:tmpl w:val="F014E7AE"/>
    <w:lvl w:ilvl="0" w:tplc="8320D026">
      <w:start w:val="1"/>
      <w:numFmt w:val="low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2">
    <w:nsid w:val="24D11DBB"/>
    <w:multiLevelType w:val="hybridMultilevel"/>
    <w:tmpl w:val="E70E9B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9025FB1"/>
    <w:multiLevelType w:val="hybridMultilevel"/>
    <w:tmpl w:val="DE5E74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D45F5F"/>
    <w:multiLevelType w:val="hybridMultilevel"/>
    <w:tmpl w:val="E744DD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8A4922"/>
    <w:multiLevelType w:val="hybridMultilevel"/>
    <w:tmpl w:val="E470340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06354A9"/>
    <w:multiLevelType w:val="hybridMultilevel"/>
    <w:tmpl w:val="747ACF22"/>
    <w:lvl w:ilvl="0" w:tplc="E74E18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24765"/>
    <w:multiLevelType w:val="hybridMultilevel"/>
    <w:tmpl w:val="B784C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43E4181"/>
    <w:multiLevelType w:val="hybridMultilevel"/>
    <w:tmpl w:val="E2D23A7A"/>
    <w:lvl w:ilvl="0" w:tplc="8F7C15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6020447"/>
    <w:multiLevelType w:val="hybridMultilevel"/>
    <w:tmpl w:val="F9BA0E1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FFB04CD"/>
    <w:multiLevelType w:val="hybridMultilevel"/>
    <w:tmpl w:val="C96E3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20"/>
  </w:num>
  <w:num w:numId="4">
    <w:abstractNumId w:val="17"/>
  </w:num>
  <w:num w:numId="5">
    <w:abstractNumId w:val="16"/>
  </w:num>
  <w:num w:numId="6">
    <w:abstractNumId w:val="7"/>
  </w:num>
  <w:num w:numId="7">
    <w:abstractNumId w:val="19"/>
  </w:num>
  <w:num w:numId="8">
    <w:abstractNumId w:val="14"/>
  </w:num>
  <w:num w:numId="9">
    <w:abstractNumId w:val="8"/>
  </w:num>
  <w:num w:numId="10">
    <w:abstractNumId w:val="2"/>
  </w:num>
  <w:num w:numId="11">
    <w:abstractNumId w:val="15"/>
  </w:num>
  <w:num w:numId="12">
    <w:abstractNumId w:val="4"/>
  </w:num>
  <w:num w:numId="13">
    <w:abstractNumId w:val="10"/>
  </w:num>
  <w:num w:numId="14">
    <w:abstractNumId w:val="11"/>
  </w:num>
  <w:num w:numId="15">
    <w:abstractNumId w:val="12"/>
  </w:num>
  <w:num w:numId="16">
    <w:abstractNumId w:val="18"/>
  </w:num>
  <w:num w:numId="17">
    <w:abstractNumId w:val="6"/>
  </w:num>
  <w:num w:numId="18">
    <w:abstractNumId w:val="5"/>
  </w:num>
  <w:num w:numId="19">
    <w:abstractNumId w:val="1"/>
  </w:num>
  <w:num w:numId="20">
    <w:abstractNumId w:val="3"/>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B3F"/>
    <w:rsid w:val="00000528"/>
    <w:rsid w:val="0000059E"/>
    <w:rsid w:val="0000073C"/>
    <w:rsid w:val="00000799"/>
    <w:rsid w:val="00001A75"/>
    <w:rsid w:val="000021EB"/>
    <w:rsid w:val="00002381"/>
    <w:rsid w:val="0000297B"/>
    <w:rsid w:val="000032B6"/>
    <w:rsid w:val="00003BB3"/>
    <w:rsid w:val="00005571"/>
    <w:rsid w:val="00005CB2"/>
    <w:rsid w:val="00010573"/>
    <w:rsid w:val="00010B78"/>
    <w:rsid w:val="000111FF"/>
    <w:rsid w:val="00012DFC"/>
    <w:rsid w:val="00016EA5"/>
    <w:rsid w:val="00016FF4"/>
    <w:rsid w:val="00020CA6"/>
    <w:rsid w:val="00022215"/>
    <w:rsid w:val="00024461"/>
    <w:rsid w:val="00024967"/>
    <w:rsid w:val="00024B62"/>
    <w:rsid w:val="00025179"/>
    <w:rsid w:val="00025278"/>
    <w:rsid w:val="0002607F"/>
    <w:rsid w:val="00027B58"/>
    <w:rsid w:val="000321A0"/>
    <w:rsid w:val="00033E75"/>
    <w:rsid w:val="000345BF"/>
    <w:rsid w:val="00036FD4"/>
    <w:rsid w:val="00043988"/>
    <w:rsid w:val="00043D9C"/>
    <w:rsid w:val="00043E42"/>
    <w:rsid w:val="00044521"/>
    <w:rsid w:val="00045235"/>
    <w:rsid w:val="0004536F"/>
    <w:rsid w:val="00046BF3"/>
    <w:rsid w:val="00051044"/>
    <w:rsid w:val="000513CF"/>
    <w:rsid w:val="00052241"/>
    <w:rsid w:val="00054660"/>
    <w:rsid w:val="00055128"/>
    <w:rsid w:val="00057CBB"/>
    <w:rsid w:val="0006666A"/>
    <w:rsid w:val="000679C7"/>
    <w:rsid w:val="000718FE"/>
    <w:rsid w:val="000724F0"/>
    <w:rsid w:val="00075773"/>
    <w:rsid w:val="00080C5A"/>
    <w:rsid w:val="00082692"/>
    <w:rsid w:val="00083101"/>
    <w:rsid w:val="00086364"/>
    <w:rsid w:val="0009066C"/>
    <w:rsid w:val="00092806"/>
    <w:rsid w:val="00092D65"/>
    <w:rsid w:val="000964D1"/>
    <w:rsid w:val="00096B65"/>
    <w:rsid w:val="00096F20"/>
    <w:rsid w:val="000A1207"/>
    <w:rsid w:val="000A1735"/>
    <w:rsid w:val="000A214A"/>
    <w:rsid w:val="000A22C1"/>
    <w:rsid w:val="000A3135"/>
    <w:rsid w:val="000A3453"/>
    <w:rsid w:val="000A433E"/>
    <w:rsid w:val="000A447E"/>
    <w:rsid w:val="000A5576"/>
    <w:rsid w:val="000A62B5"/>
    <w:rsid w:val="000B012E"/>
    <w:rsid w:val="000B0BDE"/>
    <w:rsid w:val="000B2DAB"/>
    <w:rsid w:val="000B4D2B"/>
    <w:rsid w:val="000B547E"/>
    <w:rsid w:val="000B5796"/>
    <w:rsid w:val="000B5DCB"/>
    <w:rsid w:val="000B6BF5"/>
    <w:rsid w:val="000C10E8"/>
    <w:rsid w:val="000C34D1"/>
    <w:rsid w:val="000C36DE"/>
    <w:rsid w:val="000C55B6"/>
    <w:rsid w:val="000C5DDD"/>
    <w:rsid w:val="000C70F8"/>
    <w:rsid w:val="000C7488"/>
    <w:rsid w:val="000D0601"/>
    <w:rsid w:val="000D1288"/>
    <w:rsid w:val="000D7510"/>
    <w:rsid w:val="000D7F62"/>
    <w:rsid w:val="000E0FC0"/>
    <w:rsid w:val="000E249E"/>
    <w:rsid w:val="000E2A4D"/>
    <w:rsid w:val="000E4262"/>
    <w:rsid w:val="000E5367"/>
    <w:rsid w:val="000F0098"/>
    <w:rsid w:val="000F01B8"/>
    <w:rsid w:val="000F0830"/>
    <w:rsid w:val="000F16AD"/>
    <w:rsid w:val="000F1700"/>
    <w:rsid w:val="000F19CB"/>
    <w:rsid w:val="000F3946"/>
    <w:rsid w:val="000F5E70"/>
    <w:rsid w:val="000F71FB"/>
    <w:rsid w:val="000F7F2D"/>
    <w:rsid w:val="00100C95"/>
    <w:rsid w:val="001018D2"/>
    <w:rsid w:val="00102D03"/>
    <w:rsid w:val="00103070"/>
    <w:rsid w:val="00103075"/>
    <w:rsid w:val="00104C2E"/>
    <w:rsid w:val="00106ADF"/>
    <w:rsid w:val="00106E9E"/>
    <w:rsid w:val="00107379"/>
    <w:rsid w:val="00110CEE"/>
    <w:rsid w:val="00111748"/>
    <w:rsid w:val="0011191A"/>
    <w:rsid w:val="00111987"/>
    <w:rsid w:val="00111A87"/>
    <w:rsid w:val="00111F75"/>
    <w:rsid w:val="00114E82"/>
    <w:rsid w:val="00117FFA"/>
    <w:rsid w:val="001216AC"/>
    <w:rsid w:val="001233D1"/>
    <w:rsid w:val="001268E7"/>
    <w:rsid w:val="00132B6D"/>
    <w:rsid w:val="00134F09"/>
    <w:rsid w:val="001356A8"/>
    <w:rsid w:val="00135977"/>
    <w:rsid w:val="00142ABD"/>
    <w:rsid w:val="00144FFE"/>
    <w:rsid w:val="0014557B"/>
    <w:rsid w:val="00147024"/>
    <w:rsid w:val="0015025C"/>
    <w:rsid w:val="00151962"/>
    <w:rsid w:val="001539C8"/>
    <w:rsid w:val="00154F1E"/>
    <w:rsid w:val="001560E1"/>
    <w:rsid w:val="00156F48"/>
    <w:rsid w:val="00157553"/>
    <w:rsid w:val="00157CC7"/>
    <w:rsid w:val="00161DF5"/>
    <w:rsid w:val="00162365"/>
    <w:rsid w:val="00163CCB"/>
    <w:rsid w:val="001661C2"/>
    <w:rsid w:val="00172254"/>
    <w:rsid w:val="00173449"/>
    <w:rsid w:val="00176079"/>
    <w:rsid w:val="00177F3A"/>
    <w:rsid w:val="00180414"/>
    <w:rsid w:val="0018105D"/>
    <w:rsid w:val="00181295"/>
    <w:rsid w:val="00183797"/>
    <w:rsid w:val="001873D9"/>
    <w:rsid w:val="0019045C"/>
    <w:rsid w:val="00191007"/>
    <w:rsid w:val="001915DD"/>
    <w:rsid w:val="001960E0"/>
    <w:rsid w:val="001961AE"/>
    <w:rsid w:val="00196FD6"/>
    <w:rsid w:val="00197540"/>
    <w:rsid w:val="001A01AE"/>
    <w:rsid w:val="001A0EF9"/>
    <w:rsid w:val="001A212C"/>
    <w:rsid w:val="001A281C"/>
    <w:rsid w:val="001A47B6"/>
    <w:rsid w:val="001A7941"/>
    <w:rsid w:val="001A7EB3"/>
    <w:rsid w:val="001B0C88"/>
    <w:rsid w:val="001B77BF"/>
    <w:rsid w:val="001C0E99"/>
    <w:rsid w:val="001C3139"/>
    <w:rsid w:val="001C3CDF"/>
    <w:rsid w:val="001C4E2E"/>
    <w:rsid w:val="001C567A"/>
    <w:rsid w:val="001C6C9F"/>
    <w:rsid w:val="001C72C4"/>
    <w:rsid w:val="001C7FD5"/>
    <w:rsid w:val="001D1562"/>
    <w:rsid w:val="001D21A3"/>
    <w:rsid w:val="001D4999"/>
    <w:rsid w:val="001D5B11"/>
    <w:rsid w:val="001D6C56"/>
    <w:rsid w:val="001D6DB9"/>
    <w:rsid w:val="001D7229"/>
    <w:rsid w:val="001E06F1"/>
    <w:rsid w:val="001E0EDB"/>
    <w:rsid w:val="001E1C9C"/>
    <w:rsid w:val="001E2FA3"/>
    <w:rsid w:val="001E3E47"/>
    <w:rsid w:val="001E4788"/>
    <w:rsid w:val="001E6070"/>
    <w:rsid w:val="001E62D3"/>
    <w:rsid w:val="001F1ED3"/>
    <w:rsid w:val="001F305D"/>
    <w:rsid w:val="001F5873"/>
    <w:rsid w:val="0020069D"/>
    <w:rsid w:val="002031DE"/>
    <w:rsid w:val="002035F3"/>
    <w:rsid w:val="00204539"/>
    <w:rsid w:val="00204F9F"/>
    <w:rsid w:val="00206664"/>
    <w:rsid w:val="00207DB8"/>
    <w:rsid w:val="00210A76"/>
    <w:rsid w:val="00213859"/>
    <w:rsid w:val="00213C39"/>
    <w:rsid w:val="00213E9F"/>
    <w:rsid w:val="002140FE"/>
    <w:rsid w:val="00214A49"/>
    <w:rsid w:val="00217791"/>
    <w:rsid w:val="00221365"/>
    <w:rsid w:val="00221CB3"/>
    <w:rsid w:val="00221EBB"/>
    <w:rsid w:val="00223914"/>
    <w:rsid w:val="00225C9B"/>
    <w:rsid w:val="002313CD"/>
    <w:rsid w:val="002328BC"/>
    <w:rsid w:val="00233079"/>
    <w:rsid w:val="00233E57"/>
    <w:rsid w:val="00234F06"/>
    <w:rsid w:val="002355F7"/>
    <w:rsid w:val="00235A87"/>
    <w:rsid w:val="002427A4"/>
    <w:rsid w:val="00247D2A"/>
    <w:rsid w:val="00252F54"/>
    <w:rsid w:val="0025598E"/>
    <w:rsid w:val="00256AA7"/>
    <w:rsid w:val="00260268"/>
    <w:rsid w:val="002608B8"/>
    <w:rsid w:val="00262C09"/>
    <w:rsid w:val="00262C82"/>
    <w:rsid w:val="00263EF8"/>
    <w:rsid w:val="00264A1A"/>
    <w:rsid w:val="002704F3"/>
    <w:rsid w:val="00271E12"/>
    <w:rsid w:val="00272155"/>
    <w:rsid w:val="00272D93"/>
    <w:rsid w:val="00272E11"/>
    <w:rsid w:val="00273287"/>
    <w:rsid w:val="00273601"/>
    <w:rsid w:val="00273820"/>
    <w:rsid w:val="00274FD4"/>
    <w:rsid w:val="00276778"/>
    <w:rsid w:val="002810EE"/>
    <w:rsid w:val="00282A11"/>
    <w:rsid w:val="0028450E"/>
    <w:rsid w:val="00284916"/>
    <w:rsid w:val="002857AE"/>
    <w:rsid w:val="00287D5C"/>
    <w:rsid w:val="00291FDC"/>
    <w:rsid w:val="002924B0"/>
    <w:rsid w:val="002927F5"/>
    <w:rsid w:val="00294837"/>
    <w:rsid w:val="00294999"/>
    <w:rsid w:val="00297C8D"/>
    <w:rsid w:val="002A14F9"/>
    <w:rsid w:val="002A15CA"/>
    <w:rsid w:val="002A1823"/>
    <w:rsid w:val="002A1CD6"/>
    <w:rsid w:val="002A1F05"/>
    <w:rsid w:val="002A3873"/>
    <w:rsid w:val="002A5D7C"/>
    <w:rsid w:val="002A60A3"/>
    <w:rsid w:val="002B4BAD"/>
    <w:rsid w:val="002B565E"/>
    <w:rsid w:val="002B6D7D"/>
    <w:rsid w:val="002B7300"/>
    <w:rsid w:val="002C186E"/>
    <w:rsid w:val="002C1B3D"/>
    <w:rsid w:val="002C2140"/>
    <w:rsid w:val="002C24BC"/>
    <w:rsid w:val="002C3A85"/>
    <w:rsid w:val="002C3D6A"/>
    <w:rsid w:val="002C4779"/>
    <w:rsid w:val="002D0FBB"/>
    <w:rsid w:val="002D1E64"/>
    <w:rsid w:val="002D29DA"/>
    <w:rsid w:val="002D3B96"/>
    <w:rsid w:val="002D3FD5"/>
    <w:rsid w:val="002D4FA5"/>
    <w:rsid w:val="002D5B60"/>
    <w:rsid w:val="002D6DF4"/>
    <w:rsid w:val="002D796D"/>
    <w:rsid w:val="002E0BFB"/>
    <w:rsid w:val="002E271E"/>
    <w:rsid w:val="002E27EB"/>
    <w:rsid w:val="002E2C18"/>
    <w:rsid w:val="002E370C"/>
    <w:rsid w:val="002E3F1A"/>
    <w:rsid w:val="002E46EC"/>
    <w:rsid w:val="002E4C01"/>
    <w:rsid w:val="002E4C62"/>
    <w:rsid w:val="002E4E2C"/>
    <w:rsid w:val="002E51BF"/>
    <w:rsid w:val="002E52D6"/>
    <w:rsid w:val="002E62BC"/>
    <w:rsid w:val="002E6E88"/>
    <w:rsid w:val="002F0AFA"/>
    <w:rsid w:val="002F12F6"/>
    <w:rsid w:val="002F20B0"/>
    <w:rsid w:val="002F338E"/>
    <w:rsid w:val="002F3760"/>
    <w:rsid w:val="002F3A67"/>
    <w:rsid w:val="002F491C"/>
    <w:rsid w:val="002F5791"/>
    <w:rsid w:val="003004AE"/>
    <w:rsid w:val="00301B08"/>
    <w:rsid w:val="00302646"/>
    <w:rsid w:val="00303D2E"/>
    <w:rsid w:val="0030451D"/>
    <w:rsid w:val="003068DD"/>
    <w:rsid w:val="0031134E"/>
    <w:rsid w:val="00314E54"/>
    <w:rsid w:val="00320DCD"/>
    <w:rsid w:val="0032167B"/>
    <w:rsid w:val="00321684"/>
    <w:rsid w:val="00322E0F"/>
    <w:rsid w:val="00323535"/>
    <w:rsid w:val="003240FF"/>
    <w:rsid w:val="0032618F"/>
    <w:rsid w:val="00326856"/>
    <w:rsid w:val="00326DE9"/>
    <w:rsid w:val="0032762F"/>
    <w:rsid w:val="0033118D"/>
    <w:rsid w:val="0033352D"/>
    <w:rsid w:val="00334926"/>
    <w:rsid w:val="00334A9E"/>
    <w:rsid w:val="00334DA8"/>
    <w:rsid w:val="00334ECA"/>
    <w:rsid w:val="00335DE2"/>
    <w:rsid w:val="003365CE"/>
    <w:rsid w:val="00336B6F"/>
    <w:rsid w:val="00336E02"/>
    <w:rsid w:val="00336E83"/>
    <w:rsid w:val="00337363"/>
    <w:rsid w:val="00337463"/>
    <w:rsid w:val="00340484"/>
    <w:rsid w:val="0034183B"/>
    <w:rsid w:val="00341B71"/>
    <w:rsid w:val="0034202E"/>
    <w:rsid w:val="00343219"/>
    <w:rsid w:val="00343ED9"/>
    <w:rsid w:val="003445D0"/>
    <w:rsid w:val="00345170"/>
    <w:rsid w:val="003465E9"/>
    <w:rsid w:val="00346883"/>
    <w:rsid w:val="00347387"/>
    <w:rsid w:val="00351935"/>
    <w:rsid w:val="00352C50"/>
    <w:rsid w:val="00353775"/>
    <w:rsid w:val="00356569"/>
    <w:rsid w:val="00357A1A"/>
    <w:rsid w:val="00362660"/>
    <w:rsid w:val="00362D92"/>
    <w:rsid w:val="00363BDC"/>
    <w:rsid w:val="0036487A"/>
    <w:rsid w:val="00364C3D"/>
    <w:rsid w:val="00365530"/>
    <w:rsid w:val="00366286"/>
    <w:rsid w:val="003665F3"/>
    <w:rsid w:val="003668FF"/>
    <w:rsid w:val="00370A86"/>
    <w:rsid w:val="00373F86"/>
    <w:rsid w:val="00374D58"/>
    <w:rsid w:val="003758CC"/>
    <w:rsid w:val="00376C57"/>
    <w:rsid w:val="00377F14"/>
    <w:rsid w:val="00381895"/>
    <w:rsid w:val="00382C9A"/>
    <w:rsid w:val="00384728"/>
    <w:rsid w:val="00384B88"/>
    <w:rsid w:val="00386029"/>
    <w:rsid w:val="00386047"/>
    <w:rsid w:val="0038623B"/>
    <w:rsid w:val="00391392"/>
    <w:rsid w:val="00391CC8"/>
    <w:rsid w:val="00391EEC"/>
    <w:rsid w:val="00393731"/>
    <w:rsid w:val="003950A3"/>
    <w:rsid w:val="0039605C"/>
    <w:rsid w:val="003A0591"/>
    <w:rsid w:val="003A5059"/>
    <w:rsid w:val="003A5C4E"/>
    <w:rsid w:val="003B0635"/>
    <w:rsid w:val="003B06A6"/>
    <w:rsid w:val="003B1D0D"/>
    <w:rsid w:val="003B2119"/>
    <w:rsid w:val="003B2847"/>
    <w:rsid w:val="003B57FE"/>
    <w:rsid w:val="003C2D8B"/>
    <w:rsid w:val="003C451A"/>
    <w:rsid w:val="003C4AB4"/>
    <w:rsid w:val="003C4E6D"/>
    <w:rsid w:val="003C536B"/>
    <w:rsid w:val="003D2C90"/>
    <w:rsid w:val="003D30DD"/>
    <w:rsid w:val="003D567E"/>
    <w:rsid w:val="003E0473"/>
    <w:rsid w:val="003E2066"/>
    <w:rsid w:val="003E4112"/>
    <w:rsid w:val="003F0ED7"/>
    <w:rsid w:val="003F261C"/>
    <w:rsid w:val="003F306A"/>
    <w:rsid w:val="003F39D7"/>
    <w:rsid w:val="003F4001"/>
    <w:rsid w:val="003F7774"/>
    <w:rsid w:val="0040096C"/>
    <w:rsid w:val="004013C9"/>
    <w:rsid w:val="00401A24"/>
    <w:rsid w:val="004061BA"/>
    <w:rsid w:val="00407F11"/>
    <w:rsid w:val="00412A9D"/>
    <w:rsid w:val="0041345B"/>
    <w:rsid w:val="00413559"/>
    <w:rsid w:val="0041409B"/>
    <w:rsid w:val="004145EF"/>
    <w:rsid w:val="004152AE"/>
    <w:rsid w:val="0041600B"/>
    <w:rsid w:val="00417614"/>
    <w:rsid w:val="00420143"/>
    <w:rsid w:val="004202C8"/>
    <w:rsid w:val="00420D50"/>
    <w:rsid w:val="004223D3"/>
    <w:rsid w:val="0042466A"/>
    <w:rsid w:val="00425192"/>
    <w:rsid w:val="00426161"/>
    <w:rsid w:val="00426875"/>
    <w:rsid w:val="00432E3F"/>
    <w:rsid w:val="00434A92"/>
    <w:rsid w:val="00435258"/>
    <w:rsid w:val="00435A53"/>
    <w:rsid w:val="0044173F"/>
    <w:rsid w:val="004446F8"/>
    <w:rsid w:val="00445F57"/>
    <w:rsid w:val="00450CAC"/>
    <w:rsid w:val="004539D2"/>
    <w:rsid w:val="004539F9"/>
    <w:rsid w:val="004544A3"/>
    <w:rsid w:val="00455537"/>
    <w:rsid w:val="00455CB5"/>
    <w:rsid w:val="0045669C"/>
    <w:rsid w:val="0046027D"/>
    <w:rsid w:val="004605BA"/>
    <w:rsid w:val="004610E7"/>
    <w:rsid w:val="004614BF"/>
    <w:rsid w:val="004623BC"/>
    <w:rsid w:val="00462694"/>
    <w:rsid w:val="004633C6"/>
    <w:rsid w:val="0046529D"/>
    <w:rsid w:val="0046541D"/>
    <w:rsid w:val="00465C01"/>
    <w:rsid w:val="0046691F"/>
    <w:rsid w:val="00470389"/>
    <w:rsid w:val="004710C0"/>
    <w:rsid w:val="004747AB"/>
    <w:rsid w:val="00475F34"/>
    <w:rsid w:val="004775B7"/>
    <w:rsid w:val="0048096D"/>
    <w:rsid w:val="00480DCF"/>
    <w:rsid w:val="004839ED"/>
    <w:rsid w:val="00484A1C"/>
    <w:rsid w:val="00490522"/>
    <w:rsid w:val="004929EF"/>
    <w:rsid w:val="004939B9"/>
    <w:rsid w:val="0049407F"/>
    <w:rsid w:val="004960FF"/>
    <w:rsid w:val="00496414"/>
    <w:rsid w:val="004A1FBE"/>
    <w:rsid w:val="004A30C7"/>
    <w:rsid w:val="004A326D"/>
    <w:rsid w:val="004A7D2D"/>
    <w:rsid w:val="004B075D"/>
    <w:rsid w:val="004B3116"/>
    <w:rsid w:val="004C0379"/>
    <w:rsid w:val="004C0F49"/>
    <w:rsid w:val="004C3EB1"/>
    <w:rsid w:val="004C40CD"/>
    <w:rsid w:val="004C4700"/>
    <w:rsid w:val="004C4D2E"/>
    <w:rsid w:val="004C5050"/>
    <w:rsid w:val="004C66DB"/>
    <w:rsid w:val="004C7307"/>
    <w:rsid w:val="004D0FC5"/>
    <w:rsid w:val="004D225E"/>
    <w:rsid w:val="004D22BC"/>
    <w:rsid w:val="004D3DDC"/>
    <w:rsid w:val="004D54FE"/>
    <w:rsid w:val="004D64C1"/>
    <w:rsid w:val="004D7BC3"/>
    <w:rsid w:val="004E376C"/>
    <w:rsid w:val="004E4777"/>
    <w:rsid w:val="004E4799"/>
    <w:rsid w:val="004E4FDA"/>
    <w:rsid w:val="004E5B8C"/>
    <w:rsid w:val="004E69B3"/>
    <w:rsid w:val="004E78E7"/>
    <w:rsid w:val="004F1A52"/>
    <w:rsid w:val="004F20D8"/>
    <w:rsid w:val="004F3158"/>
    <w:rsid w:val="004F3975"/>
    <w:rsid w:val="004F3AD4"/>
    <w:rsid w:val="004F43CE"/>
    <w:rsid w:val="004F592F"/>
    <w:rsid w:val="004F6EFD"/>
    <w:rsid w:val="004F733D"/>
    <w:rsid w:val="00502273"/>
    <w:rsid w:val="00504F23"/>
    <w:rsid w:val="00505907"/>
    <w:rsid w:val="00505CD7"/>
    <w:rsid w:val="0051120D"/>
    <w:rsid w:val="00511848"/>
    <w:rsid w:val="00512007"/>
    <w:rsid w:val="00512A23"/>
    <w:rsid w:val="00514D54"/>
    <w:rsid w:val="00515364"/>
    <w:rsid w:val="00516D67"/>
    <w:rsid w:val="00516EB7"/>
    <w:rsid w:val="00517A7B"/>
    <w:rsid w:val="0052074C"/>
    <w:rsid w:val="005210EB"/>
    <w:rsid w:val="0052466C"/>
    <w:rsid w:val="00524CCA"/>
    <w:rsid w:val="005253B7"/>
    <w:rsid w:val="005271EA"/>
    <w:rsid w:val="0053012D"/>
    <w:rsid w:val="00531094"/>
    <w:rsid w:val="00532CF6"/>
    <w:rsid w:val="005336A7"/>
    <w:rsid w:val="00533C8F"/>
    <w:rsid w:val="005342EA"/>
    <w:rsid w:val="00534C3B"/>
    <w:rsid w:val="00536DAB"/>
    <w:rsid w:val="00536EE8"/>
    <w:rsid w:val="00543027"/>
    <w:rsid w:val="00543336"/>
    <w:rsid w:val="005469AA"/>
    <w:rsid w:val="00546C48"/>
    <w:rsid w:val="0054730C"/>
    <w:rsid w:val="00547B7A"/>
    <w:rsid w:val="00550AE1"/>
    <w:rsid w:val="005546A6"/>
    <w:rsid w:val="00555415"/>
    <w:rsid w:val="00557215"/>
    <w:rsid w:val="005572BA"/>
    <w:rsid w:val="0055780F"/>
    <w:rsid w:val="005579D1"/>
    <w:rsid w:val="00560CB1"/>
    <w:rsid w:val="005612EB"/>
    <w:rsid w:val="00562D9B"/>
    <w:rsid w:val="00563F38"/>
    <w:rsid w:val="005655E5"/>
    <w:rsid w:val="00565F54"/>
    <w:rsid w:val="005661D6"/>
    <w:rsid w:val="00570527"/>
    <w:rsid w:val="00574CC6"/>
    <w:rsid w:val="0058108F"/>
    <w:rsid w:val="005838BB"/>
    <w:rsid w:val="00585BC2"/>
    <w:rsid w:val="00586F86"/>
    <w:rsid w:val="00590C87"/>
    <w:rsid w:val="00594FC6"/>
    <w:rsid w:val="005955DC"/>
    <w:rsid w:val="005960E7"/>
    <w:rsid w:val="005A05CE"/>
    <w:rsid w:val="005A19E0"/>
    <w:rsid w:val="005A2F20"/>
    <w:rsid w:val="005A546A"/>
    <w:rsid w:val="005A5D1B"/>
    <w:rsid w:val="005A5EAB"/>
    <w:rsid w:val="005A5F84"/>
    <w:rsid w:val="005A6959"/>
    <w:rsid w:val="005B1238"/>
    <w:rsid w:val="005B2499"/>
    <w:rsid w:val="005B25B3"/>
    <w:rsid w:val="005B4084"/>
    <w:rsid w:val="005B5C45"/>
    <w:rsid w:val="005B6A73"/>
    <w:rsid w:val="005B7CA8"/>
    <w:rsid w:val="005C0586"/>
    <w:rsid w:val="005C12D5"/>
    <w:rsid w:val="005C553A"/>
    <w:rsid w:val="005C57A8"/>
    <w:rsid w:val="005C6B60"/>
    <w:rsid w:val="005C76B3"/>
    <w:rsid w:val="005C7CC1"/>
    <w:rsid w:val="005D0145"/>
    <w:rsid w:val="005D1721"/>
    <w:rsid w:val="005D1B32"/>
    <w:rsid w:val="005D1C70"/>
    <w:rsid w:val="005D3926"/>
    <w:rsid w:val="005D5EE1"/>
    <w:rsid w:val="005D7D3C"/>
    <w:rsid w:val="005E054A"/>
    <w:rsid w:val="005E08F2"/>
    <w:rsid w:val="005E2780"/>
    <w:rsid w:val="005E2AEC"/>
    <w:rsid w:val="005E3DEE"/>
    <w:rsid w:val="005E3FA2"/>
    <w:rsid w:val="005E478A"/>
    <w:rsid w:val="005F06ED"/>
    <w:rsid w:val="005F0EA1"/>
    <w:rsid w:val="005F131E"/>
    <w:rsid w:val="005F3160"/>
    <w:rsid w:val="005F576F"/>
    <w:rsid w:val="005F7CEE"/>
    <w:rsid w:val="006008EE"/>
    <w:rsid w:val="00600F93"/>
    <w:rsid w:val="0060409E"/>
    <w:rsid w:val="00605342"/>
    <w:rsid w:val="006073CF"/>
    <w:rsid w:val="006103AD"/>
    <w:rsid w:val="00612AAF"/>
    <w:rsid w:val="00615EF0"/>
    <w:rsid w:val="00616101"/>
    <w:rsid w:val="006200AE"/>
    <w:rsid w:val="00624561"/>
    <w:rsid w:val="00624C7C"/>
    <w:rsid w:val="00625BAD"/>
    <w:rsid w:val="0062662F"/>
    <w:rsid w:val="00627681"/>
    <w:rsid w:val="006323C9"/>
    <w:rsid w:val="0063448F"/>
    <w:rsid w:val="00634771"/>
    <w:rsid w:val="00635755"/>
    <w:rsid w:val="00636D51"/>
    <w:rsid w:val="00636DF1"/>
    <w:rsid w:val="00641177"/>
    <w:rsid w:val="006415FF"/>
    <w:rsid w:val="00641630"/>
    <w:rsid w:val="00641BC6"/>
    <w:rsid w:val="00644572"/>
    <w:rsid w:val="00645225"/>
    <w:rsid w:val="00651686"/>
    <w:rsid w:val="00651C9E"/>
    <w:rsid w:val="00654E41"/>
    <w:rsid w:val="0066039F"/>
    <w:rsid w:val="00662C37"/>
    <w:rsid w:val="006639F3"/>
    <w:rsid w:val="00663ED6"/>
    <w:rsid w:val="00664DBD"/>
    <w:rsid w:val="00664F2A"/>
    <w:rsid w:val="00667492"/>
    <w:rsid w:val="0067004C"/>
    <w:rsid w:val="00671675"/>
    <w:rsid w:val="006720A7"/>
    <w:rsid w:val="0067407D"/>
    <w:rsid w:val="006744BF"/>
    <w:rsid w:val="00674FB6"/>
    <w:rsid w:val="0068109C"/>
    <w:rsid w:val="0068121B"/>
    <w:rsid w:val="00681586"/>
    <w:rsid w:val="0068164C"/>
    <w:rsid w:val="006848F5"/>
    <w:rsid w:val="00685782"/>
    <w:rsid w:val="00686E8E"/>
    <w:rsid w:val="00690B5D"/>
    <w:rsid w:val="0069316B"/>
    <w:rsid w:val="00693C2B"/>
    <w:rsid w:val="00694956"/>
    <w:rsid w:val="00694E9A"/>
    <w:rsid w:val="00695D2D"/>
    <w:rsid w:val="00696D00"/>
    <w:rsid w:val="00697211"/>
    <w:rsid w:val="006A035F"/>
    <w:rsid w:val="006A3077"/>
    <w:rsid w:val="006A317C"/>
    <w:rsid w:val="006A5FA2"/>
    <w:rsid w:val="006B03BC"/>
    <w:rsid w:val="006B210C"/>
    <w:rsid w:val="006B24DB"/>
    <w:rsid w:val="006B30FA"/>
    <w:rsid w:val="006B5A4B"/>
    <w:rsid w:val="006B6E6B"/>
    <w:rsid w:val="006B737F"/>
    <w:rsid w:val="006C0FC9"/>
    <w:rsid w:val="006C4E35"/>
    <w:rsid w:val="006C727E"/>
    <w:rsid w:val="006C7D97"/>
    <w:rsid w:val="006D52FB"/>
    <w:rsid w:val="006D631B"/>
    <w:rsid w:val="006D7AD2"/>
    <w:rsid w:val="006E12BE"/>
    <w:rsid w:val="006E13E2"/>
    <w:rsid w:val="006E27A1"/>
    <w:rsid w:val="006E4F3B"/>
    <w:rsid w:val="006E5C14"/>
    <w:rsid w:val="006E5F23"/>
    <w:rsid w:val="006E61BE"/>
    <w:rsid w:val="006E682B"/>
    <w:rsid w:val="006E6E05"/>
    <w:rsid w:val="006E71B9"/>
    <w:rsid w:val="006E723A"/>
    <w:rsid w:val="006E782A"/>
    <w:rsid w:val="006F01C4"/>
    <w:rsid w:val="006F19F9"/>
    <w:rsid w:val="006F2141"/>
    <w:rsid w:val="006F41BA"/>
    <w:rsid w:val="006F6AA6"/>
    <w:rsid w:val="006F6AB4"/>
    <w:rsid w:val="00702FE7"/>
    <w:rsid w:val="00703497"/>
    <w:rsid w:val="0070616A"/>
    <w:rsid w:val="007064FF"/>
    <w:rsid w:val="00706899"/>
    <w:rsid w:val="00710CC1"/>
    <w:rsid w:val="0071130E"/>
    <w:rsid w:val="00711B21"/>
    <w:rsid w:val="00712B0D"/>
    <w:rsid w:val="007140CA"/>
    <w:rsid w:val="00720ADF"/>
    <w:rsid w:val="0072126E"/>
    <w:rsid w:val="00721B55"/>
    <w:rsid w:val="00723FEA"/>
    <w:rsid w:val="00730A37"/>
    <w:rsid w:val="00732394"/>
    <w:rsid w:val="00734323"/>
    <w:rsid w:val="00735876"/>
    <w:rsid w:val="00735ACA"/>
    <w:rsid w:val="00736776"/>
    <w:rsid w:val="007446C4"/>
    <w:rsid w:val="007465AF"/>
    <w:rsid w:val="00747423"/>
    <w:rsid w:val="0075079F"/>
    <w:rsid w:val="00750FAD"/>
    <w:rsid w:val="00752A9A"/>
    <w:rsid w:val="007532D5"/>
    <w:rsid w:val="007542BA"/>
    <w:rsid w:val="00754BCA"/>
    <w:rsid w:val="00754FD9"/>
    <w:rsid w:val="00755B21"/>
    <w:rsid w:val="00762555"/>
    <w:rsid w:val="007638D1"/>
    <w:rsid w:val="00765403"/>
    <w:rsid w:val="0076641C"/>
    <w:rsid w:val="0076688D"/>
    <w:rsid w:val="007671AC"/>
    <w:rsid w:val="007672DA"/>
    <w:rsid w:val="00772718"/>
    <w:rsid w:val="0077553B"/>
    <w:rsid w:val="007769CF"/>
    <w:rsid w:val="0077785C"/>
    <w:rsid w:val="00780F3E"/>
    <w:rsid w:val="007826D8"/>
    <w:rsid w:val="00782B29"/>
    <w:rsid w:val="0078442C"/>
    <w:rsid w:val="0078442F"/>
    <w:rsid w:val="00785430"/>
    <w:rsid w:val="00791868"/>
    <w:rsid w:val="00794290"/>
    <w:rsid w:val="00794692"/>
    <w:rsid w:val="007947C5"/>
    <w:rsid w:val="0079507D"/>
    <w:rsid w:val="007963CC"/>
    <w:rsid w:val="007976CA"/>
    <w:rsid w:val="007A14FC"/>
    <w:rsid w:val="007A1506"/>
    <w:rsid w:val="007A4AB0"/>
    <w:rsid w:val="007A61F3"/>
    <w:rsid w:val="007A736C"/>
    <w:rsid w:val="007B25DA"/>
    <w:rsid w:val="007B3697"/>
    <w:rsid w:val="007B458E"/>
    <w:rsid w:val="007B4DBE"/>
    <w:rsid w:val="007B79CD"/>
    <w:rsid w:val="007C06AA"/>
    <w:rsid w:val="007C7BF5"/>
    <w:rsid w:val="007D10CE"/>
    <w:rsid w:val="007D24E5"/>
    <w:rsid w:val="007D28CA"/>
    <w:rsid w:val="007D2C64"/>
    <w:rsid w:val="007D647C"/>
    <w:rsid w:val="007E0829"/>
    <w:rsid w:val="007E1EB1"/>
    <w:rsid w:val="007E3CB8"/>
    <w:rsid w:val="007E4B25"/>
    <w:rsid w:val="007E6681"/>
    <w:rsid w:val="007F0502"/>
    <w:rsid w:val="007F58FE"/>
    <w:rsid w:val="007F5CB4"/>
    <w:rsid w:val="007F5D6F"/>
    <w:rsid w:val="007F7DB9"/>
    <w:rsid w:val="0080153D"/>
    <w:rsid w:val="008019A5"/>
    <w:rsid w:val="00801BD5"/>
    <w:rsid w:val="008041F4"/>
    <w:rsid w:val="008112D7"/>
    <w:rsid w:val="00812701"/>
    <w:rsid w:val="00815D25"/>
    <w:rsid w:val="00816B0E"/>
    <w:rsid w:val="00821933"/>
    <w:rsid w:val="008222E0"/>
    <w:rsid w:val="00822C9C"/>
    <w:rsid w:val="0082345C"/>
    <w:rsid w:val="008238AD"/>
    <w:rsid w:val="00824883"/>
    <w:rsid w:val="00825E05"/>
    <w:rsid w:val="00826F43"/>
    <w:rsid w:val="00827833"/>
    <w:rsid w:val="00827CD7"/>
    <w:rsid w:val="0083133D"/>
    <w:rsid w:val="008328FF"/>
    <w:rsid w:val="00833351"/>
    <w:rsid w:val="0083694B"/>
    <w:rsid w:val="00837B94"/>
    <w:rsid w:val="00843546"/>
    <w:rsid w:val="0084370A"/>
    <w:rsid w:val="008468C4"/>
    <w:rsid w:val="00847D16"/>
    <w:rsid w:val="00850FD9"/>
    <w:rsid w:val="00851769"/>
    <w:rsid w:val="008519A7"/>
    <w:rsid w:val="00851C6A"/>
    <w:rsid w:val="00856714"/>
    <w:rsid w:val="008573B8"/>
    <w:rsid w:val="00861D7F"/>
    <w:rsid w:val="008622F7"/>
    <w:rsid w:val="008630F2"/>
    <w:rsid w:val="00863367"/>
    <w:rsid w:val="0086528C"/>
    <w:rsid w:val="0086595A"/>
    <w:rsid w:val="00866F83"/>
    <w:rsid w:val="008672E6"/>
    <w:rsid w:val="0087057C"/>
    <w:rsid w:val="00870CC0"/>
    <w:rsid w:val="008712AF"/>
    <w:rsid w:val="0087134A"/>
    <w:rsid w:val="00875876"/>
    <w:rsid w:val="00875A60"/>
    <w:rsid w:val="00876348"/>
    <w:rsid w:val="00876D5B"/>
    <w:rsid w:val="0087743C"/>
    <w:rsid w:val="008778BB"/>
    <w:rsid w:val="00881124"/>
    <w:rsid w:val="00881244"/>
    <w:rsid w:val="008831FA"/>
    <w:rsid w:val="00883CA6"/>
    <w:rsid w:val="00886EFA"/>
    <w:rsid w:val="008873F0"/>
    <w:rsid w:val="0089003E"/>
    <w:rsid w:val="0089057E"/>
    <w:rsid w:val="008909DC"/>
    <w:rsid w:val="00894349"/>
    <w:rsid w:val="00894AE9"/>
    <w:rsid w:val="00895E9A"/>
    <w:rsid w:val="008A0E40"/>
    <w:rsid w:val="008A3D5B"/>
    <w:rsid w:val="008A4644"/>
    <w:rsid w:val="008A4759"/>
    <w:rsid w:val="008A6933"/>
    <w:rsid w:val="008A726D"/>
    <w:rsid w:val="008B0AB7"/>
    <w:rsid w:val="008B23D7"/>
    <w:rsid w:val="008B2641"/>
    <w:rsid w:val="008B4C06"/>
    <w:rsid w:val="008B786B"/>
    <w:rsid w:val="008B7BE8"/>
    <w:rsid w:val="008C019B"/>
    <w:rsid w:val="008C1B60"/>
    <w:rsid w:val="008C2073"/>
    <w:rsid w:val="008C3A26"/>
    <w:rsid w:val="008C4D30"/>
    <w:rsid w:val="008C551D"/>
    <w:rsid w:val="008C62DE"/>
    <w:rsid w:val="008D1013"/>
    <w:rsid w:val="008D10CD"/>
    <w:rsid w:val="008D1DE2"/>
    <w:rsid w:val="008D2687"/>
    <w:rsid w:val="008E018A"/>
    <w:rsid w:val="008E120B"/>
    <w:rsid w:val="008E1258"/>
    <w:rsid w:val="008E2A05"/>
    <w:rsid w:val="008E40F7"/>
    <w:rsid w:val="008E4545"/>
    <w:rsid w:val="008E67FD"/>
    <w:rsid w:val="008F174C"/>
    <w:rsid w:val="008F2034"/>
    <w:rsid w:val="008F43CB"/>
    <w:rsid w:val="008F59C6"/>
    <w:rsid w:val="008F67F3"/>
    <w:rsid w:val="008F781B"/>
    <w:rsid w:val="00901A52"/>
    <w:rsid w:val="0090287B"/>
    <w:rsid w:val="009077AA"/>
    <w:rsid w:val="0091056C"/>
    <w:rsid w:val="00910FCA"/>
    <w:rsid w:val="00911509"/>
    <w:rsid w:val="00911DD0"/>
    <w:rsid w:val="00914215"/>
    <w:rsid w:val="00916E9A"/>
    <w:rsid w:val="00920D91"/>
    <w:rsid w:val="00923DD2"/>
    <w:rsid w:val="00923FB2"/>
    <w:rsid w:val="00924B63"/>
    <w:rsid w:val="00924DB0"/>
    <w:rsid w:val="00930917"/>
    <w:rsid w:val="00933EF3"/>
    <w:rsid w:val="00934F9F"/>
    <w:rsid w:val="009374C8"/>
    <w:rsid w:val="0094133E"/>
    <w:rsid w:val="009421AE"/>
    <w:rsid w:val="00943BA3"/>
    <w:rsid w:val="009441E0"/>
    <w:rsid w:val="00944E26"/>
    <w:rsid w:val="00947DE8"/>
    <w:rsid w:val="009502F1"/>
    <w:rsid w:val="0095071C"/>
    <w:rsid w:val="00952078"/>
    <w:rsid w:val="00953CD2"/>
    <w:rsid w:val="009543B4"/>
    <w:rsid w:val="009555FA"/>
    <w:rsid w:val="00956678"/>
    <w:rsid w:val="009567EE"/>
    <w:rsid w:val="00956DCF"/>
    <w:rsid w:val="00960B1E"/>
    <w:rsid w:val="009626AB"/>
    <w:rsid w:val="00964013"/>
    <w:rsid w:val="009644E3"/>
    <w:rsid w:val="00964EE6"/>
    <w:rsid w:val="0096528D"/>
    <w:rsid w:val="00966B08"/>
    <w:rsid w:val="00967392"/>
    <w:rsid w:val="00967CE9"/>
    <w:rsid w:val="00967F17"/>
    <w:rsid w:val="009701CC"/>
    <w:rsid w:val="009714F7"/>
    <w:rsid w:val="0097451E"/>
    <w:rsid w:val="009752C3"/>
    <w:rsid w:val="0097653E"/>
    <w:rsid w:val="0098062C"/>
    <w:rsid w:val="00981544"/>
    <w:rsid w:val="0098319B"/>
    <w:rsid w:val="00983AF9"/>
    <w:rsid w:val="00984302"/>
    <w:rsid w:val="00985E53"/>
    <w:rsid w:val="00986237"/>
    <w:rsid w:val="00990A98"/>
    <w:rsid w:val="009931EC"/>
    <w:rsid w:val="009938E7"/>
    <w:rsid w:val="00993E52"/>
    <w:rsid w:val="009955E3"/>
    <w:rsid w:val="009961F7"/>
    <w:rsid w:val="009A04F3"/>
    <w:rsid w:val="009A5415"/>
    <w:rsid w:val="009A7FB3"/>
    <w:rsid w:val="009B07F1"/>
    <w:rsid w:val="009B3E04"/>
    <w:rsid w:val="009B5326"/>
    <w:rsid w:val="009C134A"/>
    <w:rsid w:val="009C5672"/>
    <w:rsid w:val="009C6228"/>
    <w:rsid w:val="009C6520"/>
    <w:rsid w:val="009C6BCA"/>
    <w:rsid w:val="009D0528"/>
    <w:rsid w:val="009D065D"/>
    <w:rsid w:val="009D2BFD"/>
    <w:rsid w:val="009D311D"/>
    <w:rsid w:val="009D378F"/>
    <w:rsid w:val="009D4DA5"/>
    <w:rsid w:val="009D4FB9"/>
    <w:rsid w:val="009D57B5"/>
    <w:rsid w:val="009D6746"/>
    <w:rsid w:val="009D743C"/>
    <w:rsid w:val="009E20C2"/>
    <w:rsid w:val="009E2C25"/>
    <w:rsid w:val="009E324C"/>
    <w:rsid w:val="009E51F5"/>
    <w:rsid w:val="009E5934"/>
    <w:rsid w:val="009E65F1"/>
    <w:rsid w:val="009E69C1"/>
    <w:rsid w:val="009E7C80"/>
    <w:rsid w:val="009F013C"/>
    <w:rsid w:val="009F0A19"/>
    <w:rsid w:val="009F1D96"/>
    <w:rsid w:val="009F46E9"/>
    <w:rsid w:val="009F49A3"/>
    <w:rsid w:val="00A0073D"/>
    <w:rsid w:val="00A00936"/>
    <w:rsid w:val="00A0461C"/>
    <w:rsid w:val="00A05CEF"/>
    <w:rsid w:val="00A06347"/>
    <w:rsid w:val="00A0718C"/>
    <w:rsid w:val="00A072FD"/>
    <w:rsid w:val="00A108E0"/>
    <w:rsid w:val="00A109CF"/>
    <w:rsid w:val="00A13147"/>
    <w:rsid w:val="00A15BA1"/>
    <w:rsid w:val="00A1661C"/>
    <w:rsid w:val="00A16726"/>
    <w:rsid w:val="00A17A72"/>
    <w:rsid w:val="00A204FC"/>
    <w:rsid w:val="00A24065"/>
    <w:rsid w:val="00A252AF"/>
    <w:rsid w:val="00A25E27"/>
    <w:rsid w:val="00A269A9"/>
    <w:rsid w:val="00A26AAC"/>
    <w:rsid w:val="00A2769F"/>
    <w:rsid w:val="00A30A4A"/>
    <w:rsid w:val="00A33397"/>
    <w:rsid w:val="00A343AF"/>
    <w:rsid w:val="00A351F9"/>
    <w:rsid w:val="00A365CE"/>
    <w:rsid w:val="00A37673"/>
    <w:rsid w:val="00A408BB"/>
    <w:rsid w:val="00A40C59"/>
    <w:rsid w:val="00A43155"/>
    <w:rsid w:val="00A436B2"/>
    <w:rsid w:val="00A45000"/>
    <w:rsid w:val="00A45408"/>
    <w:rsid w:val="00A4713B"/>
    <w:rsid w:val="00A5174E"/>
    <w:rsid w:val="00A51A1D"/>
    <w:rsid w:val="00A52A5D"/>
    <w:rsid w:val="00A557C0"/>
    <w:rsid w:val="00A56044"/>
    <w:rsid w:val="00A601CA"/>
    <w:rsid w:val="00A6020B"/>
    <w:rsid w:val="00A602A9"/>
    <w:rsid w:val="00A60720"/>
    <w:rsid w:val="00A62766"/>
    <w:rsid w:val="00A6490D"/>
    <w:rsid w:val="00A6545A"/>
    <w:rsid w:val="00A66956"/>
    <w:rsid w:val="00A70EF4"/>
    <w:rsid w:val="00A711EC"/>
    <w:rsid w:val="00A73A3C"/>
    <w:rsid w:val="00A73A4D"/>
    <w:rsid w:val="00A73A5D"/>
    <w:rsid w:val="00A75649"/>
    <w:rsid w:val="00A7593E"/>
    <w:rsid w:val="00A76294"/>
    <w:rsid w:val="00A7697C"/>
    <w:rsid w:val="00A76A16"/>
    <w:rsid w:val="00A77BC2"/>
    <w:rsid w:val="00A80AA0"/>
    <w:rsid w:val="00A84020"/>
    <w:rsid w:val="00A841D1"/>
    <w:rsid w:val="00A86885"/>
    <w:rsid w:val="00A868C5"/>
    <w:rsid w:val="00A8694F"/>
    <w:rsid w:val="00A87779"/>
    <w:rsid w:val="00A90193"/>
    <w:rsid w:val="00A90C63"/>
    <w:rsid w:val="00A9120F"/>
    <w:rsid w:val="00A92121"/>
    <w:rsid w:val="00A948C6"/>
    <w:rsid w:val="00A96FB6"/>
    <w:rsid w:val="00A97097"/>
    <w:rsid w:val="00A971E5"/>
    <w:rsid w:val="00A973E6"/>
    <w:rsid w:val="00A97E91"/>
    <w:rsid w:val="00AA0B00"/>
    <w:rsid w:val="00AA0E93"/>
    <w:rsid w:val="00AA0FA8"/>
    <w:rsid w:val="00AA173F"/>
    <w:rsid w:val="00AA26AD"/>
    <w:rsid w:val="00AA4E11"/>
    <w:rsid w:val="00AA5C4B"/>
    <w:rsid w:val="00AB04E2"/>
    <w:rsid w:val="00AB0F42"/>
    <w:rsid w:val="00AB1E6F"/>
    <w:rsid w:val="00AB202B"/>
    <w:rsid w:val="00AB2F0A"/>
    <w:rsid w:val="00AB3C08"/>
    <w:rsid w:val="00AB55FC"/>
    <w:rsid w:val="00AB7362"/>
    <w:rsid w:val="00AC362C"/>
    <w:rsid w:val="00AC622F"/>
    <w:rsid w:val="00AC681F"/>
    <w:rsid w:val="00AD0BC7"/>
    <w:rsid w:val="00AD43F2"/>
    <w:rsid w:val="00AD4B05"/>
    <w:rsid w:val="00AD5B03"/>
    <w:rsid w:val="00AD5B12"/>
    <w:rsid w:val="00AD62CB"/>
    <w:rsid w:val="00AE3463"/>
    <w:rsid w:val="00AE4A77"/>
    <w:rsid w:val="00AE5FA0"/>
    <w:rsid w:val="00AE7341"/>
    <w:rsid w:val="00AF2924"/>
    <w:rsid w:val="00AF29D6"/>
    <w:rsid w:val="00B00A83"/>
    <w:rsid w:val="00B01D97"/>
    <w:rsid w:val="00B04426"/>
    <w:rsid w:val="00B06AAB"/>
    <w:rsid w:val="00B100EF"/>
    <w:rsid w:val="00B10C91"/>
    <w:rsid w:val="00B14D1F"/>
    <w:rsid w:val="00B157B2"/>
    <w:rsid w:val="00B174C0"/>
    <w:rsid w:val="00B220CB"/>
    <w:rsid w:val="00B26A81"/>
    <w:rsid w:val="00B27BE1"/>
    <w:rsid w:val="00B31696"/>
    <w:rsid w:val="00B33ED5"/>
    <w:rsid w:val="00B371FC"/>
    <w:rsid w:val="00B40683"/>
    <w:rsid w:val="00B427D8"/>
    <w:rsid w:val="00B43C75"/>
    <w:rsid w:val="00B46976"/>
    <w:rsid w:val="00B47D19"/>
    <w:rsid w:val="00B47E97"/>
    <w:rsid w:val="00B5110D"/>
    <w:rsid w:val="00B51A47"/>
    <w:rsid w:val="00B52829"/>
    <w:rsid w:val="00B52E59"/>
    <w:rsid w:val="00B531FA"/>
    <w:rsid w:val="00B539E1"/>
    <w:rsid w:val="00B546A4"/>
    <w:rsid w:val="00B555BD"/>
    <w:rsid w:val="00B557F2"/>
    <w:rsid w:val="00B5613C"/>
    <w:rsid w:val="00B563F4"/>
    <w:rsid w:val="00B57329"/>
    <w:rsid w:val="00B57861"/>
    <w:rsid w:val="00B615DB"/>
    <w:rsid w:val="00B6198C"/>
    <w:rsid w:val="00B619CC"/>
    <w:rsid w:val="00B62C3A"/>
    <w:rsid w:val="00B64749"/>
    <w:rsid w:val="00B65B7C"/>
    <w:rsid w:val="00B65E87"/>
    <w:rsid w:val="00B70ED6"/>
    <w:rsid w:val="00B70EF4"/>
    <w:rsid w:val="00B71433"/>
    <w:rsid w:val="00B7255F"/>
    <w:rsid w:val="00B7359E"/>
    <w:rsid w:val="00B7363B"/>
    <w:rsid w:val="00B75EEA"/>
    <w:rsid w:val="00B76D06"/>
    <w:rsid w:val="00B773D2"/>
    <w:rsid w:val="00B80C33"/>
    <w:rsid w:val="00B822AF"/>
    <w:rsid w:val="00B82D72"/>
    <w:rsid w:val="00B82F2F"/>
    <w:rsid w:val="00B82FAF"/>
    <w:rsid w:val="00B83ABE"/>
    <w:rsid w:val="00B83FDB"/>
    <w:rsid w:val="00B847C8"/>
    <w:rsid w:val="00B84D62"/>
    <w:rsid w:val="00B84E29"/>
    <w:rsid w:val="00B873B1"/>
    <w:rsid w:val="00B87D92"/>
    <w:rsid w:val="00B87FC7"/>
    <w:rsid w:val="00B906BF"/>
    <w:rsid w:val="00B9144B"/>
    <w:rsid w:val="00B9300E"/>
    <w:rsid w:val="00B93FB6"/>
    <w:rsid w:val="00B9497F"/>
    <w:rsid w:val="00B96266"/>
    <w:rsid w:val="00BA0279"/>
    <w:rsid w:val="00BA5AAB"/>
    <w:rsid w:val="00BA6597"/>
    <w:rsid w:val="00BA7A95"/>
    <w:rsid w:val="00BA7AD8"/>
    <w:rsid w:val="00BB021B"/>
    <w:rsid w:val="00BB08B5"/>
    <w:rsid w:val="00BB1C02"/>
    <w:rsid w:val="00BB3846"/>
    <w:rsid w:val="00BB4897"/>
    <w:rsid w:val="00BB55B4"/>
    <w:rsid w:val="00BB728F"/>
    <w:rsid w:val="00BB7F47"/>
    <w:rsid w:val="00BC091A"/>
    <w:rsid w:val="00BC4D03"/>
    <w:rsid w:val="00BC5BE2"/>
    <w:rsid w:val="00BC5F80"/>
    <w:rsid w:val="00BC6C2D"/>
    <w:rsid w:val="00BC7B9F"/>
    <w:rsid w:val="00BD0C03"/>
    <w:rsid w:val="00BD0C71"/>
    <w:rsid w:val="00BD2EB5"/>
    <w:rsid w:val="00BD4637"/>
    <w:rsid w:val="00BD61E9"/>
    <w:rsid w:val="00BE016D"/>
    <w:rsid w:val="00BE17DC"/>
    <w:rsid w:val="00BE1C82"/>
    <w:rsid w:val="00BE1EBF"/>
    <w:rsid w:val="00BE1F1A"/>
    <w:rsid w:val="00BE1F47"/>
    <w:rsid w:val="00BE2060"/>
    <w:rsid w:val="00BE3CC3"/>
    <w:rsid w:val="00BE4160"/>
    <w:rsid w:val="00BE46B4"/>
    <w:rsid w:val="00BE4DD0"/>
    <w:rsid w:val="00BE4DFD"/>
    <w:rsid w:val="00BE5196"/>
    <w:rsid w:val="00BE5451"/>
    <w:rsid w:val="00BE7808"/>
    <w:rsid w:val="00BE7ACE"/>
    <w:rsid w:val="00BF0BDF"/>
    <w:rsid w:val="00BF1D1E"/>
    <w:rsid w:val="00BF4AA7"/>
    <w:rsid w:val="00BF544D"/>
    <w:rsid w:val="00C00283"/>
    <w:rsid w:val="00C00642"/>
    <w:rsid w:val="00C014D2"/>
    <w:rsid w:val="00C01F80"/>
    <w:rsid w:val="00C02A63"/>
    <w:rsid w:val="00C04C4D"/>
    <w:rsid w:val="00C05FEF"/>
    <w:rsid w:val="00C06969"/>
    <w:rsid w:val="00C073A5"/>
    <w:rsid w:val="00C10309"/>
    <w:rsid w:val="00C10723"/>
    <w:rsid w:val="00C1095B"/>
    <w:rsid w:val="00C1452E"/>
    <w:rsid w:val="00C149DD"/>
    <w:rsid w:val="00C15AB7"/>
    <w:rsid w:val="00C15D10"/>
    <w:rsid w:val="00C1696C"/>
    <w:rsid w:val="00C2066F"/>
    <w:rsid w:val="00C2153A"/>
    <w:rsid w:val="00C2229F"/>
    <w:rsid w:val="00C22E1A"/>
    <w:rsid w:val="00C23E89"/>
    <w:rsid w:val="00C24076"/>
    <w:rsid w:val="00C27306"/>
    <w:rsid w:val="00C30B99"/>
    <w:rsid w:val="00C30FB1"/>
    <w:rsid w:val="00C3603A"/>
    <w:rsid w:val="00C374FC"/>
    <w:rsid w:val="00C418A6"/>
    <w:rsid w:val="00C454E1"/>
    <w:rsid w:val="00C477A5"/>
    <w:rsid w:val="00C51246"/>
    <w:rsid w:val="00C52C27"/>
    <w:rsid w:val="00C54C95"/>
    <w:rsid w:val="00C55C7C"/>
    <w:rsid w:val="00C560F6"/>
    <w:rsid w:val="00C561A0"/>
    <w:rsid w:val="00C569E6"/>
    <w:rsid w:val="00C56B0B"/>
    <w:rsid w:val="00C60482"/>
    <w:rsid w:val="00C611AF"/>
    <w:rsid w:val="00C616F6"/>
    <w:rsid w:val="00C61DE5"/>
    <w:rsid w:val="00C63FC5"/>
    <w:rsid w:val="00C640A3"/>
    <w:rsid w:val="00C65D59"/>
    <w:rsid w:val="00C66320"/>
    <w:rsid w:val="00C6640B"/>
    <w:rsid w:val="00C678E2"/>
    <w:rsid w:val="00C67E9B"/>
    <w:rsid w:val="00C70274"/>
    <w:rsid w:val="00C70378"/>
    <w:rsid w:val="00C70B33"/>
    <w:rsid w:val="00C71B3B"/>
    <w:rsid w:val="00C720BF"/>
    <w:rsid w:val="00C7298A"/>
    <w:rsid w:val="00C74970"/>
    <w:rsid w:val="00C76779"/>
    <w:rsid w:val="00C80CCF"/>
    <w:rsid w:val="00C81523"/>
    <w:rsid w:val="00C82D94"/>
    <w:rsid w:val="00C87584"/>
    <w:rsid w:val="00C87C7F"/>
    <w:rsid w:val="00C90FF4"/>
    <w:rsid w:val="00CA07E1"/>
    <w:rsid w:val="00CA404E"/>
    <w:rsid w:val="00CA42F3"/>
    <w:rsid w:val="00CA466B"/>
    <w:rsid w:val="00CA481B"/>
    <w:rsid w:val="00CA49AA"/>
    <w:rsid w:val="00CA70AE"/>
    <w:rsid w:val="00CB0BC6"/>
    <w:rsid w:val="00CB0C8E"/>
    <w:rsid w:val="00CB0F9C"/>
    <w:rsid w:val="00CB1112"/>
    <w:rsid w:val="00CB2DE3"/>
    <w:rsid w:val="00CB34E5"/>
    <w:rsid w:val="00CB3BA8"/>
    <w:rsid w:val="00CB5B35"/>
    <w:rsid w:val="00CB5D6D"/>
    <w:rsid w:val="00CB63A0"/>
    <w:rsid w:val="00CB6D6F"/>
    <w:rsid w:val="00CB709D"/>
    <w:rsid w:val="00CC0FE9"/>
    <w:rsid w:val="00CC116C"/>
    <w:rsid w:val="00CC148F"/>
    <w:rsid w:val="00CC2697"/>
    <w:rsid w:val="00CC3E2C"/>
    <w:rsid w:val="00CC59C1"/>
    <w:rsid w:val="00CC6AD1"/>
    <w:rsid w:val="00CD2215"/>
    <w:rsid w:val="00CD5885"/>
    <w:rsid w:val="00CD6098"/>
    <w:rsid w:val="00CD6969"/>
    <w:rsid w:val="00CD6D20"/>
    <w:rsid w:val="00CD704C"/>
    <w:rsid w:val="00CE0036"/>
    <w:rsid w:val="00CE207E"/>
    <w:rsid w:val="00CE3383"/>
    <w:rsid w:val="00CE3DE9"/>
    <w:rsid w:val="00CE4717"/>
    <w:rsid w:val="00CE4BB5"/>
    <w:rsid w:val="00CE535F"/>
    <w:rsid w:val="00CE6F61"/>
    <w:rsid w:val="00CF05E3"/>
    <w:rsid w:val="00CF2729"/>
    <w:rsid w:val="00CF4D80"/>
    <w:rsid w:val="00CF5C26"/>
    <w:rsid w:val="00CF6EC2"/>
    <w:rsid w:val="00CF7561"/>
    <w:rsid w:val="00D01288"/>
    <w:rsid w:val="00D0233B"/>
    <w:rsid w:val="00D03433"/>
    <w:rsid w:val="00D06466"/>
    <w:rsid w:val="00D1107D"/>
    <w:rsid w:val="00D11822"/>
    <w:rsid w:val="00D124E3"/>
    <w:rsid w:val="00D15D8C"/>
    <w:rsid w:val="00D16005"/>
    <w:rsid w:val="00D1614B"/>
    <w:rsid w:val="00D172D8"/>
    <w:rsid w:val="00D17CE8"/>
    <w:rsid w:val="00D226B4"/>
    <w:rsid w:val="00D2398C"/>
    <w:rsid w:val="00D26203"/>
    <w:rsid w:val="00D26C05"/>
    <w:rsid w:val="00D30530"/>
    <w:rsid w:val="00D30D3F"/>
    <w:rsid w:val="00D31A1E"/>
    <w:rsid w:val="00D34966"/>
    <w:rsid w:val="00D34A7B"/>
    <w:rsid w:val="00D368E4"/>
    <w:rsid w:val="00D37DC5"/>
    <w:rsid w:val="00D4057D"/>
    <w:rsid w:val="00D40ED7"/>
    <w:rsid w:val="00D435E0"/>
    <w:rsid w:val="00D45974"/>
    <w:rsid w:val="00D460CD"/>
    <w:rsid w:val="00D47888"/>
    <w:rsid w:val="00D51AA4"/>
    <w:rsid w:val="00D531FF"/>
    <w:rsid w:val="00D552B6"/>
    <w:rsid w:val="00D602D6"/>
    <w:rsid w:val="00D606F2"/>
    <w:rsid w:val="00D60A9C"/>
    <w:rsid w:val="00D626B9"/>
    <w:rsid w:val="00D62C23"/>
    <w:rsid w:val="00D6308D"/>
    <w:rsid w:val="00D64301"/>
    <w:rsid w:val="00D66FA5"/>
    <w:rsid w:val="00D71DD4"/>
    <w:rsid w:val="00D73324"/>
    <w:rsid w:val="00D74236"/>
    <w:rsid w:val="00D772D3"/>
    <w:rsid w:val="00D77766"/>
    <w:rsid w:val="00D800C9"/>
    <w:rsid w:val="00D82250"/>
    <w:rsid w:val="00D830D7"/>
    <w:rsid w:val="00D83CC4"/>
    <w:rsid w:val="00D84A7C"/>
    <w:rsid w:val="00D85328"/>
    <w:rsid w:val="00D864C8"/>
    <w:rsid w:val="00D86ADB"/>
    <w:rsid w:val="00D86E1D"/>
    <w:rsid w:val="00D8732A"/>
    <w:rsid w:val="00D87E9F"/>
    <w:rsid w:val="00D9143C"/>
    <w:rsid w:val="00D9147C"/>
    <w:rsid w:val="00D915FA"/>
    <w:rsid w:val="00D9202B"/>
    <w:rsid w:val="00D92E3D"/>
    <w:rsid w:val="00D9561A"/>
    <w:rsid w:val="00D95BC4"/>
    <w:rsid w:val="00D95EF8"/>
    <w:rsid w:val="00D9612B"/>
    <w:rsid w:val="00D974E8"/>
    <w:rsid w:val="00DA0F5B"/>
    <w:rsid w:val="00DA13A9"/>
    <w:rsid w:val="00DA1A75"/>
    <w:rsid w:val="00DA2AE5"/>
    <w:rsid w:val="00DA3D2B"/>
    <w:rsid w:val="00DA5066"/>
    <w:rsid w:val="00DA600E"/>
    <w:rsid w:val="00DA6BCA"/>
    <w:rsid w:val="00DB0326"/>
    <w:rsid w:val="00DB063D"/>
    <w:rsid w:val="00DB33BC"/>
    <w:rsid w:val="00DB4228"/>
    <w:rsid w:val="00DB5376"/>
    <w:rsid w:val="00DB7DF5"/>
    <w:rsid w:val="00DC1922"/>
    <w:rsid w:val="00DC1B18"/>
    <w:rsid w:val="00DC23C3"/>
    <w:rsid w:val="00DC4D95"/>
    <w:rsid w:val="00DC564E"/>
    <w:rsid w:val="00DC6BBF"/>
    <w:rsid w:val="00DC7969"/>
    <w:rsid w:val="00DD04DF"/>
    <w:rsid w:val="00DD4AC7"/>
    <w:rsid w:val="00DD61C0"/>
    <w:rsid w:val="00DD7A38"/>
    <w:rsid w:val="00DD7E5A"/>
    <w:rsid w:val="00DD7EE4"/>
    <w:rsid w:val="00DE1E1C"/>
    <w:rsid w:val="00DE42A5"/>
    <w:rsid w:val="00DE4FE0"/>
    <w:rsid w:val="00DE5258"/>
    <w:rsid w:val="00DE55DA"/>
    <w:rsid w:val="00DE5ADE"/>
    <w:rsid w:val="00DE5B3A"/>
    <w:rsid w:val="00DE6B31"/>
    <w:rsid w:val="00DE7386"/>
    <w:rsid w:val="00DE7C7A"/>
    <w:rsid w:val="00DE7FF2"/>
    <w:rsid w:val="00DF1372"/>
    <w:rsid w:val="00DF6E6C"/>
    <w:rsid w:val="00E00A68"/>
    <w:rsid w:val="00E013B6"/>
    <w:rsid w:val="00E020A8"/>
    <w:rsid w:val="00E05108"/>
    <w:rsid w:val="00E06E16"/>
    <w:rsid w:val="00E10FD5"/>
    <w:rsid w:val="00E11FA5"/>
    <w:rsid w:val="00E1250F"/>
    <w:rsid w:val="00E129F5"/>
    <w:rsid w:val="00E131D0"/>
    <w:rsid w:val="00E1324C"/>
    <w:rsid w:val="00E13661"/>
    <w:rsid w:val="00E1484B"/>
    <w:rsid w:val="00E14A4C"/>
    <w:rsid w:val="00E1516E"/>
    <w:rsid w:val="00E15334"/>
    <w:rsid w:val="00E1665F"/>
    <w:rsid w:val="00E17967"/>
    <w:rsid w:val="00E17C2F"/>
    <w:rsid w:val="00E2035A"/>
    <w:rsid w:val="00E21EA1"/>
    <w:rsid w:val="00E23C02"/>
    <w:rsid w:val="00E26A6A"/>
    <w:rsid w:val="00E324BB"/>
    <w:rsid w:val="00E3257F"/>
    <w:rsid w:val="00E327EB"/>
    <w:rsid w:val="00E34F75"/>
    <w:rsid w:val="00E42EB9"/>
    <w:rsid w:val="00E42F21"/>
    <w:rsid w:val="00E443E7"/>
    <w:rsid w:val="00E448AC"/>
    <w:rsid w:val="00E44E90"/>
    <w:rsid w:val="00E45A1A"/>
    <w:rsid w:val="00E47511"/>
    <w:rsid w:val="00E50D6C"/>
    <w:rsid w:val="00E528BA"/>
    <w:rsid w:val="00E5313B"/>
    <w:rsid w:val="00E540FF"/>
    <w:rsid w:val="00E54ADA"/>
    <w:rsid w:val="00E54F78"/>
    <w:rsid w:val="00E5538F"/>
    <w:rsid w:val="00E60D45"/>
    <w:rsid w:val="00E617B2"/>
    <w:rsid w:val="00E61A7D"/>
    <w:rsid w:val="00E61CD4"/>
    <w:rsid w:val="00E62593"/>
    <w:rsid w:val="00E62750"/>
    <w:rsid w:val="00E62CA6"/>
    <w:rsid w:val="00E650CF"/>
    <w:rsid w:val="00E66254"/>
    <w:rsid w:val="00E67695"/>
    <w:rsid w:val="00E711DE"/>
    <w:rsid w:val="00E731E9"/>
    <w:rsid w:val="00E74C52"/>
    <w:rsid w:val="00E74EFA"/>
    <w:rsid w:val="00E7566D"/>
    <w:rsid w:val="00E8218E"/>
    <w:rsid w:val="00E83B59"/>
    <w:rsid w:val="00E858AF"/>
    <w:rsid w:val="00E85ADB"/>
    <w:rsid w:val="00E86FBC"/>
    <w:rsid w:val="00E909BD"/>
    <w:rsid w:val="00E91ED1"/>
    <w:rsid w:val="00E92302"/>
    <w:rsid w:val="00E95EF7"/>
    <w:rsid w:val="00E96045"/>
    <w:rsid w:val="00E9660E"/>
    <w:rsid w:val="00E97073"/>
    <w:rsid w:val="00E97852"/>
    <w:rsid w:val="00EA22F3"/>
    <w:rsid w:val="00EA30FC"/>
    <w:rsid w:val="00EA3111"/>
    <w:rsid w:val="00EA3824"/>
    <w:rsid w:val="00EA3EE2"/>
    <w:rsid w:val="00EA466D"/>
    <w:rsid w:val="00EB0524"/>
    <w:rsid w:val="00EB3ECC"/>
    <w:rsid w:val="00EB44A8"/>
    <w:rsid w:val="00EB5DCD"/>
    <w:rsid w:val="00EB707B"/>
    <w:rsid w:val="00EC443B"/>
    <w:rsid w:val="00ED02E8"/>
    <w:rsid w:val="00ED135E"/>
    <w:rsid w:val="00ED172B"/>
    <w:rsid w:val="00ED27EF"/>
    <w:rsid w:val="00ED3185"/>
    <w:rsid w:val="00ED34DE"/>
    <w:rsid w:val="00ED34E8"/>
    <w:rsid w:val="00ED3B5E"/>
    <w:rsid w:val="00ED5B28"/>
    <w:rsid w:val="00ED6D79"/>
    <w:rsid w:val="00EE22BF"/>
    <w:rsid w:val="00EE4880"/>
    <w:rsid w:val="00EE5E0F"/>
    <w:rsid w:val="00EE6243"/>
    <w:rsid w:val="00EF0A7A"/>
    <w:rsid w:val="00EF0AEA"/>
    <w:rsid w:val="00EF1BB7"/>
    <w:rsid w:val="00EF2230"/>
    <w:rsid w:val="00EF2CF8"/>
    <w:rsid w:val="00EF3AEA"/>
    <w:rsid w:val="00EF6C4E"/>
    <w:rsid w:val="00EF7685"/>
    <w:rsid w:val="00F0060C"/>
    <w:rsid w:val="00F012EA"/>
    <w:rsid w:val="00F01B18"/>
    <w:rsid w:val="00F0216C"/>
    <w:rsid w:val="00F03D16"/>
    <w:rsid w:val="00F05154"/>
    <w:rsid w:val="00F0522B"/>
    <w:rsid w:val="00F0685B"/>
    <w:rsid w:val="00F10CD0"/>
    <w:rsid w:val="00F131A8"/>
    <w:rsid w:val="00F136F6"/>
    <w:rsid w:val="00F14415"/>
    <w:rsid w:val="00F172C9"/>
    <w:rsid w:val="00F17F41"/>
    <w:rsid w:val="00F202FD"/>
    <w:rsid w:val="00F20D31"/>
    <w:rsid w:val="00F21D7D"/>
    <w:rsid w:val="00F3130B"/>
    <w:rsid w:val="00F338D7"/>
    <w:rsid w:val="00F33B01"/>
    <w:rsid w:val="00F40687"/>
    <w:rsid w:val="00F406A0"/>
    <w:rsid w:val="00F40A34"/>
    <w:rsid w:val="00F42C85"/>
    <w:rsid w:val="00F4381B"/>
    <w:rsid w:val="00F4615A"/>
    <w:rsid w:val="00F46486"/>
    <w:rsid w:val="00F47521"/>
    <w:rsid w:val="00F47696"/>
    <w:rsid w:val="00F51FEC"/>
    <w:rsid w:val="00F52831"/>
    <w:rsid w:val="00F539AD"/>
    <w:rsid w:val="00F54306"/>
    <w:rsid w:val="00F556D4"/>
    <w:rsid w:val="00F601A8"/>
    <w:rsid w:val="00F63296"/>
    <w:rsid w:val="00F640C3"/>
    <w:rsid w:val="00F71294"/>
    <w:rsid w:val="00F730A3"/>
    <w:rsid w:val="00F732D9"/>
    <w:rsid w:val="00F768C5"/>
    <w:rsid w:val="00F77DFE"/>
    <w:rsid w:val="00F80364"/>
    <w:rsid w:val="00F82326"/>
    <w:rsid w:val="00F83078"/>
    <w:rsid w:val="00F8528B"/>
    <w:rsid w:val="00F853D7"/>
    <w:rsid w:val="00F859AC"/>
    <w:rsid w:val="00F86713"/>
    <w:rsid w:val="00F87980"/>
    <w:rsid w:val="00F9078A"/>
    <w:rsid w:val="00F93D1C"/>
    <w:rsid w:val="00F94770"/>
    <w:rsid w:val="00F94C22"/>
    <w:rsid w:val="00F94F28"/>
    <w:rsid w:val="00F95F81"/>
    <w:rsid w:val="00FA018E"/>
    <w:rsid w:val="00FA122F"/>
    <w:rsid w:val="00FA1C0A"/>
    <w:rsid w:val="00FA3BD1"/>
    <w:rsid w:val="00FA469C"/>
    <w:rsid w:val="00FA4B47"/>
    <w:rsid w:val="00FA65F5"/>
    <w:rsid w:val="00FB1D03"/>
    <w:rsid w:val="00FB351E"/>
    <w:rsid w:val="00FB674A"/>
    <w:rsid w:val="00FC4060"/>
    <w:rsid w:val="00FC487E"/>
    <w:rsid w:val="00FC4A22"/>
    <w:rsid w:val="00FC64A0"/>
    <w:rsid w:val="00FC6CE1"/>
    <w:rsid w:val="00FC76BA"/>
    <w:rsid w:val="00FD01B5"/>
    <w:rsid w:val="00FD13A3"/>
    <w:rsid w:val="00FD6D26"/>
    <w:rsid w:val="00FD6DA1"/>
    <w:rsid w:val="00FD7157"/>
    <w:rsid w:val="00FE19E3"/>
    <w:rsid w:val="00FE46A4"/>
    <w:rsid w:val="00FE4771"/>
    <w:rsid w:val="00FE4B30"/>
    <w:rsid w:val="00FE51A0"/>
    <w:rsid w:val="00FE5F37"/>
    <w:rsid w:val="00FE6E19"/>
    <w:rsid w:val="00FE73FA"/>
    <w:rsid w:val="00FF03E4"/>
    <w:rsid w:val="00FF127D"/>
    <w:rsid w:val="00FF468F"/>
    <w:rsid w:val="00FF47A0"/>
    <w:rsid w:val="00FF51D1"/>
    <w:rsid w:val="00FF5B3F"/>
    <w:rsid w:val="00FF5C5D"/>
    <w:rsid w:val="00FF6C0B"/>
    <w:rsid w:val="00FF7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AD4"/>
    <w:rPr>
      <w:lang w:val="es-BO"/>
    </w:rPr>
  </w:style>
  <w:style w:type="paragraph" w:styleId="Heading1">
    <w:name w:val="heading 1"/>
    <w:basedOn w:val="Normal"/>
    <w:next w:val="Normal"/>
    <w:link w:val="Heading1Char"/>
    <w:uiPriority w:val="9"/>
    <w:qFormat/>
    <w:rsid w:val="00A868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A182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33EF3"/>
    <w:rPr>
      <w:sz w:val="16"/>
      <w:szCs w:val="16"/>
    </w:rPr>
  </w:style>
  <w:style w:type="paragraph" w:styleId="CommentText">
    <w:name w:val="annotation text"/>
    <w:basedOn w:val="Normal"/>
    <w:link w:val="CommentTextChar"/>
    <w:uiPriority w:val="99"/>
    <w:semiHidden/>
    <w:unhideWhenUsed/>
    <w:rsid w:val="00933EF3"/>
    <w:pPr>
      <w:spacing w:line="240" w:lineRule="auto"/>
    </w:pPr>
    <w:rPr>
      <w:sz w:val="20"/>
      <w:szCs w:val="20"/>
    </w:rPr>
  </w:style>
  <w:style w:type="character" w:customStyle="1" w:styleId="CommentTextChar">
    <w:name w:val="Comment Text Char"/>
    <w:basedOn w:val="DefaultParagraphFont"/>
    <w:link w:val="CommentText"/>
    <w:uiPriority w:val="99"/>
    <w:semiHidden/>
    <w:rsid w:val="00933EF3"/>
    <w:rPr>
      <w:sz w:val="20"/>
      <w:szCs w:val="20"/>
      <w:lang w:val="es-BO"/>
    </w:rPr>
  </w:style>
  <w:style w:type="paragraph" w:styleId="CommentSubject">
    <w:name w:val="annotation subject"/>
    <w:basedOn w:val="CommentText"/>
    <w:next w:val="CommentText"/>
    <w:link w:val="CommentSubjectChar"/>
    <w:uiPriority w:val="99"/>
    <w:semiHidden/>
    <w:unhideWhenUsed/>
    <w:rsid w:val="00933EF3"/>
    <w:rPr>
      <w:b/>
      <w:bCs/>
    </w:rPr>
  </w:style>
  <w:style w:type="character" w:customStyle="1" w:styleId="CommentSubjectChar">
    <w:name w:val="Comment Subject Char"/>
    <w:basedOn w:val="CommentTextChar"/>
    <w:link w:val="CommentSubject"/>
    <w:uiPriority w:val="99"/>
    <w:semiHidden/>
    <w:rsid w:val="00933EF3"/>
    <w:rPr>
      <w:b/>
      <w:bCs/>
      <w:sz w:val="20"/>
      <w:szCs w:val="20"/>
      <w:lang w:val="es-BO"/>
    </w:rPr>
  </w:style>
  <w:style w:type="paragraph" w:styleId="BalloonText">
    <w:name w:val="Balloon Text"/>
    <w:basedOn w:val="Normal"/>
    <w:link w:val="BalloonTextChar"/>
    <w:uiPriority w:val="99"/>
    <w:semiHidden/>
    <w:unhideWhenUsed/>
    <w:rsid w:val="00933E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EF3"/>
    <w:rPr>
      <w:rFonts w:ascii="Tahoma" w:hAnsi="Tahoma" w:cs="Tahoma"/>
      <w:sz w:val="16"/>
      <w:szCs w:val="16"/>
      <w:lang w:val="es-BO"/>
    </w:rPr>
  </w:style>
  <w:style w:type="paragraph" w:styleId="ListParagraph">
    <w:name w:val="List Paragraph"/>
    <w:basedOn w:val="Normal"/>
    <w:uiPriority w:val="34"/>
    <w:qFormat/>
    <w:rsid w:val="00D0233B"/>
    <w:pPr>
      <w:ind w:left="720"/>
      <w:contextualSpacing/>
    </w:pPr>
  </w:style>
  <w:style w:type="paragraph" w:styleId="Header">
    <w:name w:val="header"/>
    <w:basedOn w:val="Normal"/>
    <w:link w:val="HeaderChar"/>
    <w:uiPriority w:val="99"/>
    <w:unhideWhenUsed/>
    <w:rsid w:val="004614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4BF"/>
    <w:rPr>
      <w:lang w:val="es-BO"/>
    </w:rPr>
  </w:style>
  <w:style w:type="paragraph" w:styleId="Footer">
    <w:name w:val="footer"/>
    <w:basedOn w:val="Normal"/>
    <w:link w:val="FooterChar"/>
    <w:uiPriority w:val="99"/>
    <w:unhideWhenUsed/>
    <w:rsid w:val="004614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4BF"/>
    <w:rPr>
      <w:lang w:val="es-BO"/>
    </w:rPr>
  </w:style>
  <w:style w:type="paragraph" w:styleId="FootnoteText">
    <w:name w:val="footnote text"/>
    <w:basedOn w:val="Normal"/>
    <w:link w:val="FootnoteTextChar"/>
    <w:uiPriority w:val="99"/>
    <w:semiHidden/>
    <w:unhideWhenUsed/>
    <w:rsid w:val="004929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29EF"/>
    <w:rPr>
      <w:sz w:val="20"/>
      <w:szCs w:val="20"/>
      <w:lang w:val="es-BO"/>
    </w:rPr>
  </w:style>
  <w:style w:type="character" w:styleId="FootnoteReference">
    <w:name w:val="footnote reference"/>
    <w:basedOn w:val="DefaultParagraphFont"/>
    <w:uiPriority w:val="99"/>
    <w:semiHidden/>
    <w:unhideWhenUsed/>
    <w:rsid w:val="004929EF"/>
    <w:rPr>
      <w:vertAlign w:val="superscript"/>
    </w:rPr>
  </w:style>
  <w:style w:type="paragraph" w:styleId="NoSpacing">
    <w:name w:val="No Spacing"/>
    <w:uiPriority w:val="1"/>
    <w:qFormat/>
    <w:rsid w:val="00FA4B47"/>
    <w:pPr>
      <w:spacing w:after="0" w:line="240" w:lineRule="auto"/>
    </w:pPr>
    <w:rPr>
      <w:lang w:val="es-BO"/>
    </w:rPr>
  </w:style>
  <w:style w:type="table" w:styleId="TableGrid">
    <w:name w:val="Table Grid"/>
    <w:basedOn w:val="TableNormal"/>
    <w:uiPriority w:val="59"/>
    <w:rsid w:val="00FF5C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uiPriority w:val="39"/>
    <w:rsid w:val="00A351F9"/>
    <w:pPr>
      <w:tabs>
        <w:tab w:val="left" w:pos="1200"/>
        <w:tab w:val="right" w:pos="7371"/>
      </w:tabs>
      <w:spacing w:before="200" w:after="100" w:line="240" w:lineRule="auto"/>
      <w:ind w:right="397"/>
    </w:pPr>
    <w:rPr>
      <w:rFonts w:ascii="Garamond" w:eastAsia="Times New Roman" w:hAnsi="Garamond" w:cs="Times New Roman"/>
      <w:b/>
      <w:noProof/>
      <w:sz w:val="24"/>
      <w:szCs w:val="24"/>
      <w:lang w:val="en-GB" w:eastAsia="en-GB"/>
    </w:rPr>
  </w:style>
  <w:style w:type="paragraph" w:styleId="TOC2">
    <w:name w:val="toc 2"/>
    <w:basedOn w:val="Normal"/>
    <w:next w:val="Normal"/>
    <w:uiPriority w:val="39"/>
    <w:rsid w:val="00A351F9"/>
    <w:pPr>
      <w:tabs>
        <w:tab w:val="left" w:pos="567"/>
        <w:tab w:val="right" w:pos="7371"/>
      </w:tabs>
      <w:spacing w:before="60" w:after="100" w:line="240" w:lineRule="auto"/>
      <w:ind w:left="567" w:right="397" w:hanging="567"/>
    </w:pPr>
    <w:rPr>
      <w:rFonts w:ascii="Garamond" w:eastAsia="Times New Roman" w:hAnsi="Garamond" w:cs="Times New Roman"/>
      <w:noProof/>
      <w:sz w:val="24"/>
      <w:szCs w:val="24"/>
      <w:lang w:val="en-GB" w:eastAsia="en-GB"/>
    </w:rPr>
  </w:style>
  <w:style w:type="paragraph" w:styleId="TOC3">
    <w:name w:val="toc 3"/>
    <w:basedOn w:val="Normal"/>
    <w:next w:val="Normal"/>
    <w:autoRedefine/>
    <w:uiPriority w:val="39"/>
    <w:rsid w:val="00A351F9"/>
    <w:pPr>
      <w:tabs>
        <w:tab w:val="left" w:pos="-1680"/>
        <w:tab w:val="right" w:pos="7371"/>
      </w:tabs>
      <w:spacing w:after="100" w:line="240" w:lineRule="auto"/>
      <w:ind w:left="1304" w:right="397" w:hanging="737"/>
    </w:pPr>
    <w:rPr>
      <w:rFonts w:ascii="Garamond" w:eastAsia="Times New Roman" w:hAnsi="Garamond" w:cs="Times New Roman"/>
      <w:sz w:val="24"/>
      <w:szCs w:val="24"/>
      <w:lang w:val="en-GB" w:eastAsia="en-GB"/>
    </w:rPr>
  </w:style>
  <w:style w:type="paragraph" w:styleId="TOC4">
    <w:name w:val="toc 4"/>
    <w:basedOn w:val="Normal"/>
    <w:next w:val="Normal"/>
    <w:autoRedefine/>
    <w:uiPriority w:val="39"/>
    <w:rsid w:val="00A351F9"/>
    <w:pPr>
      <w:spacing w:after="100" w:line="240" w:lineRule="auto"/>
    </w:pPr>
    <w:rPr>
      <w:rFonts w:ascii="Garamond" w:eastAsia="Times New Roman" w:hAnsi="Garamond" w:cs="Times New Roman"/>
      <w:i/>
      <w:sz w:val="24"/>
      <w:szCs w:val="24"/>
      <w:lang w:val="en-GB" w:eastAsia="en-GB"/>
    </w:rPr>
  </w:style>
  <w:style w:type="character" w:styleId="Hyperlink">
    <w:name w:val="Hyperlink"/>
    <w:uiPriority w:val="99"/>
    <w:rsid w:val="00A351F9"/>
    <w:rPr>
      <w:color w:val="0000FF"/>
      <w:u w:val="single"/>
    </w:rPr>
  </w:style>
  <w:style w:type="paragraph" w:styleId="TableofFigures">
    <w:name w:val="table of figures"/>
    <w:basedOn w:val="Normal"/>
    <w:next w:val="Normal"/>
    <w:uiPriority w:val="99"/>
    <w:rsid w:val="00A351F9"/>
    <w:pPr>
      <w:spacing w:after="60" w:line="240" w:lineRule="auto"/>
    </w:pPr>
    <w:rPr>
      <w:rFonts w:ascii="Garamond" w:eastAsia="Times New Roman" w:hAnsi="Garamond" w:cs="Times New Roman"/>
      <w:sz w:val="24"/>
      <w:szCs w:val="24"/>
      <w:lang w:val="en-GB" w:eastAsia="en-GB"/>
    </w:rPr>
  </w:style>
  <w:style w:type="paragraph" w:customStyle="1" w:styleId="Heading1NOTchapter">
    <w:name w:val="Heading 1 NOT chapter"/>
    <w:next w:val="Normal"/>
    <w:rsid w:val="00A351F9"/>
    <w:pPr>
      <w:spacing w:after="400" w:line="240" w:lineRule="auto"/>
    </w:pPr>
    <w:rPr>
      <w:rFonts w:ascii="Garamond" w:eastAsia="Times New Roman" w:hAnsi="Garamond" w:cs="Times New Roman"/>
      <w:b/>
      <w:kern w:val="28"/>
      <w:sz w:val="36"/>
      <w:szCs w:val="28"/>
      <w:lang w:val="en-GB" w:eastAsia="en-GB"/>
    </w:rPr>
  </w:style>
  <w:style w:type="paragraph" w:styleId="Caption">
    <w:name w:val="caption"/>
    <w:basedOn w:val="Normal"/>
    <w:next w:val="Normal"/>
    <w:uiPriority w:val="35"/>
    <w:unhideWhenUsed/>
    <w:qFormat/>
    <w:rsid w:val="00557215"/>
    <w:pPr>
      <w:spacing w:line="240" w:lineRule="auto"/>
    </w:pPr>
    <w:rPr>
      <w:b/>
      <w:bCs/>
      <w:color w:val="4F81BD" w:themeColor="accent1"/>
      <w:sz w:val="18"/>
      <w:szCs w:val="18"/>
    </w:rPr>
  </w:style>
  <w:style w:type="paragraph" w:customStyle="1" w:styleId="Acronyms">
    <w:name w:val="Acronyms"/>
    <w:basedOn w:val="Normal"/>
    <w:rsid w:val="00147024"/>
    <w:pPr>
      <w:spacing w:after="100" w:line="240" w:lineRule="auto"/>
      <w:ind w:left="1418" w:hanging="1418"/>
    </w:pPr>
    <w:rPr>
      <w:rFonts w:ascii="Garamond" w:eastAsia="Times New Roman" w:hAnsi="Garamond" w:cs="Times New Roman"/>
      <w:sz w:val="24"/>
      <w:szCs w:val="24"/>
      <w:lang w:val="en-GB" w:eastAsia="en-GB"/>
    </w:rPr>
  </w:style>
  <w:style w:type="paragraph" w:customStyle="1" w:styleId="Normalfirstparagraph">
    <w:name w:val="Normal first paragraph"/>
    <w:basedOn w:val="Normal"/>
    <w:next w:val="Normal"/>
    <w:rsid w:val="00CB0C8E"/>
    <w:pPr>
      <w:spacing w:after="100" w:line="240" w:lineRule="auto"/>
    </w:pPr>
    <w:rPr>
      <w:rFonts w:ascii="Garamond" w:eastAsia="Times New Roman" w:hAnsi="Garamond" w:cs="Times New Roman"/>
      <w:sz w:val="24"/>
      <w:szCs w:val="24"/>
      <w:lang w:val="en-GB" w:eastAsia="en-GB"/>
    </w:rPr>
  </w:style>
  <w:style w:type="character" w:customStyle="1" w:styleId="Heading1Char">
    <w:name w:val="Heading 1 Char"/>
    <w:basedOn w:val="DefaultParagraphFont"/>
    <w:link w:val="Heading1"/>
    <w:uiPriority w:val="9"/>
    <w:rsid w:val="00A86885"/>
    <w:rPr>
      <w:rFonts w:asciiTheme="majorHAnsi" w:eastAsiaTheme="majorEastAsia" w:hAnsiTheme="majorHAnsi" w:cstheme="majorBidi"/>
      <w:b/>
      <w:bCs/>
      <w:color w:val="365F91" w:themeColor="accent1" w:themeShade="BF"/>
      <w:sz w:val="28"/>
      <w:szCs w:val="28"/>
      <w:lang w:val="es-BO"/>
    </w:rPr>
  </w:style>
  <w:style w:type="character" w:customStyle="1" w:styleId="Heading2Char">
    <w:name w:val="Heading 2 Char"/>
    <w:basedOn w:val="DefaultParagraphFont"/>
    <w:link w:val="Heading2"/>
    <w:uiPriority w:val="9"/>
    <w:rsid w:val="002A1823"/>
    <w:rPr>
      <w:rFonts w:asciiTheme="majorHAnsi" w:eastAsiaTheme="majorEastAsia" w:hAnsiTheme="majorHAnsi" w:cstheme="majorBidi"/>
      <w:b/>
      <w:bCs/>
      <w:color w:val="4F81BD" w:themeColor="accent1"/>
      <w:sz w:val="26"/>
      <w:szCs w:val="26"/>
      <w:lang w:val="es-BO"/>
    </w:rPr>
  </w:style>
  <w:style w:type="paragraph" w:styleId="TOCHeading">
    <w:name w:val="TOC Heading"/>
    <w:basedOn w:val="Heading1"/>
    <w:next w:val="Normal"/>
    <w:uiPriority w:val="39"/>
    <w:semiHidden/>
    <w:unhideWhenUsed/>
    <w:qFormat/>
    <w:rsid w:val="00A6020B"/>
    <w:pPr>
      <w:outlineLvl w:val="9"/>
    </w:pPr>
    <w:rPr>
      <w:lang w:val="en-US" w:eastAsia="ja-JP"/>
    </w:rPr>
  </w:style>
  <w:style w:type="character" w:styleId="FollowedHyperlink">
    <w:name w:val="FollowedHyperlink"/>
    <w:basedOn w:val="DefaultParagraphFont"/>
    <w:uiPriority w:val="99"/>
    <w:semiHidden/>
    <w:unhideWhenUsed/>
    <w:rsid w:val="002C3D6A"/>
    <w:rPr>
      <w:color w:val="800080" w:themeColor="followedHyperlink"/>
      <w:u w:val="single"/>
    </w:rPr>
  </w:style>
  <w:style w:type="paragraph" w:styleId="Revision">
    <w:name w:val="Revision"/>
    <w:hidden/>
    <w:uiPriority w:val="99"/>
    <w:semiHidden/>
    <w:rsid w:val="00E06E16"/>
    <w:pPr>
      <w:spacing w:after="0" w:line="240" w:lineRule="auto"/>
    </w:pPr>
    <w:rPr>
      <w:lang w:val="es-BO"/>
    </w:rPr>
  </w:style>
  <w:style w:type="character" w:customStyle="1" w:styleId="apple-converted-space">
    <w:name w:val="apple-converted-space"/>
    <w:basedOn w:val="DefaultParagraphFont"/>
    <w:rsid w:val="004F43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AD4"/>
    <w:rPr>
      <w:lang w:val="es-BO"/>
    </w:rPr>
  </w:style>
  <w:style w:type="paragraph" w:styleId="Heading1">
    <w:name w:val="heading 1"/>
    <w:basedOn w:val="Normal"/>
    <w:next w:val="Normal"/>
    <w:link w:val="Heading1Char"/>
    <w:uiPriority w:val="9"/>
    <w:qFormat/>
    <w:rsid w:val="00A868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A182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33EF3"/>
    <w:rPr>
      <w:sz w:val="16"/>
      <w:szCs w:val="16"/>
    </w:rPr>
  </w:style>
  <w:style w:type="paragraph" w:styleId="CommentText">
    <w:name w:val="annotation text"/>
    <w:basedOn w:val="Normal"/>
    <w:link w:val="CommentTextChar"/>
    <w:uiPriority w:val="99"/>
    <w:semiHidden/>
    <w:unhideWhenUsed/>
    <w:rsid w:val="00933EF3"/>
    <w:pPr>
      <w:spacing w:line="240" w:lineRule="auto"/>
    </w:pPr>
    <w:rPr>
      <w:sz w:val="20"/>
      <w:szCs w:val="20"/>
    </w:rPr>
  </w:style>
  <w:style w:type="character" w:customStyle="1" w:styleId="CommentTextChar">
    <w:name w:val="Comment Text Char"/>
    <w:basedOn w:val="DefaultParagraphFont"/>
    <w:link w:val="CommentText"/>
    <w:uiPriority w:val="99"/>
    <w:semiHidden/>
    <w:rsid w:val="00933EF3"/>
    <w:rPr>
      <w:sz w:val="20"/>
      <w:szCs w:val="20"/>
      <w:lang w:val="es-BO"/>
    </w:rPr>
  </w:style>
  <w:style w:type="paragraph" w:styleId="CommentSubject">
    <w:name w:val="annotation subject"/>
    <w:basedOn w:val="CommentText"/>
    <w:next w:val="CommentText"/>
    <w:link w:val="CommentSubjectChar"/>
    <w:uiPriority w:val="99"/>
    <w:semiHidden/>
    <w:unhideWhenUsed/>
    <w:rsid w:val="00933EF3"/>
    <w:rPr>
      <w:b/>
      <w:bCs/>
    </w:rPr>
  </w:style>
  <w:style w:type="character" w:customStyle="1" w:styleId="CommentSubjectChar">
    <w:name w:val="Comment Subject Char"/>
    <w:basedOn w:val="CommentTextChar"/>
    <w:link w:val="CommentSubject"/>
    <w:uiPriority w:val="99"/>
    <w:semiHidden/>
    <w:rsid w:val="00933EF3"/>
    <w:rPr>
      <w:b/>
      <w:bCs/>
      <w:sz w:val="20"/>
      <w:szCs w:val="20"/>
      <w:lang w:val="es-BO"/>
    </w:rPr>
  </w:style>
  <w:style w:type="paragraph" w:styleId="BalloonText">
    <w:name w:val="Balloon Text"/>
    <w:basedOn w:val="Normal"/>
    <w:link w:val="BalloonTextChar"/>
    <w:uiPriority w:val="99"/>
    <w:semiHidden/>
    <w:unhideWhenUsed/>
    <w:rsid w:val="00933E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3EF3"/>
    <w:rPr>
      <w:rFonts w:ascii="Tahoma" w:hAnsi="Tahoma" w:cs="Tahoma"/>
      <w:sz w:val="16"/>
      <w:szCs w:val="16"/>
      <w:lang w:val="es-BO"/>
    </w:rPr>
  </w:style>
  <w:style w:type="paragraph" w:styleId="ListParagraph">
    <w:name w:val="List Paragraph"/>
    <w:basedOn w:val="Normal"/>
    <w:uiPriority w:val="34"/>
    <w:qFormat/>
    <w:rsid w:val="00D0233B"/>
    <w:pPr>
      <w:ind w:left="720"/>
      <w:contextualSpacing/>
    </w:pPr>
  </w:style>
  <w:style w:type="paragraph" w:styleId="Header">
    <w:name w:val="header"/>
    <w:basedOn w:val="Normal"/>
    <w:link w:val="HeaderChar"/>
    <w:uiPriority w:val="99"/>
    <w:unhideWhenUsed/>
    <w:rsid w:val="004614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4BF"/>
    <w:rPr>
      <w:lang w:val="es-BO"/>
    </w:rPr>
  </w:style>
  <w:style w:type="paragraph" w:styleId="Footer">
    <w:name w:val="footer"/>
    <w:basedOn w:val="Normal"/>
    <w:link w:val="FooterChar"/>
    <w:uiPriority w:val="99"/>
    <w:unhideWhenUsed/>
    <w:rsid w:val="004614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4BF"/>
    <w:rPr>
      <w:lang w:val="es-BO"/>
    </w:rPr>
  </w:style>
  <w:style w:type="paragraph" w:styleId="FootnoteText">
    <w:name w:val="footnote text"/>
    <w:basedOn w:val="Normal"/>
    <w:link w:val="FootnoteTextChar"/>
    <w:uiPriority w:val="99"/>
    <w:semiHidden/>
    <w:unhideWhenUsed/>
    <w:rsid w:val="004929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29EF"/>
    <w:rPr>
      <w:sz w:val="20"/>
      <w:szCs w:val="20"/>
      <w:lang w:val="es-BO"/>
    </w:rPr>
  </w:style>
  <w:style w:type="character" w:styleId="FootnoteReference">
    <w:name w:val="footnote reference"/>
    <w:basedOn w:val="DefaultParagraphFont"/>
    <w:uiPriority w:val="99"/>
    <w:semiHidden/>
    <w:unhideWhenUsed/>
    <w:rsid w:val="004929EF"/>
    <w:rPr>
      <w:vertAlign w:val="superscript"/>
    </w:rPr>
  </w:style>
  <w:style w:type="paragraph" w:styleId="NoSpacing">
    <w:name w:val="No Spacing"/>
    <w:uiPriority w:val="1"/>
    <w:qFormat/>
    <w:rsid w:val="00FA4B47"/>
    <w:pPr>
      <w:spacing w:after="0" w:line="240" w:lineRule="auto"/>
    </w:pPr>
    <w:rPr>
      <w:lang w:val="es-BO"/>
    </w:rPr>
  </w:style>
  <w:style w:type="table" w:styleId="TableGrid">
    <w:name w:val="Table Grid"/>
    <w:basedOn w:val="TableNormal"/>
    <w:uiPriority w:val="59"/>
    <w:rsid w:val="00FF5C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uiPriority w:val="39"/>
    <w:rsid w:val="00A351F9"/>
    <w:pPr>
      <w:tabs>
        <w:tab w:val="left" w:pos="1200"/>
        <w:tab w:val="right" w:pos="7371"/>
      </w:tabs>
      <w:spacing w:before="200" w:after="100" w:line="240" w:lineRule="auto"/>
      <w:ind w:right="397"/>
    </w:pPr>
    <w:rPr>
      <w:rFonts w:ascii="Garamond" w:eastAsia="Times New Roman" w:hAnsi="Garamond" w:cs="Times New Roman"/>
      <w:b/>
      <w:noProof/>
      <w:sz w:val="24"/>
      <w:szCs w:val="24"/>
      <w:lang w:val="en-GB" w:eastAsia="en-GB"/>
    </w:rPr>
  </w:style>
  <w:style w:type="paragraph" w:styleId="TOC2">
    <w:name w:val="toc 2"/>
    <w:basedOn w:val="Normal"/>
    <w:next w:val="Normal"/>
    <w:uiPriority w:val="39"/>
    <w:rsid w:val="00A351F9"/>
    <w:pPr>
      <w:tabs>
        <w:tab w:val="left" w:pos="567"/>
        <w:tab w:val="right" w:pos="7371"/>
      </w:tabs>
      <w:spacing w:before="60" w:after="100" w:line="240" w:lineRule="auto"/>
      <w:ind w:left="567" w:right="397" w:hanging="567"/>
    </w:pPr>
    <w:rPr>
      <w:rFonts w:ascii="Garamond" w:eastAsia="Times New Roman" w:hAnsi="Garamond" w:cs="Times New Roman"/>
      <w:noProof/>
      <w:sz w:val="24"/>
      <w:szCs w:val="24"/>
      <w:lang w:val="en-GB" w:eastAsia="en-GB"/>
    </w:rPr>
  </w:style>
  <w:style w:type="paragraph" w:styleId="TOC3">
    <w:name w:val="toc 3"/>
    <w:basedOn w:val="Normal"/>
    <w:next w:val="Normal"/>
    <w:autoRedefine/>
    <w:uiPriority w:val="39"/>
    <w:rsid w:val="00A351F9"/>
    <w:pPr>
      <w:tabs>
        <w:tab w:val="left" w:pos="-1680"/>
        <w:tab w:val="right" w:pos="7371"/>
      </w:tabs>
      <w:spacing w:after="100" w:line="240" w:lineRule="auto"/>
      <w:ind w:left="1304" w:right="397" w:hanging="737"/>
    </w:pPr>
    <w:rPr>
      <w:rFonts w:ascii="Garamond" w:eastAsia="Times New Roman" w:hAnsi="Garamond" w:cs="Times New Roman"/>
      <w:sz w:val="24"/>
      <w:szCs w:val="24"/>
      <w:lang w:val="en-GB" w:eastAsia="en-GB"/>
    </w:rPr>
  </w:style>
  <w:style w:type="paragraph" w:styleId="TOC4">
    <w:name w:val="toc 4"/>
    <w:basedOn w:val="Normal"/>
    <w:next w:val="Normal"/>
    <w:autoRedefine/>
    <w:uiPriority w:val="39"/>
    <w:rsid w:val="00A351F9"/>
    <w:pPr>
      <w:spacing w:after="100" w:line="240" w:lineRule="auto"/>
    </w:pPr>
    <w:rPr>
      <w:rFonts w:ascii="Garamond" w:eastAsia="Times New Roman" w:hAnsi="Garamond" w:cs="Times New Roman"/>
      <w:i/>
      <w:sz w:val="24"/>
      <w:szCs w:val="24"/>
      <w:lang w:val="en-GB" w:eastAsia="en-GB"/>
    </w:rPr>
  </w:style>
  <w:style w:type="character" w:styleId="Hyperlink">
    <w:name w:val="Hyperlink"/>
    <w:uiPriority w:val="99"/>
    <w:rsid w:val="00A351F9"/>
    <w:rPr>
      <w:color w:val="0000FF"/>
      <w:u w:val="single"/>
    </w:rPr>
  </w:style>
  <w:style w:type="paragraph" w:styleId="TableofFigures">
    <w:name w:val="table of figures"/>
    <w:basedOn w:val="Normal"/>
    <w:next w:val="Normal"/>
    <w:uiPriority w:val="99"/>
    <w:rsid w:val="00A351F9"/>
    <w:pPr>
      <w:spacing w:after="60" w:line="240" w:lineRule="auto"/>
    </w:pPr>
    <w:rPr>
      <w:rFonts w:ascii="Garamond" w:eastAsia="Times New Roman" w:hAnsi="Garamond" w:cs="Times New Roman"/>
      <w:sz w:val="24"/>
      <w:szCs w:val="24"/>
      <w:lang w:val="en-GB" w:eastAsia="en-GB"/>
    </w:rPr>
  </w:style>
  <w:style w:type="paragraph" w:customStyle="1" w:styleId="Heading1NOTchapter">
    <w:name w:val="Heading 1 NOT chapter"/>
    <w:next w:val="Normal"/>
    <w:rsid w:val="00A351F9"/>
    <w:pPr>
      <w:spacing w:after="400" w:line="240" w:lineRule="auto"/>
    </w:pPr>
    <w:rPr>
      <w:rFonts w:ascii="Garamond" w:eastAsia="Times New Roman" w:hAnsi="Garamond" w:cs="Times New Roman"/>
      <w:b/>
      <w:kern w:val="28"/>
      <w:sz w:val="36"/>
      <w:szCs w:val="28"/>
      <w:lang w:val="en-GB" w:eastAsia="en-GB"/>
    </w:rPr>
  </w:style>
  <w:style w:type="paragraph" w:styleId="Caption">
    <w:name w:val="caption"/>
    <w:basedOn w:val="Normal"/>
    <w:next w:val="Normal"/>
    <w:uiPriority w:val="35"/>
    <w:unhideWhenUsed/>
    <w:qFormat/>
    <w:rsid w:val="00557215"/>
    <w:pPr>
      <w:spacing w:line="240" w:lineRule="auto"/>
    </w:pPr>
    <w:rPr>
      <w:b/>
      <w:bCs/>
      <w:color w:val="4F81BD" w:themeColor="accent1"/>
      <w:sz w:val="18"/>
      <w:szCs w:val="18"/>
    </w:rPr>
  </w:style>
  <w:style w:type="paragraph" w:customStyle="1" w:styleId="Acronyms">
    <w:name w:val="Acronyms"/>
    <w:basedOn w:val="Normal"/>
    <w:rsid w:val="00147024"/>
    <w:pPr>
      <w:spacing w:after="100" w:line="240" w:lineRule="auto"/>
      <w:ind w:left="1418" w:hanging="1418"/>
    </w:pPr>
    <w:rPr>
      <w:rFonts w:ascii="Garamond" w:eastAsia="Times New Roman" w:hAnsi="Garamond" w:cs="Times New Roman"/>
      <w:sz w:val="24"/>
      <w:szCs w:val="24"/>
      <w:lang w:val="en-GB" w:eastAsia="en-GB"/>
    </w:rPr>
  </w:style>
  <w:style w:type="paragraph" w:customStyle="1" w:styleId="Normalfirstparagraph">
    <w:name w:val="Normal first paragraph"/>
    <w:basedOn w:val="Normal"/>
    <w:next w:val="Normal"/>
    <w:rsid w:val="00CB0C8E"/>
    <w:pPr>
      <w:spacing w:after="100" w:line="240" w:lineRule="auto"/>
    </w:pPr>
    <w:rPr>
      <w:rFonts w:ascii="Garamond" w:eastAsia="Times New Roman" w:hAnsi="Garamond" w:cs="Times New Roman"/>
      <w:sz w:val="24"/>
      <w:szCs w:val="24"/>
      <w:lang w:val="en-GB" w:eastAsia="en-GB"/>
    </w:rPr>
  </w:style>
  <w:style w:type="character" w:customStyle="1" w:styleId="Heading1Char">
    <w:name w:val="Heading 1 Char"/>
    <w:basedOn w:val="DefaultParagraphFont"/>
    <w:link w:val="Heading1"/>
    <w:uiPriority w:val="9"/>
    <w:rsid w:val="00A86885"/>
    <w:rPr>
      <w:rFonts w:asciiTheme="majorHAnsi" w:eastAsiaTheme="majorEastAsia" w:hAnsiTheme="majorHAnsi" w:cstheme="majorBidi"/>
      <w:b/>
      <w:bCs/>
      <w:color w:val="365F91" w:themeColor="accent1" w:themeShade="BF"/>
      <w:sz w:val="28"/>
      <w:szCs w:val="28"/>
      <w:lang w:val="es-BO"/>
    </w:rPr>
  </w:style>
  <w:style w:type="character" w:customStyle="1" w:styleId="Heading2Char">
    <w:name w:val="Heading 2 Char"/>
    <w:basedOn w:val="DefaultParagraphFont"/>
    <w:link w:val="Heading2"/>
    <w:uiPriority w:val="9"/>
    <w:rsid w:val="002A1823"/>
    <w:rPr>
      <w:rFonts w:asciiTheme="majorHAnsi" w:eastAsiaTheme="majorEastAsia" w:hAnsiTheme="majorHAnsi" w:cstheme="majorBidi"/>
      <w:b/>
      <w:bCs/>
      <w:color w:val="4F81BD" w:themeColor="accent1"/>
      <w:sz w:val="26"/>
      <w:szCs w:val="26"/>
      <w:lang w:val="es-BO"/>
    </w:rPr>
  </w:style>
  <w:style w:type="paragraph" w:styleId="TOCHeading">
    <w:name w:val="TOC Heading"/>
    <w:basedOn w:val="Heading1"/>
    <w:next w:val="Normal"/>
    <w:uiPriority w:val="39"/>
    <w:semiHidden/>
    <w:unhideWhenUsed/>
    <w:qFormat/>
    <w:rsid w:val="00A6020B"/>
    <w:pPr>
      <w:outlineLvl w:val="9"/>
    </w:pPr>
    <w:rPr>
      <w:lang w:val="en-US" w:eastAsia="ja-JP"/>
    </w:rPr>
  </w:style>
  <w:style w:type="character" w:styleId="FollowedHyperlink">
    <w:name w:val="FollowedHyperlink"/>
    <w:basedOn w:val="DefaultParagraphFont"/>
    <w:uiPriority w:val="99"/>
    <w:semiHidden/>
    <w:unhideWhenUsed/>
    <w:rsid w:val="002C3D6A"/>
    <w:rPr>
      <w:color w:val="800080" w:themeColor="followedHyperlink"/>
      <w:u w:val="single"/>
    </w:rPr>
  </w:style>
  <w:style w:type="paragraph" w:styleId="Revision">
    <w:name w:val="Revision"/>
    <w:hidden/>
    <w:uiPriority w:val="99"/>
    <w:semiHidden/>
    <w:rsid w:val="00E06E16"/>
    <w:pPr>
      <w:spacing w:after="0" w:line="240" w:lineRule="auto"/>
    </w:pPr>
    <w:rPr>
      <w:lang w:val="es-BO"/>
    </w:rPr>
  </w:style>
  <w:style w:type="character" w:customStyle="1" w:styleId="apple-converted-space">
    <w:name w:val="apple-converted-space"/>
    <w:basedOn w:val="DefaultParagraphFont"/>
    <w:rsid w:val="004F43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327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diagramLayout" Target="diagrams/layout1.xml"/><Relationship Id="rId26" Type="http://schemas.openxmlformats.org/officeDocument/2006/relationships/diagramColors" Target="diagrams/colors2.xml"/><Relationship Id="rId39" Type="http://schemas.openxmlformats.org/officeDocument/2006/relationships/diagramLayout" Target="diagrams/layout4.xml"/><Relationship Id="rId21" Type="http://schemas.microsoft.com/office/2007/relationships/diagramDrawing" Target="diagrams/drawing1.xml"/><Relationship Id="rId34" Type="http://schemas.openxmlformats.org/officeDocument/2006/relationships/diagramLayout" Target="diagrams/layout3.xml"/><Relationship Id="rId42" Type="http://schemas.microsoft.com/office/2007/relationships/diagramDrawing" Target="diagrams/drawing4.xml"/><Relationship Id="rId47" Type="http://schemas.microsoft.com/office/2007/relationships/diagramDrawing" Target="diagrams/drawing5.xml"/><Relationship Id="rId50"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chart" Target="charts/chart6.xml"/><Relationship Id="rId29" Type="http://schemas.openxmlformats.org/officeDocument/2006/relationships/chart" Target="charts/chart8.xml"/><Relationship Id="rId11" Type="http://schemas.openxmlformats.org/officeDocument/2006/relationships/chart" Target="charts/chart1.xml"/><Relationship Id="rId24" Type="http://schemas.openxmlformats.org/officeDocument/2006/relationships/diagramLayout" Target="diagrams/layout2.xml"/><Relationship Id="rId32" Type="http://schemas.openxmlformats.org/officeDocument/2006/relationships/chart" Target="charts/chart11.xml"/><Relationship Id="rId37" Type="http://schemas.microsoft.com/office/2007/relationships/diagramDrawing" Target="diagrams/drawing3.xml"/><Relationship Id="rId40" Type="http://schemas.openxmlformats.org/officeDocument/2006/relationships/diagramQuickStyle" Target="diagrams/quickStyle4.xml"/><Relationship Id="rId45" Type="http://schemas.openxmlformats.org/officeDocument/2006/relationships/diagramQuickStyle" Target="diagrams/quickStyle5.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diagramData" Target="diagrams/data2.xml"/><Relationship Id="rId28" Type="http://schemas.openxmlformats.org/officeDocument/2006/relationships/chart" Target="charts/chart7.xml"/><Relationship Id="rId36" Type="http://schemas.openxmlformats.org/officeDocument/2006/relationships/diagramColors" Target="diagrams/colors3.xml"/><Relationship Id="rId49"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diagramQuickStyle" Target="diagrams/quickStyle1.xml"/><Relationship Id="rId31" Type="http://schemas.openxmlformats.org/officeDocument/2006/relationships/chart" Target="charts/chart10.xml"/><Relationship Id="rId44" Type="http://schemas.openxmlformats.org/officeDocument/2006/relationships/diagramLayout" Target="diagrams/layout5.xml"/><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4.xml"/><Relationship Id="rId22" Type="http://schemas.openxmlformats.org/officeDocument/2006/relationships/image" Target="media/image3.jpg"/><Relationship Id="rId27" Type="http://schemas.microsoft.com/office/2007/relationships/diagramDrawing" Target="diagrams/drawing2.xml"/><Relationship Id="rId30" Type="http://schemas.openxmlformats.org/officeDocument/2006/relationships/chart" Target="charts/chart9.xml"/><Relationship Id="rId35" Type="http://schemas.openxmlformats.org/officeDocument/2006/relationships/diagramQuickStyle" Target="diagrams/quickStyle3.xml"/><Relationship Id="rId43" Type="http://schemas.openxmlformats.org/officeDocument/2006/relationships/diagramData" Target="diagrams/data5.xml"/><Relationship Id="rId48" Type="http://schemas.openxmlformats.org/officeDocument/2006/relationships/chart" Target="charts/chart12.xml"/><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diagramData" Target="diagrams/data1.xml"/><Relationship Id="rId25" Type="http://schemas.openxmlformats.org/officeDocument/2006/relationships/diagramQuickStyle" Target="diagrams/quickStyle2.xml"/><Relationship Id="rId33" Type="http://schemas.openxmlformats.org/officeDocument/2006/relationships/diagramData" Target="diagrams/data3.xml"/><Relationship Id="rId38" Type="http://schemas.openxmlformats.org/officeDocument/2006/relationships/diagramData" Target="diagrams/data4.xml"/><Relationship Id="rId46" Type="http://schemas.openxmlformats.org/officeDocument/2006/relationships/diagramColors" Target="diagrams/colors5.xml"/><Relationship Id="rId20" Type="http://schemas.openxmlformats.org/officeDocument/2006/relationships/diagramColors" Target="diagrams/colors1.xml"/><Relationship Id="rId41" Type="http://schemas.openxmlformats.org/officeDocument/2006/relationships/diagramColors" Target="diagrams/colors4.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4.xml"/></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5.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6.xml"/></Relationships>
</file>

<file path=word/charts/_rels/chart1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FOB Quinoa</a:t>
            </a:r>
            <a:r>
              <a:rPr lang="en-US" baseline="0"/>
              <a:t> Prices between 1990 - 2010</a:t>
            </a:r>
            <a:endParaRPr lang="en-US"/>
          </a:p>
        </c:rich>
      </c:tx>
      <c:overlay val="0"/>
    </c:title>
    <c:autoTitleDeleted val="0"/>
    <c:plotArea>
      <c:layout/>
      <c:lineChart>
        <c:grouping val="standard"/>
        <c:varyColors val="0"/>
        <c:ser>
          <c:idx val="0"/>
          <c:order val="0"/>
          <c:tx>
            <c:strRef>
              <c:f>Sheet1!$B$1</c:f>
              <c:strCache>
                <c:ptCount val="1"/>
                <c:pt idx="0">
                  <c:v>Price trend for quinoa exports in US$/TM</c:v>
                </c:pt>
              </c:strCache>
            </c:strRef>
          </c:tx>
          <c:marker>
            <c:symbol val="circle"/>
            <c:size val="4"/>
          </c:marker>
          <c:dLbls>
            <c:dLbl>
              <c:idx val="0"/>
              <c:layout>
                <c:manualLayout>
                  <c:x val="-2.9872859112949863E-2"/>
                  <c:y val="2.3809523809523808E-2"/>
                </c:manualLayout>
              </c:layout>
              <c:showLegendKey val="0"/>
              <c:showVal val="1"/>
              <c:showCatName val="0"/>
              <c:showSerName val="0"/>
              <c:showPercent val="0"/>
              <c:showBubbleSize val="0"/>
            </c:dLbl>
            <c:dLbl>
              <c:idx val="10"/>
              <c:layout>
                <c:manualLayout>
                  <c:x val="-2.9708083099782019E-2"/>
                  <c:y val="-2.7777777777777776E-2"/>
                </c:manualLayout>
              </c:layout>
              <c:showLegendKey val="0"/>
              <c:showVal val="1"/>
              <c:showCatName val="0"/>
              <c:showSerName val="0"/>
              <c:showPercent val="0"/>
              <c:showBubbleSize val="0"/>
            </c:dLbl>
            <c:dLbl>
              <c:idx val="20"/>
              <c:layout>
                <c:manualLayout>
                  <c:x val="0"/>
                  <c:y val="-3.1746031746031744E-2"/>
                </c:manualLayout>
              </c:layout>
              <c:showLegendKey val="0"/>
              <c:showVal val="1"/>
              <c:showCatName val="0"/>
              <c:showSerName val="0"/>
              <c:showPercent val="0"/>
              <c:showBubbleSize val="0"/>
            </c:dLbl>
            <c:showLegendKey val="0"/>
            <c:showVal val="0"/>
            <c:showCatName val="0"/>
            <c:showSerName val="0"/>
            <c:showPercent val="0"/>
            <c:showBubbleSize val="0"/>
          </c:dLbls>
          <c:cat>
            <c:numRef>
              <c:f>Sheet1!$A$2:$A$22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Sheet1!$B$2:$B$22</c:f>
              <c:numCache>
                <c:formatCode>General</c:formatCode>
                <c:ptCount val="21"/>
                <c:pt idx="0">
                  <c:v>830</c:v>
                </c:pt>
                <c:pt idx="1">
                  <c:v>900</c:v>
                </c:pt>
                <c:pt idx="2">
                  <c:v>920</c:v>
                </c:pt>
                <c:pt idx="3" formatCode="#,##0">
                  <c:v>1020</c:v>
                </c:pt>
                <c:pt idx="4" formatCode="#,##0">
                  <c:v>1300</c:v>
                </c:pt>
                <c:pt idx="5" formatCode="#,##0">
                  <c:v>1250</c:v>
                </c:pt>
                <c:pt idx="6" formatCode="#,##0">
                  <c:v>1050</c:v>
                </c:pt>
                <c:pt idx="7" formatCode="#,##0">
                  <c:v>1210</c:v>
                </c:pt>
                <c:pt idx="8" formatCode="#,##0">
                  <c:v>1260</c:v>
                </c:pt>
                <c:pt idx="9" formatCode="#,##0">
                  <c:v>1343</c:v>
                </c:pt>
                <c:pt idx="10" formatCode="#,##0">
                  <c:v>1259</c:v>
                </c:pt>
                <c:pt idx="11" formatCode="#,##0">
                  <c:v>1136</c:v>
                </c:pt>
                <c:pt idx="12" formatCode="#,##0">
                  <c:v>1153</c:v>
                </c:pt>
                <c:pt idx="13" formatCode="#,##0">
                  <c:v>1101</c:v>
                </c:pt>
                <c:pt idx="14" formatCode="#,##0">
                  <c:v>1140</c:v>
                </c:pt>
                <c:pt idx="15" formatCode="#,##0">
                  <c:v>1155</c:v>
                </c:pt>
                <c:pt idx="16" formatCode="#,##0">
                  <c:v>1166</c:v>
                </c:pt>
                <c:pt idx="17" formatCode="#,##0">
                  <c:v>1254</c:v>
                </c:pt>
                <c:pt idx="18" formatCode="#,##0">
                  <c:v>2233</c:v>
                </c:pt>
                <c:pt idx="19" formatCode="#,##0">
                  <c:v>3002</c:v>
                </c:pt>
                <c:pt idx="20" formatCode="#,##0">
                  <c:v>3061</c:v>
                </c:pt>
              </c:numCache>
            </c:numRef>
          </c:val>
          <c:smooth val="0"/>
        </c:ser>
        <c:dLbls>
          <c:showLegendKey val="0"/>
          <c:showVal val="0"/>
          <c:showCatName val="0"/>
          <c:showSerName val="0"/>
          <c:showPercent val="0"/>
          <c:showBubbleSize val="0"/>
        </c:dLbls>
        <c:marker val="1"/>
        <c:smooth val="0"/>
        <c:axId val="129528832"/>
        <c:axId val="411654336"/>
      </c:lineChart>
      <c:catAx>
        <c:axId val="129528832"/>
        <c:scaling>
          <c:orientation val="minMax"/>
        </c:scaling>
        <c:delete val="0"/>
        <c:axPos val="b"/>
        <c:numFmt formatCode="General" sourceLinked="1"/>
        <c:majorTickMark val="none"/>
        <c:minorTickMark val="none"/>
        <c:tickLblPos val="nextTo"/>
        <c:crossAx val="411654336"/>
        <c:crosses val="autoZero"/>
        <c:auto val="1"/>
        <c:lblAlgn val="ctr"/>
        <c:lblOffset val="100"/>
        <c:noMultiLvlLbl val="0"/>
      </c:catAx>
      <c:valAx>
        <c:axId val="411654336"/>
        <c:scaling>
          <c:orientation val="minMax"/>
        </c:scaling>
        <c:delete val="0"/>
        <c:axPos val="l"/>
        <c:majorGridlines/>
        <c:numFmt formatCode="General" sourceLinked="1"/>
        <c:majorTickMark val="none"/>
        <c:minorTickMark val="none"/>
        <c:tickLblPos val="nextTo"/>
        <c:spPr>
          <a:ln w="9525">
            <a:noFill/>
          </a:ln>
        </c:spPr>
        <c:crossAx val="129528832"/>
        <c:crosses val="autoZero"/>
        <c:crossBetween val="between"/>
      </c:valAx>
    </c:plotArea>
    <c:legend>
      <c:legendPos val="b"/>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Volume of Quinoa Exports </a:t>
            </a:r>
          </a:p>
          <a:p>
            <a:pPr>
              <a:defRPr/>
            </a:pPr>
            <a:r>
              <a:rPr lang="en-US"/>
              <a:t>between 1990 - 2010</a:t>
            </a:r>
          </a:p>
        </c:rich>
      </c:tx>
      <c:overlay val="0"/>
    </c:title>
    <c:autoTitleDeleted val="0"/>
    <c:plotArea>
      <c:layout/>
      <c:lineChart>
        <c:grouping val="standard"/>
        <c:varyColors val="0"/>
        <c:ser>
          <c:idx val="0"/>
          <c:order val="0"/>
          <c:tx>
            <c:strRef>
              <c:f>Sheet1!$B$1</c:f>
              <c:strCache>
                <c:ptCount val="1"/>
                <c:pt idx="0">
                  <c:v>Volume of Quinoa Exports in Metric Tons (MT)</c:v>
                </c:pt>
              </c:strCache>
            </c:strRef>
          </c:tx>
          <c:marker>
            <c:symbol val="none"/>
          </c:marker>
          <c:dLbls>
            <c:dLbl>
              <c:idx val="8"/>
              <c:layout>
                <c:manualLayout>
                  <c:x val="-2.3148148148148147E-2"/>
                  <c:y val="1.984126984126984E-2"/>
                </c:manualLayout>
              </c:layout>
              <c:showLegendKey val="0"/>
              <c:showVal val="1"/>
              <c:showCatName val="0"/>
              <c:showSerName val="0"/>
              <c:showPercent val="0"/>
              <c:showBubbleSize val="0"/>
            </c:dLbl>
            <c:dLbl>
              <c:idx val="17"/>
              <c:showLegendKey val="0"/>
              <c:showVal val="1"/>
              <c:showCatName val="0"/>
              <c:showSerName val="0"/>
              <c:showPercent val="0"/>
              <c:showBubbleSize val="0"/>
            </c:dLbl>
            <c:dLbl>
              <c:idx val="18"/>
              <c:layout>
                <c:manualLayout>
                  <c:x val="0"/>
                  <c:y val="1.984126984126984E-2"/>
                </c:manualLayout>
              </c:layout>
              <c:showLegendKey val="0"/>
              <c:showVal val="1"/>
              <c:showCatName val="0"/>
              <c:showSerName val="0"/>
              <c:showPercent val="0"/>
              <c:showBubbleSize val="0"/>
            </c:dLbl>
            <c:showLegendKey val="0"/>
            <c:showVal val="0"/>
            <c:showCatName val="0"/>
            <c:showSerName val="0"/>
            <c:showPercent val="0"/>
            <c:showBubbleSize val="0"/>
          </c:dLbls>
          <c:cat>
            <c:numRef>
              <c:f>Sheet1!$A$2:$A$20</c:f>
              <c:numCache>
                <c:formatCode>General</c:formatCode>
                <c:ptCount val="19"/>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numCache>
            </c:numRef>
          </c:cat>
          <c:val>
            <c:numRef>
              <c:f>Sheet1!$B$2:$B$20</c:f>
              <c:numCache>
                <c:formatCode>General</c:formatCode>
                <c:ptCount val="19"/>
                <c:pt idx="0">
                  <c:v>636</c:v>
                </c:pt>
                <c:pt idx="1">
                  <c:v>696</c:v>
                </c:pt>
                <c:pt idx="2">
                  <c:v>1108</c:v>
                </c:pt>
                <c:pt idx="3">
                  <c:v>1290</c:v>
                </c:pt>
                <c:pt idx="4">
                  <c:v>1774</c:v>
                </c:pt>
                <c:pt idx="5">
                  <c:v>1806</c:v>
                </c:pt>
                <c:pt idx="6">
                  <c:v>1494</c:v>
                </c:pt>
                <c:pt idx="7" formatCode="#,##0">
                  <c:v>2030</c:v>
                </c:pt>
                <c:pt idx="8" formatCode="#,##0">
                  <c:v>1431</c:v>
                </c:pt>
                <c:pt idx="9" formatCode="#,##0">
                  <c:v>2123</c:v>
                </c:pt>
                <c:pt idx="10" formatCode="#,##0">
                  <c:v>2019</c:v>
                </c:pt>
                <c:pt idx="11" formatCode="#,##0">
                  <c:v>2802</c:v>
                </c:pt>
                <c:pt idx="12" formatCode="#,##0">
                  <c:v>3868</c:v>
                </c:pt>
                <c:pt idx="13" formatCode="#,##0">
                  <c:v>4826</c:v>
                </c:pt>
                <c:pt idx="14" formatCode="#,##0">
                  <c:v>7645</c:v>
                </c:pt>
                <c:pt idx="15" formatCode="#,##0">
                  <c:v>10456</c:v>
                </c:pt>
                <c:pt idx="16" formatCode="#,##0">
                  <c:v>10311</c:v>
                </c:pt>
                <c:pt idx="17" formatCode="#,##0">
                  <c:v>14376</c:v>
                </c:pt>
                <c:pt idx="18" formatCode="#,##0">
                  <c:v>8378</c:v>
                </c:pt>
              </c:numCache>
            </c:numRef>
          </c:val>
          <c:smooth val="0"/>
        </c:ser>
        <c:dLbls>
          <c:showLegendKey val="0"/>
          <c:showVal val="0"/>
          <c:showCatName val="0"/>
          <c:showSerName val="0"/>
          <c:showPercent val="0"/>
          <c:showBubbleSize val="0"/>
        </c:dLbls>
        <c:marker val="1"/>
        <c:smooth val="0"/>
        <c:axId val="129530880"/>
        <c:axId val="411653760"/>
      </c:lineChart>
      <c:catAx>
        <c:axId val="129530880"/>
        <c:scaling>
          <c:orientation val="minMax"/>
        </c:scaling>
        <c:delete val="0"/>
        <c:axPos val="b"/>
        <c:numFmt formatCode="General" sourceLinked="1"/>
        <c:majorTickMark val="none"/>
        <c:minorTickMark val="none"/>
        <c:tickLblPos val="nextTo"/>
        <c:crossAx val="411653760"/>
        <c:crosses val="autoZero"/>
        <c:auto val="1"/>
        <c:lblAlgn val="ctr"/>
        <c:lblOffset val="100"/>
        <c:noMultiLvlLbl val="0"/>
      </c:catAx>
      <c:valAx>
        <c:axId val="411653760"/>
        <c:scaling>
          <c:orientation val="minMax"/>
        </c:scaling>
        <c:delete val="0"/>
        <c:axPos val="l"/>
        <c:majorGridlines/>
        <c:numFmt formatCode="General" sourceLinked="1"/>
        <c:majorTickMark val="none"/>
        <c:minorTickMark val="none"/>
        <c:tickLblPos val="nextTo"/>
        <c:spPr>
          <a:ln w="9525">
            <a:noFill/>
          </a:ln>
        </c:spPr>
        <c:crossAx val="129530880"/>
        <c:crosses val="autoZero"/>
        <c:crossBetween val="between"/>
      </c:valAx>
    </c:plotArea>
    <c:legend>
      <c:legendPos val="b"/>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Quinoa Export Destinations</a:t>
            </a:r>
          </a:p>
        </c:rich>
      </c:tx>
      <c:overlay val="0"/>
    </c:title>
    <c:autoTitleDeleted val="0"/>
    <c:plotArea>
      <c:layout/>
      <c:pieChart>
        <c:varyColors val="1"/>
        <c:ser>
          <c:idx val="0"/>
          <c:order val="0"/>
          <c:tx>
            <c:strRef>
              <c:f>Sheet1!$B$1</c:f>
              <c:strCache>
                <c:ptCount val="1"/>
                <c:pt idx="0">
                  <c:v>Quinoa Exports Market Destinations</c:v>
                </c:pt>
              </c:strCache>
            </c:strRef>
          </c:tx>
          <c:dLbls>
            <c:showLegendKey val="0"/>
            <c:showVal val="0"/>
            <c:showCatName val="1"/>
            <c:showSerName val="0"/>
            <c:showPercent val="1"/>
            <c:showBubbleSize val="0"/>
            <c:showLeaderLines val="1"/>
          </c:dLbls>
          <c:cat>
            <c:strRef>
              <c:f>Sheet1!$A$2:$A$8</c:f>
              <c:strCache>
                <c:ptCount val="7"/>
                <c:pt idx="0">
                  <c:v>USA</c:v>
                </c:pt>
                <c:pt idx="1">
                  <c:v>France</c:v>
                </c:pt>
                <c:pt idx="2">
                  <c:v>The Netherlands</c:v>
                </c:pt>
                <c:pt idx="3">
                  <c:v>Germany</c:v>
                </c:pt>
                <c:pt idx="4">
                  <c:v>Canada</c:v>
                </c:pt>
                <c:pt idx="5">
                  <c:v>Brazil</c:v>
                </c:pt>
                <c:pt idx="6">
                  <c:v>Others</c:v>
                </c:pt>
              </c:strCache>
            </c:strRef>
          </c:cat>
          <c:val>
            <c:numRef>
              <c:f>Sheet1!$B$2:$B$8</c:f>
              <c:numCache>
                <c:formatCode>0%</c:formatCode>
                <c:ptCount val="7"/>
                <c:pt idx="0">
                  <c:v>0.48</c:v>
                </c:pt>
                <c:pt idx="1">
                  <c:v>0.16</c:v>
                </c:pt>
                <c:pt idx="2">
                  <c:v>0.11</c:v>
                </c:pt>
                <c:pt idx="3">
                  <c:v>0.09</c:v>
                </c:pt>
                <c:pt idx="4">
                  <c:v>0.04</c:v>
                </c:pt>
                <c:pt idx="5">
                  <c:v>0.04</c:v>
                </c:pt>
                <c:pt idx="6">
                  <c:v>0.08</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Evolution of Quinoa Exporters</a:t>
            </a:r>
            <a:r>
              <a:rPr lang="en-US" baseline="0"/>
              <a:t> </a:t>
            </a:r>
          </a:p>
          <a:p>
            <a:pPr>
              <a:defRPr/>
            </a:pPr>
            <a:r>
              <a:rPr lang="en-US" baseline="0"/>
              <a:t>b</a:t>
            </a:r>
            <a:r>
              <a:rPr lang="en-US"/>
              <a:t>etween 1990 - 2004.</a:t>
            </a:r>
          </a:p>
        </c:rich>
      </c:tx>
      <c:overlay val="0"/>
    </c:title>
    <c:autoTitleDeleted val="0"/>
    <c:plotArea>
      <c:layout/>
      <c:lineChart>
        <c:grouping val="standard"/>
        <c:varyColors val="0"/>
        <c:ser>
          <c:idx val="0"/>
          <c:order val="0"/>
          <c:tx>
            <c:strRef>
              <c:f>Sheet1!$B$1</c:f>
              <c:strCache>
                <c:ptCount val="1"/>
                <c:pt idx="0">
                  <c:v>Andean Valley</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Sheet1!$B$2:$B$16</c:f>
              <c:numCache>
                <c:formatCode>General</c:formatCode>
                <c:ptCount val="15"/>
                <c:pt idx="9">
                  <c:v>80</c:v>
                </c:pt>
                <c:pt idx="10">
                  <c:v>210</c:v>
                </c:pt>
                <c:pt idx="11">
                  <c:v>240</c:v>
                </c:pt>
                <c:pt idx="12">
                  <c:v>205</c:v>
                </c:pt>
                <c:pt idx="13">
                  <c:v>220</c:v>
                </c:pt>
                <c:pt idx="14">
                  <c:v>300</c:v>
                </c:pt>
              </c:numCache>
            </c:numRef>
          </c:val>
          <c:smooth val="0"/>
        </c:ser>
        <c:ser>
          <c:idx val="1"/>
          <c:order val="1"/>
          <c:tx>
            <c:strRef>
              <c:f>Sheet1!$C$1</c:f>
              <c:strCache>
                <c:ptCount val="1"/>
                <c:pt idx="0">
                  <c:v>ANAPQUI (PO)</c:v>
                </c:pt>
              </c:strCache>
            </c:strRef>
          </c:tx>
          <c:spPr>
            <a:ln w="19050">
              <a:prstDash val="sysDash"/>
            </a:ln>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Sheet1!$C$2:$C$16</c:f>
              <c:numCache>
                <c:formatCode>General</c:formatCode>
                <c:ptCount val="15"/>
                <c:pt idx="0">
                  <c:v>100</c:v>
                </c:pt>
                <c:pt idx="1">
                  <c:v>220</c:v>
                </c:pt>
                <c:pt idx="2">
                  <c:v>290</c:v>
                </c:pt>
                <c:pt idx="3">
                  <c:v>360</c:v>
                </c:pt>
                <c:pt idx="4">
                  <c:v>620</c:v>
                </c:pt>
                <c:pt idx="5">
                  <c:v>505</c:v>
                </c:pt>
                <c:pt idx="6">
                  <c:v>605</c:v>
                </c:pt>
                <c:pt idx="7">
                  <c:v>690</c:v>
                </c:pt>
                <c:pt idx="8">
                  <c:v>780</c:v>
                </c:pt>
                <c:pt idx="9">
                  <c:v>720</c:v>
                </c:pt>
                <c:pt idx="10">
                  <c:v>280</c:v>
                </c:pt>
                <c:pt idx="11">
                  <c:v>460</c:v>
                </c:pt>
                <c:pt idx="12">
                  <c:v>470</c:v>
                </c:pt>
                <c:pt idx="13">
                  <c:v>650</c:v>
                </c:pt>
                <c:pt idx="14">
                  <c:v>900</c:v>
                </c:pt>
              </c:numCache>
            </c:numRef>
          </c:val>
          <c:smooth val="0"/>
        </c:ser>
        <c:ser>
          <c:idx val="2"/>
          <c:order val="2"/>
          <c:tx>
            <c:strRef>
              <c:f>Sheet1!$D$1</c:f>
              <c:strCache>
                <c:ptCount val="1"/>
                <c:pt idx="0">
                  <c:v>CECAOT (PO)</c:v>
                </c:pt>
              </c:strCache>
            </c:strRef>
          </c:tx>
          <c:spPr>
            <a:ln w="19050">
              <a:prstDash val="sysDash"/>
            </a:ln>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Sheet1!$D$2:$D$16</c:f>
              <c:numCache>
                <c:formatCode>General</c:formatCode>
                <c:ptCount val="15"/>
                <c:pt idx="1">
                  <c:v>90</c:v>
                </c:pt>
                <c:pt idx="2">
                  <c:v>50</c:v>
                </c:pt>
                <c:pt idx="3">
                  <c:v>40</c:v>
                </c:pt>
                <c:pt idx="4">
                  <c:v>60</c:v>
                </c:pt>
                <c:pt idx="5">
                  <c:v>70</c:v>
                </c:pt>
                <c:pt idx="6">
                  <c:v>215</c:v>
                </c:pt>
                <c:pt idx="7">
                  <c:v>265</c:v>
                </c:pt>
                <c:pt idx="8">
                  <c:v>295</c:v>
                </c:pt>
                <c:pt idx="9">
                  <c:v>375</c:v>
                </c:pt>
                <c:pt idx="10">
                  <c:v>160</c:v>
                </c:pt>
                <c:pt idx="11">
                  <c:v>310</c:v>
                </c:pt>
                <c:pt idx="12">
                  <c:v>315</c:v>
                </c:pt>
                <c:pt idx="13">
                  <c:v>265</c:v>
                </c:pt>
                <c:pt idx="14">
                  <c:v>265</c:v>
                </c:pt>
              </c:numCache>
            </c:numRef>
          </c:val>
          <c:smooth val="0"/>
        </c:ser>
        <c:ser>
          <c:idx val="3"/>
          <c:order val="3"/>
          <c:tx>
            <c:strRef>
              <c:f>Sheet1!$E$1</c:f>
              <c:strCache>
                <c:ptCount val="1"/>
                <c:pt idx="0">
                  <c:v>Irupana</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Sheet1!$E$2:$E$16</c:f>
              <c:numCache>
                <c:formatCode>General</c:formatCode>
                <c:ptCount val="15"/>
                <c:pt idx="12">
                  <c:v>10</c:v>
                </c:pt>
                <c:pt idx="13">
                  <c:v>95</c:v>
                </c:pt>
                <c:pt idx="14">
                  <c:v>255</c:v>
                </c:pt>
              </c:numCache>
            </c:numRef>
          </c:val>
          <c:smooth val="0"/>
        </c:ser>
        <c:ser>
          <c:idx val="4"/>
          <c:order val="4"/>
          <c:tx>
            <c:strRef>
              <c:f>Sheet1!$F$1</c:f>
              <c:strCache>
                <c:ptCount val="1"/>
                <c:pt idx="0">
                  <c:v>Jatary</c:v>
                </c:pt>
              </c:strCache>
            </c:strRef>
          </c:tx>
          <c:spPr>
            <a:ln w="19050">
              <a:solidFill>
                <a:srgbClr val="4F81BD"/>
              </a:solidFill>
            </a:ln>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Sheet1!$F$2:$F$16</c:f>
              <c:numCache>
                <c:formatCode>General</c:formatCode>
                <c:ptCount val="15"/>
                <c:pt idx="7">
                  <c:v>60</c:v>
                </c:pt>
                <c:pt idx="8">
                  <c:v>115</c:v>
                </c:pt>
                <c:pt idx="9">
                  <c:v>210</c:v>
                </c:pt>
                <c:pt idx="10">
                  <c:v>385</c:v>
                </c:pt>
                <c:pt idx="11">
                  <c:v>505</c:v>
                </c:pt>
                <c:pt idx="12">
                  <c:v>465</c:v>
                </c:pt>
                <c:pt idx="13">
                  <c:v>610</c:v>
                </c:pt>
                <c:pt idx="14">
                  <c:v>760</c:v>
                </c:pt>
              </c:numCache>
            </c:numRef>
          </c:val>
          <c:smooth val="0"/>
        </c:ser>
        <c:ser>
          <c:idx val="5"/>
          <c:order val="5"/>
          <c:tx>
            <c:strRef>
              <c:f>Sheet1!$G$1</c:f>
              <c:strCache>
                <c:ptCount val="1"/>
                <c:pt idx="0">
                  <c:v>Quinoa-Bol</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Sheet1!$G$2:$G$16</c:f>
              <c:numCache>
                <c:formatCode>General</c:formatCode>
                <c:ptCount val="15"/>
                <c:pt idx="9">
                  <c:v>210</c:v>
                </c:pt>
                <c:pt idx="10">
                  <c:v>100</c:v>
                </c:pt>
                <c:pt idx="11">
                  <c:v>180</c:v>
                </c:pt>
                <c:pt idx="12">
                  <c:v>285</c:v>
                </c:pt>
                <c:pt idx="13">
                  <c:v>305</c:v>
                </c:pt>
                <c:pt idx="14">
                  <c:v>365</c:v>
                </c:pt>
              </c:numCache>
            </c:numRef>
          </c:val>
          <c:smooth val="0"/>
        </c:ser>
        <c:ser>
          <c:idx val="6"/>
          <c:order val="6"/>
          <c:tx>
            <c:strRef>
              <c:f>Sheet1!$H$1</c:f>
              <c:strCache>
                <c:ptCount val="1"/>
                <c:pt idx="0">
                  <c:v>Quinoa Foods</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Sheet1!$H$2:$H$16</c:f>
              <c:numCache>
                <c:formatCode>General</c:formatCode>
                <c:ptCount val="15"/>
                <c:pt idx="13">
                  <c:v>375</c:v>
                </c:pt>
                <c:pt idx="14">
                  <c:v>210</c:v>
                </c:pt>
              </c:numCache>
            </c:numRef>
          </c:val>
          <c:smooth val="0"/>
        </c:ser>
        <c:ser>
          <c:idx val="7"/>
          <c:order val="7"/>
          <c:tx>
            <c:strRef>
              <c:f>Sheet1!$I$1</c:f>
              <c:strCache>
                <c:ptCount val="1"/>
                <c:pt idx="0">
                  <c:v>SAITE</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Sheet1!$I$2:$I$16</c:f>
              <c:numCache>
                <c:formatCode>General</c:formatCode>
                <c:ptCount val="15"/>
                <c:pt idx="1">
                  <c:v>40</c:v>
                </c:pt>
                <c:pt idx="2">
                  <c:v>20</c:v>
                </c:pt>
                <c:pt idx="3">
                  <c:v>25</c:v>
                </c:pt>
                <c:pt idx="4">
                  <c:v>57</c:v>
                </c:pt>
                <c:pt idx="5">
                  <c:v>67</c:v>
                </c:pt>
                <c:pt idx="6">
                  <c:v>235</c:v>
                </c:pt>
                <c:pt idx="7">
                  <c:v>370</c:v>
                </c:pt>
                <c:pt idx="8">
                  <c:v>205</c:v>
                </c:pt>
                <c:pt idx="9">
                  <c:v>390</c:v>
                </c:pt>
                <c:pt idx="10">
                  <c:v>265</c:v>
                </c:pt>
                <c:pt idx="11">
                  <c:v>235</c:v>
                </c:pt>
                <c:pt idx="12">
                  <c:v>230</c:v>
                </c:pt>
                <c:pt idx="13">
                  <c:v>190</c:v>
                </c:pt>
                <c:pt idx="14">
                  <c:v>395</c:v>
                </c:pt>
              </c:numCache>
            </c:numRef>
          </c:val>
          <c:smooth val="0"/>
        </c:ser>
        <c:ser>
          <c:idx val="8"/>
          <c:order val="8"/>
          <c:tx>
            <c:strRef>
              <c:f>Sheet1!$J$1</c:f>
              <c:strCache>
                <c:ptCount val="1"/>
                <c:pt idx="0">
                  <c:v>Other firms</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Sheet1!$J$2:$J$16</c:f>
              <c:numCache>
                <c:formatCode>General</c:formatCode>
                <c:ptCount val="15"/>
                <c:pt idx="0">
                  <c:v>250</c:v>
                </c:pt>
                <c:pt idx="1">
                  <c:v>265</c:v>
                </c:pt>
                <c:pt idx="2">
                  <c:v>125</c:v>
                </c:pt>
                <c:pt idx="3">
                  <c:v>130</c:v>
                </c:pt>
                <c:pt idx="4">
                  <c:v>420</c:v>
                </c:pt>
                <c:pt idx="5">
                  <c:v>830</c:v>
                </c:pt>
                <c:pt idx="6">
                  <c:v>398</c:v>
                </c:pt>
                <c:pt idx="7">
                  <c:v>340</c:v>
                </c:pt>
                <c:pt idx="8">
                  <c:v>7</c:v>
                </c:pt>
                <c:pt idx="9">
                  <c:v>50</c:v>
                </c:pt>
                <c:pt idx="10">
                  <c:v>20</c:v>
                </c:pt>
                <c:pt idx="11">
                  <c:v>170</c:v>
                </c:pt>
                <c:pt idx="12">
                  <c:v>20</c:v>
                </c:pt>
                <c:pt idx="13">
                  <c:v>75</c:v>
                </c:pt>
                <c:pt idx="14">
                  <c:v>265</c:v>
                </c:pt>
              </c:numCache>
            </c:numRef>
          </c:val>
          <c:smooth val="0"/>
        </c:ser>
        <c:dLbls>
          <c:showLegendKey val="0"/>
          <c:showVal val="0"/>
          <c:showCatName val="0"/>
          <c:showSerName val="0"/>
          <c:showPercent val="0"/>
          <c:showBubbleSize val="0"/>
        </c:dLbls>
        <c:marker val="1"/>
        <c:smooth val="0"/>
        <c:axId val="458649600"/>
        <c:axId val="414248896"/>
      </c:lineChart>
      <c:catAx>
        <c:axId val="458649600"/>
        <c:scaling>
          <c:orientation val="minMax"/>
        </c:scaling>
        <c:delete val="0"/>
        <c:axPos val="b"/>
        <c:numFmt formatCode="General" sourceLinked="1"/>
        <c:majorTickMark val="none"/>
        <c:minorTickMark val="none"/>
        <c:tickLblPos val="nextTo"/>
        <c:crossAx val="414248896"/>
        <c:crosses val="autoZero"/>
        <c:auto val="1"/>
        <c:lblAlgn val="ctr"/>
        <c:lblOffset val="100"/>
        <c:noMultiLvlLbl val="0"/>
      </c:catAx>
      <c:valAx>
        <c:axId val="414248896"/>
        <c:scaling>
          <c:orientation val="minMax"/>
        </c:scaling>
        <c:delete val="0"/>
        <c:axPos val="l"/>
        <c:majorGridlines/>
        <c:title>
          <c:tx>
            <c:rich>
              <a:bodyPr/>
              <a:lstStyle/>
              <a:p>
                <a:pPr>
                  <a:defRPr/>
                </a:pPr>
                <a:r>
                  <a:rPr lang="en-US"/>
                  <a:t>Metric Tons</a:t>
                </a:r>
              </a:p>
            </c:rich>
          </c:tx>
          <c:overlay val="0"/>
        </c:title>
        <c:numFmt formatCode="General" sourceLinked="1"/>
        <c:majorTickMark val="none"/>
        <c:minorTickMark val="none"/>
        <c:tickLblPos val="nextTo"/>
        <c:crossAx val="458649600"/>
        <c:crosses val="autoZero"/>
        <c:crossBetween val="between"/>
      </c:valAx>
      <c:spPr>
        <a:ln w="0"/>
      </c:spPr>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Producer Prices as a share of Exporter Prices (US$/MT)</c:v>
                </c:pt>
              </c:strCache>
            </c:strRef>
          </c:tx>
          <c:marker>
            <c:symbol val="none"/>
          </c:marker>
          <c:cat>
            <c:numRef>
              <c:f>Sheet1!$A$2:$A$21</c:f>
              <c:numCache>
                <c:formatCode>General</c:formatCode>
                <c:ptCount val="20"/>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numCache>
            </c:numRef>
          </c:cat>
          <c:val>
            <c:numRef>
              <c:f>Sheet1!$B$2:$B$21</c:f>
              <c:numCache>
                <c:formatCode>0.000</c:formatCode>
                <c:ptCount val="20"/>
                <c:pt idx="0">
                  <c:v>0.48346666666666666</c:v>
                </c:pt>
                <c:pt idx="1">
                  <c:v>0.50690217391304349</c:v>
                </c:pt>
                <c:pt idx="2">
                  <c:v>0.4712254901960784</c:v>
                </c:pt>
                <c:pt idx="3">
                  <c:v>0.37042307692307691</c:v>
                </c:pt>
                <c:pt idx="4">
                  <c:v>0.41730400000000001</c:v>
                </c:pt>
                <c:pt idx="5">
                  <c:v>0.50616190476190481</c:v>
                </c:pt>
                <c:pt idx="6">
                  <c:v>0.45252892561983465</c:v>
                </c:pt>
                <c:pt idx="7">
                  <c:v>0.43268253968253967</c:v>
                </c:pt>
                <c:pt idx="8">
                  <c:v>0.41454951600893525</c:v>
                </c:pt>
                <c:pt idx="9">
                  <c:v>0.4181890389197776</c:v>
                </c:pt>
                <c:pt idx="10">
                  <c:v>0.45100352112676056</c:v>
                </c:pt>
                <c:pt idx="11">
                  <c:v>0.38127493495229836</c:v>
                </c:pt>
                <c:pt idx="12">
                  <c:v>0.38196185286103546</c:v>
                </c:pt>
                <c:pt idx="13">
                  <c:v>0.38919298245614037</c:v>
                </c:pt>
                <c:pt idx="14">
                  <c:v>0.39851082251082248</c:v>
                </c:pt>
                <c:pt idx="15">
                  <c:v>0.38445969125214408</c:v>
                </c:pt>
                <c:pt idx="16">
                  <c:v>0.37413078149920259</c:v>
                </c:pt>
                <c:pt idx="17">
                  <c:v>0.33864755933721452</c:v>
                </c:pt>
                <c:pt idx="18">
                  <c:v>0.43970686209193871</c:v>
                </c:pt>
                <c:pt idx="19">
                  <c:v>0.43534792551453771</c:v>
                </c:pt>
              </c:numCache>
            </c:numRef>
          </c:val>
          <c:smooth val="0"/>
        </c:ser>
        <c:dLbls>
          <c:showLegendKey val="0"/>
          <c:showVal val="0"/>
          <c:showCatName val="0"/>
          <c:showSerName val="0"/>
          <c:showPercent val="0"/>
          <c:showBubbleSize val="0"/>
        </c:dLbls>
        <c:marker val="1"/>
        <c:smooth val="0"/>
        <c:axId val="129254912"/>
        <c:axId val="414250048"/>
      </c:lineChart>
      <c:catAx>
        <c:axId val="129254912"/>
        <c:scaling>
          <c:orientation val="minMax"/>
        </c:scaling>
        <c:delete val="0"/>
        <c:axPos val="b"/>
        <c:numFmt formatCode="General" sourceLinked="1"/>
        <c:majorTickMark val="none"/>
        <c:minorTickMark val="none"/>
        <c:tickLblPos val="nextTo"/>
        <c:crossAx val="414250048"/>
        <c:crosses val="autoZero"/>
        <c:auto val="1"/>
        <c:lblAlgn val="ctr"/>
        <c:lblOffset val="100"/>
        <c:noMultiLvlLbl val="0"/>
      </c:catAx>
      <c:valAx>
        <c:axId val="414250048"/>
        <c:scaling>
          <c:orientation val="minMax"/>
        </c:scaling>
        <c:delete val="0"/>
        <c:axPos val="l"/>
        <c:numFmt formatCode="0.000" sourceLinked="1"/>
        <c:majorTickMark val="none"/>
        <c:minorTickMark val="none"/>
        <c:tickLblPos val="nextTo"/>
        <c:crossAx val="129254912"/>
        <c:crosses val="autoZero"/>
        <c:crossBetween val="between"/>
      </c:valAx>
    </c:plotArea>
    <c:legend>
      <c:legendPos val="b"/>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Producer</a:t>
            </a:r>
            <a:r>
              <a:rPr lang="en-US" baseline="0"/>
              <a:t> Prices </a:t>
            </a:r>
            <a:r>
              <a:rPr lang="en-US" baseline="0">
                <a:solidFill>
                  <a:sysClr val="windowText" lastClr="000000"/>
                </a:solidFill>
              </a:rPr>
              <a:t>alongside</a:t>
            </a:r>
            <a:r>
              <a:rPr lang="en-US" baseline="0">
                <a:solidFill>
                  <a:srgbClr val="FF0000"/>
                </a:solidFill>
              </a:rPr>
              <a:t> </a:t>
            </a:r>
            <a:r>
              <a:rPr lang="en-US" baseline="0"/>
              <a:t>Exporter Prices</a:t>
            </a:r>
            <a:endParaRPr lang="en-US"/>
          </a:p>
        </c:rich>
      </c:tx>
      <c:overlay val="0"/>
    </c:title>
    <c:autoTitleDeleted val="0"/>
    <c:plotArea>
      <c:layout/>
      <c:lineChart>
        <c:grouping val="stacked"/>
        <c:varyColors val="0"/>
        <c:ser>
          <c:idx val="0"/>
          <c:order val="0"/>
          <c:tx>
            <c:strRef>
              <c:f>Sheet1!$B$1</c:f>
              <c:strCache>
                <c:ptCount val="1"/>
                <c:pt idx="0">
                  <c:v>Producer Prices (US$/MT)</c:v>
                </c:pt>
              </c:strCache>
            </c:strRef>
          </c:tx>
          <c:marker>
            <c:symbol val="none"/>
          </c:marker>
          <c:dLbls>
            <c:dLbl>
              <c:idx val="19"/>
              <c:dLblPos val="r"/>
              <c:showLegendKey val="0"/>
              <c:showVal val="1"/>
              <c:showCatName val="0"/>
              <c:showSerName val="1"/>
              <c:showPercent val="0"/>
              <c:showBubbleSize val="0"/>
            </c:dLbl>
            <c:showLegendKey val="0"/>
            <c:showVal val="0"/>
            <c:showCatName val="0"/>
            <c:showSerName val="0"/>
            <c:showPercent val="0"/>
            <c:showBubbleSize val="0"/>
          </c:dLbls>
          <c:cat>
            <c:numRef>
              <c:f>Sheet1!$A$2:$A$21</c:f>
              <c:numCache>
                <c:formatCode>General</c:formatCode>
                <c:ptCount val="20"/>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numCache>
            </c:numRef>
          </c:cat>
          <c:val>
            <c:numRef>
              <c:f>Sheet1!$B$2:$B$21</c:f>
              <c:numCache>
                <c:formatCode>General</c:formatCode>
                <c:ptCount val="20"/>
                <c:pt idx="0">
                  <c:v>435.12</c:v>
                </c:pt>
                <c:pt idx="1">
                  <c:v>466.35</c:v>
                </c:pt>
                <c:pt idx="2">
                  <c:v>480.65</c:v>
                </c:pt>
                <c:pt idx="3">
                  <c:v>481.55</c:v>
                </c:pt>
                <c:pt idx="4">
                  <c:v>521.63</c:v>
                </c:pt>
                <c:pt idx="5">
                  <c:v>531.47</c:v>
                </c:pt>
                <c:pt idx="6">
                  <c:v>547.55999999999995</c:v>
                </c:pt>
                <c:pt idx="7">
                  <c:v>545.17999999999995</c:v>
                </c:pt>
                <c:pt idx="8">
                  <c:v>556.74</c:v>
                </c:pt>
                <c:pt idx="9">
                  <c:v>526.5</c:v>
                </c:pt>
                <c:pt idx="10">
                  <c:v>512.34</c:v>
                </c:pt>
                <c:pt idx="11">
                  <c:v>439.61</c:v>
                </c:pt>
                <c:pt idx="12">
                  <c:v>420.54</c:v>
                </c:pt>
                <c:pt idx="13">
                  <c:v>443.68</c:v>
                </c:pt>
                <c:pt idx="14">
                  <c:v>460.28</c:v>
                </c:pt>
                <c:pt idx="15">
                  <c:v>448.28</c:v>
                </c:pt>
                <c:pt idx="16">
                  <c:v>469.16</c:v>
                </c:pt>
                <c:pt idx="17">
                  <c:v>756.2</c:v>
                </c:pt>
                <c:pt idx="18">
                  <c:v>1320</c:v>
                </c:pt>
                <c:pt idx="19">
                  <c:v>1332.6</c:v>
                </c:pt>
              </c:numCache>
            </c:numRef>
          </c:val>
          <c:smooth val="0"/>
        </c:ser>
        <c:ser>
          <c:idx val="1"/>
          <c:order val="1"/>
          <c:tx>
            <c:strRef>
              <c:f>Sheet1!$C$1</c:f>
              <c:strCache>
                <c:ptCount val="1"/>
                <c:pt idx="0">
                  <c:v>Exporter Prices (US$/MT)</c:v>
                </c:pt>
              </c:strCache>
            </c:strRef>
          </c:tx>
          <c:marker>
            <c:symbol val="none"/>
          </c:marker>
          <c:dLbls>
            <c:dLbl>
              <c:idx val="19"/>
              <c:dLblPos val="r"/>
              <c:showLegendKey val="0"/>
              <c:showVal val="1"/>
              <c:showCatName val="0"/>
              <c:showSerName val="1"/>
              <c:showPercent val="0"/>
              <c:showBubbleSize val="0"/>
            </c:dLbl>
            <c:showLegendKey val="0"/>
            <c:showVal val="0"/>
            <c:showCatName val="0"/>
            <c:showSerName val="0"/>
            <c:showPercent val="0"/>
            <c:showBubbleSize val="0"/>
          </c:dLbls>
          <c:cat>
            <c:numRef>
              <c:f>Sheet1!$A$2:$A$21</c:f>
              <c:numCache>
                <c:formatCode>General</c:formatCode>
                <c:ptCount val="20"/>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numCache>
            </c:numRef>
          </c:cat>
          <c:val>
            <c:numRef>
              <c:f>Sheet1!$C$2:$C$21</c:f>
              <c:numCache>
                <c:formatCode>General</c:formatCode>
                <c:ptCount val="20"/>
                <c:pt idx="0">
                  <c:v>900</c:v>
                </c:pt>
                <c:pt idx="1">
                  <c:v>920</c:v>
                </c:pt>
                <c:pt idx="2">
                  <c:v>1020</c:v>
                </c:pt>
                <c:pt idx="3">
                  <c:v>1300</c:v>
                </c:pt>
                <c:pt idx="4">
                  <c:v>1250</c:v>
                </c:pt>
                <c:pt idx="5">
                  <c:v>1050</c:v>
                </c:pt>
                <c:pt idx="6">
                  <c:v>1210</c:v>
                </c:pt>
                <c:pt idx="7">
                  <c:v>1260</c:v>
                </c:pt>
                <c:pt idx="8">
                  <c:v>1343</c:v>
                </c:pt>
                <c:pt idx="9">
                  <c:v>1259</c:v>
                </c:pt>
                <c:pt idx="10">
                  <c:v>1136</c:v>
                </c:pt>
                <c:pt idx="11">
                  <c:v>1153</c:v>
                </c:pt>
                <c:pt idx="12">
                  <c:v>1101</c:v>
                </c:pt>
                <c:pt idx="13">
                  <c:v>1140</c:v>
                </c:pt>
                <c:pt idx="14">
                  <c:v>1155</c:v>
                </c:pt>
                <c:pt idx="15">
                  <c:v>1166</c:v>
                </c:pt>
                <c:pt idx="16">
                  <c:v>1254</c:v>
                </c:pt>
                <c:pt idx="17">
                  <c:v>2233</c:v>
                </c:pt>
                <c:pt idx="18">
                  <c:v>3002</c:v>
                </c:pt>
                <c:pt idx="19">
                  <c:v>3061</c:v>
                </c:pt>
              </c:numCache>
            </c:numRef>
          </c:val>
          <c:smooth val="0"/>
        </c:ser>
        <c:dLbls>
          <c:showLegendKey val="0"/>
          <c:showVal val="0"/>
          <c:showCatName val="0"/>
          <c:showSerName val="0"/>
          <c:showPercent val="0"/>
          <c:showBubbleSize val="0"/>
        </c:dLbls>
        <c:marker val="1"/>
        <c:smooth val="0"/>
        <c:axId val="129529344"/>
        <c:axId val="414244864"/>
      </c:lineChart>
      <c:catAx>
        <c:axId val="129529344"/>
        <c:scaling>
          <c:orientation val="minMax"/>
        </c:scaling>
        <c:delete val="0"/>
        <c:axPos val="b"/>
        <c:numFmt formatCode="General" sourceLinked="1"/>
        <c:majorTickMark val="none"/>
        <c:minorTickMark val="none"/>
        <c:tickLblPos val="nextTo"/>
        <c:crossAx val="414244864"/>
        <c:crosses val="autoZero"/>
        <c:auto val="1"/>
        <c:lblAlgn val="ctr"/>
        <c:lblOffset val="100"/>
        <c:noMultiLvlLbl val="0"/>
      </c:catAx>
      <c:valAx>
        <c:axId val="414244864"/>
        <c:scaling>
          <c:orientation val="minMax"/>
        </c:scaling>
        <c:delete val="0"/>
        <c:axPos val="l"/>
        <c:majorGridlines/>
        <c:numFmt formatCode="General" sourceLinked="1"/>
        <c:majorTickMark val="none"/>
        <c:minorTickMark val="none"/>
        <c:tickLblPos val="nextTo"/>
        <c:crossAx val="129529344"/>
        <c:crosses val="autoZero"/>
        <c:crossBetween val="between"/>
      </c:valAx>
    </c:plotArea>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PO's market share up until 1998</c:v>
                </c:pt>
              </c:strCache>
            </c:strRef>
          </c:tx>
          <c:dLbls>
            <c:showLegendKey val="0"/>
            <c:showVal val="0"/>
            <c:showCatName val="0"/>
            <c:showSerName val="0"/>
            <c:showPercent val="1"/>
            <c:showBubbleSize val="0"/>
            <c:showLeaderLines val="1"/>
          </c:dLbls>
          <c:cat>
            <c:strRef>
              <c:f>Sheet1!$A$2:$A$4</c:f>
              <c:strCache>
                <c:ptCount val="3"/>
                <c:pt idx="0">
                  <c:v>ANAPQUI</c:v>
                </c:pt>
                <c:pt idx="1">
                  <c:v>CECAOT</c:v>
                </c:pt>
                <c:pt idx="2">
                  <c:v>Others</c:v>
                </c:pt>
              </c:strCache>
            </c:strRef>
          </c:cat>
          <c:val>
            <c:numRef>
              <c:f>Sheet1!$B$2:$B$4</c:f>
              <c:numCache>
                <c:formatCode>General</c:formatCode>
                <c:ptCount val="3"/>
                <c:pt idx="0">
                  <c:v>57</c:v>
                </c:pt>
                <c:pt idx="1">
                  <c:v>21</c:v>
                </c:pt>
                <c:pt idx="2">
                  <c:v>22</c:v>
                </c:pt>
              </c:numCache>
            </c:numRef>
          </c:val>
        </c:ser>
        <c:dLbls>
          <c:showLegendKey val="0"/>
          <c:showVal val="0"/>
          <c:showCatName val="0"/>
          <c:showSerName val="0"/>
          <c:showPercent val="1"/>
          <c:showBubbleSize val="0"/>
          <c:showLeaderLines val="1"/>
        </c:dLbls>
        <c:firstSliceAng val="0"/>
      </c:pieChart>
    </c:plotArea>
    <c:legend>
      <c:legendPos val="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Evolution of Quinoa Exporters</a:t>
            </a:r>
            <a:r>
              <a:rPr lang="en-US" baseline="0"/>
              <a:t> </a:t>
            </a:r>
          </a:p>
          <a:p>
            <a:pPr>
              <a:defRPr/>
            </a:pPr>
            <a:r>
              <a:rPr lang="en-US" baseline="0"/>
              <a:t>b</a:t>
            </a:r>
            <a:r>
              <a:rPr lang="en-US"/>
              <a:t>etween 1990 - 2004.</a:t>
            </a:r>
          </a:p>
        </c:rich>
      </c:tx>
      <c:overlay val="0"/>
    </c:title>
    <c:autoTitleDeleted val="0"/>
    <c:plotArea>
      <c:layout/>
      <c:lineChart>
        <c:grouping val="standard"/>
        <c:varyColors val="0"/>
        <c:ser>
          <c:idx val="0"/>
          <c:order val="0"/>
          <c:tx>
            <c:strRef>
              <c:f>Sheet1!$B$1</c:f>
              <c:strCache>
                <c:ptCount val="1"/>
                <c:pt idx="0">
                  <c:v>Andean Valley</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Sheet1!$B$2:$B$16</c:f>
              <c:numCache>
                <c:formatCode>General</c:formatCode>
                <c:ptCount val="15"/>
                <c:pt idx="9">
                  <c:v>80</c:v>
                </c:pt>
                <c:pt idx="10">
                  <c:v>210</c:v>
                </c:pt>
                <c:pt idx="11">
                  <c:v>240</c:v>
                </c:pt>
                <c:pt idx="12">
                  <c:v>205</c:v>
                </c:pt>
                <c:pt idx="13">
                  <c:v>220</c:v>
                </c:pt>
                <c:pt idx="14">
                  <c:v>300</c:v>
                </c:pt>
              </c:numCache>
            </c:numRef>
          </c:val>
          <c:smooth val="0"/>
        </c:ser>
        <c:ser>
          <c:idx val="1"/>
          <c:order val="1"/>
          <c:tx>
            <c:strRef>
              <c:f>Sheet1!$C$1</c:f>
              <c:strCache>
                <c:ptCount val="1"/>
                <c:pt idx="0">
                  <c:v>ANAPQUI (PO)</c:v>
                </c:pt>
              </c:strCache>
            </c:strRef>
          </c:tx>
          <c:spPr>
            <a:ln w="19050">
              <a:prstDash val="sysDash"/>
            </a:ln>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Sheet1!$C$2:$C$16</c:f>
              <c:numCache>
                <c:formatCode>General</c:formatCode>
                <c:ptCount val="15"/>
                <c:pt idx="0">
                  <c:v>100</c:v>
                </c:pt>
                <c:pt idx="1">
                  <c:v>220</c:v>
                </c:pt>
                <c:pt idx="2">
                  <c:v>290</c:v>
                </c:pt>
                <c:pt idx="3">
                  <c:v>360</c:v>
                </c:pt>
                <c:pt idx="4">
                  <c:v>620</c:v>
                </c:pt>
                <c:pt idx="5">
                  <c:v>505</c:v>
                </c:pt>
                <c:pt idx="6">
                  <c:v>605</c:v>
                </c:pt>
                <c:pt idx="7">
                  <c:v>690</c:v>
                </c:pt>
                <c:pt idx="8">
                  <c:v>780</c:v>
                </c:pt>
                <c:pt idx="9">
                  <c:v>720</c:v>
                </c:pt>
                <c:pt idx="10">
                  <c:v>280</c:v>
                </c:pt>
                <c:pt idx="11">
                  <c:v>460</c:v>
                </c:pt>
                <c:pt idx="12">
                  <c:v>470</c:v>
                </c:pt>
                <c:pt idx="13">
                  <c:v>650</c:v>
                </c:pt>
                <c:pt idx="14">
                  <c:v>900</c:v>
                </c:pt>
              </c:numCache>
            </c:numRef>
          </c:val>
          <c:smooth val="0"/>
        </c:ser>
        <c:ser>
          <c:idx val="2"/>
          <c:order val="2"/>
          <c:tx>
            <c:strRef>
              <c:f>Sheet1!$D$1</c:f>
              <c:strCache>
                <c:ptCount val="1"/>
                <c:pt idx="0">
                  <c:v>CECAOT (PO)</c:v>
                </c:pt>
              </c:strCache>
            </c:strRef>
          </c:tx>
          <c:spPr>
            <a:ln w="19050">
              <a:prstDash val="sysDash"/>
            </a:ln>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Sheet1!$D$2:$D$16</c:f>
              <c:numCache>
                <c:formatCode>General</c:formatCode>
                <c:ptCount val="15"/>
                <c:pt idx="1">
                  <c:v>90</c:v>
                </c:pt>
                <c:pt idx="2">
                  <c:v>50</c:v>
                </c:pt>
                <c:pt idx="3">
                  <c:v>40</c:v>
                </c:pt>
                <c:pt idx="4">
                  <c:v>60</c:v>
                </c:pt>
                <c:pt idx="5">
                  <c:v>70</c:v>
                </c:pt>
                <c:pt idx="6">
                  <c:v>215</c:v>
                </c:pt>
                <c:pt idx="7">
                  <c:v>265</c:v>
                </c:pt>
                <c:pt idx="8">
                  <c:v>295</c:v>
                </c:pt>
                <c:pt idx="9">
                  <c:v>375</c:v>
                </c:pt>
                <c:pt idx="10">
                  <c:v>160</c:v>
                </c:pt>
                <c:pt idx="11">
                  <c:v>310</c:v>
                </c:pt>
                <c:pt idx="12">
                  <c:v>315</c:v>
                </c:pt>
                <c:pt idx="13">
                  <c:v>265</c:v>
                </c:pt>
                <c:pt idx="14">
                  <c:v>265</c:v>
                </c:pt>
              </c:numCache>
            </c:numRef>
          </c:val>
          <c:smooth val="0"/>
        </c:ser>
        <c:ser>
          <c:idx val="3"/>
          <c:order val="3"/>
          <c:tx>
            <c:strRef>
              <c:f>Sheet1!$E$1</c:f>
              <c:strCache>
                <c:ptCount val="1"/>
                <c:pt idx="0">
                  <c:v>Irupana</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Sheet1!$E$2:$E$16</c:f>
              <c:numCache>
                <c:formatCode>General</c:formatCode>
                <c:ptCount val="15"/>
                <c:pt idx="12">
                  <c:v>10</c:v>
                </c:pt>
                <c:pt idx="13">
                  <c:v>95</c:v>
                </c:pt>
                <c:pt idx="14">
                  <c:v>255</c:v>
                </c:pt>
              </c:numCache>
            </c:numRef>
          </c:val>
          <c:smooth val="0"/>
        </c:ser>
        <c:ser>
          <c:idx val="4"/>
          <c:order val="4"/>
          <c:tx>
            <c:strRef>
              <c:f>Sheet1!$F$1</c:f>
              <c:strCache>
                <c:ptCount val="1"/>
                <c:pt idx="0">
                  <c:v>Jatary</c:v>
                </c:pt>
              </c:strCache>
            </c:strRef>
          </c:tx>
          <c:spPr>
            <a:ln w="19050">
              <a:solidFill>
                <a:srgbClr val="4F81BD"/>
              </a:solidFill>
            </a:ln>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Sheet1!$F$2:$F$16</c:f>
              <c:numCache>
                <c:formatCode>General</c:formatCode>
                <c:ptCount val="15"/>
                <c:pt idx="7">
                  <c:v>60</c:v>
                </c:pt>
                <c:pt idx="8">
                  <c:v>115</c:v>
                </c:pt>
                <c:pt idx="9">
                  <c:v>210</c:v>
                </c:pt>
                <c:pt idx="10">
                  <c:v>385</c:v>
                </c:pt>
                <c:pt idx="11">
                  <c:v>505</c:v>
                </c:pt>
                <c:pt idx="12">
                  <c:v>465</c:v>
                </c:pt>
                <c:pt idx="13">
                  <c:v>610</c:v>
                </c:pt>
                <c:pt idx="14">
                  <c:v>760</c:v>
                </c:pt>
              </c:numCache>
            </c:numRef>
          </c:val>
          <c:smooth val="0"/>
        </c:ser>
        <c:ser>
          <c:idx val="5"/>
          <c:order val="5"/>
          <c:tx>
            <c:strRef>
              <c:f>Sheet1!$G$1</c:f>
              <c:strCache>
                <c:ptCount val="1"/>
                <c:pt idx="0">
                  <c:v>Quinoa-Bol</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Sheet1!$G$2:$G$16</c:f>
              <c:numCache>
                <c:formatCode>General</c:formatCode>
                <c:ptCount val="15"/>
                <c:pt idx="9">
                  <c:v>210</c:v>
                </c:pt>
                <c:pt idx="10">
                  <c:v>100</c:v>
                </c:pt>
                <c:pt idx="11">
                  <c:v>180</c:v>
                </c:pt>
                <c:pt idx="12">
                  <c:v>285</c:v>
                </c:pt>
                <c:pt idx="13">
                  <c:v>305</c:v>
                </c:pt>
                <c:pt idx="14">
                  <c:v>365</c:v>
                </c:pt>
              </c:numCache>
            </c:numRef>
          </c:val>
          <c:smooth val="0"/>
        </c:ser>
        <c:ser>
          <c:idx val="6"/>
          <c:order val="6"/>
          <c:tx>
            <c:strRef>
              <c:f>Sheet1!$H$1</c:f>
              <c:strCache>
                <c:ptCount val="1"/>
                <c:pt idx="0">
                  <c:v>Quinoa Foods</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Sheet1!$H$2:$H$16</c:f>
              <c:numCache>
                <c:formatCode>General</c:formatCode>
                <c:ptCount val="15"/>
                <c:pt idx="13">
                  <c:v>375</c:v>
                </c:pt>
                <c:pt idx="14">
                  <c:v>210</c:v>
                </c:pt>
              </c:numCache>
            </c:numRef>
          </c:val>
          <c:smooth val="0"/>
        </c:ser>
        <c:ser>
          <c:idx val="7"/>
          <c:order val="7"/>
          <c:tx>
            <c:strRef>
              <c:f>Sheet1!$I$1</c:f>
              <c:strCache>
                <c:ptCount val="1"/>
                <c:pt idx="0">
                  <c:v>SAITE</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Sheet1!$I$2:$I$16</c:f>
              <c:numCache>
                <c:formatCode>General</c:formatCode>
                <c:ptCount val="15"/>
                <c:pt idx="1">
                  <c:v>40</c:v>
                </c:pt>
                <c:pt idx="2">
                  <c:v>20</c:v>
                </c:pt>
                <c:pt idx="3">
                  <c:v>25</c:v>
                </c:pt>
                <c:pt idx="4">
                  <c:v>57</c:v>
                </c:pt>
                <c:pt idx="5">
                  <c:v>67</c:v>
                </c:pt>
                <c:pt idx="6">
                  <c:v>235</c:v>
                </c:pt>
                <c:pt idx="7">
                  <c:v>370</c:v>
                </c:pt>
                <c:pt idx="8">
                  <c:v>205</c:v>
                </c:pt>
                <c:pt idx="9">
                  <c:v>390</c:v>
                </c:pt>
                <c:pt idx="10">
                  <c:v>265</c:v>
                </c:pt>
                <c:pt idx="11">
                  <c:v>235</c:v>
                </c:pt>
                <c:pt idx="12">
                  <c:v>230</c:v>
                </c:pt>
                <c:pt idx="13">
                  <c:v>190</c:v>
                </c:pt>
                <c:pt idx="14">
                  <c:v>395</c:v>
                </c:pt>
              </c:numCache>
            </c:numRef>
          </c:val>
          <c:smooth val="0"/>
        </c:ser>
        <c:ser>
          <c:idx val="8"/>
          <c:order val="8"/>
          <c:tx>
            <c:strRef>
              <c:f>Sheet1!$J$1</c:f>
              <c:strCache>
                <c:ptCount val="1"/>
                <c:pt idx="0">
                  <c:v>Other firms</c:v>
                </c:pt>
              </c:strCache>
            </c:strRef>
          </c:tx>
          <c:spPr>
            <a:ln w="19050"/>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Sheet1!$J$2:$J$16</c:f>
              <c:numCache>
                <c:formatCode>General</c:formatCode>
                <c:ptCount val="15"/>
                <c:pt idx="0">
                  <c:v>250</c:v>
                </c:pt>
                <c:pt idx="1">
                  <c:v>265</c:v>
                </c:pt>
                <c:pt idx="2">
                  <c:v>125</c:v>
                </c:pt>
                <c:pt idx="3">
                  <c:v>130</c:v>
                </c:pt>
                <c:pt idx="4">
                  <c:v>420</c:v>
                </c:pt>
                <c:pt idx="5">
                  <c:v>830</c:v>
                </c:pt>
                <c:pt idx="6">
                  <c:v>398</c:v>
                </c:pt>
                <c:pt idx="7">
                  <c:v>340</c:v>
                </c:pt>
                <c:pt idx="8">
                  <c:v>7</c:v>
                </c:pt>
                <c:pt idx="9">
                  <c:v>50</c:v>
                </c:pt>
                <c:pt idx="10">
                  <c:v>20</c:v>
                </c:pt>
                <c:pt idx="11">
                  <c:v>170</c:v>
                </c:pt>
                <c:pt idx="12">
                  <c:v>20</c:v>
                </c:pt>
                <c:pt idx="13">
                  <c:v>75</c:v>
                </c:pt>
                <c:pt idx="14">
                  <c:v>265</c:v>
                </c:pt>
              </c:numCache>
            </c:numRef>
          </c:val>
          <c:smooth val="0"/>
        </c:ser>
        <c:dLbls>
          <c:showLegendKey val="0"/>
          <c:showVal val="0"/>
          <c:showCatName val="0"/>
          <c:showSerName val="0"/>
          <c:showPercent val="0"/>
          <c:showBubbleSize val="0"/>
        </c:dLbls>
        <c:marker val="1"/>
        <c:smooth val="0"/>
        <c:axId val="134361088"/>
        <c:axId val="421069376"/>
      </c:lineChart>
      <c:catAx>
        <c:axId val="134361088"/>
        <c:scaling>
          <c:orientation val="minMax"/>
        </c:scaling>
        <c:delete val="0"/>
        <c:axPos val="b"/>
        <c:numFmt formatCode="General" sourceLinked="1"/>
        <c:majorTickMark val="none"/>
        <c:minorTickMark val="none"/>
        <c:tickLblPos val="nextTo"/>
        <c:crossAx val="421069376"/>
        <c:crosses val="autoZero"/>
        <c:auto val="1"/>
        <c:lblAlgn val="ctr"/>
        <c:lblOffset val="100"/>
        <c:noMultiLvlLbl val="0"/>
      </c:catAx>
      <c:valAx>
        <c:axId val="421069376"/>
        <c:scaling>
          <c:orientation val="minMax"/>
        </c:scaling>
        <c:delete val="0"/>
        <c:axPos val="l"/>
        <c:majorGridlines/>
        <c:title>
          <c:tx>
            <c:rich>
              <a:bodyPr/>
              <a:lstStyle/>
              <a:p>
                <a:pPr>
                  <a:defRPr/>
                </a:pPr>
                <a:r>
                  <a:rPr lang="en-US"/>
                  <a:t>Metric Tons</a:t>
                </a:r>
              </a:p>
            </c:rich>
          </c:tx>
          <c:overlay val="0"/>
        </c:title>
        <c:numFmt formatCode="General" sourceLinked="1"/>
        <c:majorTickMark val="none"/>
        <c:minorTickMark val="none"/>
        <c:tickLblPos val="nextTo"/>
        <c:crossAx val="134361088"/>
        <c:crosses val="autoZero"/>
        <c:crossBetween val="between"/>
      </c:valAx>
      <c:spPr>
        <a:ln w="0"/>
      </c:spPr>
    </c:plotArea>
    <c:legend>
      <c:legendPos val="r"/>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Evolution of the quinoa export market share by the PO's</c:v>
                </c:pt>
              </c:strCache>
            </c:strRef>
          </c:tx>
          <c:invertIfNegative val="0"/>
          <c:cat>
            <c:numRef>
              <c:f>Sheet1!$A$2:$A$4</c:f>
              <c:numCache>
                <c:formatCode>General</c:formatCode>
                <c:ptCount val="3"/>
                <c:pt idx="0">
                  <c:v>1998</c:v>
                </c:pt>
                <c:pt idx="1">
                  <c:v>2004</c:v>
                </c:pt>
                <c:pt idx="2">
                  <c:v>2011</c:v>
                </c:pt>
              </c:numCache>
            </c:numRef>
          </c:cat>
          <c:val>
            <c:numRef>
              <c:f>Sheet1!$B$2:$B$4</c:f>
              <c:numCache>
                <c:formatCode>0%</c:formatCode>
                <c:ptCount val="3"/>
                <c:pt idx="0">
                  <c:v>0.78</c:v>
                </c:pt>
                <c:pt idx="1">
                  <c:v>0.34</c:v>
                </c:pt>
                <c:pt idx="2">
                  <c:v>0.3</c:v>
                </c:pt>
              </c:numCache>
            </c:numRef>
          </c:val>
        </c:ser>
        <c:dLbls>
          <c:showLegendKey val="0"/>
          <c:showVal val="1"/>
          <c:showCatName val="0"/>
          <c:showSerName val="0"/>
          <c:showPercent val="0"/>
          <c:showBubbleSize val="0"/>
        </c:dLbls>
        <c:gapWidth val="75"/>
        <c:axId val="134400512"/>
        <c:axId val="421070528"/>
      </c:barChart>
      <c:lineChart>
        <c:grouping val="standard"/>
        <c:varyColors val="0"/>
        <c:ser>
          <c:idx val="1"/>
          <c:order val="1"/>
          <c:tx>
            <c:strRef>
              <c:f>Sheet1!$C$1</c:f>
              <c:strCache>
                <c:ptCount val="1"/>
                <c:pt idx="0">
                  <c:v>Trend</c:v>
                </c:pt>
              </c:strCache>
            </c:strRef>
          </c:tx>
          <c:spPr>
            <a:ln>
              <a:solidFill>
                <a:schemeClr val="bg1">
                  <a:lumMod val="75000"/>
                </a:schemeClr>
              </a:solidFill>
            </a:ln>
          </c:spPr>
          <c:marker>
            <c:symbol val="none"/>
          </c:marker>
          <c:cat>
            <c:numRef>
              <c:f>Sheet1!$A$2:$A$4</c:f>
              <c:numCache>
                <c:formatCode>General</c:formatCode>
                <c:ptCount val="3"/>
                <c:pt idx="0">
                  <c:v>1998</c:v>
                </c:pt>
                <c:pt idx="1">
                  <c:v>2004</c:v>
                </c:pt>
                <c:pt idx="2">
                  <c:v>2011</c:v>
                </c:pt>
              </c:numCache>
            </c:numRef>
          </c:cat>
          <c:val>
            <c:numRef>
              <c:f>Sheet1!$C$2:$C$4</c:f>
              <c:numCache>
                <c:formatCode>0%</c:formatCode>
                <c:ptCount val="3"/>
                <c:pt idx="0">
                  <c:v>0.78</c:v>
                </c:pt>
                <c:pt idx="1">
                  <c:v>0.34</c:v>
                </c:pt>
                <c:pt idx="2">
                  <c:v>0.3</c:v>
                </c:pt>
              </c:numCache>
            </c:numRef>
          </c:val>
          <c:smooth val="0"/>
        </c:ser>
        <c:dLbls>
          <c:showLegendKey val="0"/>
          <c:showVal val="0"/>
          <c:showCatName val="0"/>
          <c:showSerName val="0"/>
          <c:showPercent val="0"/>
          <c:showBubbleSize val="0"/>
        </c:dLbls>
        <c:marker val="1"/>
        <c:smooth val="0"/>
        <c:axId val="134400512"/>
        <c:axId val="421070528"/>
      </c:lineChart>
      <c:catAx>
        <c:axId val="134400512"/>
        <c:scaling>
          <c:orientation val="minMax"/>
        </c:scaling>
        <c:delete val="0"/>
        <c:axPos val="b"/>
        <c:numFmt formatCode="General" sourceLinked="1"/>
        <c:majorTickMark val="none"/>
        <c:minorTickMark val="none"/>
        <c:tickLblPos val="nextTo"/>
        <c:crossAx val="421070528"/>
        <c:crosses val="autoZero"/>
        <c:auto val="1"/>
        <c:lblAlgn val="ctr"/>
        <c:lblOffset val="100"/>
        <c:noMultiLvlLbl val="0"/>
      </c:catAx>
      <c:valAx>
        <c:axId val="421070528"/>
        <c:scaling>
          <c:orientation val="minMax"/>
        </c:scaling>
        <c:delete val="0"/>
        <c:axPos val="l"/>
        <c:numFmt formatCode="0%" sourceLinked="1"/>
        <c:majorTickMark val="none"/>
        <c:minorTickMark val="none"/>
        <c:tickLblPos val="nextTo"/>
        <c:crossAx val="134400512"/>
        <c:crosses val="autoZero"/>
        <c:crossBetween val="between"/>
      </c:valAx>
    </c:plotArea>
    <c:legend>
      <c:legendPos val="b"/>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solidFill>
                  <a:sysClr val="windowText" lastClr="000000"/>
                </a:solidFill>
              </a:rPr>
              <a:t>Evolution of quinoa</a:t>
            </a:r>
            <a:r>
              <a:rPr lang="en-US" baseline="0">
                <a:solidFill>
                  <a:sysClr val="windowText" lastClr="000000"/>
                </a:solidFill>
              </a:rPr>
              <a:t> exports between ANAPQUI and Jatary between 1990-2004</a:t>
            </a:r>
            <a:endParaRPr lang="en-US">
              <a:solidFill>
                <a:sysClr val="windowText" lastClr="000000"/>
              </a:solidFill>
            </a:endParaRPr>
          </a:p>
        </c:rich>
      </c:tx>
      <c:overlay val="0"/>
    </c:title>
    <c:autoTitleDeleted val="0"/>
    <c:plotArea>
      <c:layout/>
      <c:lineChart>
        <c:grouping val="standard"/>
        <c:varyColors val="0"/>
        <c:ser>
          <c:idx val="0"/>
          <c:order val="0"/>
          <c:tx>
            <c:strRef>
              <c:f>Sheet1!$B$1</c:f>
              <c:strCache>
                <c:ptCount val="1"/>
                <c:pt idx="0">
                  <c:v>ANAPQUI (PO)</c:v>
                </c:pt>
              </c:strCache>
            </c:strRef>
          </c:tx>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Sheet1!$B$2:$B$16</c:f>
              <c:numCache>
                <c:formatCode>General</c:formatCode>
                <c:ptCount val="15"/>
                <c:pt idx="0">
                  <c:v>100</c:v>
                </c:pt>
                <c:pt idx="1">
                  <c:v>220</c:v>
                </c:pt>
                <c:pt idx="2">
                  <c:v>290</c:v>
                </c:pt>
                <c:pt idx="3">
                  <c:v>360</c:v>
                </c:pt>
                <c:pt idx="4">
                  <c:v>620</c:v>
                </c:pt>
                <c:pt idx="5">
                  <c:v>505</c:v>
                </c:pt>
                <c:pt idx="6">
                  <c:v>605</c:v>
                </c:pt>
                <c:pt idx="7">
                  <c:v>690</c:v>
                </c:pt>
                <c:pt idx="8">
                  <c:v>780</c:v>
                </c:pt>
                <c:pt idx="9">
                  <c:v>720</c:v>
                </c:pt>
                <c:pt idx="10">
                  <c:v>280</c:v>
                </c:pt>
                <c:pt idx="11">
                  <c:v>460</c:v>
                </c:pt>
                <c:pt idx="12">
                  <c:v>470</c:v>
                </c:pt>
                <c:pt idx="13">
                  <c:v>650</c:v>
                </c:pt>
                <c:pt idx="14">
                  <c:v>900</c:v>
                </c:pt>
              </c:numCache>
            </c:numRef>
          </c:val>
          <c:smooth val="0"/>
        </c:ser>
        <c:ser>
          <c:idx val="1"/>
          <c:order val="1"/>
          <c:tx>
            <c:strRef>
              <c:f>Sheet1!$C$1</c:f>
              <c:strCache>
                <c:ptCount val="1"/>
                <c:pt idx="0">
                  <c:v>Jatary (FR)</c:v>
                </c:pt>
              </c:strCache>
            </c:strRef>
          </c:tx>
          <c:spPr>
            <a:ln w="22225"/>
          </c:spPr>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Sheet1!$C$2:$C$16</c:f>
              <c:numCache>
                <c:formatCode>General</c:formatCode>
                <c:ptCount val="15"/>
                <c:pt idx="7">
                  <c:v>60</c:v>
                </c:pt>
                <c:pt idx="8">
                  <c:v>115</c:v>
                </c:pt>
                <c:pt idx="9">
                  <c:v>210</c:v>
                </c:pt>
                <c:pt idx="10">
                  <c:v>385</c:v>
                </c:pt>
                <c:pt idx="11">
                  <c:v>505</c:v>
                </c:pt>
                <c:pt idx="12">
                  <c:v>465</c:v>
                </c:pt>
                <c:pt idx="13">
                  <c:v>610</c:v>
                </c:pt>
                <c:pt idx="14">
                  <c:v>760</c:v>
                </c:pt>
              </c:numCache>
            </c:numRef>
          </c:val>
          <c:smooth val="0"/>
        </c:ser>
        <c:dLbls>
          <c:showLegendKey val="0"/>
          <c:showVal val="0"/>
          <c:showCatName val="0"/>
          <c:showSerName val="0"/>
          <c:showPercent val="0"/>
          <c:showBubbleSize val="0"/>
        </c:dLbls>
        <c:marker val="1"/>
        <c:smooth val="0"/>
        <c:axId val="134519296"/>
        <c:axId val="421073984"/>
      </c:lineChart>
      <c:catAx>
        <c:axId val="134519296"/>
        <c:scaling>
          <c:orientation val="minMax"/>
        </c:scaling>
        <c:delete val="0"/>
        <c:axPos val="b"/>
        <c:numFmt formatCode="General" sourceLinked="1"/>
        <c:majorTickMark val="none"/>
        <c:minorTickMark val="none"/>
        <c:tickLblPos val="nextTo"/>
        <c:crossAx val="421073984"/>
        <c:crosses val="autoZero"/>
        <c:auto val="1"/>
        <c:lblAlgn val="ctr"/>
        <c:lblOffset val="100"/>
        <c:noMultiLvlLbl val="0"/>
      </c:catAx>
      <c:valAx>
        <c:axId val="421073984"/>
        <c:scaling>
          <c:orientation val="minMax"/>
        </c:scaling>
        <c:delete val="0"/>
        <c:axPos val="l"/>
        <c:majorGridlines/>
        <c:title>
          <c:tx>
            <c:rich>
              <a:bodyPr/>
              <a:lstStyle/>
              <a:p>
                <a:pPr>
                  <a:defRPr/>
                </a:pPr>
                <a:r>
                  <a:rPr lang="en-US"/>
                  <a:t>Metric Tons</a:t>
                </a:r>
              </a:p>
            </c:rich>
          </c:tx>
          <c:overlay val="0"/>
        </c:title>
        <c:numFmt formatCode="General" sourceLinked="1"/>
        <c:majorTickMark val="none"/>
        <c:minorTickMark val="none"/>
        <c:tickLblPos val="nextTo"/>
        <c:crossAx val="134519296"/>
        <c:crosses val="autoZero"/>
        <c:crossBetween val="between"/>
      </c:valAx>
    </c:plotArea>
    <c:legend>
      <c:legendPos val="r"/>
      <c:overlay val="0"/>
    </c:legend>
    <c:plotVisOnly val="1"/>
    <c:dispBlanksAs val="gap"/>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solidFill>
                  <a:sysClr val="windowText" lastClr="000000"/>
                </a:solidFill>
              </a:rPr>
              <a:t>Evolution of quinoa</a:t>
            </a:r>
            <a:r>
              <a:rPr lang="en-US" baseline="0">
                <a:solidFill>
                  <a:sysClr val="windowText" lastClr="000000"/>
                </a:solidFill>
              </a:rPr>
              <a:t> exports by PO's and private firms between 1990-2004</a:t>
            </a:r>
            <a:endParaRPr lang="en-US">
              <a:solidFill>
                <a:sysClr val="windowText" lastClr="000000"/>
              </a:solidFill>
            </a:endParaRPr>
          </a:p>
        </c:rich>
      </c:tx>
      <c:overlay val="0"/>
    </c:title>
    <c:autoTitleDeleted val="0"/>
    <c:plotArea>
      <c:layout/>
      <c:lineChart>
        <c:grouping val="standard"/>
        <c:varyColors val="0"/>
        <c:ser>
          <c:idx val="0"/>
          <c:order val="0"/>
          <c:tx>
            <c:strRef>
              <c:f>Sheet1!$B$1</c:f>
              <c:strCache>
                <c:ptCount val="1"/>
                <c:pt idx="0">
                  <c:v>Andean Valley (US)</c:v>
                </c:pt>
              </c:strCache>
            </c:strRef>
          </c:tx>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Sheet1!$B$2:$B$16</c:f>
              <c:numCache>
                <c:formatCode>General</c:formatCode>
                <c:ptCount val="15"/>
                <c:pt idx="9">
                  <c:v>80</c:v>
                </c:pt>
                <c:pt idx="10">
                  <c:v>210</c:v>
                </c:pt>
                <c:pt idx="11">
                  <c:v>240</c:v>
                </c:pt>
                <c:pt idx="12">
                  <c:v>205</c:v>
                </c:pt>
                <c:pt idx="13">
                  <c:v>220</c:v>
                </c:pt>
                <c:pt idx="14">
                  <c:v>300</c:v>
                </c:pt>
              </c:numCache>
            </c:numRef>
          </c:val>
          <c:smooth val="0"/>
        </c:ser>
        <c:ser>
          <c:idx val="1"/>
          <c:order val="1"/>
          <c:tx>
            <c:strRef>
              <c:f>Sheet1!$C$1</c:f>
              <c:strCache>
                <c:ptCount val="1"/>
                <c:pt idx="0">
                  <c:v>ANAPQUI (PO)</c:v>
                </c:pt>
              </c:strCache>
            </c:strRef>
          </c:tx>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Sheet1!$C$2:$C$16</c:f>
              <c:numCache>
                <c:formatCode>General</c:formatCode>
                <c:ptCount val="15"/>
                <c:pt idx="0">
                  <c:v>100</c:v>
                </c:pt>
                <c:pt idx="1">
                  <c:v>220</c:v>
                </c:pt>
                <c:pt idx="2">
                  <c:v>290</c:v>
                </c:pt>
                <c:pt idx="3">
                  <c:v>360</c:v>
                </c:pt>
                <c:pt idx="4">
                  <c:v>620</c:v>
                </c:pt>
                <c:pt idx="5">
                  <c:v>505</c:v>
                </c:pt>
                <c:pt idx="6">
                  <c:v>605</c:v>
                </c:pt>
                <c:pt idx="7">
                  <c:v>690</c:v>
                </c:pt>
                <c:pt idx="8">
                  <c:v>780</c:v>
                </c:pt>
                <c:pt idx="9">
                  <c:v>720</c:v>
                </c:pt>
                <c:pt idx="10">
                  <c:v>280</c:v>
                </c:pt>
                <c:pt idx="11">
                  <c:v>460</c:v>
                </c:pt>
                <c:pt idx="12">
                  <c:v>470</c:v>
                </c:pt>
                <c:pt idx="13">
                  <c:v>650</c:v>
                </c:pt>
                <c:pt idx="14">
                  <c:v>900</c:v>
                </c:pt>
              </c:numCache>
            </c:numRef>
          </c:val>
          <c:smooth val="0"/>
        </c:ser>
        <c:ser>
          <c:idx val="2"/>
          <c:order val="2"/>
          <c:tx>
            <c:strRef>
              <c:f>Sheet1!$D$1</c:f>
              <c:strCache>
                <c:ptCount val="1"/>
                <c:pt idx="0">
                  <c:v>CECAOT (PO)</c:v>
                </c:pt>
              </c:strCache>
            </c:strRef>
          </c:tx>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Sheet1!$D$2:$D$16</c:f>
              <c:numCache>
                <c:formatCode>General</c:formatCode>
                <c:ptCount val="15"/>
                <c:pt idx="1">
                  <c:v>90</c:v>
                </c:pt>
                <c:pt idx="2">
                  <c:v>50</c:v>
                </c:pt>
                <c:pt idx="3">
                  <c:v>40</c:v>
                </c:pt>
                <c:pt idx="4">
                  <c:v>60</c:v>
                </c:pt>
                <c:pt idx="5">
                  <c:v>70</c:v>
                </c:pt>
                <c:pt idx="6">
                  <c:v>215</c:v>
                </c:pt>
                <c:pt idx="7">
                  <c:v>265</c:v>
                </c:pt>
                <c:pt idx="8">
                  <c:v>295</c:v>
                </c:pt>
                <c:pt idx="9">
                  <c:v>375</c:v>
                </c:pt>
                <c:pt idx="10">
                  <c:v>160</c:v>
                </c:pt>
                <c:pt idx="11">
                  <c:v>310</c:v>
                </c:pt>
                <c:pt idx="12">
                  <c:v>315</c:v>
                </c:pt>
                <c:pt idx="13">
                  <c:v>265</c:v>
                </c:pt>
                <c:pt idx="14">
                  <c:v>265</c:v>
                </c:pt>
              </c:numCache>
            </c:numRef>
          </c:val>
          <c:smooth val="0"/>
        </c:ser>
        <c:ser>
          <c:idx val="3"/>
          <c:order val="3"/>
          <c:tx>
            <c:strRef>
              <c:f>Sheet1!$E$1</c:f>
              <c:strCache>
                <c:ptCount val="1"/>
                <c:pt idx="0">
                  <c:v>Jatary (FR)</c:v>
                </c:pt>
              </c:strCache>
            </c:strRef>
          </c:tx>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Sheet1!$E$2:$E$16</c:f>
              <c:numCache>
                <c:formatCode>General</c:formatCode>
                <c:ptCount val="15"/>
                <c:pt idx="7">
                  <c:v>60</c:v>
                </c:pt>
                <c:pt idx="8">
                  <c:v>115</c:v>
                </c:pt>
                <c:pt idx="9">
                  <c:v>210</c:v>
                </c:pt>
                <c:pt idx="10">
                  <c:v>385</c:v>
                </c:pt>
                <c:pt idx="11">
                  <c:v>505</c:v>
                </c:pt>
                <c:pt idx="12">
                  <c:v>465</c:v>
                </c:pt>
                <c:pt idx="13">
                  <c:v>610</c:v>
                </c:pt>
                <c:pt idx="14">
                  <c:v>760</c:v>
                </c:pt>
              </c:numCache>
            </c:numRef>
          </c:val>
          <c:smooth val="0"/>
        </c:ser>
        <c:ser>
          <c:idx val="4"/>
          <c:order val="4"/>
          <c:tx>
            <c:strRef>
              <c:f>Sheet1!$F$1</c:f>
              <c:strCache>
                <c:ptCount val="1"/>
                <c:pt idx="0">
                  <c:v>Quinoa-Bol (FR)</c:v>
                </c:pt>
              </c:strCache>
            </c:strRef>
          </c:tx>
          <c:marker>
            <c:symbol val="none"/>
          </c:marker>
          <c:cat>
            <c:numRef>
              <c:f>Sheet1!$A$2:$A$16</c:f>
              <c:numCache>
                <c:formatCode>General</c:formatCode>
                <c:ptCount val="15"/>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numCache>
            </c:numRef>
          </c:cat>
          <c:val>
            <c:numRef>
              <c:f>Sheet1!$F$2:$F$16</c:f>
              <c:numCache>
                <c:formatCode>General</c:formatCode>
                <c:ptCount val="15"/>
                <c:pt idx="9">
                  <c:v>210</c:v>
                </c:pt>
                <c:pt idx="10">
                  <c:v>100</c:v>
                </c:pt>
                <c:pt idx="11">
                  <c:v>180</c:v>
                </c:pt>
                <c:pt idx="12">
                  <c:v>285</c:v>
                </c:pt>
                <c:pt idx="13">
                  <c:v>305</c:v>
                </c:pt>
                <c:pt idx="14">
                  <c:v>365</c:v>
                </c:pt>
              </c:numCache>
            </c:numRef>
          </c:val>
          <c:smooth val="0"/>
        </c:ser>
        <c:dLbls>
          <c:showLegendKey val="0"/>
          <c:showVal val="0"/>
          <c:showCatName val="0"/>
          <c:showSerName val="0"/>
          <c:showPercent val="0"/>
          <c:showBubbleSize val="0"/>
        </c:dLbls>
        <c:marker val="1"/>
        <c:smooth val="0"/>
        <c:axId val="134628352"/>
        <c:axId val="453561152"/>
      </c:lineChart>
      <c:catAx>
        <c:axId val="134628352"/>
        <c:scaling>
          <c:orientation val="minMax"/>
        </c:scaling>
        <c:delete val="0"/>
        <c:axPos val="b"/>
        <c:numFmt formatCode="General" sourceLinked="1"/>
        <c:majorTickMark val="none"/>
        <c:minorTickMark val="none"/>
        <c:tickLblPos val="nextTo"/>
        <c:crossAx val="453561152"/>
        <c:crosses val="autoZero"/>
        <c:auto val="1"/>
        <c:lblAlgn val="ctr"/>
        <c:lblOffset val="100"/>
        <c:noMultiLvlLbl val="0"/>
      </c:catAx>
      <c:valAx>
        <c:axId val="453561152"/>
        <c:scaling>
          <c:orientation val="minMax"/>
        </c:scaling>
        <c:delete val="0"/>
        <c:axPos val="l"/>
        <c:majorGridlines/>
        <c:title>
          <c:tx>
            <c:rich>
              <a:bodyPr/>
              <a:lstStyle/>
              <a:p>
                <a:pPr>
                  <a:defRPr/>
                </a:pPr>
                <a:r>
                  <a:rPr lang="en-US"/>
                  <a:t>Metric Tons</a:t>
                </a:r>
              </a:p>
            </c:rich>
          </c:tx>
          <c:overlay val="0"/>
        </c:title>
        <c:numFmt formatCode="General" sourceLinked="1"/>
        <c:majorTickMark val="none"/>
        <c:minorTickMark val="none"/>
        <c:tickLblPos val="nextTo"/>
        <c:crossAx val="134628352"/>
        <c:crosses val="autoZero"/>
        <c:crossBetween val="between"/>
      </c:valAx>
    </c:plotArea>
    <c:legend>
      <c:legendPos val="r"/>
      <c:overlay val="0"/>
    </c:legend>
    <c:plotVisOnly val="1"/>
    <c:dispBlanksAs val="gap"/>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Commodity Prices Trend (US$/TM)</a:t>
            </a:r>
          </a:p>
        </c:rich>
      </c:tx>
      <c:overlay val="0"/>
    </c:title>
    <c:autoTitleDeleted val="0"/>
    <c:plotArea>
      <c:layout/>
      <c:lineChart>
        <c:grouping val="standard"/>
        <c:varyColors val="0"/>
        <c:ser>
          <c:idx val="0"/>
          <c:order val="0"/>
          <c:tx>
            <c:v>Barley (US$/TM - Canada)</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Masters.xlsx]Table'!$J$3:$AE$3</c:f>
              <c:numCache>
                <c:formatCode>0.000</c:formatCode>
                <c:ptCount val="22"/>
                <c:pt idx="0">
                  <c:v>79.925000000000011</c:v>
                </c:pt>
                <c:pt idx="1">
                  <c:v>78.286666666666662</c:v>
                </c:pt>
                <c:pt idx="2">
                  <c:v>78.674999999999997</c:v>
                </c:pt>
                <c:pt idx="3">
                  <c:v>71.376666666666665</c:v>
                </c:pt>
                <c:pt idx="4">
                  <c:v>72.648333333333341</c:v>
                </c:pt>
                <c:pt idx="5">
                  <c:v>104.01083333333334</c:v>
                </c:pt>
                <c:pt idx="6">
                  <c:v>119.66583333333335</c:v>
                </c:pt>
                <c:pt idx="7">
                  <c:v>97.23833333333333</c:v>
                </c:pt>
                <c:pt idx="8">
                  <c:v>85.053333333333327</c:v>
                </c:pt>
                <c:pt idx="9">
                  <c:v>75.938333333333347</c:v>
                </c:pt>
                <c:pt idx="10">
                  <c:v>77.234166666666667</c:v>
                </c:pt>
                <c:pt idx="11">
                  <c:v>93.936666666666667</c:v>
                </c:pt>
                <c:pt idx="12">
                  <c:v>108.9675</c:v>
                </c:pt>
                <c:pt idx="13">
                  <c:v>104.71749999999999</c:v>
                </c:pt>
                <c:pt idx="14">
                  <c:v>98.98833333333333</c:v>
                </c:pt>
                <c:pt idx="15">
                  <c:v>95.076666666666668</c:v>
                </c:pt>
                <c:pt idx="16">
                  <c:v>116.61499999999999</c:v>
                </c:pt>
                <c:pt idx="17">
                  <c:v>172.38166666666666</c:v>
                </c:pt>
                <c:pt idx="18">
                  <c:v>200.47666666666663</c:v>
                </c:pt>
                <c:pt idx="19">
                  <c:v>128.381666666667</c:v>
                </c:pt>
                <c:pt idx="20">
                  <c:v>158.37583333333299</c:v>
                </c:pt>
                <c:pt idx="21">
                  <c:v>207.21916666666701</c:v>
                </c:pt>
              </c:numCache>
            </c:numRef>
          </c:val>
          <c:smooth val="0"/>
        </c:ser>
        <c:ser>
          <c:idx val="1"/>
          <c:order val="1"/>
          <c:tx>
            <c:v>Rice (US$/TM - Thailand)</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Masters.xlsx]Table'!$J$5:$AE$5</c:f>
              <c:numCache>
                <c:formatCode>0.000</c:formatCode>
                <c:ptCount val="22"/>
                <c:pt idx="0">
                  <c:v>270.66666666666663</c:v>
                </c:pt>
                <c:pt idx="1">
                  <c:v>293.66666666666669</c:v>
                </c:pt>
                <c:pt idx="2">
                  <c:v>267.66666666666669</c:v>
                </c:pt>
                <c:pt idx="3">
                  <c:v>237.25</c:v>
                </c:pt>
                <c:pt idx="4">
                  <c:v>269.45833333333331</c:v>
                </c:pt>
                <c:pt idx="5">
                  <c:v>320.80166666666668</c:v>
                </c:pt>
                <c:pt idx="6">
                  <c:v>338.06416666666667</c:v>
                </c:pt>
                <c:pt idx="7">
                  <c:v>302.46916666666669</c:v>
                </c:pt>
                <c:pt idx="8">
                  <c:v>305.42333333333335</c:v>
                </c:pt>
                <c:pt idx="9">
                  <c:v>248.96833333333333</c:v>
                </c:pt>
                <c:pt idx="10">
                  <c:v>203.69416666666666</c:v>
                </c:pt>
                <c:pt idx="11">
                  <c:v>172.70500000000001</c:v>
                </c:pt>
                <c:pt idx="12">
                  <c:v>191.82666666666665</c:v>
                </c:pt>
                <c:pt idx="13">
                  <c:v>199.46166666666667</c:v>
                </c:pt>
                <c:pt idx="14">
                  <c:v>245.78333333333333</c:v>
                </c:pt>
                <c:pt idx="15">
                  <c:v>287.81</c:v>
                </c:pt>
                <c:pt idx="16">
                  <c:v>303.51499999999999</c:v>
                </c:pt>
                <c:pt idx="17">
                  <c:v>332.39416666666665</c:v>
                </c:pt>
                <c:pt idx="18">
                  <c:v>700.19916666666666</c:v>
                </c:pt>
              </c:numCache>
            </c:numRef>
          </c:val>
          <c:smooth val="0"/>
        </c:ser>
        <c:ser>
          <c:idx val="2"/>
          <c:order val="2"/>
          <c:tx>
            <c:v>Wheat (US$/TM - United States)</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Masters.xlsx]Table'!$J$7:$AE$7</c:f>
              <c:numCache>
                <c:formatCode>0.000</c:formatCode>
                <c:ptCount val="22"/>
                <c:pt idx="0">
                  <c:v>135.52250000000001</c:v>
                </c:pt>
                <c:pt idx="1">
                  <c:v>128.66</c:v>
                </c:pt>
                <c:pt idx="2">
                  <c:v>151.16083333333333</c:v>
                </c:pt>
                <c:pt idx="3">
                  <c:v>140.21166666666664</c:v>
                </c:pt>
                <c:pt idx="4">
                  <c:v>149.78333333333333</c:v>
                </c:pt>
                <c:pt idx="5">
                  <c:v>176.96</c:v>
                </c:pt>
                <c:pt idx="6">
                  <c:v>207.14166666666668</c:v>
                </c:pt>
                <c:pt idx="7">
                  <c:v>159.66500000000002</c:v>
                </c:pt>
                <c:pt idx="8">
                  <c:v>126.09666666666666</c:v>
                </c:pt>
                <c:pt idx="9">
                  <c:v>112.05166666666665</c:v>
                </c:pt>
                <c:pt idx="10">
                  <c:v>114.00416666666666</c:v>
                </c:pt>
                <c:pt idx="11">
                  <c:v>126.80416666666666</c:v>
                </c:pt>
                <c:pt idx="12">
                  <c:v>148.52666666666664</c:v>
                </c:pt>
                <c:pt idx="13">
                  <c:v>146.14333333333335</c:v>
                </c:pt>
                <c:pt idx="14">
                  <c:v>156.88</c:v>
                </c:pt>
                <c:pt idx="15">
                  <c:v>152.43916666666667</c:v>
                </c:pt>
                <c:pt idx="16">
                  <c:v>191.72083333333333</c:v>
                </c:pt>
                <c:pt idx="17">
                  <c:v>255.20666666666665</c:v>
                </c:pt>
                <c:pt idx="18">
                  <c:v>325.94083333333333</c:v>
                </c:pt>
                <c:pt idx="19">
                  <c:v>223.43</c:v>
                </c:pt>
                <c:pt idx="20">
                  <c:v>223.67416666666699</c:v>
                </c:pt>
                <c:pt idx="21">
                  <c:v>316.199166666667</c:v>
                </c:pt>
              </c:numCache>
            </c:numRef>
          </c:val>
          <c:smooth val="0"/>
        </c:ser>
        <c:ser>
          <c:idx val="3"/>
          <c:order val="3"/>
          <c:tx>
            <c:v>Maize (US$/TM - United States)</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Masters.xlsx]Table'!$J$9:$AE$9</c:f>
              <c:numCache>
                <c:formatCode>0.000</c:formatCode>
                <c:ptCount val="22"/>
                <c:pt idx="0">
                  <c:v>109.28083333333333</c:v>
                </c:pt>
                <c:pt idx="1">
                  <c:v>107.47250000000001</c:v>
                </c:pt>
                <c:pt idx="2">
                  <c:v>104.21250000000001</c:v>
                </c:pt>
                <c:pt idx="3">
                  <c:v>102.04083333333334</c:v>
                </c:pt>
                <c:pt idx="4">
                  <c:v>107.77999999999999</c:v>
                </c:pt>
                <c:pt idx="5">
                  <c:v>123.4525</c:v>
                </c:pt>
                <c:pt idx="6">
                  <c:v>164.52333333333334</c:v>
                </c:pt>
                <c:pt idx="7">
                  <c:v>117.17166666666665</c:v>
                </c:pt>
                <c:pt idx="8">
                  <c:v>101.61666666666666</c:v>
                </c:pt>
                <c:pt idx="9">
                  <c:v>90.294166666666655</c:v>
                </c:pt>
                <c:pt idx="10">
                  <c:v>88.219166666666666</c:v>
                </c:pt>
                <c:pt idx="11">
                  <c:v>89.609166666666667</c:v>
                </c:pt>
                <c:pt idx="12">
                  <c:v>99.334166666666661</c:v>
                </c:pt>
                <c:pt idx="13">
                  <c:v>105.18583333333333</c:v>
                </c:pt>
                <c:pt idx="14">
                  <c:v>111.77833333333335</c:v>
                </c:pt>
                <c:pt idx="15">
                  <c:v>98.405000000000015</c:v>
                </c:pt>
                <c:pt idx="16">
                  <c:v>121.58916666666666</c:v>
                </c:pt>
                <c:pt idx="17">
                  <c:v>163.25666666666666</c:v>
                </c:pt>
                <c:pt idx="18">
                  <c:v>223.2475</c:v>
                </c:pt>
                <c:pt idx="19">
                  <c:v>165.541666666667</c:v>
                </c:pt>
                <c:pt idx="20">
                  <c:v>186.006666666667</c:v>
                </c:pt>
                <c:pt idx="21">
                  <c:v>291.78166666666698</c:v>
                </c:pt>
              </c:numCache>
            </c:numRef>
          </c:val>
          <c:smooth val="0"/>
        </c:ser>
        <c:ser>
          <c:idx val="4"/>
          <c:order val="4"/>
          <c:tx>
            <c:v>Sorghum (US$/TM - United States)</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Masters.xlsx]Table'!$J$11:$AE$11</c:f>
              <c:numCache>
                <c:formatCode>0.000</c:formatCode>
                <c:ptCount val="22"/>
                <c:pt idx="0">
                  <c:v>103.93916666666701</c:v>
                </c:pt>
                <c:pt idx="1">
                  <c:v>105.11166666666701</c:v>
                </c:pt>
                <c:pt idx="2">
                  <c:v>102.76</c:v>
                </c:pt>
                <c:pt idx="3">
                  <c:v>99.025000000000006</c:v>
                </c:pt>
                <c:pt idx="4">
                  <c:v>103.869166666667</c:v>
                </c:pt>
                <c:pt idx="5">
                  <c:v>118.97166666666701</c:v>
                </c:pt>
                <c:pt idx="6">
                  <c:v>150.02916666666701</c:v>
                </c:pt>
                <c:pt idx="7">
                  <c:v>109.621666666667</c:v>
                </c:pt>
                <c:pt idx="8">
                  <c:v>98.037499999999994</c:v>
                </c:pt>
                <c:pt idx="9">
                  <c:v>84.385000000000005</c:v>
                </c:pt>
                <c:pt idx="10">
                  <c:v>88</c:v>
                </c:pt>
                <c:pt idx="11">
                  <c:v>95.233333333333306</c:v>
                </c:pt>
                <c:pt idx="12">
                  <c:v>101.75</c:v>
                </c:pt>
                <c:pt idx="13">
                  <c:v>106.54166666666667</c:v>
                </c:pt>
                <c:pt idx="14">
                  <c:v>109.80000000000001</c:v>
                </c:pt>
                <c:pt idx="15">
                  <c:v>96.21543454722233</c:v>
                </c:pt>
                <c:pt idx="16">
                  <c:v>122.94507524999999</c:v>
                </c:pt>
                <c:pt idx="17">
                  <c:v>162.69359519666665</c:v>
                </c:pt>
                <c:pt idx="18">
                  <c:v>207.83452584841618</c:v>
                </c:pt>
                <c:pt idx="19">
                  <c:v>151.054132258333</c:v>
                </c:pt>
                <c:pt idx="20">
                  <c:v>165.40389885641699</c:v>
                </c:pt>
                <c:pt idx="21">
                  <c:v>268.747938701159</c:v>
                </c:pt>
              </c:numCache>
            </c:numRef>
          </c:val>
          <c:smooth val="0"/>
        </c:ser>
        <c:ser>
          <c:idx val="5"/>
          <c:order val="5"/>
          <c:tx>
            <c:v>Soybean (US$/TM - United States)</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Masters.xlsx]Table'!$J$13:$AE$13</c:f>
              <c:numCache>
                <c:formatCode>0.000</c:formatCode>
                <c:ptCount val="22"/>
                <c:pt idx="0">
                  <c:v>219.08333333333334</c:v>
                </c:pt>
                <c:pt idx="1">
                  <c:v>208.83333333333334</c:v>
                </c:pt>
                <c:pt idx="2">
                  <c:v>209.75</c:v>
                </c:pt>
                <c:pt idx="3">
                  <c:v>230.16666666666669</c:v>
                </c:pt>
                <c:pt idx="4">
                  <c:v>229.58333333333334</c:v>
                </c:pt>
                <c:pt idx="5">
                  <c:v>224.16666666666666</c:v>
                </c:pt>
                <c:pt idx="6">
                  <c:v>277.41666666666663</c:v>
                </c:pt>
                <c:pt idx="7">
                  <c:v>280.66666666666669</c:v>
                </c:pt>
                <c:pt idx="8">
                  <c:v>223.16666666666669</c:v>
                </c:pt>
                <c:pt idx="9">
                  <c:v>174.91666666666669</c:v>
                </c:pt>
                <c:pt idx="10">
                  <c:v>183</c:v>
                </c:pt>
                <c:pt idx="11">
                  <c:v>168.75</c:v>
                </c:pt>
                <c:pt idx="12">
                  <c:v>188.75</c:v>
                </c:pt>
                <c:pt idx="13">
                  <c:v>233.25</c:v>
                </c:pt>
                <c:pt idx="14">
                  <c:v>276.83333333333331</c:v>
                </c:pt>
                <c:pt idx="15">
                  <c:v>223.16666666666666</c:v>
                </c:pt>
                <c:pt idx="16">
                  <c:v>217.41666666666666</c:v>
                </c:pt>
                <c:pt idx="17">
                  <c:v>317.25</c:v>
                </c:pt>
                <c:pt idx="18">
                  <c:v>453.33333333333337</c:v>
                </c:pt>
                <c:pt idx="19">
                  <c:v>378.5</c:v>
                </c:pt>
                <c:pt idx="20">
                  <c:v>385</c:v>
                </c:pt>
                <c:pt idx="21">
                  <c:v>484.25</c:v>
                </c:pt>
              </c:numCache>
            </c:numRef>
          </c:val>
          <c:smooth val="0"/>
        </c:ser>
        <c:ser>
          <c:idx val="6"/>
          <c:order val="6"/>
          <c:tx>
            <c:v>Commodity Prices (US$/TM - all)</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Masters.xlsx]Table'!$J$15:$AE$15</c:f>
              <c:numCache>
                <c:formatCode>General</c:formatCode>
                <c:ptCount val="22"/>
                <c:pt idx="2" formatCode="0.000">
                  <c:v>54.8545712142678</c:v>
                </c:pt>
                <c:pt idx="3" formatCode="0.000">
                  <c:v>52.496041336778099</c:v>
                </c:pt>
                <c:pt idx="4" formatCode="0.000">
                  <c:v>54.696224685390497</c:v>
                </c:pt>
                <c:pt idx="5" formatCode="0.000">
                  <c:v>59.179931660971697</c:v>
                </c:pt>
                <c:pt idx="6" formatCode="0.000">
                  <c:v>62.1385115426285</c:v>
                </c:pt>
                <c:pt idx="7" formatCode="0.000">
                  <c:v>59.488290690890899</c:v>
                </c:pt>
                <c:pt idx="8" formatCode="0.000">
                  <c:v>47.770647553962803</c:v>
                </c:pt>
                <c:pt idx="9" formatCode="0.000">
                  <c:v>49.929160763396901</c:v>
                </c:pt>
                <c:pt idx="10" formatCode="0.000">
                  <c:v>63.263605300441597</c:v>
                </c:pt>
                <c:pt idx="11" formatCode="0.000">
                  <c:v>58.288190682556802</c:v>
                </c:pt>
                <c:pt idx="12" formatCode="0.000">
                  <c:v>58.329860821735103</c:v>
                </c:pt>
                <c:pt idx="13" formatCode="0.000">
                  <c:v>65.030419201600097</c:v>
                </c:pt>
                <c:pt idx="14" formatCode="0.000">
                  <c:v>80.398366530544195</c:v>
                </c:pt>
                <c:pt idx="15" formatCode="0.000">
                  <c:v>100</c:v>
                </c:pt>
                <c:pt idx="16" formatCode="0.000">
                  <c:v>120.826735561297</c:v>
                </c:pt>
                <c:pt idx="17" formatCode="0.000">
                  <c:v>135.094591215934</c:v>
                </c:pt>
                <c:pt idx="18" formatCode="0.000">
                  <c:v>172.33936161346799</c:v>
                </c:pt>
                <c:pt idx="19" formatCode="0.000">
                  <c:v>120.718393199433</c:v>
                </c:pt>
                <c:pt idx="20" formatCode="0.000">
                  <c:v>152.22935244603701</c:v>
                </c:pt>
                <c:pt idx="21" formatCode="0.000">
                  <c:v>192.24102008500699</c:v>
                </c:pt>
              </c:numCache>
            </c:numRef>
          </c:val>
          <c:smooth val="0"/>
        </c:ser>
        <c:ser>
          <c:idx val="7"/>
          <c:order val="7"/>
          <c:tx>
            <c:v>Commodity Prices (US$/TM - Food)</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Masters.xlsx]Table'!$J$17:$AE$17</c:f>
              <c:numCache>
                <c:formatCode>0.000</c:formatCode>
                <c:ptCount val="22"/>
                <c:pt idx="0">
                  <c:v>103.7</c:v>
                </c:pt>
                <c:pt idx="1">
                  <c:v>98.383333333333297</c:v>
                </c:pt>
                <c:pt idx="2">
                  <c:v>97.158333333333303</c:v>
                </c:pt>
                <c:pt idx="3">
                  <c:v>96.308333333333294</c:v>
                </c:pt>
                <c:pt idx="4">
                  <c:v>99.2916666666667</c:v>
                </c:pt>
                <c:pt idx="5">
                  <c:v>104.375</c:v>
                </c:pt>
                <c:pt idx="6">
                  <c:v>112.02500000000001</c:v>
                </c:pt>
                <c:pt idx="7">
                  <c:v>102.583333333333</c:v>
                </c:pt>
                <c:pt idx="8">
                  <c:v>92.066666666666706</c:v>
                </c:pt>
                <c:pt idx="9">
                  <c:v>80.150000000000006</c:v>
                </c:pt>
                <c:pt idx="10">
                  <c:v>82.108333333333334</c:v>
                </c:pt>
                <c:pt idx="11">
                  <c:v>80.491666666666674</c:v>
                </c:pt>
                <c:pt idx="12">
                  <c:v>83.325000000000003</c:v>
                </c:pt>
                <c:pt idx="13">
                  <c:v>88.55</c:v>
                </c:pt>
                <c:pt idx="14">
                  <c:v>100.94166666666666</c:v>
                </c:pt>
                <c:pt idx="15">
                  <c:v>100</c:v>
                </c:pt>
                <c:pt idx="16">
                  <c:v>110.49166666666666</c:v>
                </c:pt>
                <c:pt idx="17">
                  <c:v>127.31666666666666</c:v>
                </c:pt>
                <c:pt idx="18">
                  <c:v>157.041666666667</c:v>
                </c:pt>
                <c:pt idx="19">
                  <c:v>134</c:v>
                </c:pt>
                <c:pt idx="20">
                  <c:v>149.35833333333301</c:v>
                </c:pt>
                <c:pt idx="21">
                  <c:v>178.77500000000001</c:v>
                </c:pt>
              </c:numCache>
            </c:numRef>
          </c:val>
          <c:smooth val="0"/>
        </c:ser>
        <c:dLbls>
          <c:showLegendKey val="0"/>
          <c:showVal val="0"/>
          <c:showCatName val="0"/>
          <c:showSerName val="0"/>
          <c:showPercent val="0"/>
          <c:showBubbleSize val="0"/>
        </c:dLbls>
        <c:marker val="1"/>
        <c:smooth val="0"/>
        <c:axId val="137944064"/>
        <c:axId val="453951488"/>
      </c:lineChart>
      <c:lineChart>
        <c:grouping val="standard"/>
        <c:varyColors val="0"/>
        <c:ser>
          <c:idx val="8"/>
          <c:order val="8"/>
          <c:tx>
            <c:v>QUINOA (US%/TM - Bolivia)</c:v>
          </c:tx>
          <c:marker>
            <c:symbol val="none"/>
          </c:marker>
          <c:cat>
            <c:strRef>
              <c:f>'[Price Trends for Masters.xlsx]Table'!$J$1:$AE$1</c:f>
              <c:strCache>
                <c:ptCount val="2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strCache>
            </c:strRef>
          </c:cat>
          <c:val>
            <c:numRef>
              <c:f>'[Price Trends for Masters.xlsx]Table'!$J$18:$AE$18</c:f>
              <c:numCache>
                <c:formatCode>0</c:formatCode>
                <c:ptCount val="22"/>
                <c:pt idx="0">
                  <c:v>830</c:v>
                </c:pt>
                <c:pt idx="1">
                  <c:v>900</c:v>
                </c:pt>
                <c:pt idx="2">
                  <c:v>920</c:v>
                </c:pt>
                <c:pt idx="3">
                  <c:v>1020</c:v>
                </c:pt>
                <c:pt idx="4">
                  <c:v>1300</c:v>
                </c:pt>
                <c:pt idx="5">
                  <c:v>1250</c:v>
                </c:pt>
                <c:pt idx="6">
                  <c:v>1050</c:v>
                </c:pt>
                <c:pt idx="7">
                  <c:v>1210</c:v>
                </c:pt>
                <c:pt idx="8">
                  <c:v>1260</c:v>
                </c:pt>
                <c:pt idx="9">
                  <c:v>1343</c:v>
                </c:pt>
                <c:pt idx="10">
                  <c:v>1259</c:v>
                </c:pt>
                <c:pt idx="11">
                  <c:v>1136</c:v>
                </c:pt>
                <c:pt idx="12">
                  <c:v>1153</c:v>
                </c:pt>
                <c:pt idx="13">
                  <c:v>1101</c:v>
                </c:pt>
                <c:pt idx="14">
                  <c:v>1140</c:v>
                </c:pt>
                <c:pt idx="15">
                  <c:v>1155</c:v>
                </c:pt>
                <c:pt idx="16">
                  <c:v>1166</c:v>
                </c:pt>
                <c:pt idx="17">
                  <c:v>1254</c:v>
                </c:pt>
                <c:pt idx="18">
                  <c:v>2233</c:v>
                </c:pt>
                <c:pt idx="19">
                  <c:v>3002</c:v>
                </c:pt>
                <c:pt idx="20">
                  <c:v>3061</c:v>
                </c:pt>
              </c:numCache>
            </c:numRef>
          </c:val>
          <c:smooth val="0"/>
        </c:ser>
        <c:dLbls>
          <c:showLegendKey val="0"/>
          <c:showVal val="0"/>
          <c:showCatName val="0"/>
          <c:showSerName val="0"/>
          <c:showPercent val="0"/>
          <c:showBubbleSize val="0"/>
        </c:dLbls>
        <c:marker val="1"/>
        <c:smooth val="0"/>
        <c:axId val="138075648"/>
        <c:axId val="453952064"/>
      </c:lineChart>
      <c:catAx>
        <c:axId val="137944064"/>
        <c:scaling>
          <c:orientation val="minMax"/>
        </c:scaling>
        <c:delete val="0"/>
        <c:axPos val="b"/>
        <c:majorTickMark val="out"/>
        <c:minorTickMark val="none"/>
        <c:tickLblPos val="nextTo"/>
        <c:crossAx val="453951488"/>
        <c:crosses val="autoZero"/>
        <c:auto val="1"/>
        <c:lblAlgn val="ctr"/>
        <c:lblOffset val="100"/>
        <c:noMultiLvlLbl val="0"/>
      </c:catAx>
      <c:valAx>
        <c:axId val="453951488"/>
        <c:scaling>
          <c:orientation val="minMax"/>
        </c:scaling>
        <c:delete val="0"/>
        <c:axPos val="l"/>
        <c:majorGridlines/>
        <c:numFmt formatCode="0.000" sourceLinked="1"/>
        <c:majorTickMark val="out"/>
        <c:minorTickMark val="none"/>
        <c:tickLblPos val="nextTo"/>
        <c:crossAx val="137944064"/>
        <c:crosses val="autoZero"/>
        <c:crossBetween val="between"/>
      </c:valAx>
      <c:valAx>
        <c:axId val="453952064"/>
        <c:scaling>
          <c:orientation val="minMax"/>
        </c:scaling>
        <c:delete val="0"/>
        <c:axPos val="r"/>
        <c:numFmt formatCode="0" sourceLinked="1"/>
        <c:majorTickMark val="out"/>
        <c:minorTickMark val="none"/>
        <c:tickLblPos val="nextTo"/>
        <c:crossAx val="138075648"/>
        <c:crosses val="max"/>
        <c:crossBetween val="between"/>
      </c:valAx>
      <c:catAx>
        <c:axId val="138075648"/>
        <c:scaling>
          <c:orientation val="minMax"/>
        </c:scaling>
        <c:delete val="1"/>
        <c:axPos val="b"/>
        <c:majorTickMark val="out"/>
        <c:minorTickMark val="none"/>
        <c:tickLblPos val="nextTo"/>
        <c:crossAx val="453952064"/>
        <c:crosses val="autoZero"/>
        <c:auto val="1"/>
        <c:lblAlgn val="ctr"/>
        <c:lblOffset val="100"/>
        <c:noMultiLvlLbl val="0"/>
      </c:catAx>
    </c:plotArea>
    <c:legend>
      <c:legendPos val="r"/>
      <c:overlay val="0"/>
    </c:legend>
    <c:plotVisOnly val="1"/>
    <c:dispBlanksAs val="gap"/>
    <c:showDLblsOverMax val="0"/>
  </c:chart>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8CA70E-4230-4455-94D8-4B262F0FE162}"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n-US"/>
        </a:p>
      </dgm:t>
    </dgm:pt>
    <dgm:pt modelId="{522C2978-065F-465A-B211-A3A58047578C}">
      <dgm:prSet phldrT="[Text]" custT="1"/>
      <dgm:spPr>
        <a:xfrm>
          <a:off x="2391735" y="2414"/>
          <a:ext cx="1054662" cy="546057"/>
        </a:xfrm>
      </dgm:spPr>
      <dgm:t>
        <a:bodyPr/>
        <a:lstStyle/>
        <a:p>
          <a:r>
            <a:rPr lang="en-US" sz="1100" b="1" dirty="0" smtClean="0">
              <a:latin typeface="Times New Roman"/>
              <a:ea typeface="+mn-ea"/>
              <a:cs typeface="+mn-cs"/>
            </a:rPr>
            <a:t>Quinoa Farmers</a:t>
          </a:r>
          <a:endParaRPr lang="en-US" sz="1100" b="1" dirty="0">
            <a:latin typeface="Times New Roman"/>
            <a:ea typeface="+mn-ea"/>
            <a:cs typeface="+mn-cs"/>
          </a:endParaRPr>
        </a:p>
      </dgm:t>
    </dgm:pt>
    <dgm:pt modelId="{A3009EED-D592-425B-9ABB-B7A1B9E320C7}" type="parTrans" cxnId="{CB39F4E4-6517-4724-8719-F0D2A2EAA441}">
      <dgm:prSet/>
      <dgm:spPr/>
      <dgm:t>
        <a:bodyPr/>
        <a:lstStyle/>
        <a:p>
          <a:endParaRPr lang="en-US"/>
        </a:p>
      </dgm:t>
    </dgm:pt>
    <dgm:pt modelId="{FE659BF3-E5FC-4F05-B2A8-2058E723E838}" type="sibTrans" cxnId="{CB39F4E4-6517-4724-8719-F0D2A2EAA441}">
      <dgm:prSet/>
      <dgm:spPr>
        <a:xfrm>
          <a:off x="3116021" y="1407709"/>
          <a:ext cx="949196" cy="182019"/>
        </a:xfrm>
      </dgm:spPr>
      <dgm:t>
        <a:bodyPr/>
        <a:lstStyle/>
        <a:p>
          <a:r>
            <a:rPr lang="en-US" smtClean="0">
              <a:latin typeface="Times New Roman"/>
              <a:ea typeface="+mn-ea"/>
              <a:cs typeface="+mn-cs"/>
            </a:rPr>
            <a:t>Organic and Non Organic </a:t>
          </a:r>
          <a:endParaRPr lang="en-US" dirty="0">
            <a:latin typeface="Times New Roman"/>
            <a:ea typeface="+mn-ea"/>
            <a:cs typeface="+mn-cs"/>
          </a:endParaRPr>
        </a:p>
      </dgm:t>
    </dgm:pt>
    <dgm:pt modelId="{E3B5C1CD-8FD8-4F7F-BBFC-ABE45661BED3}" type="asst">
      <dgm:prSet phldrT="[Text]"/>
      <dgm:spPr>
        <a:xfrm>
          <a:off x="1684258" y="863971"/>
          <a:ext cx="1054662" cy="546057"/>
        </a:xfrm>
      </dgm:spPr>
      <dgm:t>
        <a:bodyPr/>
        <a:lstStyle/>
        <a:p>
          <a:r>
            <a:rPr lang="en-US" b="1" dirty="0" smtClean="0">
              <a:latin typeface="Times New Roman"/>
              <a:ea typeface="+mn-ea"/>
              <a:cs typeface="+mn-cs"/>
            </a:rPr>
            <a:t>SELL</a:t>
          </a:r>
          <a:endParaRPr lang="en-US" b="1" dirty="0">
            <a:latin typeface="Times New Roman"/>
            <a:ea typeface="+mn-ea"/>
            <a:cs typeface="+mn-cs"/>
          </a:endParaRPr>
        </a:p>
      </dgm:t>
    </dgm:pt>
    <dgm:pt modelId="{D004F8D8-A327-4966-97E9-407AD42A21F2}" type="parTrans" cxnId="{4D0CDD76-0A7C-4825-BA54-628CC593F4A0}">
      <dgm:prSet/>
      <dgm:spPr>
        <a:xfrm>
          <a:off x="2738920" y="548471"/>
          <a:ext cx="180146" cy="588528"/>
        </a:xfrm>
      </dgm:spPr>
      <dgm:t>
        <a:bodyPr/>
        <a:lstStyle/>
        <a:p>
          <a:endParaRPr lang="en-US"/>
        </a:p>
      </dgm:t>
    </dgm:pt>
    <dgm:pt modelId="{D4A02185-7808-4D06-84E1-139F56526012}" type="sibTrans" cxnId="{4D0CDD76-0A7C-4825-BA54-628CC593F4A0}">
      <dgm:prSet/>
      <dgm:spPr>
        <a:xfrm>
          <a:off x="3500622" y="926963"/>
          <a:ext cx="949196" cy="182019"/>
        </a:xfrm>
      </dgm:spPr>
      <dgm:t>
        <a:bodyPr/>
        <a:lstStyle/>
        <a:p>
          <a:r>
            <a:rPr lang="en-US" dirty="0" smtClean="0">
              <a:latin typeface="Times New Roman"/>
              <a:ea typeface="+mn-ea"/>
              <a:cs typeface="+mn-cs"/>
            </a:rPr>
            <a:t>Produce mostly for self consumption    </a:t>
          </a:r>
          <a:endParaRPr lang="en-US" dirty="0">
            <a:latin typeface="Times New Roman"/>
            <a:ea typeface="+mn-ea"/>
            <a:cs typeface="+mn-cs"/>
          </a:endParaRPr>
        </a:p>
      </dgm:t>
    </dgm:pt>
    <dgm:pt modelId="{609EC050-713E-42CD-95B1-BA6B32FC6371}">
      <dgm:prSet phldrT="[Text]" custT="1"/>
      <dgm:spPr>
        <a:xfrm>
          <a:off x="976780" y="1725528"/>
          <a:ext cx="1054662" cy="546057"/>
        </a:xfrm>
      </dgm:spPr>
      <dgm:t>
        <a:bodyPr/>
        <a:lstStyle/>
        <a:p>
          <a:r>
            <a:rPr lang="en-US" sz="1000" b="1" dirty="0" smtClean="0">
              <a:latin typeface="Times New Roman"/>
              <a:ea typeface="+mn-ea"/>
              <a:cs typeface="+mn-cs"/>
            </a:rPr>
            <a:t>Producer Organizations</a:t>
          </a:r>
        </a:p>
        <a:p>
          <a:r>
            <a:rPr lang="en-US" sz="800" dirty="0" smtClean="0">
              <a:latin typeface="Times New Roman"/>
              <a:ea typeface="+mn-ea"/>
              <a:cs typeface="+mn-cs"/>
            </a:rPr>
            <a:t>(ANAPQUI and  CECAOT)	</a:t>
          </a:r>
          <a:endParaRPr lang="en-US" sz="800" dirty="0">
            <a:latin typeface="Times New Roman"/>
            <a:ea typeface="+mn-ea"/>
            <a:cs typeface="+mn-cs"/>
          </a:endParaRPr>
        </a:p>
      </dgm:t>
    </dgm:pt>
    <dgm:pt modelId="{9763F0BB-D978-45F3-88CB-F134E2B54810}" type="parTrans" cxnId="{FDE8F9B3-F8A3-4657-A84C-0F224D6ADA7A}">
      <dgm:prSet/>
      <dgm:spPr>
        <a:xfrm>
          <a:off x="1504111" y="548471"/>
          <a:ext cx="1414955" cy="1177056"/>
        </a:xfrm>
      </dgm:spPr>
      <dgm:t>
        <a:bodyPr/>
        <a:lstStyle/>
        <a:p>
          <a:endParaRPr lang="en-US"/>
        </a:p>
      </dgm:t>
    </dgm:pt>
    <dgm:pt modelId="{8D0FB2D9-3A2A-43CA-96C6-7A19962A2B2A}" type="sibTrans" cxnId="{FDE8F9B3-F8A3-4657-A84C-0F224D6ADA7A}">
      <dgm:prSet/>
      <dgm:spPr>
        <a:xfrm>
          <a:off x="1096884" y="1407711"/>
          <a:ext cx="949196" cy="182019"/>
        </a:xfrm>
      </dgm:spPr>
      <dgm:t>
        <a:bodyPr/>
        <a:lstStyle/>
        <a:p>
          <a:r>
            <a:rPr lang="en-US" dirty="0" smtClean="0">
              <a:latin typeface="Times New Roman"/>
              <a:ea typeface="+mn-ea"/>
              <a:cs typeface="+mn-cs"/>
            </a:rPr>
            <a:t>Mostly deal with Organic Quinoa</a:t>
          </a:r>
          <a:endParaRPr lang="en-US" dirty="0">
            <a:latin typeface="Times New Roman"/>
            <a:ea typeface="+mn-ea"/>
            <a:cs typeface="+mn-cs"/>
          </a:endParaRPr>
        </a:p>
      </dgm:t>
    </dgm:pt>
    <dgm:pt modelId="{9C934E3A-F4E5-46ED-9268-8F7315009887}">
      <dgm:prSet phldrT="[Text]" custT="1"/>
      <dgm:spPr>
        <a:xfrm>
          <a:off x="2391735" y="1725528"/>
          <a:ext cx="1054662" cy="546057"/>
        </a:xfrm>
      </dgm:spPr>
      <dgm:t>
        <a:bodyPr/>
        <a:lstStyle/>
        <a:p>
          <a:r>
            <a:rPr lang="en-US" sz="1000" b="1" dirty="0" smtClean="0">
              <a:latin typeface="Times New Roman"/>
              <a:ea typeface="+mn-ea"/>
              <a:cs typeface="+mn-cs"/>
            </a:rPr>
            <a:t>Private Firms</a:t>
          </a:r>
        </a:p>
        <a:p>
          <a:r>
            <a:rPr lang="en-US" sz="800" b="1" dirty="0" smtClean="0">
              <a:latin typeface="Times New Roman"/>
              <a:ea typeface="+mn-ea"/>
              <a:cs typeface="+mn-cs"/>
            </a:rPr>
            <a:t> </a:t>
          </a:r>
          <a:r>
            <a:rPr lang="en-US" sz="800" dirty="0" smtClean="0">
              <a:latin typeface="Times New Roman"/>
              <a:ea typeface="+mn-ea"/>
              <a:cs typeface="+mn-cs"/>
            </a:rPr>
            <a:t>(new private firms enter the  quinoa market during the late 1990's)		</a:t>
          </a:r>
          <a:endParaRPr lang="en-US" sz="800" dirty="0">
            <a:latin typeface="Times New Roman"/>
            <a:ea typeface="+mn-ea"/>
            <a:cs typeface="+mn-cs"/>
          </a:endParaRPr>
        </a:p>
      </dgm:t>
    </dgm:pt>
    <dgm:pt modelId="{211675FB-89FC-4DCC-BB89-9381C19F7CB2}" type="parTrans" cxnId="{16010A31-A43A-480B-9E49-63BE94DF44DF}">
      <dgm:prSet/>
      <dgm:spPr>
        <a:xfrm>
          <a:off x="2873346" y="548471"/>
          <a:ext cx="91440" cy="1177056"/>
        </a:xfrm>
      </dgm:spPr>
      <dgm:t>
        <a:bodyPr/>
        <a:lstStyle/>
        <a:p>
          <a:endParaRPr lang="en-US"/>
        </a:p>
      </dgm:t>
    </dgm:pt>
    <dgm:pt modelId="{FFBB4B3F-5665-476E-854F-94FF8D016598}" type="sibTrans" cxnId="{16010A31-A43A-480B-9E49-63BE94DF44DF}">
      <dgm:prSet/>
      <dgm:spPr>
        <a:xfrm>
          <a:off x="3315675" y="710941"/>
          <a:ext cx="949196" cy="182019"/>
        </a:xfrm>
      </dgm:spPr>
      <dgm:t>
        <a:bodyPr/>
        <a:lstStyle/>
        <a:p>
          <a:r>
            <a:rPr lang="en-US" dirty="0" smtClean="0">
              <a:latin typeface="Times New Roman"/>
              <a:ea typeface="+mn-ea"/>
              <a:cs typeface="+mn-cs"/>
            </a:rPr>
            <a:t>Small Land Owners	</a:t>
          </a:r>
          <a:endParaRPr lang="en-US" dirty="0">
            <a:latin typeface="Times New Roman"/>
            <a:ea typeface="+mn-ea"/>
            <a:cs typeface="+mn-cs"/>
          </a:endParaRPr>
        </a:p>
      </dgm:t>
    </dgm:pt>
    <dgm:pt modelId="{71BD2696-DCE7-49B2-A6B8-8A4E59E15826}">
      <dgm:prSet phldrT="[Text]" custT="1"/>
      <dgm:spPr>
        <a:xfrm>
          <a:off x="3806691" y="1725528"/>
          <a:ext cx="1054662" cy="546057"/>
        </a:xfrm>
      </dgm:spPr>
      <dgm:t>
        <a:bodyPr/>
        <a:lstStyle/>
        <a:p>
          <a:r>
            <a:rPr lang="en-US" sz="1000" b="1" dirty="0" smtClean="0">
              <a:latin typeface="Times New Roman"/>
              <a:ea typeface="+mn-ea"/>
              <a:cs typeface="+mn-cs"/>
            </a:rPr>
            <a:t>"Challapata  Fair"</a:t>
          </a:r>
          <a:endParaRPr lang="en-US" sz="1000" b="1" dirty="0">
            <a:latin typeface="Times New Roman"/>
            <a:ea typeface="+mn-ea"/>
            <a:cs typeface="+mn-cs"/>
          </a:endParaRPr>
        </a:p>
      </dgm:t>
    </dgm:pt>
    <dgm:pt modelId="{2A620BF4-F513-42C5-8763-73348AC5A112}" type="parTrans" cxnId="{4AC91D1F-A3F6-4300-B30E-C9306D59B8C0}">
      <dgm:prSet/>
      <dgm:spPr>
        <a:xfrm>
          <a:off x="2919066" y="548471"/>
          <a:ext cx="1414955" cy="1177056"/>
        </a:xfrm>
      </dgm:spPr>
      <dgm:t>
        <a:bodyPr/>
        <a:lstStyle/>
        <a:p>
          <a:endParaRPr lang="en-US"/>
        </a:p>
      </dgm:t>
    </dgm:pt>
    <dgm:pt modelId="{DB3AA3FA-3E46-41F5-8E44-4824ABA71619}" type="sibTrans" cxnId="{4AC91D1F-A3F6-4300-B30E-C9306D59B8C0}">
      <dgm:prSet/>
      <dgm:spPr>
        <a:xfrm>
          <a:off x="1360709" y="651700"/>
          <a:ext cx="949196" cy="182019"/>
        </a:xfrm>
      </dgm:spPr>
      <dgm:t>
        <a:bodyPr/>
        <a:lstStyle/>
        <a:p>
          <a:r>
            <a:rPr lang="en-US" dirty="0" smtClean="0">
              <a:latin typeface="Times New Roman"/>
              <a:ea typeface="+mn-ea"/>
              <a:cs typeface="+mn-cs"/>
            </a:rPr>
            <a:t>Medium or Big Size Land Owners</a:t>
          </a:r>
          <a:endParaRPr lang="en-US" dirty="0">
            <a:latin typeface="Times New Roman"/>
            <a:ea typeface="+mn-ea"/>
            <a:cs typeface="+mn-cs"/>
          </a:endParaRPr>
        </a:p>
      </dgm:t>
    </dgm:pt>
    <dgm:pt modelId="{212B4CD4-94BA-4851-9F4D-93815443B010}">
      <dgm:prSet/>
      <dgm:spPr>
        <a:xfrm>
          <a:off x="976780" y="2587085"/>
          <a:ext cx="1054662" cy="546057"/>
        </a:xfrm>
      </dgm:spPr>
      <dgm:t>
        <a:bodyPr/>
        <a:lstStyle/>
        <a:p>
          <a:r>
            <a:rPr lang="en-US" dirty="0" smtClean="0">
              <a:latin typeface="Times New Roman"/>
              <a:ea typeface="+mn-ea"/>
              <a:cs typeface="+mn-cs"/>
            </a:rPr>
            <a:t> </a:t>
          </a:r>
          <a:r>
            <a:rPr lang="en-US" b="1" dirty="0" smtClean="0">
              <a:latin typeface="Times New Roman"/>
              <a:ea typeface="+mn-ea"/>
              <a:cs typeface="+mn-cs"/>
            </a:rPr>
            <a:t>EXPORT to markets in the US  and Europe </a:t>
          </a:r>
          <a:r>
            <a:rPr lang="en-US" dirty="0" smtClean="0">
              <a:latin typeface="Times New Roman"/>
              <a:ea typeface="+mn-ea"/>
              <a:cs typeface="+mn-cs"/>
            </a:rPr>
            <a:t>(primarilly)</a:t>
          </a:r>
          <a:endParaRPr lang="en-US" dirty="0">
            <a:latin typeface="Times New Roman"/>
            <a:ea typeface="+mn-ea"/>
            <a:cs typeface="+mn-cs"/>
          </a:endParaRPr>
        </a:p>
      </dgm:t>
    </dgm:pt>
    <dgm:pt modelId="{FA6C3E01-2DBD-47BD-9F13-200A1531E438}" type="parTrans" cxnId="{9AEA8F0B-094C-4263-8CD3-C8C1643F5C86}">
      <dgm:prSet/>
      <dgm:spPr>
        <a:xfrm>
          <a:off x="1458391" y="2271586"/>
          <a:ext cx="91440" cy="315499"/>
        </a:xfrm>
      </dgm:spPr>
      <dgm:t>
        <a:bodyPr/>
        <a:lstStyle/>
        <a:p>
          <a:endParaRPr lang="en-US"/>
        </a:p>
      </dgm:t>
    </dgm:pt>
    <dgm:pt modelId="{AC5CA59A-02C5-4616-BAB8-72FA3A21D767}" type="sibTrans" cxnId="{9AEA8F0B-094C-4263-8CD3-C8C1643F5C86}">
      <dgm:prSet custT="1"/>
      <dgm:spPr>
        <a:xfrm>
          <a:off x="1187712" y="3011797"/>
          <a:ext cx="949196" cy="182019"/>
        </a:xfrm>
      </dgm:spPr>
      <dgm:t>
        <a:bodyPr/>
        <a:lstStyle/>
        <a:p>
          <a:r>
            <a:rPr lang="en-US" sz="800" dirty="0" smtClean="0">
              <a:latin typeface="Times New Roman"/>
              <a:ea typeface="+mn-ea"/>
              <a:cs typeface="+mn-cs"/>
            </a:rPr>
            <a:t>Regional PO's deliver the quinoa to the umbrella POs for  full or final processing. </a:t>
          </a:r>
          <a:endParaRPr lang="en-US" sz="800" dirty="0">
            <a:latin typeface="Times New Roman"/>
            <a:ea typeface="+mn-ea"/>
            <a:cs typeface="+mn-cs"/>
          </a:endParaRPr>
        </a:p>
      </dgm:t>
    </dgm:pt>
    <dgm:pt modelId="{75650316-6C72-452C-BD47-CCB305BE427C}">
      <dgm:prSet/>
      <dgm:spPr>
        <a:xfrm>
          <a:off x="2391735" y="2587085"/>
          <a:ext cx="1054662" cy="546057"/>
        </a:xfrm>
      </dgm:spPr>
      <dgm:t>
        <a:bodyPr/>
        <a:lstStyle/>
        <a:p>
          <a:r>
            <a:rPr lang="en-US" b="1" dirty="0" smtClean="0">
              <a:latin typeface="Times New Roman"/>
              <a:ea typeface="+mn-ea"/>
              <a:cs typeface="+mn-cs"/>
            </a:rPr>
            <a:t>EXPORT to markets in the  US  and Europe </a:t>
          </a:r>
          <a:r>
            <a:rPr lang="en-US" dirty="0" smtClean="0">
              <a:latin typeface="Times New Roman"/>
              <a:ea typeface="+mn-ea"/>
              <a:cs typeface="+mn-cs"/>
            </a:rPr>
            <a:t>(primarilly)</a:t>
          </a:r>
          <a:endParaRPr lang="en-US" dirty="0">
            <a:latin typeface="Times New Roman"/>
            <a:ea typeface="+mn-ea"/>
            <a:cs typeface="+mn-cs"/>
          </a:endParaRPr>
        </a:p>
      </dgm:t>
    </dgm:pt>
    <dgm:pt modelId="{A62106BD-82E8-4844-90B7-FFE2E23B87E9}" type="parTrans" cxnId="{33E83AE3-D01B-4878-A808-ECD50842E093}">
      <dgm:prSet/>
      <dgm:spPr>
        <a:xfrm>
          <a:off x="2873346" y="2271586"/>
          <a:ext cx="91440" cy="315499"/>
        </a:xfrm>
      </dgm:spPr>
      <dgm:t>
        <a:bodyPr/>
        <a:lstStyle/>
        <a:p>
          <a:endParaRPr lang="en-US"/>
        </a:p>
      </dgm:t>
    </dgm:pt>
    <dgm:pt modelId="{EAB1E50C-EBA0-4CC3-AE17-9D47167226AF}" type="sibTrans" cxnId="{33E83AE3-D01B-4878-A808-ECD50842E093}">
      <dgm:prSet custT="1"/>
      <dgm:spPr>
        <a:xfrm>
          <a:off x="2602668" y="3011797"/>
          <a:ext cx="949196" cy="182019"/>
        </a:xfrm>
      </dgm:spPr>
      <dgm:t>
        <a:bodyPr/>
        <a:lstStyle/>
        <a:p>
          <a:pPr algn="l"/>
          <a:r>
            <a:rPr lang="en-US" sz="800" dirty="0" smtClean="0">
              <a:latin typeface="Times New Roman"/>
              <a:ea typeface="+mn-ea"/>
              <a:cs typeface="+mn-cs"/>
            </a:rPr>
            <a:t>Some companies are vertically integrated throughout the chain. Ex. Jatary. </a:t>
          </a:r>
          <a:endParaRPr lang="en-US" sz="800" dirty="0">
            <a:latin typeface="Times New Roman"/>
            <a:ea typeface="+mn-ea"/>
            <a:cs typeface="+mn-cs"/>
          </a:endParaRPr>
        </a:p>
      </dgm:t>
    </dgm:pt>
    <dgm:pt modelId="{7A67E34C-680E-42FD-922E-B640B8E654E4}">
      <dgm:prSet/>
      <dgm:spPr>
        <a:xfrm>
          <a:off x="3806691" y="2587085"/>
          <a:ext cx="1054662" cy="546057"/>
        </a:xfrm>
      </dgm:spPr>
      <dgm:t>
        <a:bodyPr/>
        <a:lstStyle/>
        <a:p>
          <a:r>
            <a:rPr lang="en-US" dirty="0" smtClean="0">
              <a:latin typeface="Times New Roman"/>
              <a:ea typeface="+mn-ea"/>
              <a:cs typeface="+mn-cs"/>
            </a:rPr>
            <a:t>Also, known  as the </a:t>
          </a:r>
          <a:r>
            <a:rPr lang="en-US" b="1" dirty="0" smtClean="0">
              <a:latin typeface="Times New Roman"/>
              <a:ea typeface="+mn-ea"/>
              <a:cs typeface="+mn-cs"/>
            </a:rPr>
            <a:t>"Black Market</a:t>
          </a:r>
          <a:r>
            <a:rPr lang="en-US" dirty="0" smtClean="0">
              <a:latin typeface="Times New Roman"/>
              <a:ea typeface="+mn-ea"/>
              <a:cs typeface="+mn-cs"/>
            </a:rPr>
            <a:t>" since Qunoa is either smuggled into Peru or destine towards the Internal Market.</a:t>
          </a:r>
          <a:endParaRPr lang="en-US" dirty="0">
            <a:latin typeface="Times New Roman"/>
            <a:ea typeface="+mn-ea"/>
            <a:cs typeface="+mn-cs"/>
          </a:endParaRPr>
        </a:p>
      </dgm:t>
    </dgm:pt>
    <dgm:pt modelId="{C5899494-1DE5-4E84-A5DF-42502AEDE6B5}" type="parTrans" cxnId="{2515F35B-FCE8-4303-9A8C-6A04591DDA97}">
      <dgm:prSet/>
      <dgm:spPr>
        <a:xfrm>
          <a:off x="4288302" y="2271586"/>
          <a:ext cx="91440" cy="315499"/>
        </a:xfrm>
      </dgm:spPr>
      <dgm:t>
        <a:bodyPr/>
        <a:lstStyle/>
        <a:p>
          <a:endParaRPr lang="en-US"/>
        </a:p>
      </dgm:t>
    </dgm:pt>
    <dgm:pt modelId="{5647319B-2578-43D5-9EE6-9D94F4037C28}" type="sibTrans" cxnId="{2515F35B-FCE8-4303-9A8C-6A04591DDA97}">
      <dgm:prSet/>
      <dgm:spPr>
        <a:xfrm>
          <a:off x="4017623" y="3011797"/>
          <a:ext cx="949196" cy="182019"/>
        </a:xfrm>
      </dgm:spPr>
      <dgm:t>
        <a:bodyPr/>
        <a:lstStyle/>
        <a:p>
          <a:r>
            <a:rPr lang="en-US" dirty="0" smtClean="0">
              <a:latin typeface="Times New Roman"/>
              <a:ea typeface="+mn-ea"/>
              <a:cs typeface="+mn-cs"/>
            </a:rPr>
            <a:t>Conventional Quinoa prices are set here. </a:t>
          </a:r>
          <a:endParaRPr lang="en-US" dirty="0">
            <a:latin typeface="Times New Roman"/>
            <a:ea typeface="+mn-ea"/>
            <a:cs typeface="+mn-cs"/>
          </a:endParaRPr>
        </a:p>
      </dgm:t>
    </dgm:pt>
    <dgm:pt modelId="{1DFC1432-BE42-46C2-8F5D-7D2B75D48D2F}">
      <dgm:prSet custT="1"/>
      <dgm:spPr>
        <a:xfrm>
          <a:off x="976780" y="3448643"/>
          <a:ext cx="1054662" cy="546057"/>
        </a:xfrm>
      </dgm:spPr>
      <dgm:t>
        <a:bodyPr/>
        <a:lstStyle/>
        <a:p>
          <a:r>
            <a:rPr lang="en-US" sz="1000" b="1" dirty="0" smtClean="0">
              <a:latin typeface="Times New Roman"/>
              <a:ea typeface="+mn-ea"/>
              <a:cs typeface="+mn-cs"/>
            </a:rPr>
            <a:t>Importers and Distributors</a:t>
          </a:r>
          <a:endParaRPr lang="en-US" sz="1000" b="1" dirty="0">
            <a:latin typeface="Times New Roman"/>
            <a:ea typeface="+mn-ea"/>
            <a:cs typeface="+mn-cs"/>
          </a:endParaRPr>
        </a:p>
      </dgm:t>
    </dgm:pt>
    <dgm:pt modelId="{A6DEA683-6DB0-4B49-931F-9288ABB62B0C}" type="parTrans" cxnId="{EDA39A03-AD1C-40E5-A518-2A6CDDEE504B}">
      <dgm:prSet/>
      <dgm:spPr>
        <a:xfrm>
          <a:off x="1458391" y="3133143"/>
          <a:ext cx="91440" cy="315499"/>
        </a:xfrm>
      </dgm:spPr>
      <dgm:t>
        <a:bodyPr/>
        <a:lstStyle/>
        <a:p>
          <a:endParaRPr lang="en-US"/>
        </a:p>
      </dgm:t>
    </dgm:pt>
    <dgm:pt modelId="{B7A842C4-0385-4900-BE90-6D3CF0BE563F}" type="sibTrans" cxnId="{EDA39A03-AD1C-40E5-A518-2A6CDDEE504B}">
      <dgm:prSet/>
      <dgm:spPr>
        <a:xfrm>
          <a:off x="1187712" y="3873354"/>
          <a:ext cx="949196" cy="182019"/>
        </a:xfrm>
      </dgm:spPr>
      <dgm:t>
        <a:bodyPr/>
        <a:lstStyle/>
        <a:p>
          <a:r>
            <a:rPr lang="en-US">
              <a:solidFill>
                <a:srgbClr val="000000">
                  <a:hueOff val="0"/>
                  <a:satOff val="0"/>
                  <a:lumOff val="0"/>
                  <a:alphaOff val="0"/>
                </a:srgbClr>
              </a:solidFill>
              <a:latin typeface="Times New Roman"/>
              <a:ea typeface="+mn-ea"/>
              <a:cs typeface="+mn-cs"/>
            </a:rPr>
            <a:t>Ex. Rapunzel, GEPA.</a:t>
          </a:r>
        </a:p>
      </dgm:t>
    </dgm:pt>
    <dgm:pt modelId="{8A993C78-61C9-40F9-9292-3D55888B28B2}">
      <dgm:prSet custT="1"/>
      <dgm:spPr>
        <a:xfrm>
          <a:off x="2391735" y="3448643"/>
          <a:ext cx="1054662" cy="546057"/>
        </a:xfrm>
      </dgm:spPr>
      <dgm:t>
        <a:bodyPr/>
        <a:lstStyle/>
        <a:p>
          <a:r>
            <a:rPr lang="en-US" sz="1000" b="1" dirty="0" smtClean="0">
              <a:latin typeface="Times New Roman"/>
              <a:ea typeface="+mn-ea"/>
              <a:cs typeface="+mn-cs"/>
            </a:rPr>
            <a:t>Importers and Distributors</a:t>
          </a:r>
          <a:endParaRPr lang="en-US" sz="1000" b="1" dirty="0">
            <a:latin typeface="Times New Roman"/>
            <a:ea typeface="+mn-ea"/>
            <a:cs typeface="+mn-cs"/>
          </a:endParaRPr>
        </a:p>
      </dgm:t>
    </dgm:pt>
    <dgm:pt modelId="{A181E2C6-06D3-4223-9DFF-3D1DA5FE102E}" type="parTrans" cxnId="{695F523B-8C59-43C1-81E9-E86697D11C91}">
      <dgm:prSet/>
      <dgm:spPr>
        <a:xfrm>
          <a:off x="2873346" y="3133143"/>
          <a:ext cx="91440" cy="315499"/>
        </a:xfrm>
      </dgm:spPr>
      <dgm:t>
        <a:bodyPr/>
        <a:lstStyle/>
        <a:p>
          <a:endParaRPr lang="en-US"/>
        </a:p>
      </dgm:t>
    </dgm:pt>
    <dgm:pt modelId="{D2876652-E2C5-4043-A249-205138BA1E12}" type="sibTrans" cxnId="{695F523B-8C59-43C1-81E9-E86697D11C91}">
      <dgm:prSet custT="1"/>
      <dgm:spPr>
        <a:xfrm>
          <a:off x="2602668" y="3873354"/>
          <a:ext cx="949196" cy="182019"/>
        </a:xfrm>
      </dgm:spPr>
      <dgm:t>
        <a:bodyPr/>
        <a:lstStyle/>
        <a:p>
          <a:r>
            <a:rPr lang="en-US" sz="800">
              <a:solidFill>
                <a:srgbClr val="000000">
                  <a:hueOff val="0"/>
                  <a:satOff val="0"/>
                  <a:lumOff val="0"/>
                  <a:alphaOff val="0"/>
                </a:srgbClr>
              </a:solidFill>
              <a:latin typeface="Times New Roman"/>
              <a:ea typeface="+mn-ea"/>
              <a:cs typeface="+mn-cs"/>
            </a:rPr>
            <a:t>French company Euronat is vertically integrated with Jatary</a:t>
          </a:r>
          <a:r>
            <a:rPr lang="en-US" sz="600">
              <a:solidFill>
                <a:srgbClr val="000000">
                  <a:hueOff val="0"/>
                  <a:satOff val="0"/>
                  <a:lumOff val="0"/>
                  <a:alphaOff val="0"/>
                </a:srgbClr>
              </a:solidFill>
              <a:latin typeface="Times New Roman"/>
              <a:ea typeface="+mn-ea"/>
              <a:cs typeface="+mn-cs"/>
            </a:rPr>
            <a:t>.</a:t>
          </a:r>
        </a:p>
      </dgm:t>
    </dgm:pt>
    <dgm:pt modelId="{EC39D734-AF5B-4A31-AD93-56D915C783C0}">
      <dgm:prSet custT="1"/>
      <dgm:spPr>
        <a:xfrm>
          <a:off x="976780" y="4310200"/>
          <a:ext cx="1054662" cy="546057"/>
        </a:xfrm>
      </dgm:spPr>
      <dgm:t>
        <a:bodyPr/>
        <a:lstStyle/>
        <a:p>
          <a:r>
            <a:rPr lang="en-US" sz="1000" b="1" dirty="0" smtClean="0">
              <a:latin typeface="Times New Roman"/>
              <a:ea typeface="+mn-ea"/>
              <a:cs typeface="+mn-cs"/>
            </a:rPr>
            <a:t>Retailers and Supermarkets</a:t>
          </a:r>
          <a:endParaRPr lang="en-US" sz="1000" b="1" dirty="0">
            <a:latin typeface="Times New Roman"/>
            <a:ea typeface="+mn-ea"/>
            <a:cs typeface="+mn-cs"/>
          </a:endParaRPr>
        </a:p>
      </dgm:t>
    </dgm:pt>
    <dgm:pt modelId="{C5463AE0-BC3D-4132-8106-EB80150AB5F8}" type="parTrans" cxnId="{6366822B-D1FC-4CA8-90FB-B87F4A681731}">
      <dgm:prSet/>
      <dgm:spPr>
        <a:xfrm>
          <a:off x="1458391" y="3994700"/>
          <a:ext cx="91440" cy="315499"/>
        </a:xfrm>
      </dgm:spPr>
      <dgm:t>
        <a:bodyPr/>
        <a:lstStyle/>
        <a:p>
          <a:endParaRPr lang="en-US"/>
        </a:p>
      </dgm:t>
    </dgm:pt>
    <dgm:pt modelId="{CCEA54A2-E93B-40D1-B65E-9FB1B7A49218}" type="sibTrans" cxnId="{6366822B-D1FC-4CA8-90FB-B87F4A681731}">
      <dgm:prSet/>
      <dgm:spPr>
        <a:xfrm>
          <a:off x="1187712" y="4734911"/>
          <a:ext cx="949196" cy="182019"/>
        </a:xfrm>
      </dgm:spPr>
      <dgm:t>
        <a:bodyPr/>
        <a:lstStyle/>
        <a:p>
          <a:endParaRPr lang="en-US">
            <a:solidFill>
              <a:srgbClr val="000000">
                <a:hueOff val="0"/>
                <a:satOff val="0"/>
                <a:lumOff val="0"/>
                <a:alphaOff val="0"/>
              </a:srgbClr>
            </a:solidFill>
            <a:latin typeface="Times New Roman"/>
            <a:ea typeface="+mn-ea"/>
            <a:cs typeface="+mn-cs"/>
          </a:endParaRPr>
        </a:p>
      </dgm:t>
    </dgm:pt>
    <dgm:pt modelId="{CB20C080-D667-4F6B-9F23-A0218A9AF6B9}">
      <dgm:prSet custT="1"/>
      <dgm:spPr>
        <a:xfrm>
          <a:off x="2391735" y="4310200"/>
          <a:ext cx="1054662" cy="546057"/>
        </a:xfrm>
      </dgm:spPr>
      <dgm:t>
        <a:bodyPr/>
        <a:lstStyle/>
        <a:p>
          <a:r>
            <a:rPr lang="en-US" sz="1000" b="1" dirty="0" smtClean="0">
              <a:latin typeface="Times New Roman"/>
              <a:ea typeface="+mn-ea"/>
              <a:cs typeface="+mn-cs"/>
            </a:rPr>
            <a:t>Retailers and </a:t>
          </a:r>
          <a:r>
            <a:rPr lang="en-US" sz="1000" b="1" dirty="0" err="1" smtClean="0">
              <a:latin typeface="Times New Roman"/>
              <a:ea typeface="+mn-ea"/>
              <a:cs typeface="+mn-cs"/>
            </a:rPr>
            <a:t>Supermarkts</a:t>
          </a:r>
          <a:r>
            <a:rPr lang="en-US" sz="800" dirty="0" smtClean="0">
              <a:latin typeface="Times New Roman"/>
              <a:ea typeface="+mn-ea"/>
              <a:cs typeface="+mn-cs"/>
            </a:rPr>
            <a:t>	</a:t>
          </a:r>
          <a:endParaRPr lang="en-US" sz="800" dirty="0">
            <a:latin typeface="Times New Roman"/>
            <a:ea typeface="+mn-ea"/>
            <a:cs typeface="+mn-cs"/>
          </a:endParaRPr>
        </a:p>
      </dgm:t>
    </dgm:pt>
    <dgm:pt modelId="{982BADD8-CF3B-4E92-BB33-20F946E4ACF7}" type="parTrans" cxnId="{830291EE-CB7A-4E06-ACF5-0B27936D8CCA}">
      <dgm:prSet/>
      <dgm:spPr>
        <a:xfrm>
          <a:off x="2873346" y="3994700"/>
          <a:ext cx="91440" cy="315499"/>
        </a:xfrm>
      </dgm:spPr>
      <dgm:t>
        <a:bodyPr/>
        <a:lstStyle/>
        <a:p>
          <a:endParaRPr lang="en-US"/>
        </a:p>
      </dgm:t>
    </dgm:pt>
    <dgm:pt modelId="{375F7A25-F525-4F8F-B154-F20CAAE71B50}" type="sibTrans" cxnId="{830291EE-CB7A-4E06-ACF5-0B27936D8CCA}">
      <dgm:prSet custT="1"/>
      <dgm:spPr>
        <a:xfrm>
          <a:off x="2602668" y="4734911"/>
          <a:ext cx="949196" cy="182019"/>
        </a:xfrm>
      </dgm:spPr>
      <dgm:t>
        <a:bodyPr/>
        <a:lstStyle/>
        <a:p>
          <a:r>
            <a:rPr lang="en-US" sz="1100">
              <a:solidFill>
                <a:srgbClr val="000000">
                  <a:hueOff val="0"/>
                  <a:satOff val="0"/>
                  <a:lumOff val="0"/>
                  <a:alphaOff val="0"/>
                </a:srgbClr>
              </a:solidFill>
              <a:latin typeface="Times New Roman"/>
              <a:ea typeface="+mn-ea"/>
              <a:cs typeface="+mn-cs"/>
            </a:rPr>
            <a:t>Ex. Carrefour</a:t>
          </a:r>
        </a:p>
      </dgm:t>
    </dgm:pt>
    <dgm:pt modelId="{7DC63EFB-1385-4BA6-9CD5-6CEF6D073420}" type="pres">
      <dgm:prSet presAssocID="{C28CA70E-4230-4455-94D8-4B262F0FE162}" presName="hierChild1" presStyleCnt="0">
        <dgm:presLayoutVars>
          <dgm:orgChart val="1"/>
          <dgm:chPref val="1"/>
          <dgm:dir/>
          <dgm:animOne val="branch"/>
          <dgm:animLvl val="lvl"/>
          <dgm:resizeHandles/>
        </dgm:presLayoutVars>
      </dgm:prSet>
      <dgm:spPr/>
      <dgm:t>
        <a:bodyPr/>
        <a:lstStyle/>
        <a:p>
          <a:endParaRPr lang="en-US"/>
        </a:p>
      </dgm:t>
    </dgm:pt>
    <dgm:pt modelId="{F1AAC266-AEC3-40C1-AB96-80FB365F21FC}" type="pres">
      <dgm:prSet presAssocID="{522C2978-065F-465A-B211-A3A58047578C}" presName="hierRoot1" presStyleCnt="0">
        <dgm:presLayoutVars>
          <dgm:hierBranch val="init"/>
        </dgm:presLayoutVars>
      </dgm:prSet>
      <dgm:spPr/>
      <dgm:t>
        <a:bodyPr/>
        <a:lstStyle/>
        <a:p>
          <a:endParaRPr lang="en-US"/>
        </a:p>
      </dgm:t>
    </dgm:pt>
    <dgm:pt modelId="{394DD42C-E907-4976-B766-F8A035FB938E}" type="pres">
      <dgm:prSet presAssocID="{522C2978-065F-465A-B211-A3A58047578C}" presName="rootComposite1" presStyleCnt="0"/>
      <dgm:spPr/>
      <dgm:t>
        <a:bodyPr/>
        <a:lstStyle/>
        <a:p>
          <a:endParaRPr lang="en-US"/>
        </a:p>
      </dgm:t>
    </dgm:pt>
    <dgm:pt modelId="{1BFBF0C7-CBE0-4D48-B671-40C161728A63}" type="pres">
      <dgm:prSet presAssocID="{522C2978-065F-465A-B211-A3A58047578C}" presName="rootText1" presStyleLbl="node0" presStyleIdx="0" presStyleCnt="1">
        <dgm:presLayoutVars>
          <dgm:chMax/>
          <dgm:chPref val="3"/>
        </dgm:presLayoutVars>
      </dgm:prSet>
      <dgm:spPr>
        <a:prstGeom prst="rect">
          <a:avLst/>
        </a:prstGeom>
      </dgm:spPr>
      <dgm:t>
        <a:bodyPr/>
        <a:lstStyle/>
        <a:p>
          <a:endParaRPr lang="en-US"/>
        </a:p>
      </dgm:t>
    </dgm:pt>
    <dgm:pt modelId="{9CAC1903-B064-4D80-A17D-B3DED5AAA0B8}" type="pres">
      <dgm:prSet presAssocID="{522C2978-065F-465A-B211-A3A58047578C}" presName="titleText1" presStyleLbl="fgAcc0" presStyleIdx="0" presStyleCnt="1" custLinFactY="238726" custLinFactNeighborX="54083" custLinFactNeighborY="300000">
        <dgm:presLayoutVars>
          <dgm:chMax val="0"/>
          <dgm:chPref val="0"/>
        </dgm:presLayoutVars>
      </dgm:prSet>
      <dgm:spPr>
        <a:prstGeom prst="rect">
          <a:avLst/>
        </a:prstGeom>
      </dgm:spPr>
      <dgm:t>
        <a:bodyPr/>
        <a:lstStyle/>
        <a:p>
          <a:endParaRPr lang="en-US"/>
        </a:p>
      </dgm:t>
    </dgm:pt>
    <dgm:pt modelId="{F36CD759-0AA4-4F79-BCBD-A7A968A44E02}" type="pres">
      <dgm:prSet presAssocID="{522C2978-065F-465A-B211-A3A58047578C}" presName="rootConnector1" presStyleLbl="node1" presStyleIdx="0" presStyleCnt="10"/>
      <dgm:spPr/>
      <dgm:t>
        <a:bodyPr/>
        <a:lstStyle/>
        <a:p>
          <a:endParaRPr lang="en-US"/>
        </a:p>
      </dgm:t>
    </dgm:pt>
    <dgm:pt modelId="{E3908C4B-E4ED-4106-B1CC-72A4693BD8F0}" type="pres">
      <dgm:prSet presAssocID="{522C2978-065F-465A-B211-A3A58047578C}" presName="hierChild2" presStyleCnt="0"/>
      <dgm:spPr/>
      <dgm:t>
        <a:bodyPr/>
        <a:lstStyle/>
        <a:p>
          <a:endParaRPr lang="en-US"/>
        </a:p>
      </dgm:t>
    </dgm:pt>
    <dgm:pt modelId="{BFE5407C-BDD1-4A73-A80B-878BF2700911}" type="pres">
      <dgm:prSet presAssocID="{9763F0BB-D978-45F3-88CB-F134E2B54810}" presName="Name37" presStyleLbl="parChTrans1D2" presStyleIdx="0" presStyleCnt="4"/>
      <dgm:spPr>
        <a:custGeom>
          <a:avLst/>
          <a:gdLst/>
          <a:ahLst/>
          <a:cxnLst/>
          <a:rect l="0" t="0" r="0" b="0"/>
          <a:pathLst>
            <a:path>
              <a:moveTo>
                <a:pt x="1719882" y="0"/>
              </a:moveTo>
              <a:lnTo>
                <a:pt x="1719882" y="1275845"/>
              </a:lnTo>
              <a:lnTo>
                <a:pt x="0" y="1275845"/>
              </a:lnTo>
              <a:lnTo>
                <a:pt x="0" y="1430716"/>
              </a:lnTo>
            </a:path>
          </a:pathLst>
        </a:custGeom>
      </dgm:spPr>
      <dgm:t>
        <a:bodyPr/>
        <a:lstStyle/>
        <a:p>
          <a:endParaRPr lang="en-US"/>
        </a:p>
      </dgm:t>
    </dgm:pt>
    <dgm:pt modelId="{CDFC59AD-198A-4A17-8765-5E026E6F5534}" type="pres">
      <dgm:prSet presAssocID="{609EC050-713E-42CD-95B1-BA6B32FC6371}" presName="hierRoot2" presStyleCnt="0">
        <dgm:presLayoutVars>
          <dgm:hierBranch val="init"/>
        </dgm:presLayoutVars>
      </dgm:prSet>
      <dgm:spPr/>
      <dgm:t>
        <a:bodyPr/>
        <a:lstStyle/>
        <a:p>
          <a:endParaRPr lang="en-US"/>
        </a:p>
      </dgm:t>
    </dgm:pt>
    <dgm:pt modelId="{BF599609-F938-47E8-B7DC-3DEB0D807E20}" type="pres">
      <dgm:prSet presAssocID="{609EC050-713E-42CD-95B1-BA6B32FC6371}" presName="rootComposite" presStyleCnt="0"/>
      <dgm:spPr/>
      <dgm:t>
        <a:bodyPr/>
        <a:lstStyle/>
        <a:p>
          <a:endParaRPr lang="en-US"/>
        </a:p>
      </dgm:t>
    </dgm:pt>
    <dgm:pt modelId="{B716599B-9D29-47B1-8F06-9443BF99C68C}" type="pres">
      <dgm:prSet presAssocID="{609EC050-713E-42CD-95B1-BA6B32FC6371}" presName="rootText" presStyleLbl="node1" presStyleIdx="0" presStyleCnt="10">
        <dgm:presLayoutVars>
          <dgm:chMax/>
          <dgm:chPref val="3"/>
        </dgm:presLayoutVars>
      </dgm:prSet>
      <dgm:spPr>
        <a:prstGeom prst="rect">
          <a:avLst/>
        </a:prstGeom>
      </dgm:spPr>
      <dgm:t>
        <a:bodyPr/>
        <a:lstStyle/>
        <a:p>
          <a:endParaRPr lang="en-US"/>
        </a:p>
      </dgm:t>
    </dgm:pt>
    <dgm:pt modelId="{42919571-8C8A-45A5-9BFE-47659453BD29}" type="pres">
      <dgm:prSet presAssocID="{609EC050-713E-42CD-95B1-BA6B32FC6371}" presName="titleText2" presStyleLbl="fgAcc1" presStyleIdx="0" presStyleCnt="10" custLinFactY="-190737" custLinFactNeighborX="-8342" custLinFactNeighborY="-200000">
        <dgm:presLayoutVars>
          <dgm:chMax val="0"/>
          <dgm:chPref val="0"/>
        </dgm:presLayoutVars>
      </dgm:prSet>
      <dgm:spPr>
        <a:prstGeom prst="rect">
          <a:avLst/>
        </a:prstGeom>
      </dgm:spPr>
      <dgm:t>
        <a:bodyPr/>
        <a:lstStyle/>
        <a:p>
          <a:endParaRPr lang="en-US"/>
        </a:p>
      </dgm:t>
    </dgm:pt>
    <dgm:pt modelId="{D7D7851B-BBBD-4DD3-88F1-28A57EEACDD0}" type="pres">
      <dgm:prSet presAssocID="{609EC050-713E-42CD-95B1-BA6B32FC6371}" presName="rootConnector" presStyleLbl="node2" presStyleIdx="0" presStyleCnt="0"/>
      <dgm:spPr/>
      <dgm:t>
        <a:bodyPr/>
        <a:lstStyle/>
        <a:p>
          <a:endParaRPr lang="en-US"/>
        </a:p>
      </dgm:t>
    </dgm:pt>
    <dgm:pt modelId="{CA40534F-30E8-4828-9B78-C7F54DC50F9E}" type="pres">
      <dgm:prSet presAssocID="{609EC050-713E-42CD-95B1-BA6B32FC6371}" presName="hierChild4" presStyleCnt="0"/>
      <dgm:spPr/>
      <dgm:t>
        <a:bodyPr/>
        <a:lstStyle/>
        <a:p>
          <a:endParaRPr lang="en-US"/>
        </a:p>
      </dgm:t>
    </dgm:pt>
    <dgm:pt modelId="{E0B30EE3-F4DD-4610-A709-912D5EE9439E}" type="pres">
      <dgm:prSet presAssocID="{FA6C3E01-2DBD-47BD-9F13-200A1531E438}" presName="Name37" presStyleLbl="parChTrans1D3" presStyleIdx="0" presStyleCnt="3"/>
      <dgm:spPr>
        <a:custGeom>
          <a:avLst/>
          <a:gdLst/>
          <a:ahLst/>
          <a:cxnLst/>
          <a:rect l="0" t="0" r="0" b="0"/>
          <a:pathLst>
            <a:path>
              <a:moveTo>
                <a:pt x="45720" y="0"/>
              </a:moveTo>
              <a:lnTo>
                <a:pt x="45720" y="383490"/>
              </a:lnTo>
            </a:path>
          </a:pathLst>
        </a:custGeom>
      </dgm:spPr>
      <dgm:t>
        <a:bodyPr/>
        <a:lstStyle/>
        <a:p>
          <a:endParaRPr lang="en-US"/>
        </a:p>
      </dgm:t>
    </dgm:pt>
    <dgm:pt modelId="{A534B9C7-A721-455B-81A0-09E8A138F0AD}" type="pres">
      <dgm:prSet presAssocID="{212B4CD4-94BA-4851-9F4D-93815443B010}" presName="hierRoot2" presStyleCnt="0">
        <dgm:presLayoutVars>
          <dgm:hierBranch val="init"/>
        </dgm:presLayoutVars>
      </dgm:prSet>
      <dgm:spPr/>
      <dgm:t>
        <a:bodyPr/>
        <a:lstStyle/>
        <a:p>
          <a:endParaRPr lang="en-US"/>
        </a:p>
      </dgm:t>
    </dgm:pt>
    <dgm:pt modelId="{EC374F6F-6971-4461-8A7B-75A65CDFC468}" type="pres">
      <dgm:prSet presAssocID="{212B4CD4-94BA-4851-9F4D-93815443B010}" presName="rootComposite" presStyleCnt="0"/>
      <dgm:spPr/>
      <dgm:t>
        <a:bodyPr/>
        <a:lstStyle/>
        <a:p>
          <a:endParaRPr lang="en-US"/>
        </a:p>
      </dgm:t>
    </dgm:pt>
    <dgm:pt modelId="{60382261-A942-47A8-B60E-253683743B5F}" type="pres">
      <dgm:prSet presAssocID="{212B4CD4-94BA-4851-9F4D-93815443B010}" presName="rootText" presStyleLbl="node1" presStyleIdx="1" presStyleCnt="10">
        <dgm:presLayoutVars>
          <dgm:chMax/>
          <dgm:chPref val="3"/>
        </dgm:presLayoutVars>
      </dgm:prSet>
      <dgm:spPr>
        <a:prstGeom prst="rect">
          <a:avLst/>
        </a:prstGeom>
      </dgm:spPr>
      <dgm:t>
        <a:bodyPr/>
        <a:lstStyle/>
        <a:p>
          <a:endParaRPr lang="en-US"/>
        </a:p>
      </dgm:t>
    </dgm:pt>
    <dgm:pt modelId="{C865E448-AD2D-47F5-95BD-B87B54EF5141}" type="pres">
      <dgm:prSet presAssocID="{212B4CD4-94BA-4851-9F4D-93815443B010}" presName="titleText2" presStyleLbl="fgAcc1" presStyleIdx="1" presStyleCnt="10" custScaleY="208251" custLinFactNeighborX="2474" custLinFactNeighborY="21504">
        <dgm:presLayoutVars>
          <dgm:chMax val="0"/>
          <dgm:chPref val="0"/>
        </dgm:presLayoutVars>
      </dgm:prSet>
      <dgm:spPr>
        <a:prstGeom prst="rect">
          <a:avLst/>
        </a:prstGeom>
      </dgm:spPr>
      <dgm:t>
        <a:bodyPr/>
        <a:lstStyle/>
        <a:p>
          <a:endParaRPr lang="en-US"/>
        </a:p>
      </dgm:t>
    </dgm:pt>
    <dgm:pt modelId="{D0B140AF-B40F-483E-9FB3-39D2BB43C2F0}" type="pres">
      <dgm:prSet presAssocID="{212B4CD4-94BA-4851-9F4D-93815443B010}" presName="rootConnector" presStyleLbl="node3" presStyleIdx="0" presStyleCnt="0"/>
      <dgm:spPr/>
      <dgm:t>
        <a:bodyPr/>
        <a:lstStyle/>
        <a:p>
          <a:endParaRPr lang="en-US"/>
        </a:p>
      </dgm:t>
    </dgm:pt>
    <dgm:pt modelId="{76E0930A-7436-461B-BE3E-2998E3C232D1}" type="pres">
      <dgm:prSet presAssocID="{212B4CD4-94BA-4851-9F4D-93815443B010}" presName="hierChild4" presStyleCnt="0"/>
      <dgm:spPr/>
      <dgm:t>
        <a:bodyPr/>
        <a:lstStyle/>
        <a:p>
          <a:endParaRPr lang="en-US"/>
        </a:p>
      </dgm:t>
    </dgm:pt>
    <dgm:pt modelId="{EC3ADB33-7187-47FB-ABB8-D088FFD3756E}" type="pres">
      <dgm:prSet presAssocID="{A6DEA683-6DB0-4B49-931F-9288ABB62B0C}" presName="Name37" presStyleLbl="parChTrans1D4" presStyleIdx="0" presStyleCnt="4"/>
      <dgm:spPr>
        <a:custGeom>
          <a:avLst/>
          <a:gdLst/>
          <a:ahLst/>
          <a:cxnLst/>
          <a:rect l="0" t="0" r="0" b="0"/>
          <a:pathLst>
            <a:path>
              <a:moveTo>
                <a:pt x="45720" y="0"/>
              </a:moveTo>
              <a:lnTo>
                <a:pt x="45720" y="383490"/>
              </a:lnTo>
            </a:path>
          </a:pathLst>
        </a:custGeom>
      </dgm:spPr>
      <dgm:t>
        <a:bodyPr/>
        <a:lstStyle/>
        <a:p>
          <a:endParaRPr lang="en-US"/>
        </a:p>
      </dgm:t>
    </dgm:pt>
    <dgm:pt modelId="{1C28095B-B951-40D8-8DEB-00AD71244CD5}" type="pres">
      <dgm:prSet presAssocID="{1DFC1432-BE42-46C2-8F5D-7D2B75D48D2F}" presName="hierRoot2" presStyleCnt="0">
        <dgm:presLayoutVars>
          <dgm:hierBranch val="init"/>
        </dgm:presLayoutVars>
      </dgm:prSet>
      <dgm:spPr/>
      <dgm:t>
        <a:bodyPr/>
        <a:lstStyle/>
        <a:p>
          <a:endParaRPr lang="en-US"/>
        </a:p>
      </dgm:t>
    </dgm:pt>
    <dgm:pt modelId="{F8407834-F10B-4CDF-BA52-BD2707F46595}" type="pres">
      <dgm:prSet presAssocID="{1DFC1432-BE42-46C2-8F5D-7D2B75D48D2F}" presName="rootComposite" presStyleCnt="0"/>
      <dgm:spPr/>
      <dgm:t>
        <a:bodyPr/>
        <a:lstStyle/>
        <a:p>
          <a:endParaRPr lang="en-US"/>
        </a:p>
      </dgm:t>
    </dgm:pt>
    <dgm:pt modelId="{C875B58D-8C27-4F0F-AEA8-8943E08F99A9}" type="pres">
      <dgm:prSet presAssocID="{1DFC1432-BE42-46C2-8F5D-7D2B75D48D2F}" presName="rootText" presStyleLbl="node1" presStyleIdx="2" presStyleCnt="10">
        <dgm:presLayoutVars>
          <dgm:chMax/>
          <dgm:chPref val="3"/>
        </dgm:presLayoutVars>
      </dgm:prSet>
      <dgm:spPr>
        <a:prstGeom prst="rect">
          <a:avLst/>
        </a:prstGeom>
      </dgm:spPr>
      <dgm:t>
        <a:bodyPr/>
        <a:lstStyle/>
        <a:p>
          <a:endParaRPr lang="en-US"/>
        </a:p>
      </dgm:t>
    </dgm:pt>
    <dgm:pt modelId="{120993E5-7505-42CA-AF14-AB16847D8911}" type="pres">
      <dgm:prSet presAssocID="{1DFC1432-BE42-46C2-8F5D-7D2B75D48D2F}" presName="titleText2" presStyleLbl="fgAcc1" presStyleIdx="2" presStyleCnt="10">
        <dgm:presLayoutVars>
          <dgm:chMax val="0"/>
          <dgm:chPref val="0"/>
        </dgm:presLayoutVars>
      </dgm:prSet>
      <dgm:spPr>
        <a:prstGeom prst="rect">
          <a:avLst/>
        </a:prstGeom>
      </dgm:spPr>
      <dgm:t>
        <a:bodyPr/>
        <a:lstStyle/>
        <a:p>
          <a:endParaRPr lang="en-US"/>
        </a:p>
      </dgm:t>
    </dgm:pt>
    <dgm:pt modelId="{2CF646B0-73EA-43A0-9966-0EDFAF593F06}" type="pres">
      <dgm:prSet presAssocID="{1DFC1432-BE42-46C2-8F5D-7D2B75D48D2F}" presName="rootConnector" presStyleLbl="node4" presStyleIdx="0" presStyleCnt="0"/>
      <dgm:spPr/>
      <dgm:t>
        <a:bodyPr/>
        <a:lstStyle/>
        <a:p>
          <a:endParaRPr lang="en-US"/>
        </a:p>
      </dgm:t>
    </dgm:pt>
    <dgm:pt modelId="{094F00BF-38D1-49F0-AB02-6CE3256B3234}" type="pres">
      <dgm:prSet presAssocID="{1DFC1432-BE42-46C2-8F5D-7D2B75D48D2F}" presName="hierChild4" presStyleCnt="0"/>
      <dgm:spPr/>
      <dgm:t>
        <a:bodyPr/>
        <a:lstStyle/>
        <a:p>
          <a:endParaRPr lang="en-US"/>
        </a:p>
      </dgm:t>
    </dgm:pt>
    <dgm:pt modelId="{6A33C117-E4E5-4AF5-A304-61FB43ED3DCD}" type="pres">
      <dgm:prSet presAssocID="{C5463AE0-BC3D-4132-8106-EB80150AB5F8}" presName="Name37" presStyleLbl="parChTrans1D4" presStyleIdx="1" presStyleCnt="4"/>
      <dgm:spPr>
        <a:custGeom>
          <a:avLst/>
          <a:gdLst/>
          <a:ahLst/>
          <a:cxnLst/>
          <a:rect l="0" t="0" r="0" b="0"/>
          <a:pathLst>
            <a:path>
              <a:moveTo>
                <a:pt x="45720" y="0"/>
              </a:moveTo>
              <a:lnTo>
                <a:pt x="45720" y="383490"/>
              </a:lnTo>
            </a:path>
          </a:pathLst>
        </a:custGeom>
      </dgm:spPr>
      <dgm:t>
        <a:bodyPr/>
        <a:lstStyle/>
        <a:p>
          <a:endParaRPr lang="en-US"/>
        </a:p>
      </dgm:t>
    </dgm:pt>
    <dgm:pt modelId="{715B7C93-50E1-4B61-9CC9-972E5B7B7381}" type="pres">
      <dgm:prSet presAssocID="{EC39D734-AF5B-4A31-AD93-56D915C783C0}" presName="hierRoot2" presStyleCnt="0">
        <dgm:presLayoutVars>
          <dgm:hierBranch val="init"/>
        </dgm:presLayoutVars>
      </dgm:prSet>
      <dgm:spPr/>
      <dgm:t>
        <a:bodyPr/>
        <a:lstStyle/>
        <a:p>
          <a:endParaRPr lang="en-US"/>
        </a:p>
      </dgm:t>
    </dgm:pt>
    <dgm:pt modelId="{CC12A724-B23B-480A-B3EA-9A134C2C0B87}" type="pres">
      <dgm:prSet presAssocID="{EC39D734-AF5B-4A31-AD93-56D915C783C0}" presName="rootComposite" presStyleCnt="0"/>
      <dgm:spPr/>
      <dgm:t>
        <a:bodyPr/>
        <a:lstStyle/>
        <a:p>
          <a:endParaRPr lang="en-US"/>
        </a:p>
      </dgm:t>
    </dgm:pt>
    <dgm:pt modelId="{25392AC2-8380-425A-AD2F-6CF1E880CE75}" type="pres">
      <dgm:prSet presAssocID="{EC39D734-AF5B-4A31-AD93-56D915C783C0}" presName="rootText" presStyleLbl="node1" presStyleIdx="3" presStyleCnt="10">
        <dgm:presLayoutVars>
          <dgm:chMax/>
          <dgm:chPref val="3"/>
        </dgm:presLayoutVars>
      </dgm:prSet>
      <dgm:spPr>
        <a:prstGeom prst="rect">
          <a:avLst/>
        </a:prstGeom>
      </dgm:spPr>
      <dgm:t>
        <a:bodyPr/>
        <a:lstStyle/>
        <a:p>
          <a:endParaRPr lang="en-US"/>
        </a:p>
      </dgm:t>
    </dgm:pt>
    <dgm:pt modelId="{EBCEC652-FC84-4905-81B0-7C9CD667481C}" type="pres">
      <dgm:prSet presAssocID="{EC39D734-AF5B-4A31-AD93-56D915C783C0}" presName="titleText2" presStyleLbl="fgAcc1" presStyleIdx="3" presStyleCnt="10">
        <dgm:presLayoutVars>
          <dgm:chMax val="0"/>
          <dgm:chPref val="0"/>
        </dgm:presLayoutVars>
      </dgm:prSet>
      <dgm:spPr>
        <a:prstGeom prst="rect">
          <a:avLst/>
        </a:prstGeom>
      </dgm:spPr>
      <dgm:t>
        <a:bodyPr/>
        <a:lstStyle/>
        <a:p>
          <a:endParaRPr lang="en-US"/>
        </a:p>
      </dgm:t>
    </dgm:pt>
    <dgm:pt modelId="{38B9ADAD-2DC9-411E-98E3-1E28EFAD62F1}" type="pres">
      <dgm:prSet presAssocID="{EC39D734-AF5B-4A31-AD93-56D915C783C0}" presName="rootConnector" presStyleLbl="node4" presStyleIdx="0" presStyleCnt="0"/>
      <dgm:spPr/>
      <dgm:t>
        <a:bodyPr/>
        <a:lstStyle/>
        <a:p>
          <a:endParaRPr lang="en-US"/>
        </a:p>
      </dgm:t>
    </dgm:pt>
    <dgm:pt modelId="{F5FEADAA-DCD9-4B1C-855B-51C74E55EBCE}" type="pres">
      <dgm:prSet presAssocID="{EC39D734-AF5B-4A31-AD93-56D915C783C0}" presName="hierChild4" presStyleCnt="0"/>
      <dgm:spPr/>
      <dgm:t>
        <a:bodyPr/>
        <a:lstStyle/>
        <a:p>
          <a:endParaRPr lang="en-US"/>
        </a:p>
      </dgm:t>
    </dgm:pt>
    <dgm:pt modelId="{B2A7A050-68B1-4D26-BC7C-14C492AABBEF}" type="pres">
      <dgm:prSet presAssocID="{EC39D734-AF5B-4A31-AD93-56D915C783C0}" presName="hierChild5" presStyleCnt="0"/>
      <dgm:spPr/>
      <dgm:t>
        <a:bodyPr/>
        <a:lstStyle/>
        <a:p>
          <a:endParaRPr lang="en-US"/>
        </a:p>
      </dgm:t>
    </dgm:pt>
    <dgm:pt modelId="{965CA13D-51E1-498F-80F1-80BDFEC7746A}" type="pres">
      <dgm:prSet presAssocID="{1DFC1432-BE42-46C2-8F5D-7D2B75D48D2F}" presName="hierChild5" presStyleCnt="0"/>
      <dgm:spPr/>
      <dgm:t>
        <a:bodyPr/>
        <a:lstStyle/>
        <a:p>
          <a:endParaRPr lang="en-US"/>
        </a:p>
      </dgm:t>
    </dgm:pt>
    <dgm:pt modelId="{D142ECEB-8318-4E2F-8C69-402FCF04DD7B}" type="pres">
      <dgm:prSet presAssocID="{212B4CD4-94BA-4851-9F4D-93815443B010}" presName="hierChild5" presStyleCnt="0"/>
      <dgm:spPr/>
      <dgm:t>
        <a:bodyPr/>
        <a:lstStyle/>
        <a:p>
          <a:endParaRPr lang="en-US"/>
        </a:p>
      </dgm:t>
    </dgm:pt>
    <dgm:pt modelId="{1CECF8A8-69AD-4238-B5A5-9229DFADCA70}" type="pres">
      <dgm:prSet presAssocID="{609EC050-713E-42CD-95B1-BA6B32FC6371}" presName="hierChild5" presStyleCnt="0"/>
      <dgm:spPr/>
      <dgm:t>
        <a:bodyPr/>
        <a:lstStyle/>
        <a:p>
          <a:endParaRPr lang="en-US"/>
        </a:p>
      </dgm:t>
    </dgm:pt>
    <dgm:pt modelId="{C66A76AF-C164-4B8F-8D11-8415902D1A5F}" type="pres">
      <dgm:prSet presAssocID="{211675FB-89FC-4DCC-BB89-9381C19F7CB2}" presName="Name37" presStyleLbl="parChTrans1D2" presStyleIdx="1" presStyleCnt="4"/>
      <dgm:spPr>
        <a:custGeom>
          <a:avLst/>
          <a:gdLst/>
          <a:ahLst/>
          <a:cxnLst/>
          <a:rect l="0" t="0" r="0" b="0"/>
          <a:pathLst>
            <a:path>
              <a:moveTo>
                <a:pt x="45720" y="0"/>
              </a:moveTo>
              <a:lnTo>
                <a:pt x="45720" y="1430716"/>
              </a:lnTo>
            </a:path>
          </a:pathLst>
        </a:custGeom>
      </dgm:spPr>
      <dgm:t>
        <a:bodyPr/>
        <a:lstStyle/>
        <a:p>
          <a:endParaRPr lang="en-US"/>
        </a:p>
      </dgm:t>
    </dgm:pt>
    <dgm:pt modelId="{DB329BE1-A9BD-4143-878B-EEC471B20894}" type="pres">
      <dgm:prSet presAssocID="{9C934E3A-F4E5-46ED-9268-8F7315009887}" presName="hierRoot2" presStyleCnt="0">
        <dgm:presLayoutVars>
          <dgm:hierBranch val="init"/>
        </dgm:presLayoutVars>
      </dgm:prSet>
      <dgm:spPr/>
      <dgm:t>
        <a:bodyPr/>
        <a:lstStyle/>
        <a:p>
          <a:endParaRPr lang="en-US"/>
        </a:p>
      </dgm:t>
    </dgm:pt>
    <dgm:pt modelId="{6483C7D8-7C89-41A9-9545-1D4CD507FE0A}" type="pres">
      <dgm:prSet presAssocID="{9C934E3A-F4E5-46ED-9268-8F7315009887}" presName="rootComposite" presStyleCnt="0"/>
      <dgm:spPr/>
      <dgm:t>
        <a:bodyPr/>
        <a:lstStyle/>
        <a:p>
          <a:endParaRPr lang="en-US"/>
        </a:p>
      </dgm:t>
    </dgm:pt>
    <dgm:pt modelId="{2065DD9D-A86A-4FD9-897E-55298C65AF97}" type="pres">
      <dgm:prSet presAssocID="{9C934E3A-F4E5-46ED-9268-8F7315009887}" presName="rootText" presStyleLbl="node1" presStyleIdx="4" presStyleCnt="10">
        <dgm:presLayoutVars>
          <dgm:chMax/>
          <dgm:chPref val="3"/>
        </dgm:presLayoutVars>
      </dgm:prSet>
      <dgm:spPr>
        <a:prstGeom prst="rect">
          <a:avLst/>
        </a:prstGeom>
      </dgm:spPr>
      <dgm:t>
        <a:bodyPr/>
        <a:lstStyle/>
        <a:p>
          <a:endParaRPr lang="en-US"/>
        </a:p>
      </dgm:t>
    </dgm:pt>
    <dgm:pt modelId="{B73EC240-C8AA-4B9D-9C74-8E16D0917658}" type="pres">
      <dgm:prSet presAssocID="{9C934E3A-F4E5-46ED-9268-8F7315009887}" presName="titleText2" presStyleLbl="fgAcc1" presStyleIdx="4" presStyleCnt="10" custLinFactY="-390740" custLinFactNeighborX="75117" custLinFactNeighborY="-400000">
        <dgm:presLayoutVars>
          <dgm:chMax val="0"/>
          <dgm:chPref val="0"/>
        </dgm:presLayoutVars>
      </dgm:prSet>
      <dgm:spPr>
        <a:prstGeom prst="rect">
          <a:avLst/>
        </a:prstGeom>
      </dgm:spPr>
      <dgm:t>
        <a:bodyPr/>
        <a:lstStyle/>
        <a:p>
          <a:endParaRPr lang="en-US"/>
        </a:p>
      </dgm:t>
    </dgm:pt>
    <dgm:pt modelId="{6E770AD8-F3D8-47FC-B888-FE96390BE709}" type="pres">
      <dgm:prSet presAssocID="{9C934E3A-F4E5-46ED-9268-8F7315009887}" presName="rootConnector" presStyleLbl="node2" presStyleIdx="0" presStyleCnt="0"/>
      <dgm:spPr/>
      <dgm:t>
        <a:bodyPr/>
        <a:lstStyle/>
        <a:p>
          <a:endParaRPr lang="en-US"/>
        </a:p>
      </dgm:t>
    </dgm:pt>
    <dgm:pt modelId="{A065FCE1-76CB-4CD0-80F7-A056CDAA1AD3}" type="pres">
      <dgm:prSet presAssocID="{9C934E3A-F4E5-46ED-9268-8F7315009887}" presName="hierChild4" presStyleCnt="0"/>
      <dgm:spPr/>
      <dgm:t>
        <a:bodyPr/>
        <a:lstStyle/>
        <a:p>
          <a:endParaRPr lang="en-US"/>
        </a:p>
      </dgm:t>
    </dgm:pt>
    <dgm:pt modelId="{4FD4FCC6-4A86-48F4-894A-B12FAE497647}" type="pres">
      <dgm:prSet presAssocID="{A62106BD-82E8-4844-90B7-FFE2E23B87E9}" presName="Name37" presStyleLbl="parChTrans1D3" presStyleIdx="1" presStyleCnt="3"/>
      <dgm:spPr>
        <a:custGeom>
          <a:avLst/>
          <a:gdLst/>
          <a:ahLst/>
          <a:cxnLst/>
          <a:rect l="0" t="0" r="0" b="0"/>
          <a:pathLst>
            <a:path>
              <a:moveTo>
                <a:pt x="45720" y="0"/>
              </a:moveTo>
              <a:lnTo>
                <a:pt x="45720" y="383490"/>
              </a:lnTo>
            </a:path>
          </a:pathLst>
        </a:custGeom>
      </dgm:spPr>
      <dgm:t>
        <a:bodyPr/>
        <a:lstStyle/>
        <a:p>
          <a:endParaRPr lang="en-US"/>
        </a:p>
      </dgm:t>
    </dgm:pt>
    <dgm:pt modelId="{981EB854-6234-455B-A08C-EE73BD94AE2E}" type="pres">
      <dgm:prSet presAssocID="{75650316-6C72-452C-BD47-CCB305BE427C}" presName="hierRoot2" presStyleCnt="0">
        <dgm:presLayoutVars>
          <dgm:hierBranch val="init"/>
        </dgm:presLayoutVars>
      </dgm:prSet>
      <dgm:spPr/>
      <dgm:t>
        <a:bodyPr/>
        <a:lstStyle/>
        <a:p>
          <a:endParaRPr lang="en-US"/>
        </a:p>
      </dgm:t>
    </dgm:pt>
    <dgm:pt modelId="{118325E1-26CB-4E29-8819-FC439B6723A6}" type="pres">
      <dgm:prSet presAssocID="{75650316-6C72-452C-BD47-CCB305BE427C}" presName="rootComposite" presStyleCnt="0"/>
      <dgm:spPr/>
      <dgm:t>
        <a:bodyPr/>
        <a:lstStyle/>
        <a:p>
          <a:endParaRPr lang="en-US"/>
        </a:p>
      </dgm:t>
    </dgm:pt>
    <dgm:pt modelId="{E515D687-E6F2-4D41-9E1F-31BBE09F8E78}" type="pres">
      <dgm:prSet presAssocID="{75650316-6C72-452C-BD47-CCB305BE427C}" presName="rootText" presStyleLbl="node1" presStyleIdx="5" presStyleCnt="10">
        <dgm:presLayoutVars>
          <dgm:chMax/>
          <dgm:chPref val="3"/>
        </dgm:presLayoutVars>
      </dgm:prSet>
      <dgm:spPr>
        <a:prstGeom prst="rect">
          <a:avLst/>
        </a:prstGeom>
      </dgm:spPr>
      <dgm:t>
        <a:bodyPr/>
        <a:lstStyle/>
        <a:p>
          <a:endParaRPr lang="en-US"/>
        </a:p>
      </dgm:t>
    </dgm:pt>
    <dgm:pt modelId="{31277573-1C5F-45B0-926D-801658735A2F}" type="pres">
      <dgm:prSet presAssocID="{75650316-6C72-452C-BD47-CCB305BE427C}" presName="titleText2" presStyleLbl="fgAcc1" presStyleIdx="5" presStyleCnt="10" custScaleY="228068" custLinFactNeighborY="42824">
        <dgm:presLayoutVars>
          <dgm:chMax val="0"/>
          <dgm:chPref val="0"/>
        </dgm:presLayoutVars>
      </dgm:prSet>
      <dgm:spPr>
        <a:prstGeom prst="rect">
          <a:avLst/>
        </a:prstGeom>
      </dgm:spPr>
      <dgm:t>
        <a:bodyPr/>
        <a:lstStyle/>
        <a:p>
          <a:endParaRPr lang="en-US"/>
        </a:p>
      </dgm:t>
    </dgm:pt>
    <dgm:pt modelId="{BD4083CD-2B4D-4479-9626-03AD3F06ACD4}" type="pres">
      <dgm:prSet presAssocID="{75650316-6C72-452C-BD47-CCB305BE427C}" presName="rootConnector" presStyleLbl="node3" presStyleIdx="0" presStyleCnt="0"/>
      <dgm:spPr/>
      <dgm:t>
        <a:bodyPr/>
        <a:lstStyle/>
        <a:p>
          <a:endParaRPr lang="en-US"/>
        </a:p>
      </dgm:t>
    </dgm:pt>
    <dgm:pt modelId="{AC00184B-8F07-4FBD-A71D-0970CE4365EA}" type="pres">
      <dgm:prSet presAssocID="{75650316-6C72-452C-BD47-CCB305BE427C}" presName="hierChild4" presStyleCnt="0"/>
      <dgm:spPr/>
      <dgm:t>
        <a:bodyPr/>
        <a:lstStyle/>
        <a:p>
          <a:endParaRPr lang="en-US"/>
        </a:p>
      </dgm:t>
    </dgm:pt>
    <dgm:pt modelId="{EA61E17C-A0A7-4909-9642-5E23194ABD12}" type="pres">
      <dgm:prSet presAssocID="{A181E2C6-06D3-4223-9DFF-3D1DA5FE102E}" presName="Name37" presStyleLbl="parChTrans1D4" presStyleIdx="2" presStyleCnt="4"/>
      <dgm:spPr>
        <a:custGeom>
          <a:avLst/>
          <a:gdLst/>
          <a:ahLst/>
          <a:cxnLst/>
          <a:rect l="0" t="0" r="0" b="0"/>
          <a:pathLst>
            <a:path>
              <a:moveTo>
                <a:pt x="45720" y="0"/>
              </a:moveTo>
              <a:lnTo>
                <a:pt x="45720" y="383490"/>
              </a:lnTo>
            </a:path>
          </a:pathLst>
        </a:custGeom>
      </dgm:spPr>
      <dgm:t>
        <a:bodyPr/>
        <a:lstStyle/>
        <a:p>
          <a:endParaRPr lang="en-US"/>
        </a:p>
      </dgm:t>
    </dgm:pt>
    <dgm:pt modelId="{42331FE9-0C16-4097-B68D-5B5EC02141AA}" type="pres">
      <dgm:prSet presAssocID="{8A993C78-61C9-40F9-9292-3D55888B28B2}" presName="hierRoot2" presStyleCnt="0">
        <dgm:presLayoutVars>
          <dgm:hierBranch val="init"/>
        </dgm:presLayoutVars>
      </dgm:prSet>
      <dgm:spPr/>
      <dgm:t>
        <a:bodyPr/>
        <a:lstStyle/>
        <a:p>
          <a:endParaRPr lang="en-US"/>
        </a:p>
      </dgm:t>
    </dgm:pt>
    <dgm:pt modelId="{6A18D582-BACA-4DE4-8BC8-343B5E3BB2A4}" type="pres">
      <dgm:prSet presAssocID="{8A993C78-61C9-40F9-9292-3D55888B28B2}" presName="rootComposite" presStyleCnt="0"/>
      <dgm:spPr/>
      <dgm:t>
        <a:bodyPr/>
        <a:lstStyle/>
        <a:p>
          <a:endParaRPr lang="en-US"/>
        </a:p>
      </dgm:t>
    </dgm:pt>
    <dgm:pt modelId="{9E3F4FB7-26B1-4FE5-BD56-458836CC26C5}" type="pres">
      <dgm:prSet presAssocID="{8A993C78-61C9-40F9-9292-3D55888B28B2}" presName="rootText" presStyleLbl="node1" presStyleIdx="6" presStyleCnt="10">
        <dgm:presLayoutVars>
          <dgm:chMax/>
          <dgm:chPref val="3"/>
        </dgm:presLayoutVars>
      </dgm:prSet>
      <dgm:spPr>
        <a:prstGeom prst="rect">
          <a:avLst/>
        </a:prstGeom>
      </dgm:spPr>
      <dgm:t>
        <a:bodyPr/>
        <a:lstStyle/>
        <a:p>
          <a:endParaRPr lang="en-US"/>
        </a:p>
      </dgm:t>
    </dgm:pt>
    <dgm:pt modelId="{D1842742-09C3-49C4-ADA7-0919AA4B7F0A}" type="pres">
      <dgm:prSet presAssocID="{8A993C78-61C9-40F9-9292-3D55888B28B2}" presName="titleText2" presStyleLbl="fgAcc1" presStyleIdx="6" presStyleCnt="10" custScaleY="156175">
        <dgm:presLayoutVars>
          <dgm:chMax val="0"/>
          <dgm:chPref val="0"/>
        </dgm:presLayoutVars>
      </dgm:prSet>
      <dgm:spPr>
        <a:prstGeom prst="rect">
          <a:avLst/>
        </a:prstGeom>
      </dgm:spPr>
      <dgm:t>
        <a:bodyPr/>
        <a:lstStyle/>
        <a:p>
          <a:endParaRPr lang="en-US"/>
        </a:p>
      </dgm:t>
    </dgm:pt>
    <dgm:pt modelId="{D39A6441-7A1F-4E33-9237-8FB0E8EE1E94}" type="pres">
      <dgm:prSet presAssocID="{8A993C78-61C9-40F9-9292-3D55888B28B2}" presName="rootConnector" presStyleLbl="node4" presStyleIdx="0" presStyleCnt="0"/>
      <dgm:spPr/>
      <dgm:t>
        <a:bodyPr/>
        <a:lstStyle/>
        <a:p>
          <a:endParaRPr lang="en-US"/>
        </a:p>
      </dgm:t>
    </dgm:pt>
    <dgm:pt modelId="{2C76C878-5EEC-4876-B57F-4852D79DC433}" type="pres">
      <dgm:prSet presAssocID="{8A993C78-61C9-40F9-9292-3D55888B28B2}" presName="hierChild4" presStyleCnt="0"/>
      <dgm:spPr/>
      <dgm:t>
        <a:bodyPr/>
        <a:lstStyle/>
        <a:p>
          <a:endParaRPr lang="en-US"/>
        </a:p>
      </dgm:t>
    </dgm:pt>
    <dgm:pt modelId="{AD1E6DD7-3405-409A-9BFC-D69600FA687E}" type="pres">
      <dgm:prSet presAssocID="{982BADD8-CF3B-4E92-BB33-20F946E4ACF7}" presName="Name37" presStyleLbl="parChTrans1D4" presStyleIdx="3" presStyleCnt="4"/>
      <dgm:spPr>
        <a:custGeom>
          <a:avLst/>
          <a:gdLst/>
          <a:ahLst/>
          <a:cxnLst/>
          <a:rect l="0" t="0" r="0" b="0"/>
          <a:pathLst>
            <a:path>
              <a:moveTo>
                <a:pt x="45720" y="0"/>
              </a:moveTo>
              <a:lnTo>
                <a:pt x="45720" y="383490"/>
              </a:lnTo>
            </a:path>
          </a:pathLst>
        </a:custGeom>
      </dgm:spPr>
      <dgm:t>
        <a:bodyPr/>
        <a:lstStyle/>
        <a:p>
          <a:endParaRPr lang="en-US"/>
        </a:p>
      </dgm:t>
    </dgm:pt>
    <dgm:pt modelId="{77B41E9F-B776-422B-9D4D-DAE8EAB8F920}" type="pres">
      <dgm:prSet presAssocID="{CB20C080-D667-4F6B-9F23-A0218A9AF6B9}" presName="hierRoot2" presStyleCnt="0">
        <dgm:presLayoutVars>
          <dgm:hierBranch val="init"/>
        </dgm:presLayoutVars>
      </dgm:prSet>
      <dgm:spPr/>
      <dgm:t>
        <a:bodyPr/>
        <a:lstStyle/>
        <a:p>
          <a:endParaRPr lang="en-US"/>
        </a:p>
      </dgm:t>
    </dgm:pt>
    <dgm:pt modelId="{5A6B61EA-D2E4-4CB8-ABA0-A323D464A41A}" type="pres">
      <dgm:prSet presAssocID="{CB20C080-D667-4F6B-9F23-A0218A9AF6B9}" presName="rootComposite" presStyleCnt="0"/>
      <dgm:spPr/>
      <dgm:t>
        <a:bodyPr/>
        <a:lstStyle/>
        <a:p>
          <a:endParaRPr lang="en-US"/>
        </a:p>
      </dgm:t>
    </dgm:pt>
    <dgm:pt modelId="{42D4EE86-357E-40D6-B0D9-3B02F0E1F571}" type="pres">
      <dgm:prSet presAssocID="{CB20C080-D667-4F6B-9F23-A0218A9AF6B9}" presName="rootText" presStyleLbl="node1" presStyleIdx="7" presStyleCnt="10">
        <dgm:presLayoutVars>
          <dgm:chMax/>
          <dgm:chPref val="3"/>
        </dgm:presLayoutVars>
      </dgm:prSet>
      <dgm:spPr>
        <a:prstGeom prst="rect">
          <a:avLst/>
        </a:prstGeom>
      </dgm:spPr>
      <dgm:t>
        <a:bodyPr/>
        <a:lstStyle/>
        <a:p>
          <a:endParaRPr lang="en-US"/>
        </a:p>
      </dgm:t>
    </dgm:pt>
    <dgm:pt modelId="{8E7A71A3-695B-4824-A3DF-9A1495271320}" type="pres">
      <dgm:prSet presAssocID="{CB20C080-D667-4F6B-9F23-A0218A9AF6B9}" presName="titleText2" presStyleLbl="fgAcc1" presStyleIdx="7" presStyleCnt="10">
        <dgm:presLayoutVars>
          <dgm:chMax val="0"/>
          <dgm:chPref val="0"/>
        </dgm:presLayoutVars>
      </dgm:prSet>
      <dgm:spPr>
        <a:prstGeom prst="rect">
          <a:avLst/>
        </a:prstGeom>
      </dgm:spPr>
      <dgm:t>
        <a:bodyPr/>
        <a:lstStyle/>
        <a:p>
          <a:endParaRPr lang="en-US"/>
        </a:p>
      </dgm:t>
    </dgm:pt>
    <dgm:pt modelId="{CC6B339C-677B-4B2B-9C2C-A02F607EC28D}" type="pres">
      <dgm:prSet presAssocID="{CB20C080-D667-4F6B-9F23-A0218A9AF6B9}" presName="rootConnector" presStyleLbl="node4" presStyleIdx="0" presStyleCnt="0"/>
      <dgm:spPr/>
      <dgm:t>
        <a:bodyPr/>
        <a:lstStyle/>
        <a:p>
          <a:endParaRPr lang="en-US"/>
        </a:p>
      </dgm:t>
    </dgm:pt>
    <dgm:pt modelId="{C7B842AC-BB01-48BA-BCBA-AC0A3EBCE525}" type="pres">
      <dgm:prSet presAssocID="{CB20C080-D667-4F6B-9F23-A0218A9AF6B9}" presName="hierChild4" presStyleCnt="0"/>
      <dgm:spPr/>
      <dgm:t>
        <a:bodyPr/>
        <a:lstStyle/>
        <a:p>
          <a:endParaRPr lang="en-US"/>
        </a:p>
      </dgm:t>
    </dgm:pt>
    <dgm:pt modelId="{6656F9ED-7FB5-4CC0-860E-4B1190C43B6A}" type="pres">
      <dgm:prSet presAssocID="{CB20C080-D667-4F6B-9F23-A0218A9AF6B9}" presName="hierChild5" presStyleCnt="0"/>
      <dgm:spPr/>
      <dgm:t>
        <a:bodyPr/>
        <a:lstStyle/>
        <a:p>
          <a:endParaRPr lang="en-US"/>
        </a:p>
      </dgm:t>
    </dgm:pt>
    <dgm:pt modelId="{CF5C69DF-81EF-441C-8DC3-731CA9BB2120}" type="pres">
      <dgm:prSet presAssocID="{8A993C78-61C9-40F9-9292-3D55888B28B2}" presName="hierChild5" presStyleCnt="0"/>
      <dgm:spPr/>
      <dgm:t>
        <a:bodyPr/>
        <a:lstStyle/>
        <a:p>
          <a:endParaRPr lang="en-US"/>
        </a:p>
      </dgm:t>
    </dgm:pt>
    <dgm:pt modelId="{4386B841-CCA9-417E-984E-609DC5EC09CA}" type="pres">
      <dgm:prSet presAssocID="{75650316-6C72-452C-BD47-CCB305BE427C}" presName="hierChild5" presStyleCnt="0"/>
      <dgm:spPr/>
      <dgm:t>
        <a:bodyPr/>
        <a:lstStyle/>
        <a:p>
          <a:endParaRPr lang="en-US"/>
        </a:p>
      </dgm:t>
    </dgm:pt>
    <dgm:pt modelId="{83DD0D1F-2BB5-4888-9121-2A43E45CB26B}" type="pres">
      <dgm:prSet presAssocID="{9C934E3A-F4E5-46ED-9268-8F7315009887}" presName="hierChild5" presStyleCnt="0"/>
      <dgm:spPr/>
      <dgm:t>
        <a:bodyPr/>
        <a:lstStyle/>
        <a:p>
          <a:endParaRPr lang="en-US"/>
        </a:p>
      </dgm:t>
    </dgm:pt>
    <dgm:pt modelId="{FAC35AEF-9B09-4937-BA4E-15553AA3989E}" type="pres">
      <dgm:prSet presAssocID="{2A620BF4-F513-42C5-8763-73348AC5A112}" presName="Name37" presStyleLbl="parChTrans1D2" presStyleIdx="2" presStyleCnt="4"/>
      <dgm:spPr>
        <a:custGeom>
          <a:avLst/>
          <a:gdLst/>
          <a:ahLst/>
          <a:cxnLst/>
          <a:rect l="0" t="0" r="0" b="0"/>
          <a:pathLst>
            <a:path>
              <a:moveTo>
                <a:pt x="0" y="0"/>
              </a:moveTo>
              <a:lnTo>
                <a:pt x="0" y="1275845"/>
              </a:lnTo>
              <a:lnTo>
                <a:pt x="1719882" y="1275845"/>
              </a:lnTo>
              <a:lnTo>
                <a:pt x="1719882" y="1430716"/>
              </a:lnTo>
            </a:path>
          </a:pathLst>
        </a:custGeom>
      </dgm:spPr>
      <dgm:t>
        <a:bodyPr/>
        <a:lstStyle/>
        <a:p>
          <a:endParaRPr lang="en-US"/>
        </a:p>
      </dgm:t>
    </dgm:pt>
    <dgm:pt modelId="{CDA8862E-EEAA-4EE1-8786-54480B968691}" type="pres">
      <dgm:prSet presAssocID="{71BD2696-DCE7-49B2-A6B8-8A4E59E15826}" presName="hierRoot2" presStyleCnt="0">
        <dgm:presLayoutVars>
          <dgm:hierBranch val="init"/>
        </dgm:presLayoutVars>
      </dgm:prSet>
      <dgm:spPr/>
      <dgm:t>
        <a:bodyPr/>
        <a:lstStyle/>
        <a:p>
          <a:endParaRPr lang="en-US"/>
        </a:p>
      </dgm:t>
    </dgm:pt>
    <dgm:pt modelId="{E28EBCD4-92B3-4463-BA12-54648D66D603}" type="pres">
      <dgm:prSet presAssocID="{71BD2696-DCE7-49B2-A6B8-8A4E59E15826}" presName="rootComposite" presStyleCnt="0"/>
      <dgm:spPr/>
      <dgm:t>
        <a:bodyPr/>
        <a:lstStyle/>
        <a:p>
          <a:endParaRPr lang="en-US"/>
        </a:p>
      </dgm:t>
    </dgm:pt>
    <dgm:pt modelId="{37F8178C-3067-4163-BADD-EB86CDCCE161}" type="pres">
      <dgm:prSet presAssocID="{71BD2696-DCE7-49B2-A6B8-8A4E59E15826}" presName="rootText" presStyleLbl="node1" presStyleIdx="8" presStyleCnt="10">
        <dgm:presLayoutVars>
          <dgm:chMax/>
          <dgm:chPref val="3"/>
        </dgm:presLayoutVars>
      </dgm:prSet>
      <dgm:spPr>
        <a:prstGeom prst="rect">
          <a:avLst/>
        </a:prstGeom>
      </dgm:spPr>
      <dgm:t>
        <a:bodyPr/>
        <a:lstStyle/>
        <a:p>
          <a:endParaRPr lang="en-US"/>
        </a:p>
      </dgm:t>
    </dgm:pt>
    <dgm:pt modelId="{DCD7400E-067A-4AE2-9EB4-3702F03B1B89}" type="pres">
      <dgm:prSet presAssocID="{71BD2696-DCE7-49B2-A6B8-8A4E59E15826}" presName="titleText2" presStyleLbl="fgAcc1" presStyleIdx="8" presStyleCnt="10" custLinFactX="-100000" custLinFactY="-400000" custLinFactNeighborX="-178246" custLinFactNeighborY="-405913">
        <dgm:presLayoutVars>
          <dgm:chMax val="0"/>
          <dgm:chPref val="0"/>
        </dgm:presLayoutVars>
      </dgm:prSet>
      <dgm:spPr>
        <a:prstGeom prst="rect">
          <a:avLst/>
        </a:prstGeom>
      </dgm:spPr>
      <dgm:t>
        <a:bodyPr/>
        <a:lstStyle/>
        <a:p>
          <a:endParaRPr lang="en-US"/>
        </a:p>
      </dgm:t>
    </dgm:pt>
    <dgm:pt modelId="{5F3DF943-7B4F-4227-B674-D9DE2D54F0E0}" type="pres">
      <dgm:prSet presAssocID="{71BD2696-DCE7-49B2-A6B8-8A4E59E15826}" presName="rootConnector" presStyleLbl="node2" presStyleIdx="0" presStyleCnt="0"/>
      <dgm:spPr/>
      <dgm:t>
        <a:bodyPr/>
        <a:lstStyle/>
        <a:p>
          <a:endParaRPr lang="en-US"/>
        </a:p>
      </dgm:t>
    </dgm:pt>
    <dgm:pt modelId="{BABBC822-3C5F-4241-A745-25EDB5F70BBE}" type="pres">
      <dgm:prSet presAssocID="{71BD2696-DCE7-49B2-A6B8-8A4E59E15826}" presName="hierChild4" presStyleCnt="0"/>
      <dgm:spPr/>
      <dgm:t>
        <a:bodyPr/>
        <a:lstStyle/>
        <a:p>
          <a:endParaRPr lang="en-US"/>
        </a:p>
      </dgm:t>
    </dgm:pt>
    <dgm:pt modelId="{1FB68FE8-4CC1-4680-827E-24E83EE4F2BD}" type="pres">
      <dgm:prSet presAssocID="{C5899494-1DE5-4E84-A5DF-42502AEDE6B5}" presName="Name37" presStyleLbl="parChTrans1D3" presStyleIdx="2" presStyleCnt="3"/>
      <dgm:spPr>
        <a:custGeom>
          <a:avLst/>
          <a:gdLst/>
          <a:ahLst/>
          <a:cxnLst/>
          <a:rect l="0" t="0" r="0" b="0"/>
          <a:pathLst>
            <a:path>
              <a:moveTo>
                <a:pt x="45720" y="0"/>
              </a:moveTo>
              <a:lnTo>
                <a:pt x="45720" y="383490"/>
              </a:lnTo>
            </a:path>
          </a:pathLst>
        </a:custGeom>
      </dgm:spPr>
      <dgm:t>
        <a:bodyPr/>
        <a:lstStyle/>
        <a:p>
          <a:endParaRPr lang="en-US"/>
        </a:p>
      </dgm:t>
    </dgm:pt>
    <dgm:pt modelId="{9088A3EB-2AD7-4D2A-BEBE-ADEF17B7CA2E}" type="pres">
      <dgm:prSet presAssocID="{7A67E34C-680E-42FD-922E-B640B8E654E4}" presName="hierRoot2" presStyleCnt="0">
        <dgm:presLayoutVars>
          <dgm:hierBranch val="init"/>
        </dgm:presLayoutVars>
      </dgm:prSet>
      <dgm:spPr/>
      <dgm:t>
        <a:bodyPr/>
        <a:lstStyle/>
        <a:p>
          <a:endParaRPr lang="en-US"/>
        </a:p>
      </dgm:t>
    </dgm:pt>
    <dgm:pt modelId="{E9FE2811-187B-4C48-AC33-ED039758FEFC}" type="pres">
      <dgm:prSet presAssocID="{7A67E34C-680E-42FD-922E-B640B8E654E4}" presName="rootComposite" presStyleCnt="0"/>
      <dgm:spPr/>
      <dgm:t>
        <a:bodyPr/>
        <a:lstStyle/>
        <a:p>
          <a:endParaRPr lang="en-US"/>
        </a:p>
      </dgm:t>
    </dgm:pt>
    <dgm:pt modelId="{B94DF55F-5C74-4AA9-8B7B-FA6DE9B984B1}" type="pres">
      <dgm:prSet presAssocID="{7A67E34C-680E-42FD-922E-B640B8E654E4}" presName="rootText" presStyleLbl="node1" presStyleIdx="9" presStyleCnt="10">
        <dgm:presLayoutVars>
          <dgm:chMax/>
          <dgm:chPref val="3"/>
        </dgm:presLayoutVars>
      </dgm:prSet>
      <dgm:spPr>
        <a:prstGeom prst="rect">
          <a:avLst/>
        </a:prstGeom>
      </dgm:spPr>
      <dgm:t>
        <a:bodyPr/>
        <a:lstStyle/>
        <a:p>
          <a:endParaRPr lang="en-US"/>
        </a:p>
      </dgm:t>
    </dgm:pt>
    <dgm:pt modelId="{99281717-D511-4EA0-B924-B110F79F835C}" type="pres">
      <dgm:prSet presAssocID="{7A67E34C-680E-42FD-922E-B640B8E654E4}" presName="titleText2" presStyleLbl="fgAcc1" presStyleIdx="9" presStyleCnt="10" custScaleY="139612" custLinFactNeighborY="55910">
        <dgm:presLayoutVars>
          <dgm:chMax val="0"/>
          <dgm:chPref val="0"/>
        </dgm:presLayoutVars>
      </dgm:prSet>
      <dgm:spPr>
        <a:prstGeom prst="rect">
          <a:avLst/>
        </a:prstGeom>
      </dgm:spPr>
      <dgm:t>
        <a:bodyPr/>
        <a:lstStyle/>
        <a:p>
          <a:endParaRPr lang="en-US"/>
        </a:p>
      </dgm:t>
    </dgm:pt>
    <dgm:pt modelId="{C7C6AD5F-F269-4D4E-9C9B-59222EC1C01F}" type="pres">
      <dgm:prSet presAssocID="{7A67E34C-680E-42FD-922E-B640B8E654E4}" presName="rootConnector" presStyleLbl="node3" presStyleIdx="0" presStyleCnt="0"/>
      <dgm:spPr/>
      <dgm:t>
        <a:bodyPr/>
        <a:lstStyle/>
        <a:p>
          <a:endParaRPr lang="en-US"/>
        </a:p>
      </dgm:t>
    </dgm:pt>
    <dgm:pt modelId="{500736FB-055D-425B-9569-5379A88699E4}" type="pres">
      <dgm:prSet presAssocID="{7A67E34C-680E-42FD-922E-B640B8E654E4}" presName="hierChild4" presStyleCnt="0"/>
      <dgm:spPr/>
      <dgm:t>
        <a:bodyPr/>
        <a:lstStyle/>
        <a:p>
          <a:endParaRPr lang="en-US"/>
        </a:p>
      </dgm:t>
    </dgm:pt>
    <dgm:pt modelId="{7AF84402-02AC-4B18-BDF8-0C12568046AB}" type="pres">
      <dgm:prSet presAssocID="{7A67E34C-680E-42FD-922E-B640B8E654E4}" presName="hierChild5" presStyleCnt="0"/>
      <dgm:spPr/>
      <dgm:t>
        <a:bodyPr/>
        <a:lstStyle/>
        <a:p>
          <a:endParaRPr lang="en-US"/>
        </a:p>
      </dgm:t>
    </dgm:pt>
    <dgm:pt modelId="{C4916F4D-0C71-43A2-89D0-C1AF5D227EE4}" type="pres">
      <dgm:prSet presAssocID="{71BD2696-DCE7-49B2-A6B8-8A4E59E15826}" presName="hierChild5" presStyleCnt="0"/>
      <dgm:spPr/>
      <dgm:t>
        <a:bodyPr/>
        <a:lstStyle/>
        <a:p>
          <a:endParaRPr lang="en-US"/>
        </a:p>
      </dgm:t>
    </dgm:pt>
    <dgm:pt modelId="{821A69AD-A1A4-499B-8DA2-D9C7C45256B4}" type="pres">
      <dgm:prSet presAssocID="{522C2978-065F-465A-B211-A3A58047578C}" presName="hierChild3" presStyleCnt="0"/>
      <dgm:spPr/>
      <dgm:t>
        <a:bodyPr/>
        <a:lstStyle/>
        <a:p>
          <a:endParaRPr lang="en-US"/>
        </a:p>
      </dgm:t>
    </dgm:pt>
    <dgm:pt modelId="{7DAA1AD1-244B-4C4D-8961-2FB5CE2808B8}" type="pres">
      <dgm:prSet presAssocID="{D004F8D8-A327-4966-97E9-407AD42A21F2}" presName="Name96" presStyleLbl="parChTrans1D2" presStyleIdx="3" presStyleCnt="4"/>
      <dgm:spPr>
        <a:custGeom>
          <a:avLst/>
          <a:gdLst/>
          <a:ahLst/>
          <a:cxnLst/>
          <a:rect l="0" t="0" r="0" b="0"/>
          <a:pathLst>
            <a:path>
              <a:moveTo>
                <a:pt x="218968" y="0"/>
              </a:moveTo>
              <a:lnTo>
                <a:pt x="218968" y="715358"/>
              </a:lnTo>
              <a:lnTo>
                <a:pt x="0" y="715358"/>
              </a:lnTo>
            </a:path>
          </a:pathLst>
        </a:custGeom>
      </dgm:spPr>
      <dgm:t>
        <a:bodyPr/>
        <a:lstStyle/>
        <a:p>
          <a:endParaRPr lang="en-US"/>
        </a:p>
      </dgm:t>
    </dgm:pt>
    <dgm:pt modelId="{1E7B10B6-E9EE-4ADA-8120-C78E67BF7BA7}" type="pres">
      <dgm:prSet presAssocID="{E3B5C1CD-8FD8-4F7F-BBFC-ABE45661BED3}" presName="hierRoot3" presStyleCnt="0">
        <dgm:presLayoutVars>
          <dgm:hierBranch val="init"/>
        </dgm:presLayoutVars>
      </dgm:prSet>
      <dgm:spPr/>
      <dgm:t>
        <a:bodyPr/>
        <a:lstStyle/>
        <a:p>
          <a:endParaRPr lang="en-US"/>
        </a:p>
      </dgm:t>
    </dgm:pt>
    <dgm:pt modelId="{C00E723A-61A4-49F9-9144-2D0FD8D5AF71}" type="pres">
      <dgm:prSet presAssocID="{E3B5C1CD-8FD8-4F7F-BBFC-ABE45661BED3}" presName="rootComposite3" presStyleCnt="0"/>
      <dgm:spPr/>
      <dgm:t>
        <a:bodyPr/>
        <a:lstStyle/>
        <a:p>
          <a:endParaRPr lang="en-US"/>
        </a:p>
      </dgm:t>
    </dgm:pt>
    <dgm:pt modelId="{5B81EF67-4E40-48C8-8A56-DA358B67F993}" type="pres">
      <dgm:prSet presAssocID="{E3B5C1CD-8FD8-4F7F-BBFC-ABE45661BED3}" presName="rootText3" presStyleLbl="asst1" presStyleIdx="0" presStyleCnt="1">
        <dgm:presLayoutVars>
          <dgm:chPref val="3"/>
        </dgm:presLayoutVars>
      </dgm:prSet>
      <dgm:spPr>
        <a:prstGeom prst="rect">
          <a:avLst/>
        </a:prstGeom>
      </dgm:spPr>
      <dgm:t>
        <a:bodyPr/>
        <a:lstStyle/>
        <a:p>
          <a:endParaRPr lang="en-US"/>
        </a:p>
      </dgm:t>
    </dgm:pt>
    <dgm:pt modelId="{E8E05CC8-7047-470A-961E-1E4DDDDA7F3E}" type="pres">
      <dgm:prSet presAssocID="{E3B5C1CD-8FD8-4F7F-BBFC-ABE45661BED3}" presName="titleText3" presStyleLbl="fgAcc2" presStyleIdx="0" presStyleCnt="1" custLinFactX="69136" custLinFactY="-100000" custLinFactNeighborX="100000" custLinFactNeighborY="-114785">
        <dgm:presLayoutVars>
          <dgm:chMax val="0"/>
          <dgm:chPref val="0"/>
        </dgm:presLayoutVars>
      </dgm:prSet>
      <dgm:spPr>
        <a:prstGeom prst="rect">
          <a:avLst/>
        </a:prstGeom>
      </dgm:spPr>
      <dgm:t>
        <a:bodyPr/>
        <a:lstStyle/>
        <a:p>
          <a:endParaRPr lang="en-US"/>
        </a:p>
      </dgm:t>
    </dgm:pt>
    <dgm:pt modelId="{98D7189E-515B-430F-976A-96FABFCB8DE1}" type="pres">
      <dgm:prSet presAssocID="{E3B5C1CD-8FD8-4F7F-BBFC-ABE45661BED3}" presName="rootConnector3" presStyleLbl="asst1" presStyleIdx="0" presStyleCnt="1"/>
      <dgm:spPr/>
      <dgm:t>
        <a:bodyPr/>
        <a:lstStyle/>
        <a:p>
          <a:endParaRPr lang="en-US"/>
        </a:p>
      </dgm:t>
    </dgm:pt>
    <dgm:pt modelId="{38D95080-BDF4-4108-9329-F48BEA15CCA4}" type="pres">
      <dgm:prSet presAssocID="{E3B5C1CD-8FD8-4F7F-BBFC-ABE45661BED3}" presName="hierChild6" presStyleCnt="0"/>
      <dgm:spPr/>
      <dgm:t>
        <a:bodyPr/>
        <a:lstStyle/>
        <a:p>
          <a:endParaRPr lang="en-US"/>
        </a:p>
      </dgm:t>
    </dgm:pt>
    <dgm:pt modelId="{89ECFA41-3930-42A4-8FCD-761877F8A951}" type="pres">
      <dgm:prSet presAssocID="{E3B5C1CD-8FD8-4F7F-BBFC-ABE45661BED3}" presName="hierChild7" presStyleCnt="0"/>
      <dgm:spPr/>
      <dgm:t>
        <a:bodyPr/>
        <a:lstStyle/>
        <a:p>
          <a:endParaRPr lang="en-US"/>
        </a:p>
      </dgm:t>
    </dgm:pt>
  </dgm:ptLst>
  <dgm:cxnLst>
    <dgm:cxn modelId="{2213783D-97BC-4F91-AD89-ABBCD9614E59}" type="presOf" srcId="{EC39D734-AF5B-4A31-AD93-56D915C783C0}" destId="{25392AC2-8380-425A-AD2F-6CF1E880CE75}" srcOrd="0" destOrd="0" presId="urn:microsoft.com/office/officeart/2008/layout/NameandTitleOrganizationalChart"/>
    <dgm:cxn modelId="{B2B96C64-EFE3-45C0-B077-6B8693E644C8}" type="presOf" srcId="{DB3AA3FA-3E46-41F5-8E44-4824ABA71619}" destId="{DCD7400E-067A-4AE2-9EB4-3702F03B1B89}" srcOrd="0" destOrd="0" presId="urn:microsoft.com/office/officeart/2008/layout/NameandTitleOrganizationalChart"/>
    <dgm:cxn modelId="{AAF6E941-6B8C-4980-8039-14E4E18F73EE}" type="presOf" srcId="{A6DEA683-6DB0-4B49-931F-9288ABB62B0C}" destId="{EC3ADB33-7187-47FB-ABB8-D088FFD3756E}" srcOrd="0" destOrd="0" presId="urn:microsoft.com/office/officeart/2008/layout/NameandTitleOrganizationalChart"/>
    <dgm:cxn modelId="{86D77A88-72D3-4992-9D27-DFA5E26B69C9}" type="presOf" srcId="{8D0FB2D9-3A2A-43CA-96C6-7A19962A2B2A}" destId="{42919571-8C8A-45A5-9BFE-47659453BD29}" srcOrd="0" destOrd="0" presId="urn:microsoft.com/office/officeart/2008/layout/NameandTitleOrganizationalChart"/>
    <dgm:cxn modelId="{4B898BE4-9675-4F09-B569-6058F680AC51}" type="presOf" srcId="{9C934E3A-F4E5-46ED-9268-8F7315009887}" destId="{2065DD9D-A86A-4FD9-897E-55298C65AF97}" srcOrd="0" destOrd="0" presId="urn:microsoft.com/office/officeart/2008/layout/NameandTitleOrganizationalChart"/>
    <dgm:cxn modelId="{08BF02BB-BE2E-4D7D-A169-094D4FD0F404}" type="presOf" srcId="{D004F8D8-A327-4966-97E9-407AD42A21F2}" destId="{7DAA1AD1-244B-4C4D-8961-2FB5CE2808B8}" srcOrd="0" destOrd="0" presId="urn:microsoft.com/office/officeart/2008/layout/NameandTitleOrganizationalChart"/>
    <dgm:cxn modelId="{E255D965-76D6-42DD-81BF-C9BC808F6A33}" type="presOf" srcId="{A62106BD-82E8-4844-90B7-FFE2E23B87E9}" destId="{4FD4FCC6-4A86-48F4-894A-B12FAE497647}" srcOrd="0" destOrd="0" presId="urn:microsoft.com/office/officeart/2008/layout/NameandTitleOrganizationalChart"/>
    <dgm:cxn modelId="{DBCE5A64-CF3E-418E-9090-F6C3F2948E29}" type="presOf" srcId="{CCEA54A2-E93B-40D1-B65E-9FB1B7A49218}" destId="{EBCEC652-FC84-4905-81B0-7C9CD667481C}" srcOrd="0" destOrd="0" presId="urn:microsoft.com/office/officeart/2008/layout/NameandTitleOrganizationalChart"/>
    <dgm:cxn modelId="{E9BE4121-7EC8-430D-8AD5-FB7D4A7965DD}" type="presOf" srcId="{EC39D734-AF5B-4A31-AD93-56D915C783C0}" destId="{38B9ADAD-2DC9-411E-98E3-1E28EFAD62F1}" srcOrd="1" destOrd="0" presId="urn:microsoft.com/office/officeart/2008/layout/NameandTitleOrganizationalChart"/>
    <dgm:cxn modelId="{2A42F0CF-3A35-412F-96FA-F42466BF9E53}" type="presOf" srcId="{5647319B-2578-43D5-9EE6-9D94F4037C28}" destId="{99281717-D511-4EA0-B924-B110F79F835C}" srcOrd="0" destOrd="0" presId="urn:microsoft.com/office/officeart/2008/layout/NameandTitleOrganizationalChart"/>
    <dgm:cxn modelId="{4B5037CA-8D7E-4989-8251-993A0E0C04EE}" type="presOf" srcId="{9763F0BB-D978-45F3-88CB-F134E2B54810}" destId="{BFE5407C-BDD1-4A73-A80B-878BF2700911}" srcOrd="0" destOrd="0" presId="urn:microsoft.com/office/officeart/2008/layout/NameandTitleOrganizationalChart"/>
    <dgm:cxn modelId="{DD9C3D8D-EFDF-4B2B-A2F0-05A4DB37478A}" type="presOf" srcId="{B7A842C4-0385-4900-BE90-6D3CF0BE563F}" destId="{120993E5-7505-42CA-AF14-AB16847D8911}" srcOrd="0" destOrd="0" presId="urn:microsoft.com/office/officeart/2008/layout/NameandTitleOrganizationalChart"/>
    <dgm:cxn modelId="{FDE8F9B3-F8A3-4657-A84C-0F224D6ADA7A}" srcId="{522C2978-065F-465A-B211-A3A58047578C}" destId="{609EC050-713E-42CD-95B1-BA6B32FC6371}" srcOrd="1" destOrd="0" parTransId="{9763F0BB-D978-45F3-88CB-F134E2B54810}" sibTransId="{8D0FB2D9-3A2A-43CA-96C6-7A19962A2B2A}"/>
    <dgm:cxn modelId="{B511E596-76D0-43F7-A249-30A33FDB86B3}" type="presOf" srcId="{E3B5C1CD-8FD8-4F7F-BBFC-ABE45661BED3}" destId="{5B81EF67-4E40-48C8-8A56-DA358B67F993}" srcOrd="0" destOrd="0" presId="urn:microsoft.com/office/officeart/2008/layout/NameandTitleOrganizationalChart"/>
    <dgm:cxn modelId="{B0B1E517-ECCD-4121-A4A6-355B691E7B78}" type="presOf" srcId="{D4A02185-7808-4D06-84E1-139F56526012}" destId="{E8E05CC8-7047-470A-961E-1E4DDDDA7F3E}" srcOrd="0" destOrd="0" presId="urn:microsoft.com/office/officeart/2008/layout/NameandTitleOrganizationalChart"/>
    <dgm:cxn modelId="{3C793703-37D9-44A4-B391-508D887D96EF}" type="presOf" srcId="{71BD2696-DCE7-49B2-A6B8-8A4E59E15826}" destId="{37F8178C-3067-4163-BADD-EB86CDCCE161}" srcOrd="0" destOrd="0" presId="urn:microsoft.com/office/officeart/2008/layout/NameandTitleOrganizationalChart"/>
    <dgm:cxn modelId="{18700F58-FF44-4547-A7D9-8B549926A1FE}" type="presOf" srcId="{522C2978-065F-465A-B211-A3A58047578C}" destId="{1BFBF0C7-CBE0-4D48-B671-40C161728A63}" srcOrd="0" destOrd="0" presId="urn:microsoft.com/office/officeart/2008/layout/NameandTitleOrganizationalChart"/>
    <dgm:cxn modelId="{3BBD6709-8647-412F-A963-BCC2160B8751}" type="presOf" srcId="{AC5CA59A-02C5-4616-BAB8-72FA3A21D767}" destId="{C865E448-AD2D-47F5-95BD-B87B54EF5141}" srcOrd="0" destOrd="0" presId="urn:microsoft.com/office/officeart/2008/layout/NameandTitleOrganizationalChart"/>
    <dgm:cxn modelId="{3B3E540C-36A0-408C-86CA-558766A170A1}" type="presOf" srcId="{375F7A25-F525-4F8F-B154-F20CAAE71B50}" destId="{8E7A71A3-695B-4824-A3DF-9A1495271320}" srcOrd="0" destOrd="0" presId="urn:microsoft.com/office/officeart/2008/layout/NameandTitleOrganizationalChart"/>
    <dgm:cxn modelId="{1DB76EC6-70AB-4EEE-A6F7-0984305EC714}" type="presOf" srcId="{7A67E34C-680E-42FD-922E-B640B8E654E4}" destId="{C7C6AD5F-F269-4D4E-9C9B-59222EC1C01F}" srcOrd="1" destOrd="0" presId="urn:microsoft.com/office/officeart/2008/layout/NameandTitleOrganizationalChart"/>
    <dgm:cxn modelId="{830291EE-CB7A-4E06-ACF5-0B27936D8CCA}" srcId="{8A993C78-61C9-40F9-9292-3D55888B28B2}" destId="{CB20C080-D667-4F6B-9F23-A0218A9AF6B9}" srcOrd="0" destOrd="0" parTransId="{982BADD8-CF3B-4E92-BB33-20F946E4ACF7}" sibTransId="{375F7A25-F525-4F8F-B154-F20CAAE71B50}"/>
    <dgm:cxn modelId="{E573A54D-0CA9-44BC-A4E2-B96BF7A95645}" type="presOf" srcId="{1DFC1432-BE42-46C2-8F5D-7D2B75D48D2F}" destId="{C875B58D-8C27-4F0F-AEA8-8943E08F99A9}" srcOrd="0" destOrd="0" presId="urn:microsoft.com/office/officeart/2008/layout/NameandTitleOrganizationalChart"/>
    <dgm:cxn modelId="{F54F0FCB-83F5-4F62-982D-7E5971E251B4}" type="presOf" srcId="{2A620BF4-F513-42C5-8763-73348AC5A112}" destId="{FAC35AEF-9B09-4937-BA4E-15553AA3989E}" srcOrd="0" destOrd="0" presId="urn:microsoft.com/office/officeart/2008/layout/NameandTitleOrganizationalChart"/>
    <dgm:cxn modelId="{4AC91D1F-A3F6-4300-B30E-C9306D59B8C0}" srcId="{522C2978-065F-465A-B211-A3A58047578C}" destId="{71BD2696-DCE7-49B2-A6B8-8A4E59E15826}" srcOrd="3" destOrd="0" parTransId="{2A620BF4-F513-42C5-8763-73348AC5A112}" sibTransId="{DB3AA3FA-3E46-41F5-8E44-4824ABA71619}"/>
    <dgm:cxn modelId="{C688F67A-F44B-4B1C-A2BB-21585E8F9633}" type="presOf" srcId="{C28CA70E-4230-4455-94D8-4B262F0FE162}" destId="{7DC63EFB-1385-4BA6-9CD5-6CEF6D073420}" srcOrd="0" destOrd="0" presId="urn:microsoft.com/office/officeart/2008/layout/NameandTitleOrganizationalChart"/>
    <dgm:cxn modelId="{53BCFFB6-0411-4064-A54C-EBE290856F21}" type="presOf" srcId="{71BD2696-DCE7-49B2-A6B8-8A4E59E15826}" destId="{5F3DF943-7B4F-4227-B674-D9DE2D54F0E0}" srcOrd="1" destOrd="0" presId="urn:microsoft.com/office/officeart/2008/layout/NameandTitleOrganizationalChart"/>
    <dgm:cxn modelId="{1CBA50C4-2BD8-4554-AA6B-54D89CEABBFD}" type="presOf" srcId="{C5899494-1DE5-4E84-A5DF-42502AEDE6B5}" destId="{1FB68FE8-4CC1-4680-827E-24E83EE4F2BD}" srcOrd="0" destOrd="0" presId="urn:microsoft.com/office/officeart/2008/layout/NameandTitleOrganizationalChart"/>
    <dgm:cxn modelId="{F999346D-A0E6-4158-A65E-A1D04A3D12B4}" type="presOf" srcId="{982BADD8-CF3B-4E92-BB33-20F946E4ACF7}" destId="{AD1E6DD7-3405-409A-9BFC-D69600FA687E}" srcOrd="0" destOrd="0" presId="urn:microsoft.com/office/officeart/2008/layout/NameandTitleOrganizationalChart"/>
    <dgm:cxn modelId="{21570AD4-0A02-4424-9294-7B6C0E5C1BA6}" type="presOf" srcId="{FA6C3E01-2DBD-47BD-9F13-200A1531E438}" destId="{E0B30EE3-F4DD-4610-A709-912D5EE9439E}" srcOrd="0" destOrd="0" presId="urn:microsoft.com/office/officeart/2008/layout/NameandTitleOrganizationalChart"/>
    <dgm:cxn modelId="{EBD2D9C0-9466-4C33-8AF5-7BE4F417A52E}" type="presOf" srcId="{8A993C78-61C9-40F9-9292-3D55888B28B2}" destId="{9E3F4FB7-26B1-4FE5-BD56-458836CC26C5}" srcOrd="0" destOrd="0" presId="urn:microsoft.com/office/officeart/2008/layout/NameandTitleOrganizationalChart"/>
    <dgm:cxn modelId="{33E83AE3-D01B-4878-A808-ECD50842E093}" srcId="{9C934E3A-F4E5-46ED-9268-8F7315009887}" destId="{75650316-6C72-452C-BD47-CCB305BE427C}" srcOrd="0" destOrd="0" parTransId="{A62106BD-82E8-4844-90B7-FFE2E23B87E9}" sibTransId="{EAB1E50C-EBA0-4CC3-AE17-9D47167226AF}"/>
    <dgm:cxn modelId="{695F523B-8C59-43C1-81E9-E86697D11C91}" srcId="{75650316-6C72-452C-BD47-CCB305BE427C}" destId="{8A993C78-61C9-40F9-9292-3D55888B28B2}" srcOrd="0" destOrd="0" parTransId="{A181E2C6-06D3-4223-9DFF-3D1DA5FE102E}" sibTransId="{D2876652-E2C5-4043-A249-205138BA1E12}"/>
    <dgm:cxn modelId="{06ADB4D7-B58B-473C-A4DF-C5921B1B9DCA}" type="presOf" srcId="{FFBB4B3F-5665-476E-854F-94FF8D016598}" destId="{B73EC240-C8AA-4B9D-9C74-8E16D0917658}" srcOrd="0" destOrd="0" presId="urn:microsoft.com/office/officeart/2008/layout/NameandTitleOrganizationalChart"/>
    <dgm:cxn modelId="{6ACE32BC-178E-469D-9A51-39ECAF6B38E0}" type="presOf" srcId="{CB20C080-D667-4F6B-9F23-A0218A9AF6B9}" destId="{CC6B339C-677B-4B2B-9C2C-A02F607EC28D}" srcOrd="1" destOrd="0" presId="urn:microsoft.com/office/officeart/2008/layout/NameandTitleOrganizationalChart"/>
    <dgm:cxn modelId="{9AEA8F0B-094C-4263-8CD3-C8C1643F5C86}" srcId="{609EC050-713E-42CD-95B1-BA6B32FC6371}" destId="{212B4CD4-94BA-4851-9F4D-93815443B010}" srcOrd="0" destOrd="0" parTransId="{FA6C3E01-2DBD-47BD-9F13-200A1531E438}" sibTransId="{AC5CA59A-02C5-4616-BAB8-72FA3A21D767}"/>
    <dgm:cxn modelId="{F8F20B2F-D16C-43DB-A8B4-E5DACDE50A03}" type="presOf" srcId="{1DFC1432-BE42-46C2-8F5D-7D2B75D48D2F}" destId="{2CF646B0-73EA-43A0-9966-0EDFAF593F06}" srcOrd="1" destOrd="0" presId="urn:microsoft.com/office/officeart/2008/layout/NameandTitleOrganizationalChart"/>
    <dgm:cxn modelId="{CB39F4E4-6517-4724-8719-F0D2A2EAA441}" srcId="{C28CA70E-4230-4455-94D8-4B262F0FE162}" destId="{522C2978-065F-465A-B211-A3A58047578C}" srcOrd="0" destOrd="0" parTransId="{A3009EED-D592-425B-9ABB-B7A1B9E320C7}" sibTransId="{FE659BF3-E5FC-4F05-B2A8-2058E723E838}"/>
    <dgm:cxn modelId="{4DADDA89-8EA8-44EE-9A1A-8EBE71A8D866}" type="presOf" srcId="{D2876652-E2C5-4043-A249-205138BA1E12}" destId="{D1842742-09C3-49C4-ADA7-0919AA4B7F0A}" srcOrd="0" destOrd="0" presId="urn:microsoft.com/office/officeart/2008/layout/NameandTitleOrganizationalChart"/>
    <dgm:cxn modelId="{4683416E-7499-463E-99DB-3614FE9AF4BD}" type="presOf" srcId="{212B4CD4-94BA-4851-9F4D-93815443B010}" destId="{60382261-A942-47A8-B60E-253683743B5F}" srcOrd="0" destOrd="0" presId="urn:microsoft.com/office/officeart/2008/layout/NameandTitleOrganizationalChart"/>
    <dgm:cxn modelId="{2515F35B-FCE8-4303-9A8C-6A04591DDA97}" srcId="{71BD2696-DCE7-49B2-A6B8-8A4E59E15826}" destId="{7A67E34C-680E-42FD-922E-B640B8E654E4}" srcOrd="0" destOrd="0" parTransId="{C5899494-1DE5-4E84-A5DF-42502AEDE6B5}" sibTransId="{5647319B-2578-43D5-9EE6-9D94F4037C28}"/>
    <dgm:cxn modelId="{4D0CDD76-0A7C-4825-BA54-628CC593F4A0}" srcId="{522C2978-065F-465A-B211-A3A58047578C}" destId="{E3B5C1CD-8FD8-4F7F-BBFC-ABE45661BED3}" srcOrd="0" destOrd="0" parTransId="{D004F8D8-A327-4966-97E9-407AD42A21F2}" sibTransId="{D4A02185-7808-4D06-84E1-139F56526012}"/>
    <dgm:cxn modelId="{FE538084-8959-4DF5-9864-52213EFD5C98}" type="presOf" srcId="{522C2978-065F-465A-B211-A3A58047578C}" destId="{F36CD759-0AA4-4F79-BCBD-A7A968A44E02}" srcOrd="1" destOrd="0" presId="urn:microsoft.com/office/officeart/2008/layout/NameandTitleOrganizationalChart"/>
    <dgm:cxn modelId="{459A635C-16B4-4DA0-92AA-C0A4B5205CC3}" type="presOf" srcId="{C5463AE0-BC3D-4132-8106-EB80150AB5F8}" destId="{6A33C117-E4E5-4AF5-A304-61FB43ED3DCD}" srcOrd="0" destOrd="0" presId="urn:microsoft.com/office/officeart/2008/layout/NameandTitleOrganizationalChart"/>
    <dgm:cxn modelId="{D5104F49-CF56-4D3E-901F-24CF89852450}" type="presOf" srcId="{EAB1E50C-EBA0-4CC3-AE17-9D47167226AF}" destId="{31277573-1C5F-45B0-926D-801658735A2F}" srcOrd="0" destOrd="0" presId="urn:microsoft.com/office/officeart/2008/layout/NameandTitleOrganizationalChart"/>
    <dgm:cxn modelId="{6366822B-D1FC-4CA8-90FB-B87F4A681731}" srcId="{1DFC1432-BE42-46C2-8F5D-7D2B75D48D2F}" destId="{EC39D734-AF5B-4A31-AD93-56D915C783C0}" srcOrd="0" destOrd="0" parTransId="{C5463AE0-BC3D-4132-8106-EB80150AB5F8}" sibTransId="{CCEA54A2-E93B-40D1-B65E-9FB1B7A49218}"/>
    <dgm:cxn modelId="{25842413-CF7B-4594-A6D6-ECDAB4DD0531}" type="presOf" srcId="{E3B5C1CD-8FD8-4F7F-BBFC-ABE45661BED3}" destId="{98D7189E-515B-430F-976A-96FABFCB8DE1}" srcOrd="1" destOrd="0" presId="urn:microsoft.com/office/officeart/2008/layout/NameandTitleOrganizationalChart"/>
    <dgm:cxn modelId="{034F680A-98BE-448D-B46E-8F8FF0B24363}" type="presOf" srcId="{609EC050-713E-42CD-95B1-BA6B32FC6371}" destId="{D7D7851B-BBBD-4DD3-88F1-28A57EEACDD0}" srcOrd="1" destOrd="0" presId="urn:microsoft.com/office/officeart/2008/layout/NameandTitleOrganizationalChart"/>
    <dgm:cxn modelId="{194CE167-4685-4F5E-83C1-4B82EE52EA77}" type="presOf" srcId="{8A993C78-61C9-40F9-9292-3D55888B28B2}" destId="{D39A6441-7A1F-4E33-9237-8FB0E8EE1E94}" srcOrd="1" destOrd="0" presId="urn:microsoft.com/office/officeart/2008/layout/NameandTitleOrganizationalChart"/>
    <dgm:cxn modelId="{E0EEDE67-2593-47FD-BEF8-096FA7664755}" type="presOf" srcId="{FE659BF3-E5FC-4F05-B2A8-2058E723E838}" destId="{9CAC1903-B064-4D80-A17D-B3DED5AAA0B8}" srcOrd="0" destOrd="0" presId="urn:microsoft.com/office/officeart/2008/layout/NameandTitleOrganizationalChart"/>
    <dgm:cxn modelId="{262F18D6-0FAA-4F42-BE72-A51743240103}" type="presOf" srcId="{212B4CD4-94BA-4851-9F4D-93815443B010}" destId="{D0B140AF-B40F-483E-9FB3-39D2BB43C2F0}" srcOrd="1" destOrd="0" presId="urn:microsoft.com/office/officeart/2008/layout/NameandTitleOrganizationalChart"/>
    <dgm:cxn modelId="{8C02F648-5758-45D4-B3A6-6F6FAEE483BB}" type="presOf" srcId="{75650316-6C72-452C-BD47-CCB305BE427C}" destId="{BD4083CD-2B4D-4479-9626-03AD3F06ACD4}" srcOrd="1" destOrd="0" presId="urn:microsoft.com/office/officeart/2008/layout/NameandTitleOrganizationalChart"/>
    <dgm:cxn modelId="{CA513E4C-BC5E-4B6C-9816-1C5CBE2C7ABA}" type="presOf" srcId="{9C934E3A-F4E5-46ED-9268-8F7315009887}" destId="{6E770AD8-F3D8-47FC-B888-FE96390BE709}" srcOrd="1" destOrd="0" presId="urn:microsoft.com/office/officeart/2008/layout/NameandTitleOrganizationalChart"/>
    <dgm:cxn modelId="{CB5CA6F2-6EDB-4001-A30C-571235810642}" type="presOf" srcId="{609EC050-713E-42CD-95B1-BA6B32FC6371}" destId="{B716599B-9D29-47B1-8F06-9443BF99C68C}" srcOrd="0" destOrd="0" presId="urn:microsoft.com/office/officeart/2008/layout/NameandTitleOrganizationalChart"/>
    <dgm:cxn modelId="{EB5D9F53-DEA6-4147-B05A-BD48B1261121}" type="presOf" srcId="{A181E2C6-06D3-4223-9DFF-3D1DA5FE102E}" destId="{EA61E17C-A0A7-4909-9642-5E23194ABD12}" srcOrd="0" destOrd="0" presId="urn:microsoft.com/office/officeart/2008/layout/NameandTitleOrganizationalChart"/>
    <dgm:cxn modelId="{924F87C0-EC43-4F18-BB9C-F4B779BA0923}" type="presOf" srcId="{75650316-6C72-452C-BD47-CCB305BE427C}" destId="{E515D687-E6F2-4D41-9E1F-31BBE09F8E78}" srcOrd="0" destOrd="0" presId="urn:microsoft.com/office/officeart/2008/layout/NameandTitleOrganizationalChart"/>
    <dgm:cxn modelId="{89843FF5-9DCD-4E4C-A503-5B3D5EBF3589}" type="presOf" srcId="{7A67E34C-680E-42FD-922E-B640B8E654E4}" destId="{B94DF55F-5C74-4AA9-8B7B-FA6DE9B984B1}" srcOrd="0" destOrd="0" presId="urn:microsoft.com/office/officeart/2008/layout/NameandTitleOrganizationalChart"/>
    <dgm:cxn modelId="{EDA39A03-AD1C-40E5-A518-2A6CDDEE504B}" srcId="{212B4CD4-94BA-4851-9F4D-93815443B010}" destId="{1DFC1432-BE42-46C2-8F5D-7D2B75D48D2F}" srcOrd="0" destOrd="0" parTransId="{A6DEA683-6DB0-4B49-931F-9288ABB62B0C}" sibTransId="{B7A842C4-0385-4900-BE90-6D3CF0BE563F}"/>
    <dgm:cxn modelId="{16010A31-A43A-480B-9E49-63BE94DF44DF}" srcId="{522C2978-065F-465A-B211-A3A58047578C}" destId="{9C934E3A-F4E5-46ED-9268-8F7315009887}" srcOrd="2" destOrd="0" parTransId="{211675FB-89FC-4DCC-BB89-9381C19F7CB2}" sibTransId="{FFBB4B3F-5665-476E-854F-94FF8D016598}"/>
    <dgm:cxn modelId="{79A478C2-0243-4F68-81E4-2212B10675CF}" type="presOf" srcId="{211675FB-89FC-4DCC-BB89-9381C19F7CB2}" destId="{C66A76AF-C164-4B8F-8D11-8415902D1A5F}" srcOrd="0" destOrd="0" presId="urn:microsoft.com/office/officeart/2008/layout/NameandTitleOrganizationalChart"/>
    <dgm:cxn modelId="{BFED3F24-470B-4111-BF05-AA0165669768}" type="presOf" srcId="{CB20C080-D667-4F6B-9F23-A0218A9AF6B9}" destId="{42D4EE86-357E-40D6-B0D9-3B02F0E1F571}" srcOrd="0" destOrd="0" presId="urn:microsoft.com/office/officeart/2008/layout/NameandTitleOrganizationalChart"/>
    <dgm:cxn modelId="{252F9BC6-D084-4C32-B44B-B58B21FFD879}" type="presParOf" srcId="{7DC63EFB-1385-4BA6-9CD5-6CEF6D073420}" destId="{F1AAC266-AEC3-40C1-AB96-80FB365F21FC}" srcOrd="0" destOrd="0" presId="urn:microsoft.com/office/officeart/2008/layout/NameandTitleOrganizationalChart"/>
    <dgm:cxn modelId="{2149F950-0B0C-4B75-B80A-BCB2899DF3D6}" type="presParOf" srcId="{F1AAC266-AEC3-40C1-AB96-80FB365F21FC}" destId="{394DD42C-E907-4976-B766-F8A035FB938E}" srcOrd="0" destOrd="0" presId="urn:microsoft.com/office/officeart/2008/layout/NameandTitleOrganizationalChart"/>
    <dgm:cxn modelId="{5D14705D-FE4A-451B-933E-3AA46BAAA009}" type="presParOf" srcId="{394DD42C-E907-4976-B766-F8A035FB938E}" destId="{1BFBF0C7-CBE0-4D48-B671-40C161728A63}" srcOrd="0" destOrd="0" presId="urn:microsoft.com/office/officeart/2008/layout/NameandTitleOrganizationalChart"/>
    <dgm:cxn modelId="{1CF86850-F2D1-4D71-A276-0046F22C8124}" type="presParOf" srcId="{394DD42C-E907-4976-B766-F8A035FB938E}" destId="{9CAC1903-B064-4D80-A17D-B3DED5AAA0B8}" srcOrd="1" destOrd="0" presId="urn:microsoft.com/office/officeart/2008/layout/NameandTitleOrganizationalChart"/>
    <dgm:cxn modelId="{69389066-08AD-4B25-B995-2A8D2CC30CDA}" type="presParOf" srcId="{394DD42C-E907-4976-B766-F8A035FB938E}" destId="{F36CD759-0AA4-4F79-BCBD-A7A968A44E02}" srcOrd="2" destOrd="0" presId="urn:microsoft.com/office/officeart/2008/layout/NameandTitleOrganizationalChart"/>
    <dgm:cxn modelId="{5E3F7E29-AC32-4365-8D12-94B940C62F45}" type="presParOf" srcId="{F1AAC266-AEC3-40C1-AB96-80FB365F21FC}" destId="{E3908C4B-E4ED-4106-B1CC-72A4693BD8F0}" srcOrd="1" destOrd="0" presId="urn:microsoft.com/office/officeart/2008/layout/NameandTitleOrganizationalChart"/>
    <dgm:cxn modelId="{933D1664-5A48-4CA7-A08F-AF63E0D81B13}" type="presParOf" srcId="{E3908C4B-E4ED-4106-B1CC-72A4693BD8F0}" destId="{BFE5407C-BDD1-4A73-A80B-878BF2700911}" srcOrd="0" destOrd="0" presId="urn:microsoft.com/office/officeart/2008/layout/NameandTitleOrganizationalChart"/>
    <dgm:cxn modelId="{03BE80E1-2F38-4F63-9C17-80D3FBDDA60D}" type="presParOf" srcId="{E3908C4B-E4ED-4106-B1CC-72A4693BD8F0}" destId="{CDFC59AD-198A-4A17-8765-5E026E6F5534}" srcOrd="1" destOrd="0" presId="urn:microsoft.com/office/officeart/2008/layout/NameandTitleOrganizationalChart"/>
    <dgm:cxn modelId="{4B9EA0B9-1DE3-4BAE-86A8-8DE86F97D63E}" type="presParOf" srcId="{CDFC59AD-198A-4A17-8765-5E026E6F5534}" destId="{BF599609-F938-47E8-B7DC-3DEB0D807E20}" srcOrd="0" destOrd="0" presId="urn:microsoft.com/office/officeart/2008/layout/NameandTitleOrganizationalChart"/>
    <dgm:cxn modelId="{7BA57498-A5EA-4C68-B427-39D1337D7747}" type="presParOf" srcId="{BF599609-F938-47E8-B7DC-3DEB0D807E20}" destId="{B716599B-9D29-47B1-8F06-9443BF99C68C}" srcOrd="0" destOrd="0" presId="urn:microsoft.com/office/officeart/2008/layout/NameandTitleOrganizationalChart"/>
    <dgm:cxn modelId="{52E1DB04-4EC0-4B79-B783-A737FCE4C266}" type="presParOf" srcId="{BF599609-F938-47E8-B7DC-3DEB0D807E20}" destId="{42919571-8C8A-45A5-9BFE-47659453BD29}" srcOrd="1" destOrd="0" presId="urn:microsoft.com/office/officeart/2008/layout/NameandTitleOrganizationalChart"/>
    <dgm:cxn modelId="{FDDCE278-50DD-40E5-97D0-C52BBC6AA844}" type="presParOf" srcId="{BF599609-F938-47E8-B7DC-3DEB0D807E20}" destId="{D7D7851B-BBBD-4DD3-88F1-28A57EEACDD0}" srcOrd="2" destOrd="0" presId="urn:microsoft.com/office/officeart/2008/layout/NameandTitleOrganizationalChart"/>
    <dgm:cxn modelId="{57E2E839-B1CA-48D2-A6A2-2F7FA1FD5F2A}" type="presParOf" srcId="{CDFC59AD-198A-4A17-8765-5E026E6F5534}" destId="{CA40534F-30E8-4828-9B78-C7F54DC50F9E}" srcOrd="1" destOrd="0" presId="urn:microsoft.com/office/officeart/2008/layout/NameandTitleOrganizationalChart"/>
    <dgm:cxn modelId="{2CEF0972-FA4D-413B-B327-551F4402543C}" type="presParOf" srcId="{CA40534F-30E8-4828-9B78-C7F54DC50F9E}" destId="{E0B30EE3-F4DD-4610-A709-912D5EE9439E}" srcOrd="0" destOrd="0" presId="urn:microsoft.com/office/officeart/2008/layout/NameandTitleOrganizationalChart"/>
    <dgm:cxn modelId="{922F6A83-4FF4-4CAD-A49D-8804E3EF2403}" type="presParOf" srcId="{CA40534F-30E8-4828-9B78-C7F54DC50F9E}" destId="{A534B9C7-A721-455B-81A0-09E8A138F0AD}" srcOrd="1" destOrd="0" presId="urn:microsoft.com/office/officeart/2008/layout/NameandTitleOrganizationalChart"/>
    <dgm:cxn modelId="{BF3C5A45-4A90-450B-A7A7-895F540F988B}" type="presParOf" srcId="{A534B9C7-A721-455B-81A0-09E8A138F0AD}" destId="{EC374F6F-6971-4461-8A7B-75A65CDFC468}" srcOrd="0" destOrd="0" presId="urn:microsoft.com/office/officeart/2008/layout/NameandTitleOrganizationalChart"/>
    <dgm:cxn modelId="{D2D11B27-4F49-4C98-844C-D7A42466B958}" type="presParOf" srcId="{EC374F6F-6971-4461-8A7B-75A65CDFC468}" destId="{60382261-A942-47A8-B60E-253683743B5F}" srcOrd="0" destOrd="0" presId="urn:microsoft.com/office/officeart/2008/layout/NameandTitleOrganizationalChart"/>
    <dgm:cxn modelId="{088EF9BA-BDA6-45FC-832A-758348662BCA}" type="presParOf" srcId="{EC374F6F-6971-4461-8A7B-75A65CDFC468}" destId="{C865E448-AD2D-47F5-95BD-B87B54EF5141}" srcOrd="1" destOrd="0" presId="urn:microsoft.com/office/officeart/2008/layout/NameandTitleOrganizationalChart"/>
    <dgm:cxn modelId="{3C6D77C6-463B-48A3-88D1-589FE6FA0EB1}" type="presParOf" srcId="{EC374F6F-6971-4461-8A7B-75A65CDFC468}" destId="{D0B140AF-B40F-483E-9FB3-39D2BB43C2F0}" srcOrd="2" destOrd="0" presId="urn:microsoft.com/office/officeart/2008/layout/NameandTitleOrganizationalChart"/>
    <dgm:cxn modelId="{9D2C29C5-B964-47B2-A73C-946933C112E7}" type="presParOf" srcId="{A534B9C7-A721-455B-81A0-09E8A138F0AD}" destId="{76E0930A-7436-461B-BE3E-2998E3C232D1}" srcOrd="1" destOrd="0" presId="urn:microsoft.com/office/officeart/2008/layout/NameandTitleOrganizationalChart"/>
    <dgm:cxn modelId="{60CFAA48-E835-43A5-98D2-B3C8589C8B0F}" type="presParOf" srcId="{76E0930A-7436-461B-BE3E-2998E3C232D1}" destId="{EC3ADB33-7187-47FB-ABB8-D088FFD3756E}" srcOrd="0" destOrd="0" presId="urn:microsoft.com/office/officeart/2008/layout/NameandTitleOrganizationalChart"/>
    <dgm:cxn modelId="{B7AA5AF1-E3BE-4C33-AC82-8DF6230FB004}" type="presParOf" srcId="{76E0930A-7436-461B-BE3E-2998E3C232D1}" destId="{1C28095B-B951-40D8-8DEB-00AD71244CD5}" srcOrd="1" destOrd="0" presId="urn:microsoft.com/office/officeart/2008/layout/NameandTitleOrganizationalChart"/>
    <dgm:cxn modelId="{258B1ABE-08B7-487B-8A4E-CBD2EC61A936}" type="presParOf" srcId="{1C28095B-B951-40D8-8DEB-00AD71244CD5}" destId="{F8407834-F10B-4CDF-BA52-BD2707F46595}" srcOrd="0" destOrd="0" presId="urn:microsoft.com/office/officeart/2008/layout/NameandTitleOrganizationalChart"/>
    <dgm:cxn modelId="{43230AE8-071A-4274-9345-679F9EF46A0A}" type="presParOf" srcId="{F8407834-F10B-4CDF-BA52-BD2707F46595}" destId="{C875B58D-8C27-4F0F-AEA8-8943E08F99A9}" srcOrd="0" destOrd="0" presId="urn:microsoft.com/office/officeart/2008/layout/NameandTitleOrganizationalChart"/>
    <dgm:cxn modelId="{AD1021E9-2F05-4803-A0D5-BC5FE88421E0}" type="presParOf" srcId="{F8407834-F10B-4CDF-BA52-BD2707F46595}" destId="{120993E5-7505-42CA-AF14-AB16847D8911}" srcOrd="1" destOrd="0" presId="urn:microsoft.com/office/officeart/2008/layout/NameandTitleOrganizationalChart"/>
    <dgm:cxn modelId="{2AB990CA-497C-4ACA-842D-0A0077673CE7}" type="presParOf" srcId="{F8407834-F10B-4CDF-BA52-BD2707F46595}" destId="{2CF646B0-73EA-43A0-9966-0EDFAF593F06}" srcOrd="2" destOrd="0" presId="urn:microsoft.com/office/officeart/2008/layout/NameandTitleOrganizationalChart"/>
    <dgm:cxn modelId="{4E81A78A-F075-4CAA-8E10-62E3339373B1}" type="presParOf" srcId="{1C28095B-B951-40D8-8DEB-00AD71244CD5}" destId="{094F00BF-38D1-49F0-AB02-6CE3256B3234}" srcOrd="1" destOrd="0" presId="urn:microsoft.com/office/officeart/2008/layout/NameandTitleOrganizationalChart"/>
    <dgm:cxn modelId="{CCB57012-D6A5-45B0-9E87-BAF0E770C538}" type="presParOf" srcId="{094F00BF-38D1-49F0-AB02-6CE3256B3234}" destId="{6A33C117-E4E5-4AF5-A304-61FB43ED3DCD}" srcOrd="0" destOrd="0" presId="urn:microsoft.com/office/officeart/2008/layout/NameandTitleOrganizationalChart"/>
    <dgm:cxn modelId="{815D6E6C-4455-4F1D-BD26-338FB6A91C64}" type="presParOf" srcId="{094F00BF-38D1-49F0-AB02-6CE3256B3234}" destId="{715B7C93-50E1-4B61-9CC9-972E5B7B7381}" srcOrd="1" destOrd="0" presId="urn:microsoft.com/office/officeart/2008/layout/NameandTitleOrganizationalChart"/>
    <dgm:cxn modelId="{8D3F855B-DD55-4041-94F0-A162F590FF20}" type="presParOf" srcId="{715B7C93-50E1-4B61-9CC9-972E5B7B7381}" destId="{CC12A724-B23B-480A-B3EA-9A134C2C0B87}" srcOrd="0" destOrd="0" presId="urn:microsoft.com/office/officeart/2008/layout/NameandTitleOrganizationalChart"/>
    <dgm:cxn modelId="{E1371348-6175-4044-8F2A-A45D39A8DC5B}" type="presParOf" srcId="{CC12A724-B23B-480A-B3EA-9A134C2C0B87}" destId="{25392AC2-8380-425A-AD2F-6CF1E880CE75}" srcOrd="0" destOrd="0" presId="urn:microsoft.com/office/officeart/2008/layout/NameandTitleOrganizationalChart"/>
    <dgm:cxn modelId="{63370032-10FF-4F4C-B58D-52E1595399CE}" type="presParOf" srcId="{CC12A724-B23B-480A-B3EA-9A134C2C0B87}" destId="{EBCEC652-FC84-4905-81B0-7C9CD667481C}" srcOrd="1" destOrd="0" presId="urn:microsoft.com/office/officeart/2008/layout/NameandTitleOrganizationalChart"/>
    <dgm:cxn modelId="{4470C30D-46E0-4B03-BA3A-136F08C3EDAB}" type="presParOf" srcId="{CC12A724-B23B-480A-B3EA-9A134C2C0B87}" destId="{38B9ADAD-2DC9-411E-98E3-1E28EFAD62F1}" srcOrd="2" destOrd="0" presId="urn:microsoft.com/office/officeart/2008/layout/NameandTitleOrganizationalChart"/>
    <dgm:cxn modelId="{B119598C-7CC7-45F9-938E-6E9534F14014}" type="presParOf" srcId="{715B7C93-50E1-4B61-9CC9-972E5B7B7381}" destId="{F5FEADAA-DCD9-4B1C-855B-51C74E55EBCE}" srcOrd="1" destOrd="0" presId="urn:microsoft.com/office/officeart/2008/layout/NameandTitleOrganizationalChart"/>
    <dgm:cxn modelId="{FD0D29CA-94A8-414C-98E4-3C2004EFD4FB}" type="presParOf" srcId="{715B7C93-50E1-4B61-9CC9-972E5B7B7381}" destId="{B2A7A050-68B1-4D26-BC7C-14C492AABBEF}" srcOrd="2" destOrd="0" presId="urn:microsoft.com/office/officeart/2008/layout/NameandTitleOrganizationalChart"/>
    <dgm:cxn modelId="{B25BA078-6213-4030-B9C7-DB734D532DF8}" type="presParOf" srcId="{1C28095B-B951-40D8-8DEB-00AD71244CD5}" destId="{965CA13D-51E1-498F-80F1-80BDFEC7746A}" srcOrd="2" destOrd="0" presId="urn:microsoft.com/office/officeart/2008/layout/NameandTitleOrganizationalChart"/>
    <dgm:cxn modelId="{F08E0836-69DF-45D8-9B69-97C6521C6DD5}" type="presParOf" srcId="{A534B9C7-A721-455B-81A0-09E8A138F0AD}" destId="{D142ECEB-8318-4E2F-8C69-402FCF04DD7B}" srcOrd="2" destOrd="0" presId="urn:microsoft.com/office/officeart/2008/layout/NameandTitleOrganizationalChart"/>
    <dgm:cxn modelId="{FBD7D46F-BC40-4918-8C5C-A8BF4307631E}" type="presParOf" srcId="{CDFC59AD-198A-4A17-8765-5E026E6F5534}" destId="{1CECF8A8-69AD-4238-B5A5-9229DFADCA70}" srcOrd="2" destOrd="0" presId="urn:microsoft.com/office/officeart/2008/layout/NameandTitleOrganizationalChart"/>
    <dgm:cxn modelId="{A3CA2D10-986B-4095-B420-87793390FD5C}" type="presParOf" srcId="{E3908C4B-E4ED-4106-B1CC-72A4693BD8F0}" destId="{C66A76AF-C164-4B8F-8D11-8415902D1A5F}" srcOrd="2" destOrd="0" presId="urn:microsoft.com/office/officeart/2008/layout/NameandTitleOrganizationalChart"/>
    <dgm:cxn modelId="{865A3971-F1C1-45B9-AB63-DF4152E4E162}" type="presParOf" srcId="{E3908C4B-E4ED-4106-B1CC-72A4693BD8F0}" destId="{DB329BE1-A9BD-4143-878B-EEC471B20894}" srcOrd="3" destOrd="0" presId="urn:microsoft.com/office/officeart/2008/layout/NameandTitleOrganizationalChart"/>
    <dgm:cxn modelId="{F4EDCA35-A89D-45EE-9E4A-3FF7C79C6E0B}" type="presParOf" srcId="{DB329BE1-A9BD-4143-878B-EEC471B20894}" destId="{6483C7D8-7C89-41A9-9545-1D4CD507FE0A}" srcOrd="0" destOrd="0" presId="urn:microsoft.com/office/officeart/2008/layout/NameandTitleOrganizationalChart"/>
    <dgm:cxn modelId="{6A1762C8-2FBC-41D1-B3B7-02CF71F34EF1}" type="presParOf" srcId="{6483C7D8-7C89-41A9-9545-1D4CD507FE0A}" destId="{2065DD9D-A86A-4FD9-897E-55298C65AF97}" srcOrd="0" destOrd="0" presId="urn:microsoft.com/office/officeart/2008/layout/NameandTitleOrganizationalChart"/>
    <dgm:cxn modelId="{CA8CFBC4-929C-4694-A7E2-978CC06867B6}" type="presParOf" srcId="{6483C7D8-7C89-41A9-9545-1D4CD507FE0A}" destId="{B73EC240-C8AA-4B9D-9C74-8E16D0917658}" srcOrd="1" destOrd="0" presId="urn:microsoft.com/office/officeart/2008/layout/NameandTitleOrganizationalChart"/>
    <dgm:cxn modelId="{72A0C463-940E-481E-9A71-8D586CB0CB6B}" type="presParOf" srcId="{6483C7D8-7C89-41A9-9545-1D4CD507FE0A}" destId="{6E770AD8-F3D8-47FC-B888-FE96390BE709}" srcOrd="2" destOrd="0" presId="urn:microsoft.com/office/officeart/2008/layout/NameandTitleOrganizationalChart"/>
    <dgm:cxn modelId="{7A07A6AA-CA54-4AE8-B0C7-56FF08251A7E}" type="presParOf" srcId="{DB329BE1-A9BD-4143-878B-EEC471B20894}" destId="{A065FCE1-76CB-4CD0-80F7-A056CDAA1AD3}" srcOrd="1" destOrd="0" presId="urn:microsoft.com/office/officeart/2008/layout/NameandTitleOrganizationalChart"/>
    <dgm:cxn modelId="{4DCEBE4C-E782-4D0D-9579-5992F091C1DD}" type="presParOf" srcId="{A065FCE1-76CB-4CD0-80F7-A056CDAA1AD3}" destId="{4FD4FCC6-4A86-48F4-894A-B12FAE497647}" srcOrd="0" destOrd="0" presId="urn:microsoft.com/office/officeart/2008/layout/NameandTitleOrganizationalChart"/>
    <dgm:cxn modelId="{EACDDEDF-C5DC-426B-A597-C179A48E8480}" type="presParOf" srcId="{A065FCE1-76CB-4CD0-80F7-A056CDAA1AD3}" destId="{981EB854-6234-455B-A08C-EE73BD94AE2E}" srcOrd="1" destOrd="0" presId="urn:microsoft.com/office/officeart/2008/layout/NameandTitleOrganizationalChart"/>
    <dgm:cxn modelId="{DCC45F20-22B0-4279-941D-D199774B8769}" type="presParOf" srcId="{981EB854-6234-455B-A08C-EE73BD94AE2E}" destId="{118325E1-26CB-4E29-8819-FC439B6723A6}" srcOrd="0" destOrd="0" presId="urn:microsoft.com/office/officeart/2008/layout/NameandTitleOrganizationalChart"/>
    <dgm:cxn modelId="{41C1B517-DB90-4EB7-AA7C-EB66FA9973CF}" type="presParOf" srcId="{118325E1-26CB-4E29-8819-FC439B6723A6}" destId="{E515D687-E6F2-4D41-9E1F-31BBE09F8E78}" srcOrd="0" destOrd="0" presId="urn:microsoft.com/office/officeart/2008/layout/NameandTitleOrganizationalChart"/>
    <dgm:cxn modelId="{50F67206-EA82-4DF4-BA45-E502F21B5882}" type="presParOf" srcId="{118325E1-26CB-4E29-8819-FC439B6723A6}" destId="{31277573-1C5F-45B0-926D-801658735A2F}" srcOrd="1" destOrd="0" presId="urn:microsoft.com/office/officeart/2008/layout/NameandTitleOrganizationalChart"/>
    <dgm:cxn modelId="{6D17F67F-A18D-4B38-B5CD-643E11091790}" type="presParOf" srcId="{118325E1-26CB-4E29-8819-FC439B6723A6}" destId="{BD4083CD-2B4D-4479-9626-03AD3F06ACD4}" srcOrd="2" destOrd="0" presId="urn:microsoft.com/office/officeart/2008/layout/NameandTitleOrganizationalChart"/>
    <dgm:cxn modelId="{DFA2CF75-9885-42FB-BE3E-D9ACEBB90E1E}" type="presParOf" srcId="{981EB854-6234-455B-A08C-EE73BD94AE2E}" destId="{AC00184B-8F07-4FBD-A71D-0970CE4365EA}" srcOrd="1" destOrd="0" presId="urn:microsoft.com/office/officeart/2008/layout/NameandTitleOrganizationalChart"/>
    <dgm:cxn modelId="{E7250685-EA7C-4273-880F-B6BAAB2A9C76}" type="presParOf" srcId="{AC00184B-8F07-4FBD-A71D-0970CE4365EA}" destId="{EA61E17C-A0A7-4909-9642-5E23194ABD12}" srcOrd="0" destOrd="0" presId="urn:microsoft.com/office/officeart/2008/layout/NameandTitleOrganizationalChart"/>
    <dgm:cxn modelId="{322CDB46-7C9F-4AF1-823D-ECDC37BAF6C9}" type="presParOf" srcId="{AC00184B-8F07-4FBD-A71D-0970CE4365EA}" destId="{42331FE9-0C16-4097-B68D-5B5EC02141AA}" srcOrd="1" destOrd="0" presId="urn:microsoft.com/office/officeart/2008/layout/NameandTitleOrganizationalChart"/>
    <dgm:cxn modelId="{D46E6E24-52C7-45B6-9DBC-FAD3CBC2F90A}" type="presParOf" srcId="{42331FE9-0C16-4097-B68D-5B5EC02141AA}" destId="{6A18D582-BACA-4DE4-8BC8-343B5E3BB2A4}" srcOrd="0" destOrd="0" presId="urn:microsoft.com/office/officeart/2008/layout/NameandTitleOrganizationalChart"/>
    <dgm:cxn modelId="{A730925A-ED5B-4FFB-B288-F6FF63858DFB}" type="presParOf" srcId="{6A18D582-BACA-4DE4-8BC8-343B5E3BB2A4}" destId="{9E3F4FB7-26B1-4FE5-BD56-458836CC26C5}" srcOrd="0" destOrd="0" presId="urn:microsoft.com/office/officeart/2008/layout/NameandTitleOrganizationalChart"/>
    <dgm:cxn modelId="{223A5758-55B6-4827-AFAD-62104335AB26}" type="presParOf" srcId="{6A18D582-BACA-4DE4-8BC8-343B5E3BB2A4}" destId="{D1842742-09C3-49C4-ADA7-0919AA4B7F0A}" srcOrd="1" destOrd="0" presId="urn:microsoft.com/office/officeart/2008/layout/NameandTitleOrganizationalChart"/>
    <dgm:cxn modelId="{FB5E2DD9-0C52-4469-A5E6-E9030FB2DE38}" type="presParOf" srcId="{6A18D582-BACA-4DE4-8BC8-343B5E3BB2A4}" destId="{D39A6441-7A1F-4E33-9237-8FB0E8EE1E94}" srcOrd="2" destOrd="0" presId="urn:microsoft.com/office/officeart/2008/layout/NameandTitleOrganizationalChart"/>
    <dgm:cxn modelId="{2223769C-945C-418D-A125-580E43E319E0}" type="presParOf" srcId="{42331FE9-0C16-4097-B68D-5B5EC02141AA}" destId="{2C76C878-5EEC-4876-B57F-4852D79DC433}" srcOrd="1" destOrd="0" presId="urn:microsoft.com/office/officeart/2008/layout/NameandTitleOrganizationalChart"/>
    <dgm:cxn modelId="{9641E19C-0CCA-4282-A505-118E2C42C9F5}" type="presParOf" srcId="{2C76C878-5EEC-4876-B57F-4852D79DC433}" destId="{AD1E6DD7-3405-409A-9BFC-D69600FA687E}" srcOrd="0" destOrd="0" presId="urn:microsoft.com/office/officeart/2008/layout/NameandTitleOrganizationalChart"/>
    <dgm:cxn modelId="{6AC59330-36F6-4260-8F5D-81D22AE9AB4D}" type="presParOf" srcId="{2C76C878-5EEC-4876-B57F-4852D79DC433}" destId="{77B41E9F-B776-422B-9D4D-DAE8EAB8F920}" srcOrd="1" destOrd="0" presId="urn:microsoft.com/office/officeart/2008/layout/NameandTitleOrganizationalChart"/>
    <dgm:cxn modelId="{4877C061-5597-4D2C-A61A-0D228E0AECF7}" type="presParOf" srcId="{77B41E9F-B776-422B-9D4D-DAE8EAB8F920}" destId="{5A6B61EA-D2E4-4CB8-ABA0-A323D464A41A}" srcOrd="0" destOrd="0" presId="urn:microsoft.com/office/officeart/2008/layout/NameandTitleOrganizationalChart"/>
    <dgm:cxn modelId="{2F78E4D5-D8C9-4339-B8DE-57F48974CA8E}" type="presParOf" srcId="{5A6B61EA-D2E4-4CB8-ABA0-A323D464A41A}" destId="{42D4EE86-357E-40D6-B0D9-3B02F0E1F571}" srcOrd="0" destOrd="0" presId="urn:microsoft.com/office/officeart/2008/layout/NameandTitleOrganizationalChart"/>
    <dgm:cxn modelId="{395798F2-E698-4C71-87EE-D121BFDC4336}" type="presParOf" srcId="{5A6B61EA-D2E4-4CB8-ABA0-A323D464A41A}" destId="{8E7A71A3-695B-4824-A3DF-9A1495271320}" srcOrd="1" destOrd="0" presId="urn:microsoft.com/office/officeart/2008/layout/NameandTitleOrganizationalChart"/>
    <dgm:cxn modelId="{84EEB72F-57DC-49CC-AB29-D6ECE2081717}" type="presParOf" srcId="{5A6B61EA-D2E4-4CB8-ABA0-A323D464A41A}" destId="{CC6B339C-677B-4B2B-9C2C-A02F607EC28D}" srcOrd="2" destOrd="0" presId="urn:microsoft.com/office/officeart/2008/layout/NameandTitleOrganizationalChart"/>
    <dgm:cxn modelId="{B62D85ED-4DD2-4150-92AF-9018D111E33D}" type="presParOf" srcId="{77B41E9F-B776-422B-9D4D-DAE8EAB8F920}" destId="{C7B842AC-BB01-48BA-BCBA-AC0A3EBCE525}" srcOrd="1" destOrd="0" presId="urn:microsoft.com/office/officeart/2008/layout/NameandTitleOrganizationalChart"/>
    <dgm:cxn modelId="{C0CC46EE-8323-414D-AB34-F19B1F44EB4A}" type="presParOf" srcId="{77B41E9F-B776-422B-9D4D-DAE8EAB8F920}" destId="{6656F9ED-7FB5-4CC0-860E-4B1190C43B6A}" srcOrd="2" destOrd="0" presId="urn:microsoft.com/office/officeart/2008/layout/NameandTitleOrganizationalChart"/>
    <dgm:cxn modelId="{649856B0-6962-4E48-8B8D-B221A66F761E}" type="presParOf" srcId="{42331FE9-0C16-4097-B68D-5B5EC02141AA}" destId="{CF5C69DF-81EF-441C-8DC3-731CA9BB2120}" srcOrd="2" destOrd="0" presId="urn:microsoft.com/office/officeart/2008/layout/NameandTitleOrganizationalChart"/>
    <dgm:cxn modelId="{EB915BBF-84D4-47CD-A828-3A1DC03AB38A}" type="presParOf" srcId="{981EB854-6234-455B-A08C-EE73BD94AE2E}" destId="{4386B841-CCA9-417E-984E-609DC5EC09CA}" srcOrd="2" destOrd="0" presId="urn:microsoft.com/office/officeart/2008/layout/NameandTitleOrganizationalChart"/>
    <dgm:cxn modelId="{D1CCF900-306B-4ADE-A4D2-5DD4C5D8666F}" type="presParOf" srcId="{DB329BE1-A9BD-4143-878B-EEC471B20894}" destId="{83DD0D1F-2BB5-4888-9121-2A43E45CB26B}" srcOrd="2" destOrd="0" presId="urn:microsoft.com/office/officeart/2008/layout/NameandTitleOrganizationalChart"/>
    <dgm:cxn modelId="{FB5F7187-056D-4A5B-B845-CE04CD034BC8}" type="presParOf" srcId="{E3908C4B-E4ED-4106-B1CC-72A4693BD8F0}" destId="{FAC35AEF-9B09-4937-BA4E-15553AA3989E}" srcOrd="4" destOrd="0" presId="urn:microsoft.com/office/officeart/2008/layout/NameandTitleOrganizationalChart"/>
    <dgm:cxn modelId="{D2EC5408-524A-4DF1-A82D-4ABAD171C086}" type="presParOf" srcId="{E3908C4B-E4ED-4106-B1CC-72A4693BD8F0}" destId="{CDA8862E-EEAA-4EE1-8786-54480B968691}" srcOrd="5" destOrd="0" presId="urn:microsoft.com/office/officeart/2008/layout/NameandTitleOrganizationalChart"/>
    <dgm:cxn modelId="{0ACB69D0-356A-43AF-9A9E-997FB950BE44}" type="presParOf" srcId="{CDA8862E-EEAA-4EE1-8786-54480B968691}" destId="{E28EBCD4-92B3-4463-BA12-54648D66D603}" srcOrd="0" destOrd="0" presId="urn:microsoft.com/office/officeart/2008/layout/NameandTitleOrganizationalChart"/>
    <dgm:cxn modelId="{3D053261-AF60-4289-8D60-BFFF9D153609}" type="presParOf" srcId="{E28EBCD4-92B3-4463-BA12-54648D66D603}" destId="{37F8178C-3067-4163-BADD-EB86CDCCE161}" srcOrd="0" destOrd="0" presId="urn:microsoft.com/office/officeart/2008/layout/NameandTitleOrganizationalChart"/>
    <dgm:cxn modelId="{2DECCA06-E177-4BA1-8DB3-C6FE502935A1}" type="presParOf" srcId="{E28EBCD4-92B3-4463-BA12-54648D66D603}" destId="{DCD7400E-067A-4AE2-9EB4-3702F03B1B89}" srcOrd="1" destOrd="0" presId="urn:microsoft.com/office/officeart/2008/layout/NameandTitleOrganizationalChart"/>
    <dgm:cxn modelId="{800BECD8-5860-48ED-99CF-26CE17AD6270}" type="presParOf" srcId="{E28EBCD4-92B3-4463-BA12-54648D66D603}" destId="{5F3DF943-7B4F-4227-B674-D9DE2D54F0E0}" srcOrd="2" destOrd="0" presId="urn:microsoft.com/office/officeart/2008/layout/NameandTitleOrganizationalChart"/>
    <dgm:cxn modelId="{3C97130E-C8BD-4292-857C-F08F55767D54}" type="presParOf" srcId="{CDA8862E-EEAA-4EE1-8786-54480B968691}" destId="{BABBC822-3C5F-4241-A745-25EDB5F70BBE}" srcOrd="1" destOrd="0" presId="urn:microsoft.com/office/officeart/2008/layout/NameandTitleOrganizationalChart"/>
    <dgm:cxn modelId="{A590E7CB-7EEA-4264-B37E-CD8F2EB16230}" type="presParOf" srcId="{BABBC822-3C5F-4241-A745-25EDB5F70BBE}" destId="{1FB68FE8-4CC1-4680-827E-24E83EE4F2BD}" srcOrd="0" destOrd="0" presId="urn:microsoft.com/office/officeart/2008/layout/NameandTitleOrganizationalChart"/>
    <dgm:cxn modelId="{8490F178-ACAA-449D-A995-5737A2EF2CAA}" type="presParOf" srcId="{BABBC822-3C5F-4241-A745-25EDB5F70BBE}" destId="{9088A3EB-2AD7-4D2A-BEBE-ADEF17B7CA2E}" srcOrd="1" destOrd="0" presId="urn:microsoft.com/office/officeart/2008/layout/NameandTitleOrganizationalChart"/>
    <dgm:cxn modelId="{AADF438D-8CB5-4B2F-BDC3-3ACDF0131B14}" type="presParOf" srcId="{9088A3EB-2AD7-4D2A-BEBE-ADEF17B7CA2E}" destId="{E9FE2811-187B-4C48-AC33-ED039758FEFC}" srcOrd="0" destOrd="0" presId="urn:microsoft.com/office/officeart/2008/layout/NameandTitleOrganizationalChart"/>
    <dgm:cxn modelId="{8142EF91-1ABD-4579-8773-EB3916DBA1D1}" type="presParOf" srcId="{E9FE2811-187B-4C48-AC33-ED039758FEFC}" destId="{B94DF55F-5C74-4AA9-8B7B-FA6DE9B984B1}" srcOrd="0" destOrd="0" presId="urn:microsoft.com/office/officeart/2008/layout/NameandTitleOrganizationalChart"/>
    <dgm:cxn modelId="{BA9DB76C-ED7C-49C1-8EFF-3B5AB17D485A}" type="presParOf" srcId="{E9FE2811-187B-4C48-AC33-ED039758FEFC}" destId="{99281717-D511-4EA0-B924-B110F79F835C}" srcOrd="1" destOrd="0" presId="urn:microsoft.com/office/officeart/2008/layout/NameandTitleOrganizationalChart"/>
    <dgm:cxn modelId="{BDD02639-EC66-4FDF-AFD5-BEE286CB9627}" type="presParOf" srcId="{E9FE2811-187B-4C48-AC33-ED039758FEFC}" destId="{C7C6AD5F-F269-4D4E-9C9B-59222EC1C01F}" srcOrd="2" destOrd="0" presId="urn:microsoft.com/office/officeart/2008/layout/NameandTitleOrganizationalChart"/>
    <dgm:cxn modelId="{DFB8CD5E-1EF6-4419-8D8A-9BA1998F3F56}" type="presParOf" srcId="{9088A3EB-2AD7-4D2A-BEBE-ADEF17B7CA2E}" destId="{500736FB-055D-425B-9569-5379A88699E4}" srcOrd="1" destOrd="0" presId="urn:microsoft.com/office/officeart/2008/layout/NameandTitleOrganizationalChart"/>
    <dgm:cxn modelId="{7687BDF7-0765-48E0-ACB9-B29C405CF009}" type="presParOf" srcId="{9088A3EB-2AD7-4D2A-BEBE-ADEF17B7CA2E}" destId="{7AF84402-02AC-4B18-BDF8-0C12568046AB}" srcOrd="2" destOrd="0" presId="urn:microsoft.com/office/officeart/2008/layout/NameandTitleOrganizationalChart"/>
    <dgm:cxn modelId="{E25D5FA6-390F-47F7-9AB8-C976EE2BBF72}" type="presParOf" srcId="{CDA8862E-EEAA-4EE1-8786-54480B968691}" destId="{C4916F4D-0C71-43A2-89D0-C1AF5D227EE4}" srcOrd="2" destOrd="0" presId="urn:microsoft.com/office/officeart/2008/layout/NameandTitleOrganizationalChart"/>
    <dgm:cxn modelId="{C2D1EFD3-936E-46FB-A8B7-6299B22030EA}" type="presParOf" srcId="{F1AAC266-AEC3-40C1-AB96-80FB365F21FC}" destId="{821A69AD-A1A4-499B-8DA2-D9C7C45256B4}" srcOrd="2" destOrd="0" presId="urn:microsoft.com/office/officeart/2008/layout/NameandTitleOrganizationalChart"/>
    <dgm:cxn modelId="{27B5C23E-4FDA-43DB-99BC-2B1F9AD365F1}" type="presParOf" srcId="{821A69AD-A1A4-499B-8DA2-D9C7C45256B4}" destId="{7DAA1AD1-244B-4C4D-8961-2FB5CE2808B8}" srcOrd="0" destOrd="0" presId="urn:microsoft.com/office/officeart/2008/layout/NameandTitleOrganizationalChart"/>
    <dgm:cxn modelId="{0AD307EA-2D54-4E6A-BA0D-12FC9554C8EE}" type="presParOf" srcId="{821A69AD-A1A4-499B-8DA2-D9C7C45256B4}" destId="{1E7B10B6-E9EE-4ADA-8120-C78E67BF7BA7}" srcOrd="1" destOrd="0" presId="urn:microsoft.com/office/officeart/2008/layout/NameandTitleOrganizationalChart"/>
    <dgm:cxn modelId="{0126FC65-2A70-4738-A080-467F86D98802}" type="presParOf" srcId="{1E7B10B6-E9EE-4ADA-8120-C78E67BF7BA7}" destId="{C00E723A-61A4-49F9-9144-2D0FD8D5AF71}" srcOrd="0" destOrd="0" presId="urn:microsoft.com/office/officeart/2008/layout/NameandTitleOrganizationalChart"/>
    <dgm:cxn modelId="{224BBDE5-E5A4-4CC0-B8AE-2E6513D03814}" type="presParOf" srcId="{C00E723A-61A4-49F9-9144-2D0FD8D5AF71}" destId="{5B81EF67-4E40-48C8-8A56-DA358B67F993}" srcOrd="0" destOrd="0" presId="urn:microsoft.com/office/officeart/2008/layout/NameandTitleOrganizationalChart"/>
    <dgm:cxn modelId="{82654EB6-873A-43F5-B650-5A1BE4A8A544}" type="presParOf" srcId="{C00E723A-61A4-49F9-9144-2D0FD8D5AF71}" destId="{E8E05CC8-7047-470A-961E-1E4DDDDA7F3E}" srcOrd="1" destOrd="0" presId="urn:microsoft.com/office/officeart/2008/layout/NameandTitleOrganizationalChart"/>
    <dgm:cxn modelId="{494AC953-7F6A-481A-A029-CFD583865BA0}" type="presParOf" srcId="{C00E723A-61A4-49F9-9144-2D0FD8D5AF71}" destId="{98D7189E-515B-430F-976A-96FABFCB8DE1}" srcOrd="2" destOrd="0" presId="urn:microsoft.com/office/officeart/2008/layout/NameandTitleOrganizationalChart"/>
    <dgm:cxn modelId="{E579E5A0-A461-40BA-AAD7-10CEE87B8BC5}" type="presParOf" srcId="{1E7B10B6-E9EE-4ADA-8120-C78E67BF7BA7}" destId="{38D95080-BDF4-4108-9329-F48BEA15CCA4}" srcOrd="1" destOrd="0" presId="urn:microsoft.com/office/officeart/2008/layout/NameandTitleOrganizationalChart"/>
    <dgm:cxn modelId="{C224C4A9-5C0C-4D8B-9FB6-D20B808700EF}" type="presParOf" srcId="{1E7B10B6-E9EE-4ADA-8120-C78E67BF7BA7}" destId="{89ECFA41-3930-42A4-8FCD-761877F8A951}" srcOrd="2" destOrd="0" presId="urn:microsoft.com/office/officeart/2008/layout/NameandTitleOrganizationalChart"/>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A39E7EE-75F9-4366-B559-AD707DBF6A78}"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n-US"/>
        </a:p>
      </dgm:t>
    </dgm:pt>
    <dgm:pt modelId="{827E0522-1DF9-42D8-BF44-0489F993C042}">
      <dgm:prSet phldrT="[Text]" custT="1"/>
      <dgm:spPr>
        <a:xfrm>
          <a:off x="2021159" y="105022"/>
          <a:ext cx="1451358" cy="75144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sz="1600" b="1">
              <a:solidFill>
                <a:sysClr val="window" lastClr="FFFFFF"/>
              </a:solidFill>
              <a:latin typeface="Calibri"/>
              <a:ea typeface="+mn-ea"/>
              <a:cs typeface="+mn-cs"/>
            </a:rPr>
            <a:t>Quinoa Farmer</a:t>
          </a:r>
        </a:p>
      </dgm:t>
    </dgm:pt>
    <dgm:pt modelId="{829FAD8B-7867-41FE-992D-10C02B0C9FC8}" type="parTrans" cxnId="{96D0BF42-54E6-465F-9A3E-34A4AFB87D42}">
      <dgm:prSet/>
      <dgm:spPr/>
      <dgm:t>
        <a:bodyPr/>
        <a:lstStyle/>
        <a:p>
          <a:pPr algn="ctr"/>
          <a:endParaRPr lang="en-US"/>
        </a:p>
      </dgm:t>
    </dgm:pt>
    <dgm:pt modelId="{4DE7A145-4510-4BE1-91F5-40369432B5E8}" type="sibTrans" cxnId="{96D0BF42-54E6-465F-9A3E-34A4AFB87D42}">
      <dgm:prSet/>
      <dgm:spPr>
        <a:xfrm>
          <a:off x="2292374" y="689480"/>
          <a:ext cx="1306222" cy="25048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Organic and Convetional </a:t>
          </a:r>
        </a:p>
      </dgm:t>
    </dgm:pt>
    <dgm:pt modelId="{2B01628E-6D77-491B-A8AC-72EBE6CF510E}">
      <dgm:prSet phldrT="[Text]" custT="1"/>
      <dgm:spPr>
        <a:xfrm>
          <a:off x="121608" y="1385714"/>
          <a:ext cx="1451358" cy="75144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sz="1600" b="1">
              <a:solidFill>
                <a:sysClr val="window" lastClr="FFFFFF"/>
              </a:solidFill>
              <a:latin typeface="Calibri"/>
              <a:ea typeface="+mn-ea"/>
              <a:cs typeface="+mn-cs"/>
            </a:rPr>
            <a:t>Producer Organizations</a:t>
          </a:r>
        </a:p>
      </dgm:t>
    </dgm:pt>
    <dgm:pt modelId="{F74B1563-BE5B-463E-B488-4E753F066C02}" type="parTrans" cxnId="{39DC244C-3774-4526-9D60-38C987281AC1}">
      <dgm:prSet/>
      <dgm:spPr>
        <a:xfrm>
          <a:off x="847287" y="856471"/>
          <a:ext cx="1899550" cy="529242"/>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04D6F864-CB80-4F95-83A8-97944E8ED98B}" type="sibTrans" cxnId="{39DC244C-3774-4526-9D60-38C987281AC1}">
      <dgm:prSet/>
      <dgm:spPr>
        <a:xfrm>
          <a:off x="469008" y="1985965"/>
          <a:ext cx="1306222" cy="1571449"/>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just"/>
          <a:r>
            <a:rPr lang="en-US">
              <a:solidFill>
                <a:sysClr val="windowText" lastClr="000000">
                  <a:hueOff val="0"/>
                  <a:satOff val="0"/>
                  <a:lumOff val="0"/>
                  <a:alphaOff val="0"/>
                </a:sysClr>
              </a:solidFill>
              <a:latin typeface="Calibri"/>
              <a:ea typeface="+mn-ea"/>
              <a:cs typeface="+mn-cs"/>
            </a:rPr>
            <a:t>- Farmers will have to wait at least 1  month and a half  to get paid. </a:t>
          </a:r>
        </a:p>
        <a:p>
          <a:pPr algn="just"/>
          <a:r>
            <a:rPr lang="en-US">
              <a:solidFill>
                <a:sysClr val="windowText" lastClr="000000"/>
              </a:solidFill>
              <a:latin typeface="Calibri"/>
              <a:ea typeface="+mn-ea"/>
              <a:cs typeface="+mn-cs"/>
            </a:rPr>
            <a:t>- Prices are set in advance. </a:t>
          </a:r>
        </a:p>
        <a:p>
          <a:pPr algn="just"/>
          <a:r>
            <a:rPr lang="en-US">
              <a:solidFill>
                <a:sysClr val="windowText" lastClr="000000">
                  <a:hueOff val="0"/>
                  <a:satOff val="0"/>
                  <a:lumOff val="0"/>
                  <a:alphaOff val="0"/>
                </a:sysClr>
              </a:solidFill>
              <a:latin typeface="Calibri"/>
              <a:ea typeface="+mn-ea"/>
              <a:cs typeface="+mn-cs"/>
            </a:rPr>
            <a:t>- Prices are usually higher than what the private firms pay (although not always). </a:t>
          </a:r>
        </a:p>
        <a:p>
          <a:pPr algn="just"/>
          <a:r>
            <a:rPr lang="en-US">
              <a:solidFill>
                <a:sysClr val="windowText" lastClr="000000">
                  <a:hueOff val="0"/>
                  <a:satOff val="0"/>
                  <a:lumOff val="0"/>
                  <a:alphaOff val="0"/>
                </a:sysClr>
              </a:solidFill>
              <a:latin typeface="Calibri"/>
              <a:ea typeface="+mn-ea"/>
              <a:cs typeface="+mn-cs"/>
            </a:rPr>
            <a:t>- But higher (usually) than what the "Black Market" pays. </a:t>
          </a:r>
        </a:p>
      </dgm:t>
    </dgm:pt>
    <dgm:pt modelId="{F2FC8965-2F36-4E31-B991-B9CE8A7CBF9A}">
      <dgm:prSet phldrT="[Text]" custT="1"/>
      <dgm:spPr>
        <a:xfrm>
          <a:off x="2097355" y="1364244"/>
          <a:ext cx="1451358" cy="75144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sz="1600" b="1">
              <a:solidFill>
                <a:sysClr val="window" lastClr="FFFFFF"/>
              </a:solidFill>
              <a:latin typeface="Calibri"/>
              <a:ea typeface="+mn-ea"/>
              <a:cs typeface="+mn-cs"/>
            </a:rPr>
            <a:t>Private Firms</a:t>
          </a:r>
        </a:p>
      </dgm:t>
    </dgm:pt>
    <dgm:pt modelId="{DB575C68-7806-4794-BE46-6967AEEB1C16}" type="parTrans" cxnId="{2BA9C575-E3C8-4B89-8072-8EBF4A3700DE}">
      <dgm:prSet/>
      <dgm:spPr>
        <a:xfrm>
          <a:off x="2701118" y="856471"/>
          <a:ext cx="91440" cy="507772"/>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6945031E-6809-4EA9-854A-CEF52829CEEC}" type="sibTrans" cxnId="{2BA9C575-E3C8-4B89-8072-8EBF4A3700DE}">
      <dgm:prSet custT="1"/>
      <dgm:spPr>
        <a:xfrm>
          <a:off x="2368566" y="1995488"/>
          <a:ext cx="1306222" cy="1585664"/>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just"/>
          <a:r>
            <a:rPr lang="en-US" sz="700">
              <a:solidFill>
                <a:sysClr val="windowText" lastClr="000000">
                  <a:hueOff val="0"/>
                  <a:satOff val="0"/>
                  <a:lumOff val="0"/>
                  <a:alphaOff val="0"/>
                </a:sysClr>
              </a:solidFill>
              <a:latin typeface="Calibri"/>
              <a:ea typeface="+mn-ea"/>
              <a:cs typeface="+mn-cs"/>
            </a:rPr>
            <a:t>- </a:t>
          </a:r>
          <a:r>
            <a:rPr lang="en-US" sz="1050">
              <a:solidFill>
                <a:sysClr val="windowText" lastClr="000000">
                  <a:hueOff val="0"/>
                  <a:satOff val="0"/>
                  <a:lumOff val="0"/>
                  <a:alphaOff val="0"/>
                </a:sysClr>
              </a:solidFill>
              <a:latin typeface="Calibri"/>
              <a:ea typeface="+mn-ea"/>
              <a:cs typeface="+mn-cs"/>
            </a:rPr>
            <a:t>Farmers will  have to wait at least 3</a:t>
          </a:r>
          <a:r>
            <a:rPr lang="en-US" sz="1050">
              <a:solidFill>
                <a:srgbClr val="FF0000"/>
              </a:solidFill>
              <a:latin typeface="Calibri"/>
              <a:ea typeface="+mn-ea"/>
              <a:cs typeface="+mn-cs"/>
            </a:rPr>
            <a:t> </a:t>
          </a:r>
          <a:r>
            <a:rPr lang="en-US" sz="1050">
              <a:solidFill>
                <a:sysClr val="windowText" lastClr="000000"/>
              </a:solidFill>
              <a:latin typeface="Calibri"/>
              <a:ea typeface="+mn-ea"/>
              <a:cs typeface="+mn-cs"/>
            </a:rPr>
            <a:t>monhts</a:t>
          </a:r>
          <a:r>
            <a:rPr lang="en-US" sz="1050">
              <a:solidFill>
                <a:srgbClr val="FF0000"/>
              </a:solidFill>
              <a:latin typeface="Calibri"/>
              <a:ea typeface="+mn-ea"/>
              <a:cs typeface="+mn-cs"/>
            </a:rPr>
            <a:t> </a:t>
          </a:r>
          <a:r>
            <a:rPr lang="en-US" sz="1050">
              <a:solidFill>
                <a:sysClr val="windowText" lastClr="000000">
                  <a:hueOff val="0"/>
                  <a:satOff val="0"/>
                  <a:lumOff val="0"/>
                  <a:alphaOff val="0"/>
                </a:sysClr>
              </a:solidFill>
              <a:latin typeface="Calibri"/>
              <a:ea typeface="+mn-ea"/>
              <a:cs typeface="+mn-cs"/>
            </a:rPr>
            <a:t>to get paid. </a:t>
          </a:r>
        </a:p>
        <a:p>
          <a:pPr algn="just"/>
          <a:r>
            <a:rPr lang="en-US" sz="1050">
              <a:solidFill>
                <a:sysClr val="windowText" lastClr="000000">
                  <a:hueOff val="0"/>
                  <a:satOff val="0"/>
                  <a:lumOff val="0"/>
                  <a:alphaOff val="0"/>
                </a:sysClr>
              </a:solidFill>
              <a:latin typeface="Calibri"/>
              <a:ea typeface="+mn-ea"/>
              <a:cs typeface="+mn-cs"/>
            </a:rPr>
            <a:t>- </a:t>
          </a:r>
          <a:r>
            <a:rPr lang="en-US" sz="1050">
              <a:solidFill>
                <a:sysClr val="windowText" lastClr="000000"/>
              </a:solidFill>
              <a:latin typeface="Calibri"/>
              <a:ea typeface="+mn-ea"/>
              <a:cs typeface="+mn-cs"/>
            </a:rPr>
            <a:t>Prices are set at the "signing of the contract".  However, these only indicate the % that will be added to the "Challapata price", which varies on  a weekly basis.</a:t>
          </a:r>
        </a:p>
        <a:p>
          <a:pPr algn="just"/>
          <a:r>
            <a:rPr lang="en-US" sz="1050">
              <a:solidFill>
                <a:sysClr val="windowText" lastClr="000000">
                  <a:hueOff val="0"/>
                  <a:satOff val="0"/>
                  <a:lumOff val="0"/>
                  <a:alphaOff val="0"/>
                </a:sysClr>
              </a:solidFill>
              <a:latin typeface="Calibri"/>
              <a:ea typeface="+mn-ea"/>
              <a:cs typeface="+mn-cs"/>
            </a:rPr>
            <a:t>- Prices paid are usually lower than what the PO's pay (although not always). </a:t>
          </a:r>
        </a:p>
        <a:p>
          <a:pPr algn="just"/>
          <a:r>
            <a:rPr lang="en-US" sz="1050">
              <a:solidFill>
                <a:sysClr val="windowText" lastClr="000000">
                  <a:hueOff val="0"/>
                  <a:satOff val="0"/>
                  <a:lumOff val="0"/>
                  <a:alphaOff val="0"/>
                </a:sysClr>
              </a:solidFill>
              <a:latin typeface="Calibri"/>
              <a:ea typeface="+mn-ea"/>
              <a:cs typeface="+mn-cs"/>
            </a:rPr>
            <a:t>- But higher (usually) than what the "Black Market" pays</a:t>
          </a:r>
          <a:r>
            <a:rPr lang="en-US" sz="700">
              <a:solidFill>
                <a:sysClr val="windowText" lastClr="000000">
                  <a:hueOff val="0"/>
                  <a:satOff val="0"/>
                  <a:lumOff val="0"/>
                  <a:alphaOff val="0"/>
                </a:sysClr>
              </a:solidFill>
              <a:latin typeface="Calibri"/>
              <a:ea typeface="+mn-ea"/>
              <a:cs typeface="+mn-cs"/>
            </a:rPr>
            <a:t>. </a:t>
          </a:r>
        </a:p>
      </dgm:t>
    </dgm:pt>
    <dgm:pt modelId="{9B202DCD-FDD3-48A1-B946-BB2625D6FBE4}">
      <dgm:prSet phldrT="[Text]" custT="1"/>
      <dgm:spPr>
        <a:xfrm>
          <a:off x="3920695" y="1395409"/>
          <a:ext cx="1451358" cy="75144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sz="1600" b="1">
              <a:solidFill>
                <a:sysClr val="window" lastClr="FFFFFF"/>
              </a:solidFill>
              <a:latin typeface="Calibri"/>
              <a:ea typeface="+mn-ea"/>
              <a:cs typeface="+mn-cs"/>
            </a:rPr>
            <a:t>"Challapata Fair</a:t>
          </a:r>
          <a:r>
            <a:rPr lang="en-US" sz="1600">
              <a:solidFill>
                <a:sysClr val="window" lastClr="FFFFFF"/>
              </a:solidFill>
              <a:latin typeface="Calibri"/>
              <a:ea typeface="+mn-ea"/>
              <a:cs typeface="+mn-cs"/>
            </a:rPr>
            <a:t>"</a:t>
          </a:r>
        </a:p>
      </dgm:t>
    </dgm:pt>
    <dgm:pt modelId="{09220926-6F0D-437E-8FE4-DC061F0A533C}" type="parTrans" cxnId="{1C9CCAED-2838-42A7-AA3A-09BB3477ED21}">
      <dgm:prSet/>
      <dgm:spPr>
        <a:xfrm>
          <a:off x="2746838" y="856471"/>
          <a:ext cx="1899536" cy="538937"/>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5AE5AB52-E3DB-466F-8312-7246F943FF2E}" type="sibTrans" cxnId="{1C9CCAED-2838-42A7-AA3A-09BB3477ED21}">
      <dgm:prSet custT="1"/>
      <dgm:spPr>
        <a:xfrm>
          <a:off x="4112370" y="1979031"/>
          <a:ext cx="1306222" cy="1334675"/>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just"/>
          <a:r>
            <a:rPr lang="en-US" sz="1000">
              <a:solidFill>
                <a:sysClr val="windowText" lastClr="000000">
                  <a:hueOff val="0"/>
                  <a:satOff val="0"/>
                  <a:lumOff val="0"/>
                  <a:alphaOff val="0"/>
                </a:sysClr>
              </a:solidFill>
              <a:latin typeface="Calibri"/>
              <a:ea typeface="+mn-ea"/>
              <a:cs typeface="+mn-cs"/>
            </a:rPr>
            <a:t>- </a:t>
          </a:r>
          <a:r>
            <a:rPr lang="en-US" sz="900">
              <a:solidFill>
                <a:sysClr val="windowText" lastClr="000000">
                  <a:hueOff val="0"/>
                  <a:satOff val="0"/>
                  <a:lumOff val="0"/>
                  <a:alphaOff val="0"/>
                </a:sysClr>
              </a:solidFill>
              <a:latin typeface="Calibri"/>
              <a:ea typeface="+mn-ea"/>
              <a:cs typeface="+mn-cs"/>
            </a:rPr>
            <a:t>Farmers are paid on     the spot. </a:t>
          </a:r>
        </a:p>
        <a:p>
          <a:pPr algn="just"/>
          <a:r>
            <a:rPr lang="en-US" sz="900">
              <a:solidFill>
                <a:sysClr val="windowText" lastClr="000000">
                  <a:hueOff val="0"/>
                  <a:satOff val="0"/>
                  <a:lumOff val="0"/>
                  <a:alphaOff val="0"/>
                </a:sysClr>
              </a:solidFill>
              <a:latin typeface="Calibri"/>
              <a:ea typeface="+mn-ea"/>
              <a:cs typeface="+mn-cs"/>
            </a:rPr>
            <a:t>-  Prices are set on the spot. </a:t>
          </a:r>
        </a:p>
        <a:p>
          <a:pPr algn="just"/>
          <a:r>
            <a:rPr lang="en-US" sz="900">
              <a:solidFill>
                <a:sysClr val="windowText" lastClr="000000">
                  <a:hueOff val="0"/>
                  <a:satOff val="0"/>
                  <a:lumOff val="0"/>
                  <a:alphaOff val="0"/>
                </a:sysClr>
              </a:solidFill>
              <a:latin typeface="Calibri"/>
              <a:ea typeface="+mn-ea"/>
              <a:cs typeface="+mn-cs"/>
            </a:rPr>
            <a:t>- Prices are usually lower than what the PO's and private firms pay. </a:t>
          </a:r>
        </a:p>
      </dgm:t>
    </dgm:pt>
    <dgm:pt modelId="{8A82F9FD-0FAE-42F7-84DF-53325DC65936}" type="pres">
      <dgm:prSet presAssocID="{5A39E7EE-75F9-4366-B559-AD707DBF6A78}" presName="hierChild1" presStyleCnt="0">
        <dgm:presLayoutVars>
          <dgm:orgChart val="1"/>
          <dgm:chPref val="1"/>
          <dgm:dir/>
          <dgm:animOne val="branch"/>
          <dgm:animLvl val="lvl"/>
          <dgm:resizeHandles/>
        </dgm:presLayoutVars>
      </dgm:prSet>
      <dgm:spPr/>
      <dgm:t>
        <a:bodyPr/>
        <a:lstStyle/>
        <a:p>
          <a:endParaRPr lang="en-US"/>
        </a:p>
      </dgm:t>
    </dgm:pt>
    <dgm:pt modelId="{24C7476C-11DA-4171-90DC-3C93C14F4F7B}" type="pres">
      <dgm:prSet presAssocID="{827E0522-1DF9-42D8-BF44-0489F993C042}" presName="hierRoot1" presStyleCnt="0">
        <dgm:presLayoutVars>
          <dgm:hierBranch val="init"/>
        </dgm:presLayoutVars>
      </dgm:prSet>
      <dgm:spPr/>
    </dgm:pt>
    <dgm:pt modelId="{77C257CA-1D3F-4405-8F2C-E32C936CA013}" type="pres">
      <dgm:prSet presAssocID="{827E0522-1DF9-42D8-BF44-0489F993C042}" presName="rootComposite1" presStyleCnt="0"/>
      <dgm:spPr/>
    </dgm:pt>
    <dgm:pt modelId="{872FE443-8522-4DEA-838D-83E1E5DBAB70}" type="pres">
      <dgm:prSet presAssocID="{827E0522-1DF9-42D8-BF44-0489F993C042}" presName="rootText1" presStyleLbl="node0" presStyleIdx="0" presStyleCnt="1" custLinFactNeighborX="1313" custLinFactNeighborY="-69715">
        <dgm:presLayoutVars>
          <dgm:chMax/>
          <dgm:chPref val="3"/>
        </dgm:presLayoutVars>
      </dgm:prSet>
      <dgm:spPr>
        <a:prstGeom prst="rect">
          <a:avLst/>
        </a:prstGeom>
      </dgm:spPr>
      <dgm:t>
        <a:bodyPr/>
        <a:lstStyle/>
        <a:p>
          <a:endParaRPr lang="en-US"/>
        </a:p>
      </dgm:t>
    </dgm:pt>
    <dgm:pt modelId="{F0069CFF-471A-498C-AF77-2F837622B185}" type="pres">
      <dgm:prSet presAssocID="{827E0522-1DF9-42D8-BF44-0489F993C042}" presName="titleText1" presStyleLbl="fgAcc0" presStyleIdx="0" presStyleCnt="1" custLinFactY="-100000" custLinFactNeighborY="-109146">
        <dgm:presLayoutVars>
          <dgm:chMax val="0"/>
          <dgm:chPref val="0"/>
        </dgm:presLayoutVars>
      </dgm:prSet>
      <dgm:spPr>
        <a:prstGeom prst="rect">
          <a:avLst/>
        </a:prstGeom>
      </dgm:spPr>
      <dgm:t>
        <a:bodyPr/>
        <a:lstStyle/>
        <a:p>
          <a:endParaRPr lang="en-US"/>
        </a:p>
      </dgm:t>
    </dgm:pt>
    <dgm:pt modelId="{A89E62C6-F445-4368-9833-2D6BF896D4FE}" type="pres">
      <dgm:prSet presAssocID="{827E0522-1DF9-42D8-BF44-0489F993C042}" presName="rootConnector1" presStyleLbl="node1" presStyleIdx="0" presStyleCnt="3"/>
      <dgm:spPr/>
      <dgm:t>
        <a:bodyPr/>
        <a:lstStyle/>
        <a:p>
          <a:endParaRPr lang="en-US"/>
        </a:p>
      </dgm:t>
    </dgm:pt>
    <dgm:pt modelId="{EB4DAA1C-6668-4648-A7FA-1811C88605B0}" type="pres">
      <dgm:prSet presAssocID="{827E0522-1DF9-42D8-BF44-0489F993C042}" presName="hierChild2" presStyleCnt="0"/>
      <dgm:spPr/>
    </dgm:pt>
    <dgm:pt modelId="{ADEECE4F-560D-4460-A8C7-2ACAFA6A316F}" type="pres">
      <dgm:prSet presAssocID="{F74B1563-BE5B-463E-B488-4E753F066C02}" presName="Name37" presStyleLbl="parChTrans1D2" presStyleIdx="0" presStyleCnt="3"/>
      <dgm:spPr>
        <a:custGeom>
          <a:avLst/>
          <a:gdLst/>
          <a:ahLst/>
          <a:cxnLst/>
          <a:rect l="0" t="0" r="0" b="0"/>
          <a:pathLst>
            <a:path>
              <a:moveTo>
                <a:pt x="1899550" y="0"/>
              </a:moveTo>
              <a:lnTo>
                <a:pt x="1899550" y="353904"/>
              </a:lnTo>
              <a:lnTo>
                <a:pt x="0" y="353904"/>
              </a:lnTo>
              <a:lnTo>
                <a:pt x="0" y="529242"/>
              </a:lnTo>
            </a:path>
          </a:pathLst>
        </a:custGeom>
      </dgm:spPr>
      <dgm:t>
        <a:bodyPr/>
        <a:lstStyle/>
        <a:p>
          <a:endParaRPr lang="en-US"/>
        </a:p>
      </dgm:t>
    </dgm:pt>
    <dgm:pt modelId="{C182AED5-01E9-4551-A3BD-B3CBE3345F58}" type="pres">
      <dgm:prSet presAssocID="{2B01628E-6D77-491B-A8AC-72EBE6CF510E}" presName="hierRoot2" presStyleCnt="0">
        <dgm:presLayoutVars>
          <dgm:hierBranch val="init"/>
        </dgm:presLayoutVars>
      </dgm:prSet>
      <dgm:spPr/>
    </dgm:pt>
    <dgm:pt modelId="{336AAC56-ECA8-4D13-A7FD-AD9952E42761}" type="pres">
      <dgm:prSet presAssocID="{2B01628E-6D77-491B-A8AC-72EBE6CF510E}" presName="rootComposite" presStyleCnt="0"/>
      <dgm:spPr/>
    </dgm:pt>
    <dgm:pt modelId="{8B553898-54DC-46A0-BC2F-C78D80A3D96E}" type="pres">
      <dgm:prSet presAssocID="{2B01628E-6D77-491B-A8AC-72EBE6CF510E}" presName="rootText" presStyleLbl="node1" presStyleIdx="0" presStyleCnt="3" custLinFactNeighborX="4594" custLinFactNeighborY="-67180">
        <dgm:presLayoutVars>
          <dgm:chMax/>
          <dgm:chPref val="3"/>
        </dgm:presLayoutVars>
      </dgm:prSet>
      <dgm:spPr>
        <a:prstGeom prst="rect">
          <a:avLst/>
        </a:prstGeom>
      </dgm:spPr>
      <dgm:t>
        <a:bodyPr/>
        <a:lstStyle/>
        <a:p>
          <a:endParaRPr lang="en-US"/>
        </a:p>
      </dgm:t>
    </dgm:pt>
    <dgm:pt modelId="{82D25515-C644-447F-9399-B4EB366E4224}" type="pres">
      <dgm:prSet presAssocID="{2B01628E-6D77-491B-A8AC-72EBE6CF510E}" presName="titleText2" presStyleLbl="fgAcc1" presStyleIdx="0" presStyleCnt="3" custScaleY="627368" custLinFactNeighborX="9478" custLinFactNeighborY="68448">
        <dgm:presLayoutVars>
          <dgm:chMax val="0"/>
          <dgm:chPref val="0"/>
        </dgm:presLayoutVars>
      </dgm:prSet>
      <dgm:spPr>
        <a:prstGeom prst="rect">
          <a:avLst/>
        </a:prstGeom>
      </dgm:spPr>
      <dgm:t>
        <a:bodyPr/>
        <a:lstStyle/>
        <a:p>
          <a:endParaRPr lang="en-US"/>
        </a:p>
      </dgm:t>
    </dgm:pt>
    <dgm:pt modelId="{81CE73A1-E2CA-46B2-8561-18117EDF6787}" type="pres">
      <dgm:prSet presAssocID="{2B01628E-6D77-491B-A8AC-72EBE6CF510E}" presName="rootConnector" presStyleLbl="node2" presStyleIdx="0" presStyleCnt="0"/>
      <dgm:spPr/>
      <dgm:t>
        <a:bodyPr/>
        <a:lstStyle/>
        <a:p>
          <a:endParaRPr lang="en-US"/>
        </a:p>
      </dgm:t>
    </dgm:pt>
    <dgm:pt modelId="{83F4D084-DEFA-4E45-926D-CEF2B81D0D1C}" type="pres">
      <dgm:prSet presAssocID="{2B01628E-6D77-491B-A8AC-72EBE6CF510E}" presName="hierChild4" presStyleCnt="0"/>
      <dgm:spPr/>
    </dgm:pt>
    <dgm:pt modelId="{0CCAD476-C0C4-48D9-9BFD-4D33E6893830}" type="pres">
      <dgm:prSet presAssocID="{2B01628E-6D77-491B-A8AC-72EBE6CF510E}" presName="hierChild5" presStyleCnt="0"/>
      <dgm:spPr/>
    </dgm:pt>
    <dgm:pt modelId="{EEA63578-D38A-43B0-87F7-9775A0747158}" type="pres">
      <dgm:prSet presAssocID="{DB575C68-7806-4794-BE46-6967AEEB1C16}" presName="Name37" presStyleLbl="parChTrans1D2" presStyleIdx="1" presStyleCnt="3"/>
      <dgm:spPr>
        <a:custGeom>
          <a:avLst/>
          <a:gdLst/>
          <a:ahLst/>
          <a:cxnLst/>
          <a:rect l="0" t="0" r="0" b="0"/>
          <a:pathLst>
            <a:path>
              <a:moveTo>
                <a:pt x="45720" y="0"/>
              </a:moveTo>
              <a:lnTo>
                <a:pt x="45720" y="332434"/>
              </a:lnTo>
              <a:lnTo>
                <a:pt x="121916" y="332434"/>
              </a:lnTo>
              <a:lnTo>
                <a:pt x="121916" y="507772"/>
              </a:lnTo>
            </a:path>
          </a:pathLst>
        </a:custGeom>
      </dgm:spPr>
      <dgm:t>
        <a:bodyPr/>
        <a:lstStyle/>
        <a:p>
          <a:endParaRPr lang="en-US"/>
        </a:p>
      </dgm:t>
    </dgm:pt>
    <dgm:pt modelId="{4FCE8BF1-B739-4732-93E7-D38CC1D4DA16}" type="pres">
      <dgm:prSet presAssocID="{F2FC8965-2F36-4E31-B991-B9CE8A7CBF9A}" presName="hierRoot2" presStyleCnt="0">
        <dgm:presLayoutVars>
          <dgm:hierBranch val="init"/>
        </dgm:presLayoutVars>
      </dgm:prSet>
      <dgm:spPr/>
    </dgm:pt>
    <dgm:pt modelId="{4611389F-5D22-44F5-9846-27F374BDB1D3}" type="pres">
      <dgm:prSet presAssocID="{F2FC8965-2F36-4E31-B991-B9CE8A7CBF9A}" presName="rootComposite" presStyleCnt="0"/>
      <dgm:spPr/>
    </dgm:pt>
    <dgm:pt modelId="{4579174E-EE96-4297-9EA0-61150DFC29E7}" type="pres">
      <dgm:prSet presAssocID="{F2FC8965-2F36-4E31-B991-B9CE8A7CBF9A}" presName="rootText" presStyleLbl="node1" presStyleIdx="1" presStyleCnt="3" custLinFactNeighborX="6563" custLinFactNeighborY="-70983">
        <dgm:presLayoutVars>
          <dgm:chMax/>
          <dgm:chPref val="3"/>
        </dgm:presLayoutVars>
      </dgm:prSet>
      <dgm:spPr>
        <a:prstGeom prst="rect">
          <a:avLst/>
        </a:prstGeom>
      </dgm:spPr>
      <dgm:t>
        <a:bodyPr/>
        <a:lstStyle/>
        <a:p>
          <a:endParaRPr lang="en-US"/>
        </a:p>
      </dgm:t>
    </dgm:pt>
    <dgm:pt modelId="{F003A317-02C4-4510-AD45-A56311754474}" type="pres">
      <dgm:prSet presAssocID="{F2FC8965-2F36-4E31-B991-B9CE8A7CBF9A}" presName="titleText2" presStyleLbl="fgAcc1" presStyleIdx="1" presStyleCnt="3" custScaleX="112375" custScaleY="989030" custLinFactY="74921" custLinFactNeighborX="7291" custLinFactNeighborY="100000">
        <dgm:presLayoutVars>
          <dgm:chMax val="0"/>
          <dgm:chPref val="0"/>
        </dgm:presLayoutVars>
      </dgm:prSet>
      <dgm:spPr>
        <a:prstGeom prst="rect">
          <a:avLst/>
        </a:prstGeom>
      </dgm:spPr>
      <dgm:t>
        <a:bodyPr/>
        <a:lstStyle/>
        <a:p>
          <a:endParaRPr lang="en-US"/>
        </a:p>
      </dgm:t>
    </dgm:pt>
    <dgm:pt modelId="{CA448611-ACEA-44D9-BF53-CAAEA4765857}" type="pres">
      <dgm:prSet presAssocID="{F2FC8965-2F36-4E31-B991-B9CE8A7CBF9A}" presName="rootConnector" presStyleLbl="node2" presStyleIdx="0" presStyleCnt="0"/>
      <dgm:spPr/>
      <dgm:t>
        <a:bodyPr/>
        <a:lstStyle/>
        <a:p>
          <a:endParaRPr lang="en-US"/>
        </a:p>
      </dgm:t>
    </dgm:pt>
    <dgm:pt modelId="{BC51CBF4-F42C-4F19-8EA7-A191F2C25E69}" type="pres">
      <dgm:prSet presAssocID="{F2FC8965-2F36-4E31-B991-B9CE8A7CBF9A}" presName="hierChild4" presStyleCnt="0"/>
      <dgm:spPr/>
    </dgm:pt>
    <dgm:pt modelId="{9ED22BBA-4A1C-44BD-94D6-6A1CAB0C3ECD}" type="pres">
      <dgm:prSet presAssocID="{F2FC8965-2F36-4E31-B991-B9CE8A7CBF9A}" presName="hierChild5" presStyleCnt="0"/>
      <dgm:spPr/>
    </dgm:pt>
    <dgm:pt modelId="{087E50C4-F2FC-4346-B87E-BCF48FC37FFE}" type="pres">
      <dgm:prSet presAssocID="{09220926-6F0D-437E-8FE4-DC061F0A533C}" presName="Name37" presStyleLbl="parChTrans1D2" presStyleIdx="2" presStyleCnt="3"/>
      <dgm:spPr>
        <a:custGeom>
          <a:avLst/>
          <a:gdLst/>
          <a:ahLst/>
          <a:cxnLst/>
          <a:rect l="0" t="0" r="0" b="0"/>
          <a:pathLst>
            <a:path>
              <a:moveTo>
                <a:pt x="0" y="0"/>
              </a:moveTo>
              <a:lnTo>
                <a:pt x="0" y="363599"/>
              </a:lnTo>
              <a:lnTo>
                <a:pt x="1899536" y="363599"/>
              </a:lnTo>
              <a:lnTo>
                <a:pt x="1899536" y="538937"/>
              </a:lnTo>
            </a:path>
          </a:pathLst>
        </a:custGeom>
      </dgm:spPr>
      <dgm:t>
        <a:bodyPr/>
        <a:lstStyle/>
        <a:p>
          <a:endParaRPr lang="en-US"/>
        </a:p>
      </dgm:t>
    </dgm:pt>
    <dgm:pt modelId="{FB08C2DA-3C32-48D8-B22F-1689E49FAA4E}" type="pres">
      <dgm:prSet presAssocID="{9B202DCD-FDD3-48A1-B946-BB2625D6FBE4}" presName="hierRoot2" presStyleCnt="0">
        <dgm:presLayoutVars>
          <dgm:hierBranch val="init"/>
        </dgm:presLayoutVars>
      </dgm:prSet>
      <dgm:spPr/>
    </dgm:pt>
    <dgm:pt modelId="{66C25C76-75D3-4EA9-9E3E-3F752BCDCBA9}" type="pres">
      <dgm:prSet presAssocID="{9B202DCD-FDD3-48A1-B946-BB2625D6FBE4}" presName="rootComposite" presStyleCnt="0"/>
      <dgm:spPr/>
    </dgm:pt>
    <dgm:pt modelId="{C7187661-BF0B-442C-8226-2E13F8BF3399}" type="pres">
      <dgm:prSet presAssocID="{9B202DCD-FDD3-48A1-B946-BB2625D6FBE4}" presName="rootText" presStyleLbl="node1" presStyleIdx="2" presStyleCnt="3" custLinFactNeighborX="-1969" custLinFactNeighborY="-55773">
        <dgm:presLayoutVars>
          <dgm:chMax/>
          <dgm:chPref val="3"/>
        </dgm:presLayoutVars>
      </dgm:prSet>
      <dgm:spPr>
        <a:prstGeom prst="rect">
          <a:avLst/>
        </a:prstGeom>
      </dgm:spPr>
      <dgm:t>
        <a:bodyPr/>
        <a:lstStyle/>
        <a:p>
          <a:endParaRPr lang="en-US"/>
        </a:p>
      </dgm:t>
    </dgm:pt>
    <dgm:pt modelId="{559FD167-4DEC-422E-AD06-1DB164A58BEC}" type="pres">
      <dgm:prSet presAssocID="{9B202DCD-FDD3-48A1-B946-BB2625D6FBE4}" presName="titleText2" presStyleLbl="fgAcc1" presStyleIdx="2" presStyleCnt="3" custScaleY="532841" custLinFactNeighborX="-9736" custLinFactNeighborY="48767">
        <dgm:presLayoutVars>
          <dgm:chMax val="0"/>
          <dgm:chPref val="0"/>
        </dgm:presLayoutVars>
      </dgm:prSet>
      <dgm:spPr>
        <a:prstGeom prst="rect">
          <a:avLst/>
        </a:prstGeom>
      </dgm:spPr>
      <dgm:t>
        <a:bodyPr/>
        <a:lstStyle/>
        <a:p>
          <a:endParaRPr lang="en-US"/>
        </a:p>
      </dgm:t>
    </dgm:pt>
    <dgm:pt modelId="{5B25FCC4-10BD-4C14-A78C-200E55A2977E}" type="pres">
      <dgm:prSet presAssocID="{9B202DCD-FDD3-48A1-B946-BB2625D6FBE4}" presName="rootConnector" presStyleLbl="node2" presStyleIdx="0" presStyleCnt="0"/>
      <dgm:spPr/>
      <dgm:t>
        <a:bodyPr/>
        <a:lstStyle/>
        <a:p>
          <a:endParaRPr lang="en-US"/>
        </a:p>
      </dgm:t>
    </dgm:pt>
    <dgm:pt modelId="{9612F04B-1E84-4404-8A37-BD048B63994E}" type="pres">
      <dgm:prSet presAssocID="{9B202DCD-FDD3-48A1-B946-BB2625D6FBE4}" presName="hierChild4" presStyleCnt="0"/>
      <dgm:spPr/>
    </dgm:pt>
    <dgm:pt modelId="{42CE5991-CBAB-4085-8EB4-D5C978414E6E}" type="pres">
      <dgm:prSet presAssocID="{9B202DCD-FDD3-48A1-B946-BB2625D6FBE4}" presName="hierChild5" presStyleCnt="0"/>
      <dgm:spPr/>
    </dgm:pt>
    <dgm:pt modelId="{7ED1C7BE-1D1C-46C2-88A8-6FE34EC353F3}" type="pres">
      <dgm:prSet presAssocID="{827E0522-1DF9-42D8-BF44-0489F993C042}" presName="hierChild3" presStyleCnt="0"/>
      <dgm:spPr/>
    </dgm:pt>
  </dgm:ptLst>
  <dgm:cxnLst>
    <dgm:cxn modelId="{4621BC73-B3FD-4F93-A0CB-E687B9D5229D}" type="presOf" srcId="{5AE5AB52-E3DB-466F-8312-7246F943FF2E}" destId="{559FD167-4DEC-422E-AD06-1DB164A58BEC}" srcOrd="0" destOrd="0" presId="urn:microsoft.com/office/officeart/2008/layout/NameandTitleOrganizationalChart"/>
    <dgm:cxn modelId="{1C9CCAED-2838-42A7-AA3A-09BB3477ED21}" srcId="{827E0522-1DF9-42D8-BF44-0489F993C042}" destId="{9B202DCD-FDD3-48A1-B946-BB2625D6FBE4}" srcOrd="2" destOrd="0" parTransId="{09220926-6F0D-437E-8FE4-DC061F0A533C}" sibTransId="{5AE5AB52-E3DB-466F-8312-7246F943FF2E}"/>
    <dgm:cxn modelId="{3740E278-B453-460C-A820-51B5ABAB33F8}" type="presOf" srcId="{2B01628E-6D77-491B-A8AC-72EBE6CF510E}" destId="{8B553898-54DC-46A0-BC2F-C78D80A3D96E}" srcOrd="0" destOrd="0" presId="urn:microsoft.com/office/officeart/2008/layout/NameandTitleOrganizationalChart"/>
    <dgm:cxn modelId="{1979F4CD-AB69-47F7-A5FC-AAD8EE186F85}" type="presOf" srcId="{F2FC8965-2F36-4E31-B991-B9CE8A7CBF9A}" destId="{CA448611-ACEA-44D9-BF53-CAAEA4765857}" srcOrd="1" destOrd="0" presId="urn:microsoft.com/office/officeart/2008/layout/NameandTitleOrganizationalChart"/>
    <dgm:cxn modelId="{2BA9C575-E3C8-4B89-8072-8EBF4A3700DE}" srcId="{827E0522-1DF9-42D8-BF44-0489F993C042}" destId="{F2FC8965-2F36-4E31-B991-B9CE8A7CBF9A}" srcOrd="1" destOrd="0" parTransId="{DB575C68-7806-4794-BE46-6967AEEB1C16}" sibTransId="{6945031E-6809-4EA9-854A-CEF52829CEEC}"/>
    <dgm:cxn modelId="{D2E08D82-1D1B-4597-8D62-5831C3270C4C}" type="presOf" srcId="{DB575C68-7806-4794-BE46-6967AEEB1C16}" destId="{EEA63578-D38A-43B0-87F7-9775A0747158}" srcOrd="0" destOrd="0" presId="urn:microsoft.com/office/officeart/2008/layout/NameandTitleOrganizationalChart"/>
    <dgm:cxn modelId="{831CEFEA-90E4-44B7-B4C6-6765357E02AA}" type="presOf" srcId="{04D6F864-CB80-4F95-83A8-97944E8ED98B}" destId="{82D25515-C644-447F-9399-B4EB366E4224}" srcOrd="0" destOrd="0" presId="urn:microsoft.com/office/officeart/2008/layout/NameandTitleOrganizationalChart"/>
    <dgm:cxn modelId="{463ACE86-5CF3-40FA-891E-C03C9C660163}" type="presOf" srcId="{4DE7A145-4510-4BE1-91F5-40369432B5E8}" destId="{F0069CFF-471A-498C-AF77-2F837622B185}" srcOrd="0" destOrd="0" presId="urn:microsoft.com/office/officeart/2008/layout/NameandTitleOrganizationalChart"/>
    <dgm:cxn modelId="{59C19204-7E99-4C76-89C5-945F72844052}" type="presOf" srcId="{827E0522-1DF9-42D8-BF44-0489F993C042}" destId="{872FE443-8522-4DEA-838D-83E1E5DBAB70}" srcOrd="0" destOrd="0" presId="urn:microsoft.com/office/officeart/2008/layout/NameandTitleOrganizationalChart"/>
    <dgm:cxn modelId="{910450E9-1E19-4A84-9EFA-F02FF8C308F4}" type="presOf" srcId="{9B202DCD-FDD3-48A1-B946-BB2625D6FBE4}" destId="{5B25FCC4-10BD-4C14-A78C-200E55A2977E}" srcOrd="1" destOrd="0" presId="urn:microsoft.com/office/officeart/2008/layout/NameandTitleOrganizationalChart"/>
    <dgm:cxn modelId="{3642E083-E69E-4BA1-ACE4-F6921B014BAD}" type="presOf" srcId="{F74B1563-BE5B-463E-B488-4E753F066C02}" destId="{ADEECE4F-560D-4460-A8C7-2ACAFA6A316F}" srcOrd="0" destOrd="0" presId="urn:microsoft.com/office/officeart/2008/layout/NameandTitleOrganizationalChart"/>
    <dgm:cxn modelId="{184E51B9-42FA-4B04-AFF2-B42B6789945F}" type="presOf" srcId="{2B01628E-6D77-491B-A8AC-72EBE6CF510E}" destId="{81CE73A1-E2CA-46B2-8561-18117EDF6787}" srcOrd="1" destOrd="0" presId="urn:microsoft.com/office/officeart/2008/layout/NameandTitleOrganizationalChart"/>
    <dgm:cxn modelId="{6F846438-2B3D-45D0-96B8-209D2F96466A}" type="presOf" srcId="{9B202DCD-FDD3-48A1-B946-BB2625D6FBE4}" destId="{C7187661-BF0B-442C-8226-2E13F8BF3399}" srcOrd="0" destOrd="0" presId="urn:microsoft.com/office/officeart/2008/layout/NameandTitleOrganizationalChart"/>
    <dgm:cxn modelId="{BF40EC8B-B55F-4442-8BDF-E06F3E7A23B9}" type="presOf" srcId="{5A39E7EE-75F9-4366-B559-AD707DBF6A78}" destId="{8A82F9FD-0FAE-42F7-84DF-53325DC65936}" srcOrd="0" destOrd="0" presId="urn:microsoft.com/office/officeart/2008/layout/NameandTitleOrganizationalChart"/>
    <dgm:cxn modelId="{3E67D8CA-9893-44F2-8DD6-34D0B176A7DA}" type="presOf" srcId="{827E0522-1DF9-42D8-BF44-0489F993C042}" destId="{A89E62C6-F445-4368-9833-2D6BF896D4FE}" srcOrd="1" destOrd="0" presId="urn:microsoft.com/office/officeart/2008/layout/NameandTitleOrganizationalChart"/>
    <dgm:cxn modelId="{70AA66A1-9C8D-42F4-8EA2-07BDAB061FC0}" type="presOf" srcId="{F2FC8965-2F36-4E31-B991-B9CE8A7CBF9A}" destId="{4579174E-EE96-4297-9EA0-61150DFC29E7}" srcOrd="0" destOrd="0" presId="urn:microsoft.com/office/officeart/2008/layout/NameandTitleOrganizationalChart"/>
    <dgm:cxn modelId="{39DC244C-3774-4526-9D60-38C987281AC1}" srcId="{827E0522-1DF9-42D8-BF44-0489F993C042}" destId="{2B01628E-6D77-491B-A8AC-72EBE6CF510E}" srcOrd="0" destOrd="0" parTransId="{F74B1563-BE5B-463E-B488-4E753F066C02}" sibTransId="{04D6F864-CB80-4F95-83A8-97944E8ED98B}"/>
    <dgm:cxn modelId="{B1F7A396-E695-4BDA-9103-5A07176D0436}" type="presOf" srcId="{6945031E-6809-4EA9-854A-CEF52829CEEC}" destId="{F003A317-02C4-4510-AD45-A56311754474}" srcOrd="0" destOrd="0" presId="urn:microsoft.com/office/officeart/2008/layout/NameandTitleOrganizationalChart"/>
    <dgm:cxn modelId="{96D0BF42-54E6-465F-9A3E-34A4AFB87D42}" srcId="{5A39E7EE-75F9-4366-B559-AD707DBF6A78}" destId="{827E0522-1DF9-42D8-BF44-0489F993C042}" srcOrd="0" destOrd="0" parTransId="{829FAD8B-7867-41FE-992D-10C02B0C9FC8}" sibTransId="{4DE7A145-4510-4BE1-91F5-40369432B5E8}"/>
    <dgm:cxn modelId="{3E8C305D-3283-4C02-8002-002F4441EB99}" type="presOf" srcId="{09220926-6F0D-437E-8FE4-DC061F0A533C}" destId="{087E50C4-F2FC-4346-B87E-BCF48FC37FFE}" srcOrd="0" destOrd="0" presId="urn:microsoft.com/office/officeart/2008/layout/NameandTitleOrganizationalChart"/>
    <dgm:cxn modelId="{98661799-5C23-4203-8C5F-7509F684681E}" type="presParOf" srcId="{8A82F9FD-0FAE-42F7-84DF-53325DC65936}" destId="{24C7476C-11DA-4171-90DC-3C93C14F4F7B}" srcOrd="0" destOrd="0" presId="urn:microsoft.com/office/officeart/2008/layout/NameandTitleOrganizationalChart"/>
    <dgm:cxn modelId="{063773B4-0A59-4E83-A10B-7E34B559B40B}" type="presParOf" srcId="{24C7476C-11DA-4171-90DC-3C93C14F4F7B}" destId="{77C257CA-1D3F-4405-8F2C-E32C936CA013}" srcOrd="0" destOrd="0" presId="urn:microsoft.com/office/officeart/2008/layout/NameandTitleOrganizationalChart"/>
    <dgm:cxn modelId="{BDA1ECB8-55F4-4E6F-80C3-C08441517A09}" type="presParOf" srcId="{77C257CA-1D3F-4405-8F2C-E32C936CA013}" destId="{872FE443-8522-4DEA-838D-83E1E5DBAB70}" srcOrd="0" destOrd="0" presId="urn:microsoft.com/office/officeart/2008/layout/NameandTitleOrganizationalChart"/>
    <dgm:cxn modelId="{E1B52A4B-BE12-423F-9385-DB05498E2411}" type="presParOf" srcId="{77C257CA-1D3F-4405-8F2C-E32C936CA013}" destId="{F0069CFF-471A-498C-AF77-2F837622B185}" srcOrd="1" destOrd="0" presId="urn:microsoft.com/office/officeart/2008/layout/NameandTitleOrganizationalChart"/>
    <dgm:cxn modelId="{9D6BA3D6-481C-4958-AB2C-3696C9DF3A58}" type="presParOf" srcId="{77C257CA-1D3F-4405-8F2C-E32C936CA013}" destId="{A89E62C6-F445-4368-9833-2D6BF896D4FE}" srcOrd="2" destOrd="0" presId="urn:microsoft.com/office/officeart/2008/layout/NameandTitleOrganizationalChart"/>
    <dgm:cxn modelId="{8DFF7685-8BD6-4908-B4F6-E3A38E9664BC}" type="presParOf" srcId="{24C7476C-11DA-4171-90DC-3C93C14F4F7B}" destId="{EB4DAA1C-6668-4648-A7FA-1811C88605B0}" srcOrd="1" destOrd="0" presId="urn:microsoft.com/office/officeart/2008/layout/NameandTitleOrganizationalChart"/>
    <dgm:cxn modelId="{A64F02A3-7B38-4947-8170-83BB5B36E04E}" type="presParOf" srcId="{EB4DAA1C-6668-4648-A7FA-1811C88605B0}" destId="{ADEECE4F-560D-4460-A8C7-2ACAFA6A316F}" srcOrd="0" destOrd="0" presId="urn:microsoft.com/office/officeart/2008/layout/NameandTitleOrganizationalChart"/>
    <dgm:cxn modelId="{6DAEF5B0-063E-4104-8272-03BD0A33E9ED}" type="presParOf" srcId="{EB4DAA1C-6668-4648-A7FA-1811C88605B0}" destId="{C182AED5-01E9-4551-A3BD-B3CBE3345F58}" srcOrd="1" destOrd="0" presId="urn:microsoft.com/office/officeart/2008/layout/NameandTitleOrganizationalChart"/>
    <dgm:cxn modelId="{771ADB7C-8E9D-470A-81C8-1C5AD85E7CFD}" type="presParOf" srcId="{C182AED5-01E9-4551-A3BD-B3CBE3345F58}" destId="{336AAC56-ECA8-4D13-A7FD-AD9952E42761}" srcOrd="0" destOrd="0" presId="urn:microsoft.com/office/officeart/2008/layout/NameandTitleOrganizationalChart"/>
    <dgm:cxn modelId="{38CBB0BE-6D69-4EBA-A674-4CBFF4B59A0E}" type="presParOf" srcId="{336AAC56-ECA8-4D13-A7FD-AD9952E42761}" destId="{8B553898-54DC-46A0-BC2F-C78D80A3D96E}" srcOrd="0" destOrd="0" presId="urn:microsoft.com/office/officeart/2008/layout/NameandTitleOrganizationalChart"/>
    <dgm:cxn modelId="{ABB4652A-5D5D-4AC2-ADD2-184A70455DEA}" type="presParOf" srcId="{336AAC56-ECA8-4D13-A7FD-AD9952E42761}" destId="{82D25515-C644-447F-9399-B4EB366E4224}" srcOrd="1" destOrd="0" presId="urn:microsoft.com/office/officeart/2008/layout/NameandTitleOrganizationalChart"/>
    <dgm:cxn modelId="{7874F0B7-79B8-44B9-BD51-3BF638FFB5A2}" type="presParOf" srcId="{336AAC56-ECA8-4D13-A7FD-AD9952E42761}" destId="{81CE73A1-E2CA-46B2-8561-18117EDF6787}" srcOrd="2" destOrd="0" presId="urn:microsoft.com/office/officeart/2008/layout/NameandTitleOrganizationalChart"/>
    <dgm:cxn modelId="{417BD421-9444-4D5D-A2BA-21B95DD87D72}" type="presParOf" srcId="{C182AED5-01E9-4551-A3BD-B3CBE3345F58}" destId="{83F4D084-DEFA-4E45-926D-CEF2B81D0D1C}" srcOrd="1" destOrd="0" presId="urn:microsoft.com/office/officeart/2008/layout/NameandTitleOrganizationalChart"/>
    <dgm:cxn modelId="{AB124DC7-BD33-4FAC-8BB5-C8DD32A7A35F}" type="presParOf" srcId="{C182AED5-01E9-4551-A3BD-B3CBE3345F58}" destId="{0CCAD476-C0C4-48D9-9BFD-4D33E6893830}" srcOrd="2" destOrd="0" presId="urn:microsoft.com/office/officeart/2008/layout/NameandTitleOrganizationalChart"/>
    <dgm:cxn modelId="{ABEE1366-E11E-4880-BAF7-39FF393F15F8}" type="presParOf" srcId="{EB4DAA1C-6668-4648-A7FA-1811C88605B0}" destId="{EEA63578-D38A-43B0-87F7-9775A0747158}" srcOrd="2" destOrd="0" presId="urn:microsoft.com/office/officeart/2008/layout/NameandTitleOrganizationalChart"/>
    <dgm:cxn modelId="{19691A22-E4F2-4C83-B147-9B12DACA6F3C}" type="presParOf" srcId="{EB4DAA1C-6668-4648-A7FA-1811C88605B0}" destId="{4FCE8BF1-B739-4732-93E7-D38CC1D4DA16}" srcOrd="3" destOrd="0" presId="urn:microsoft.com/office/officeart/2008/layout/NameandTitleOrganizationalChart"/>
    <dgm:cxn modelId="{38EF3802-3FDE-443E-B2C6-BD775DFA57B6}" type="presParOf" srcId="{4FCE8BF1-B739-4732-93E7-D38CC1D4DA16}" destId="{4611389F-5D22-44F5-9846-27F374BDB1D3}" srcOrd="0" destOrd="0" presId="urn:microsoft.com/office/officeart/2008/layout/NameandTitleOrganizationalChart"/>
    <dgm:cxn modelId="{38C53162-365A-4EB9-A4C8-F8296F6FE175}" type="presParOf" srcId="{4611389F-5D22-44F5-9846-27F374BDB1D3}" destId="{4579174E-EE96-4297-9EA0-61150DFC29E7}" srcOrd="0" destOrd="0" presId="urn:microsoft.com/office/officeart/2008/layout/NameandTitleOrganizationalChart"/>
    <dgm:cxn modelId="{3B47D07A-4F2A-418A-B982-44DD654E03EB}" type="presParOf" srcId="{4611389F-5D22-44F5-9846-27F374BDB1D3}" destId="{F003A317-02C4-4510-AD45-A56311754474}" srcOrd="1" destOrd="0" presId="urn:microsoft.com/office/officeart/2008/layout/NameandTitleOrganizationalChart"/>
    <dgm:cxn modelId="{071C4957-6D01-4B85-9DB4-C228CEB661E9}" type="presParOf" srcId="{4611389F-5D22-44F5-9846-27F374BDB1D3}" destId="{CA448611-ACEA-44D9-BF53-CAAEA4765857}" srcOrd="2" destOrd="0" presId="urn:microsoft.com/office/officeart/2008/layout/NameandTitleOrganizationalChart"/>
    <dgm:cxn modelId="{BFC2DB38-CF2C-4AC8-9D37-E6777274B09B}" type="presParOf" srcId="{4FCE8BF1-B739-4732-93E7-D38CC1D4DA16}" destId="{BC51CBF4-F42C-4F19-8EA7-A191F2C25E69}" srcOrd="1" destOrd="0" presId="urn:microsoft.com/office/officeart/2008/layout/NameandTitleOrganizationalChart"/>
    <dgm:cxn modelId="{3E9D313C-063B-4864-A80A-A18EA6A91938}" type="presParOf" srcId="{4FCE8BF1-B739-4732-93E7-D38CC1D4DA16}" destId="{9ED22BBA-4A1C-44BD-94D6-6A1CAB0C3ECD}" srcOrd="2" destOrd="0" presId="urn:microsoft.com/office/officeart/2008/layout/NameandTitleOrganizationalChart"/>
    <dgm:cxn modelId="{D523376F-FE72-45B1-AD27-BEDFA72BD43D}" type="presParOf" srcId="{EB4DAA1C-6668-4648-A7FA-1811C88605B0}" destId="{087E50C4-F2FC-4346-B87E-BCF48FC37FFE}" srcOrd="4" destOrd="0" presId="urn:microsoft.com/office/officeart/2008/layout/NameandTitleOrganizationalChart"/>
    <dgm:cxn modelId="{C63311FC-5028-4927-B6D4-03A9E5443F6D}" type="presParOf" srcId="{EB4DAA1C-6668-4648-A7FA-1811C88605B0}" destId="{FB08C2DA-3C32-48D8-B22F-1689E49FAA4E}" srcOrd="5" destOrd="0" presId="urn:microsoft.com/office/officeart/2008/layout/NameandTitleOrganizationalChart"/>
    <dgm:cxn modelId="{D92178C5-B7E2-4BCB-8212-AEE1CD9664AB}" type="presParOf" srcId="{FB08C2DA-3C32-48D8-B22F-1689E49FAA4E}" destId="{66C25C76-75D3-4EA9-9E3E-3F752BCDCBA9}" srcOrd="0" destOrd="0" presId="urn:microsoft.com/office/officeart/2008/layout/NameandTitleOrganizationalChart"/>
    <dgm:cxn modelId="{4303BF81-B7D0-4938-8ECA-5ABE6CC1B755}" type="presParOf" srcId="{66C25C76-75D3-4EA9-9E3E-3F752BCDCBA9}" destId="{C7187661-BF0B-442C-8226-2E13F8BF3399}" srcOrd="0" destOrd="0" presId="urn:microsoft.com/office/officeart/2008/layout/NameandTitleOrganizationalChart"/>
    <dgm:cxn modelId="{36280E50-62AC-44C2-9A80-1549F9193D83}" type="presParOf" srcId="{66C25C76-75D3-4EA9-9E3E-3F752BCDCBA9}" destId="{559FD167-4DEC-422E-AD06-1DB164A58BEC}" srcOrd="1" destOrd="0" presId="urn:microsoft.com/office/officeart/2008/layout/NameandTitleOrganizationalChart"/>
    <dgm:cxn modelId="{DB2CFF8F-9286-42EA-ACF7-11B7ACC3713E}" type="presParOf" srcId="{66C25C76-75D3-4EA9-9E3E-3F752BCDCBA9}" destId="{5B25FCC4-10BD-4C14-A78C-200E55A2977E}" srcOrd="2" destOrd="0" presId="urn:microsoft.com/office/officeart/2008/layout/NameandTitleOrganizationalChart"/>
    <dgm:cxn modelId="{FFF39785-29EA-4E13-A988-A3F93E294092}" type="presParOf" srcId="{FB08C2DA-3C32-48D8-B22F-1689E49FAA4E}" destId="{9612F04B-1E84-4404-8A37-BD048B63994E}" srcOrd="1" destOrd="0" presId="urn:microsoft.com/office/officeart/2008/layout/NameandTitleOrganizationalChart"/>
    <dgm:cxn modelId="{761C1260-C8BD-4F6A-876C-C33B7BC5DFD5}" type="presParOf" srcId="{FB08C2DA-3C32-48D8-B22F-1689E49FAA4E}" destId="{42CE5991-CBAB-4085-8EB4-D5C978414E6E}" srcOrd="2" destOrd="0" presId="urn:microsoft.com/office/officeart/2008/layout/NameandTitleOrganizationalChart"/>
    <dgm:cxn modelId="{F8544BA2-55FC-4D13-B128-F2DF9BC8F198}" type="presParOf" srcId="{24C7476C-11DA-4171-90DC-3C93C14F4F7B}" destId="{7ED1C7BE-1D1C-46C2-88A8-6FE34EC353F3}" srcOrd="2" destOrd="0" presId="urn:microsoft.com/office/officeart/2008/layout/NameandTitleOrganizationalChart"/>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C714F27-8C9F-47C8-B905-510DD03DE721}"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n-US"/>
        </a:p>
      </dgm:t>
    </dgm:pt>
    <dgm:pt modelId="{5CDE168A-5551-4485-A425-BED157B9D86D}">
      <dgm:prSet phldrT="[Text]"/>
      <dgm:spPr>
        <a:xfrm>
          <a:off x="2563014" y="1092"/>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Producer Organizations </a:t>
          </a:r>
        </a:p>
      </dgm:t>
    </dgm:pt>
    <dgm:pt modelId="{215A9041-6DC0-4CD2-9D2F-1EA92713761D}" type="parTrans" cxnId="{6A76E470-43AD-4B31-B77A-47655BA5B67B}">
      <dgm:prSet/>
      <dgm:spPr/>
      <dgm:t>
        <a:bodyPr/>
        <a:lstStyle/>
        <a:p>
          <a:pPr algn="ctr"/>
          <a:endParaRPr lang="en-US"/>
        </a:p>
      </dgm:t>
    </dgm:pt>
    <dgm:pt modelId="{0A442332-4AA9-4B63-A135-52A57376A9B9}" type="sibTrans" cxnId="{6A76E470-43AD-4B31-B77A-47655BA5B67B}">
      <dgm:prSet/>
      <dgm:spPr>
        <a:xfrm>
          <a:off x="2730945" y="339220"/>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Peasant PO</a:t>
          </a:r>
        </a:p>
      </dgm:t>
    </dgm:pt>
    <dgm:pt modelId="{783A35D6-7063-4559-8F7D-A577CE95CC79}" type="asst">
      <dgm:prSet phldrT="[Text]"/>
      <dgm:spPr>
        <a:xfrm>
          <a:off x="1999765" y="687009"/>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ANAPQUI</a:t>
          </a:r>
        </a:p>
      </dgm:t>
    </dgm:pt>
    <dgm:pt modelId="{E6FBDBF9-7F7C-44FA-AF98-8E48145105D0}" type="parTrans" cxnId="{60191EA9-A734-46D4-9EA2-6D26319978A5}">
      <dgm:prSet/>
      <dgm:spPr>
        <a:xfrm>
          <a:off x="2839420" y="435828"/>
          <a:ext cx="143421" cy="468549"/>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7D2B0E50-F910-4A57-8CBB-53CFE2CBFDA4}" type="sibTrans" cxnId="{60191EA9-A734-46D4-9EA2-6D26319978A5}">
      <dgm:prSet/>
      <dgm:spPr>
        <a:xfrm>
          <a:off x="2167696" y="1025138"/>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Umbrella PO</a:t>
          </a:r>
        </a:p>
      </dgm:t>
    </dgm:pt>
    <dgm:pt modelId="{0EE393DD-39D0-45E8-96FF-90193BB61C3A}" type="asst">
      <dgm:prSet/>
      <dgm:spPr>
        <a:xfrm>
          <a:off x="3126262" y="687009"/>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CECAOT</a:t>
          </a:r>
        </a:p>
      </dgm:t>
    </dgm:pt>
    <dgm:pt modelId="{7D64B293-A92B-43AE-9C57-FFCA3CDF9795}" type="parTrans" cxnId="{71E89763-0CA6-43BD-9FAF-49CB6EAF7C54}">
      <dgm:prSet/>
      <dgm:spPr>
        <a:xfrm>
          <a:off x="2982841" y="435828"/>
          <a:ext cx="143421" cy="468549"/>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D829BC20-5A95-48BE-AAA3-61A8B73E8D1C}" type="sibTrans" cxnId="{71E89763-0CA6-43BD-9FAF-49CB6EAF7C54}">
      <dgm:prSet/>
      <dgm:spPr>
        <a:xfrm>
          <a:off x="3284551" y="1034939"/>
          <a:ext cx="755689" cy="163185"/>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Umbrella PO</a:t>
          </a:r>
        </a:p>
      </dgm:t>
    </dgm:pt>
    <dgm:pt modelId="{79B855F6-DFA2-44A6-B35C-F9484A75461C}">
      <dgm:prSet phldrT="[Text]"/>
      <dgm:spPr>
        <a:xfrm>
          <a:off x="2563014" y="1382063"/>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Regional Producer Organizations</a:t>
          </a:r>
        </a:p>
      </dgm:t>
    </dgm:pt>
    <dgm:pt modelId="{05DFEC3C-0E9A-4C47-9E3D-9A9FDE83A779}" type="sibTrans" cxnId="{2976ADAB-E6A8-4DB4-AC92-11E42EB33894}">
      <dgm:prSet/>
      <dgm:spPr>
        <a:xfrm>
          <a:off x="2730945" y="1720192"/>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endParaRPr lang="en-US">
            <a:solidFill>
              <a:sysClr val="windowText" lastClr="000000">
                <a:hueOff val="0"/>
                <a:satOff val="0"/>
                <a:lumOff val="0"/>
                <a:alphaOff val="0"/>
              </a:sysClr>
            </a:solidFill>
            <a:latin typeface="Calibri"/>
            <a:ea typeface="+mn-ea"/>
            <a:cs typeface="+mn-cs"/>
          </a:endParaRPr>
        </a:p>
      </dgm:t>
    </dgm:pt>
    <dgm:pt modelId="{37DF324C-21C3-4E3C-89FC-FDA068870D60}" type="parTrans" cxnId="{2976ADAB-E6A8-4DB4-AC92-11E42EB33894}">
      <dgm:prSet/>
      <dgm:spPr>
        <a:xfrm>
          <a:off x="2937121" y="435828"/>
          <a:ext cx="91440" cy="946234"/>
        </a:xfrm>
        <a:noFill/>
        <a:ln w="25400" cap="flat" cmpd="sng" algn="ctr">
          <a:solidFill>
            <a:srgbClr val="4F81BD">
              <a:shade val="60000"/>
              <a:hueOff val="0"/>
              <a:satOff val="0"/>
              <a:lumOff val="0"/>
              <a:alphaOff val="0"/>
            </a:srgbClr>
          </a:solidFill>
          <a:prstDash val="solid"/>
        </a:ln>
        <a:effectLst/>
      </dgm:spPr>
      <dgm:t>
        <a:bodyPr/>
        <a:lstStyle/>
        <a:p>
          <a:pPr algn="ctr"/>
          <a:endParaRPr lang="en-US"/>
        </a:p>
      </dgm:t>
    </dgm:pt>
    <dgm:pt modelId="{A3D2B3AB-F7C8-4FC0-941A-A1DC358C243A}" type="asst">
      <dgm:prSet/>
      <dgm:spPr>
        <a:xfrm>
          <a:off x="1436516" y="2067981"/>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ANAPQUI</a:t>
          </a:r>
        </a:p>
      </dgm:t>
    </dgm:pt>
    <dgm:pt modelId="{5F1DAF85-2DFA-42E7-9F30-79CD218E4356}" type="parTrans" cxnId="{1A669ED8-6270-4733-8DFA-C6474A6E15A3}">
      <dgm:prSet/>
      <dgm:spPr>
        <a:xfrm>
          <a:off x="2276171" y="1816800"/>
          <a:ext cx="706670" cy="468549"/>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8AB896CC-FF7A-4B55-B6C8-27C8A9D5F8F7}" type="sibTrans" cxnId="{1A669ED8-6270-4733-8DFA-C6474A6E15A3}">
      <dgm:prSet/>
      <dgm:spPr>
        <a:xfrm>
          <a:off x="1604447" y="2406109"/>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Umbrella  PO</a:t>
          </a:r>
        </a:p>
      </dgm:t>
    </dgm:pt>
    <dgm:pt modelId="{C2BDBD7D-7254-4F74-BB89-6AD7182C9DDE}" type="asst">
      <dgm:prSet/>
      <dgm:spPr>
        <a:xfrm>
          <a:off x="3689511" y="2067981"/>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CECAOT</a:t>
          </a:r>
        </a:p>
      </dgm:t>
    </dgm:pt>
    <dgm:pt modelId="{70D6228B-02DB-4C8D-95A6-737A3B488C4F}" type="parTrans" cxnId="{9E54DF4B-68E0-4A7F-A338-A2ACC90E1750}">
      <dgm:prSet/>
      <dgm:spPr>
        <a:xfrm>
          <a:off x="2982841" y="1816800"/>
          <a:ext cx="706670" cy="468549"/>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DDB0396D-02E8-4C37-91F7-05CA4527B5E2}" type="sibTrans" cxnId="{9E54DF4B-68E0-4A7F-A338-A2ACC90E1750}">
      <dgm:prSet/>
      <dgm:spPr>
        <a:xfrm>
          <a:off x="3857442" y="2406109"/>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Umbrella  PO</a:t>
          </a:r>
        </a:p>
      </dgm:t>
    </dgm:pt>
    <dgm:pt modelId="{1465FC58-6976-48F6-AD2E-8B1C44EF3517}" type="asst">
      <dgm:prSet/>
      <dgm:spPr>
        <a:xfrm>
          <a:off x="873267" y="2753898"/>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COPROQUIRC</a:t>
          </a:r>
        </a:p>
      </dgm:t>
    </dgm:pt>
    <dgm:pt modelId="{9815A0B2-92E1-4106-8C26-ACF7B6665872}" type="parTrans" cxnId="{8596A0FD-43EF-48E1-807F-D7AB4B92A297}">
      <dgm:prSet/>
      <dgm:spPr>
        <a:xfrm>
          <a:off x="1712922" y="2502717"/>
          <a:ext cx="143421" cy="468549"/>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C0907E49-B394-4772-BF7E-12775E1D05B4}" type="sibTrans" cxnId="{8596A0FD-43EF-48E1-807F-D7AB4B92A297}">
      <dgm:prSet/>
      <dgm:spPr>
        <a:xfrm>
          <a:off x="1041198" y="3092026"/>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	</a:t>
          </a:r>
        </a:p>
      </dgm:t>
    </dgm:pt>
    <dgm:pt modelId="{9BD4E40F-E06C-40BD-9442-D3A95C093BEE}" type="asst">
      <dgm:prSet/>
      <dgm:spPr>
        <a:xfrm>
          <a:off x="1999765" y="2753898"/>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APROQUIRY</a:t>
          </a:r>
        </a:p>
      </dgm:t>
    </dgm:pt>
    <dgm:pt modelId="{49CD70A7-3ABF-42FC-8201-9FD7ACECA49F}" type="parTrans" cxnId="{6FFB323A-E27D-4A77-BD1B-9030749007C5}">
      <dgm:prSet/>
      <dgm:spPr>
        <a:xfrm>
          <a:off x="1856344" y="2502717"/>
          <a:ext cx="143421" cy="468549"/>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2CBA6FFC-4B33-419C-BF12-78774263ECDF}" type="sibTrans" cxnId="{6FFB323A-E27D-4A77-BD1B-9030749007C5}">
      <dgm:prSet/>
      <dgm:spPr>
        <a:xfrm>
          <a:off x="2167696" y="3092026"/>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AE441D95-5689-4306-BFC9-E1A48DF0287A}" type="asst">
      <dgm:prSet/>
      <dgm:spPr>
        <a:xfrm>
          <a:off x="873267" y="3439815"/>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SOPROQUI</a:t>
          </a:r>
        </a:p>
      </dgm:t>
    </dgm:pt>
    <dgm:pt modelId="{E18E94E7-F3DA-4B37-BEBA-38C0196008EC}" type="parTrans" cxnId="{8F02C19A-619F-4D6E-A19E-94588CC2F552}">
      <dgm:prSet/>
      <dgm:spPr>
        <a:xfrm>
          <a:off x="1712922" y="2502717"/>
          <a:ext cx="143421" cy="1154466"/>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E8E4A83D-822C-461F-9904-6EF32C767B48}" type="sibTrans" cxnId="{8F02C19A-619F-4D6E-A19E-94588CC2F552}">
      <dgm:prSet/>
      <dgm:spPr>
        <a:xfrm>
          <a:off x="1041198" y="3777943"/>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	</a:t>
          </a:r>
        </a:p>
      </dgm:t>
    </dgm:pt>
    <dgm:pt modelId="{F73C816E-0304-4E30-8A1E-25595BDED02F}" type="asst">
      <dgm:prSet/>
      <dgm:spPr>
        <a:xfrm>
          <a:off x="1999765" y="3439815"/>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APROQUIGAN</a:t>
          </a:r>
        </a:p>
      </dgm:t>
    </dgm:pt>
    <dgm:pt modelId="{185DF3A4-3F40-4E1D-A5EA-0FC9C994BC78}" type="parTrans" cxnId="{10DCC1B1-6E3E-4540-AF67-B8E6A0085D7B}">
      <dgm:prSet/>
      <dgm:spPr>
        <a:xfrm>
          <a:off x="1856344" y="2502717"/>
          <a:ext cx="143421" cy="1154466"/>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0A826447-92C5-4B16-A04D-878E3DB4982B}" type="sibTrans" cxnId="{10DCC1B1-6E3E-4540-AF67-B8E6A0085D7B}">
      <dgm:prSet/>
      <dgm:spPr>
        <a:xfrm>
          <a:off x="2167696" y="3777943"/>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567F1AD4-A34C-4A01-97A6-1286B09CA958}" type="asst">
      <dgm:prSet/>
      <dgm:spPr>
        <a:xfrm>
          <a:off x="873267" y="4125732"/>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APQUINQUI</a:t>
          </a:r>
        </a:p>
      </dgm:t>
    </dgm:pt>
    <dgm:pt modelId="{CA7385B6-8CE7-477C-A8F2-654067023E24}" type="parTrans" cxnId="{AC5A2CA8-BDD9-432F-A39A-D6743CF92DE4}">
      <dgm:prSet/>
      <dgm:spPr>
        <a:xfrm>
          <a:off x="1712922" y="2502717"/>
          <a:ext cx="143421" cy="1840383"/>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A00641F5-E256-4091-8913-EC43BBDDB064}" type="sibTrans" cxnId="{AC5A2CA8-BDD9-432F-A39A-D6743CF92DE4}">
      <dgm:prSet/>
      <dgm:spPr>
        <a:xfrm>
          <a:off x="1041198" y="4463860"/>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F02E5286-B0D2-45A8-B7C0-44201180785D}" type="asst">
      <dgm:prSet/>
      <dgm:spPr>
        <a:xfrm>
          <a:off x="1999765" y="4125732"/>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COPROQUINAC</a:t>
          </a:r>
        </a:p>
      </dgm:t>
    </dgm:pt>
    <dgm:pt modelId="{0E2E4DAF-948E-4358-AC96-C413D126F49B}" type="parTrans" cxnId="{AEF53DE8-EDF1-441A-88E0-F2FFBC7251A9}">
      <dgm:prSet/>
      <dgm:spPr>
        <a:xfrm>
          <a:off x="1856344" y="2502717"/>
          <a:ext cx="143421" cy="1840383"/>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8F71059A-436F-4DFA-B01B-A6070BAF6CF7}" type="sibTrans" cxnId="{AEF53DE8-EDF1-441A-88E0-F2FFBC7251A9}">
      <dgm:prSet/>
      <dgm:spPr>
        <a:xfrm>
          <a:off x="2167696" y="4463860"/>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036D6CF2-E694-4BE3-854A-48904A197ECE}" type="asst">
      <dgm:prSet/>
      <dgm:spPr>
        <a:xfrm>
          <a:off x="873267" y="4811649"/>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CEDEIINKU</a:t>
          </a:r>
        </a:p>
      </dgm:t>
    </dgm:pt>
    <dgm:pt modelId="{C8B51A2C-C836-47C4-A2DD-3E0FA7C3185D}" type="parTrans" cxnId="{36B62FC5-22BF-4604-91DA-C48F11B8F359}">
      <dgm:prSet/>
      <dgm:spPr>
        <a:xfrm>
          <a:off x="1712922" y="2502717"/>
          <a:ext cx="143421" cy="2526300"/>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052A592D-0B1A-4C28-9404-3C0A15382210}" type="sibTrans" cxnId="{36B62FC5-22BF-4604-91DA-C48F11B8F359}">
      <dgm:prSet/>
      <dgm:spPr>
        <a:xfrm>
          <a:off x="1041198" y="5149778"/>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6E0AD0E6-70F4-4A6D-B86C-E74E33E58BBB}" type="asst">
      <dgm:prSet/>
      <dgm:spPr>
        <a:xfrm>
          <a:off x="1999765" y="4811649"/>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APREQC</a:t>
          </a:r>
        </a:p>
      </dgm:t>
    </dgm:pt>
    <dgm:pt modelId="{F38ACBD2-2CAC-4E1A-9406-0AF3ED3C887F}" type="parTrans" cxnId="{964D9D42-26CA-445D-BC4E-A08AAAD8FF3E}">
      <dgm:prSet/>
      <dgm:spPr>
        <a:xfrm>
          <a:off x="1856344" y="2502717"/>
          <a:ext cx="143421" cy="2526300"/>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AF7D1980-4D74-4D27-BCD9-FF6BFF9DF7B4}" type="sibTrans" cxnId="{964D9D42-26CA-445D-BC4E-A08AAAD8FF3E}">
      <dgm:prSet/>
      <dgm:spPr>
        <a:xfrm>
          <a:off x="2167696" y="5149778"/>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415BE33C-EA60-408D-86CA-B32DF2EA6AA4}" type="asst">
      <dgm:prSet/>
      <dgm:spPr>
        <a:xfrm>
          <a:off x="873267" y="5497567"/>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ARPAIAMI</a:t>
          </a:r>
        </a:p>
      </dgm:t>
    </dgm:pt>
    <dgm:pt modelId="{90112F05-7F2F-49AE-9BDE-A9EE613830C7}" type="parTrans" cxnId="{C76EDC47-0B3C-4C1A-852C-F6089C0AF844}">
      <dgm:prSet/>
      <dgm:spPr>
        <a:xfrm>
          <a:off x="1712922" y="2502717"/>
          <a:ext cx="143421" cy="3212217"/>
        </a:xfrm>
        <a:noFill/>
        <a:ln w="25400" cap="flat" cmpd="sng" algn="ctr">
          <a:solidFill>
            <a:srgbClr val="4F81BD">
              <a:shade val="80000"/>
              <a:hueOff val="0"/>
              <a:satOff val="0"/>
              <a:lumOff val="0"/>
              <a:alphaOff val="0"/>
            </a:srgbClr>
          </a:solidFill>
          <a:prstDash val="solid"/>
        </a:ln>
        <a:effectLst/>
      </dgm:spPr>
      <dgm:t>
        <a:bodyPr/>
        <a:lstStyle/>
        <a:p>
          <a:pPr algn="ctr"/>
          <a:endParaRPr lang="en-US"/>
        </a:p>
      </dgm:t>
    </dgm:pt>
    <dgm:pt modelId="{DA7EECDB-548E-4392-8709-57AED18DBD01}" type="sibTrans" cxnId="{C76EDC47-0B3C-4C1A-852C-F6089C0AF844}">
      <dgm:prSet/>
      <dgm:spPr>
        <a:xfrm>
          <a:off x="1041198" y="5835695"/>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Regional PO</a:t>
          </a:r>
        </a:p>
      </dgm:t>
    </dgm:pt>
    <dgm:pt modelId="{68EF4532-F46E-4181-B067-92BF03119B31}" type="asst">
      <dgm:prSet/>
      <dgm:spPr>
        <a:xfrm>
          <a:off x="3126262" y="2753898"/>
          <a:ext cx="839655" cy="434736"/>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13 cooperatives associated in 13 communities </a:t>
          </a:r>
        </a:p>
      </dgm:t>
    </dgm:pt>
    <dgm:pt modelId="{50171846-9C30-4752-A007-3F97604731DF}" type="parTrans" cxnId="{3E6F84E4-B9AA-468C-94D4-F79CA69FF2A9}">
      <dgm:prSet/>
      <dgm:spPr>
        <a:xfrm>
          <a:off x="3965918" y="2502717"/>
          <a:ext cx="143421" cy="468549"/>
        </a:xfrm>
        <a:noFill/>
        <a:ln w="25400" cap="flat" cmpd="sng" algn="ctr">
          <a:solidFill>
            <a:srgbClr val="4F81BD">
              <a:shade val="80000"/>
              <a:hueOff val="0"/>
              <a:satOff val="0"/>
              <a:lumOff val="0"/>
              <a:alphaOff val="0"/>
            </a:srgbClr>
          </a:solidFill>
          <a:prstDash val="solid"/>
        </a:ln>
        <a:effectLst/>
      </dgm:spPr>
      <dgm:t>
        <a:bodyPr/>
        <a:lstStyle/>
        <a:p>
          <a:endParaRPr lang="en-US"/>
        </a:p>
      </dgm:t>
    </dgm:pt>
    <dgm:pt modelId="{3C6251B3-9648-425C-AAD0-330F01AA05DB}" type="sibTrans" cxnId="{3E6F84E4-B9AA-468C-94D4-F79CA69FF2A9}">
      <dgm:prSet/>
      <dgm:spPr>
        <a:xfrm>
          <a:off x="3294193" y="3092026"/>
          <a:ext cx="755689" cy="144912"/>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endParaRPr lang="en-US">
            <a:solidFill>
              <a:sysClr val="windowText" lastClr="000000">
                <a:hueOff val="0"/>
                <a:satOff val="0"/>
                <a:lumOff val="0"/>
                <a:alphaOff val="0"/>
              </a:sysClr>
            </a:solidFill>
            <a:latin typeface="Calibri"/>
            <a:ea typeface="+mn-ea"/>
            <a:cs typeface="+mn-cs"/>
          </a:endParaRPr>
        </a:p>
      </dgm:t>
    </dgm:pt>
    <dgm:pt modelId="{D77E5AE2-D27F-430E-9F1F-839A39CA9D74}" type="pres">
      <dgm:prSet presAssocID="{FC714F27-8C9F-47C8-B905-510DD03DE721}" presName="hierChild1" presStyleCnt="0">
        <dgm:presLayoutVars>
          <dgm:orgChart val="1"/>
          <dgm:chPref val="1"/>
          <dgm:dir/>
          <dgm:animOne val="branch"/>
          <dgm:animLvl val="lvl"/>
          <dgm:resizeHandles/>
        </dgm:presLayoutVars>
      </dgm:prSet>
      <dgm:spPr/>
      <dgm:t>
        <a:bodyPr/>
        <a:lstStyle/>
        <a:p>
          <a:endParaRPr lang="en-US"/>
        </a:p>
      </dgm:t>
    </dgm:pt>
    <dgm:pt modelId="{12093359-DAF5-437C-8E4C-2116850A3431}" type="pres">
      <dgm:prSet presAssocID="{5CDE168A-5551-4485-A425-BED157B9D86D}" presName="hierRoot1" presStyleCnt="0">
        <dgm:presLayoutVars>
          <dgm:hierBranch val="init"/>
        </dgm:presLayoutVars>
      </dgm:prSet>
      <dgm:spPr/>
    </dgm:pt>
    <dgm:pt modelId="{22BD14FD-2E95-4CF9-A65A-594B105B108D}" type="pres">
      <dgm:prSet presAssocID="{5CDE168A-5551-4485-A425-BED157B9D86D}" presName="rootComposite1" presStyleCnt="0"/>
      <dgm:spPr/>
    </dgm:pt>
    <dgm:pt modelId="{9C444A53-FA0F-4A01-B7BC-3C5628DD54FF}" type="pres">
      <dgm:prSet presAssocID="{5CDE168A-5551-4485-A425-BED157B9D86D}" presName="rootText1" presStyleLbl="node0" presStyleIdx="0" presStyleCnt="1">
        <dgm:presLayoutVars>
          <dgm:chMax/>
          <dgm:chPref val="3"/>
        </dgm:presLayoutVars>
      </dgm:prSet>
      <dgm:spPr>
        <a:prstGeom prst="rect">
          <a:avLst/>
        </a:prstGeom>
      </dgm:spPr>
      <dgm:t>
        <a:bodyPr/>
        <a:lstStyle/>
        <a:p>
          <a:endParaRPr lang="en-US"/>
        </a:p>
      </dgm:t>
    </dgm:pt>
    <dgm:pt modelId="{F43360F1-FC8D-416A-88EB-45799735BC61}" type="pres">
      <dgm:prSet presAssocID="{5CDE168A-5551-4485-A425-BED157B9D86D}" presName="titleText1" presStyleLbl="fgAcc0" presStyleIdx="0" presStyleCnt="1">
        <dgm:presLayoutVars>
          <dgm:chMax val="0"/>
          <dgm:chPref val="0"/>
        </dgm:presLayoutVars>
      </dgm:prSet>
      <dgm:spPr>
        <a:prstGeom prst="rect">
          <a:avLst/>
        </a:prstGeom>
      </dgm:spPr>
      <dgm:t>
        <a:bodyPr/>
        <a:lstStyle/>
        <a:p>
          <a:endParaRPr lang="en-US"/>
        </a:p>
      </dgm:t>
    </dgm:pt>
    <dgm:pt modelId="{8B8F6168-0B13-40C8-8EE2-2430C273EDFD}" type="pres">
      <dgm:prSet presAssocID="{5CDE168A-5551-4485-A425-BED157B9D86D}" presName="rootConnector1" presStyleLbl="node1" presStyleIdx="0" presStyleCnt="1"/>
      <dgm:spPr/>
      <dgm:t>
        <a:bodyPr/>
        <a:lstStyle/>
        <a:p>
          <a:endParaRPr lang="en-US"/>
        </a:p>
      </dgm:t>
    </dgm:pt>
    <dgm:pt modelId="{C6F34C75-AC9E-4B2D-9D1A-FBBE5119EFFC}" type="pres">
      <dgm:prSet presAssocID="{5CDE168A-5551-4485-A425-BED157B9D86D}" presName="hierChild2" presStyleCnt="0"/>
      <dgm:spPr/>
    </dgm:pt>
    <dgm:pt modelId="{36BB2DA7-4136-48D4-A054-C873EB808706}" type="pres">
      <dgm:prSet presAssocID="{37DF324C-21C3-4E3C-89FC-FDA068870D60}" presName="Name37" presStyleLbl="parChTrans1D2" presStyleIdx="0" presStyleCnt="3"/>
      <dgm:spPr>
        <a:custGeom>
          <a:avLst/>
          <a:gdLst/>
          <a:ahLst/>
          <a:cxnLst/>
          <a:rect l="0" t="0" r="0" b="0"/>
          <a:pathLst>
            <a:path>
              <a:moveTo>
                <a:pt x="45720" y="0"/>
              </a:moveTo>
              <a:lnTo>
                <a:pt x="45720" y="1097393"/>
              </a:lnTo>
            </a:path>
          </a:pathLst>
        </a:custGeom>
      </dgm:spPr>
      <dgm:t>
        <a:bodyPr/>
        <a:lstStyle/>
        <a:p>
          <a:endParaRPr lang="en-US"/>
        </a:p>
      </dgm:t>
    </dgm:pt>
    <dgm:pt modelId="{F55C33B6-937E-4637-92FE-46B5E9F6514D}" type="pres">
      <dgm:prSet presAssocID="{79B855F6-DFA2-44A6-B35C-F9484A75461C}" presName="hierRoot2" presStyleCnt="0">
        <dgm:presLayoutVars>
          <dgm:hierBranch val="init"/>
        </dgm:presLayoutVars>
      </dgm:prSet>
      <dgm:spPr/>
    </dgm:pt>
    <dgm:pt modelId="{CA3FE220-FC55-4B7B-8F70-8D45AF2A5B24}" type="pres">
      <dgm:prSet presAssocID="{79B855F6-DFA2-44A6-B35C-F9484A75461C}" presName="rootComposite" presStyleCnt="0"/>
      <dgm:spPr/>
    </dgm:pt>
    <dgm:pt modelId="{1BBA4AA0-43AC-4EC8-A8A3-1314AAF2F9DD}" type="pres">
      <dgm:prSet presAssocID="{79B855F6-DFA2-44A6-B35C-F9484A75461C}" presName="rootText" presStyleLbl="node1" presStyleIdx="0" presStyleCnt="1">
        <dgm:presLayoutVars>
          <dgm:chMax/>
          <dgm:chPref val="3"/>
        </dgm:presLayoutVars>
      </dgm:prSet>
      <dgm:spPr>
        <a:prstGeom prst="rect">
          <a:avLst/>
        </a:prstGeom>
      </dgm:spPr>
      <dgm:t>
        <a:bodyPr/>
        <a:lstStyle/>
        <a:p>
          <a:endParaRPr lang="en-US"/>
        </a:p>
      </dgm:t>
    </dgm:pt>
    <dgm:pt modelId="{1076114E-A7DC-499D-92E0-2B090FFB9BAB}" type="pres">
      <dgm:prSet presAssocID="{79B855F6-DFA2-44A6-B35C-F9484A75461C}" presName="titleText2" presStyleLbl="fgAcc1" presStyleIdx="0" presStyleCnt="1">
        <dgm:presLayoutVars>
          <dgm:chMax val="0"/>
          <dgm:chPref val="0"/>
        </dgm:presLayoutVars>
      </dgm:prSet>
      <dgm:spPr>
        <a:prstGeom prst="rect">
          <a:avLst/>
        </a:prstGeom>
      </dgm:spPr>
      <dgm:t>
        <a:bodyPr/>
        <a:lstStyle/>
        <a:p>
          <a:endParaRPr lang="en-US"/>
        </a:p>
      </dgm:t>
    </dgm:pt>
    <dgm:pt modelId="{94F4642D-DD6E-4F83-8081-05423191BE6D}" type="pres">
      <dgm:prSet presAssocID="{79B855F6-DFA2-44A6-B35C-F9484A75461C}" presName="rootConnector" presStyleLbl="node2" presStyleIdx="0" presStyleCnt="0"/>
      <dgm:spPr/>
      <dgm:t>
        <a:bodyPr/>
        <a:lstStyle/>
        <a:p>
          <a:endParaRPr lang="en-US"/>
        </a:p>
      </dgm:t>
    </dgm:pt>
    <dgm:pt modelId="{1217575D-2DD6-4F58-9A18-C2B40D5E4BBF}" type="pres">
      <dgm:prSet presAssocID="{79B855F6-DFA2-44A6-B35C-F9484A75461C}" presName="hierChild4" presStyleCnt="0"/>
      <dgm:spPr/>
    </dgm:pt>
    <dgm:pt modelId="{3E33E50C-C7EE-47F1-B83E-3B894BD725E7}" type="pres">
      <dgm:prSet presAssocID="{79B855F6-DFA2-44A6-B35C-F9484A75461C}" presName="hierChild5" presStyleCnt="0"/>
      <dgm:spPr/>
    </dgm:pt>
    <dgm:pt modelId="{8A785E66-3A8A-479C-95A8-1085847E9D77}" type="pres">
      <dgm:prSet presAssocID="{5F1DAF85-2DFA-42E7-9F30-79CD218E4356}" presName="Name96" presStyleLbl="parChTrans1D3" presStyleIdx="0" presStyleCnt="2"/>
      <dgm:spPr>
        <a:custGeom>
          <a:avLst/>
          <a:gdLst/>
          <a:ahLst/>
          <a:cxnLst/>
          <a:rect l="0" t="0" r="0" b="0"/>
          <a:pathLst>
            <a:path>
              <a:moveTo>
                <a:pt x="684624" y="0"/>
              </a:moveTo>
              <a:lnTo>
                <a:pt x="684624" y="453932"/>
              </a:lnTo>
              <a:lnTo>
                <a:pt x="0" y="453932"/>
              </a:lnTo>
            </a:path>
          </a:pathLst>
        </a:custGeom>
      </dgm:spPr>
      <dgm:t>
        <a:bodyPr/>
        <a:lstStyle/>
        <a:p>
          <a:endParaRPr lang="en-US"/>
        </a:p>
      </dgm:t>
    </dgm:pt>
    <dgm:pt modelId="{A08343A5-2DBC-4494-AD89-5F50E9F420A4}" type="pres">
      <dgm:prSet presAssocID="{A3D2B3AB-F7C8-4FC0-941A-A1DC358C243A}" presName="hierRoot3" presStyleCnt="0">
        <dgm:presLayoutVars>
          <dgm:hierBranch val="init"/>
        </dgm:presLayoutVars>
      </dgm:prSet>
      <dgm:spPr/>
    </dgm:pt>
    <dgm:pt modelId="{91C7D6DC-A23E-48D5-BF85-DD1237EE600D}" type="pres">
      <dgm:prSet presAssocID="{A3D2B3AB-F7C8-4FC0-941A-A1DC358C243A}" presName="rootComposite3" presStyleCnt="0"/>
      <dgm:spPr/>
    </dgm:pt>
    <dgm:pt modelId="{83A292F3-FEA4-4995-A0D1-196090DD475E}" type="pres">
      <dgm:prSet presAssocID="{A3D2B3AB-F7C8-4FC0-941A-A1DC358C243A}" presName="rootText3" presStyleLbl="asst1" presStyleIdx="0" presStyleCnt="14">
        <dgm:presLayoutVars>
          <dgm:chPref val="3"/>
        </dgm:presLayoutVars>
      </dgm:prSet>
      <dgm:spPr>
        <a:prstGeom prst="rect">
          <a:avLst/>
        </a:prstGeom>
      </dgm:spPr>
      <dgm:t>
        <a:bodyPr/>
        <a:lstStyle/>
        <a:p>
          <a:endParaRPr lang="en-US"/>
        </a:p>
      </dgm:t>
    </dgm:pt>
    <dgm:pt modelId="{43644707-18B5-4469-B243-B0DBCE1C2228}" type="pres">
      <dgm:prSet presAssocID="{A3D2B3AB-F7C8-4FC0-941A-A1DC358C243A}" presName="titleText3" presStyleLbl="fgAcc2" presStyleIdx="0" presStyleCnt="14">
        <dgm:presLayoutVars>
          <dgm:chMax val="0"/>
          <dgm:chPref val="0"/>
        </dgm:presLayoutVars>
      </dgm:prSet>
      <dgm:spPr>
        <a:prstGeom prst="rect">
          <a:avLst/>
        </a:prstGeom>
      </dgm:spPr>
      <dgm:t>
        <a:bodyPr/>
        <a:lstStyle/>
        <a:p>
          <a:endParaRPr lang="en-US"/>
        </a:p>
      </dgm:t>
    </dgm:pt>
    <dgm:pt modelId="{CC484C85-243F-4337-BDD1-05EC80F602DD}" type="pres">
      <dgm:prSet presAssocID="{A3D2B3AB-F7C8-4FC0-941A-A1DC358C243A}" presName="rootConnector3" presStyleLbl="asst2" presStyleIdx="0" presStyleCnt="0"/>
      <dgm:spPr/>
      <dgm:t>
        <a:bodyPr/>
        <a:lstStyle/>
        <a:p>
          <a:endParaRPr lang="en-US"/>
        </a:p>
      </dgm:t>
    </dgm:pt>
    <dgm:pt modelId="{47EBC1B2-D507-4EE7-8EDA-3AA31706C101}" type="pres">
      <dgm:prSet presAssocID="{A3D2B3AB-F7C8-4FC0-941A-A1DC358C243A}" presName="hierChild6" presStyleCnt="0"/>
      <dgm:spPr/>
    </dgm:pt>
    <dgm:pt modelId="{C2C6F877-B9CE-40B2-8FD4-2BE5962B0713}" type="pres">
      <dgm:prSet presAssocID="{A3D2B3AB-F7C8-4FC0-941A-A1DC358C243A}" presName="hierChild7" presStyleCnt="0"/>
      <dgm:spPr/>
    </dgm:pt>
    <dgm:pt modelId="{C1FAE743-D9C6-4D61-8AF2-ADCF6AA8D802}" type="pres">
      <dgm:prSet presAssocID="{9815A0B2-92E1-4106-8C26-ACF7B6665872}" presName="Name96" presStyleLbl="parChTrans1D4" presStyleIdx="0" presStyleCnt="10"/>
      <dgm:spPr>
        <a:custGeom>
          <a:avLst/>
          <a:gdLst/>
          <a:ahLst/>
          <a:cxnLst/>
          <a:rect l="0" t="0" r="0" b="0"/>
          <a:pathLst>
            <a:path>
              <a:moveTo>
                <a:pt x="138947" y="0"/>
              </a:moveTo>
              <a:lnTo>
                <a:pt x="138947" y="453932"/>
              </a:lnTo>
              <a:lnTo>
                <a:pt x="0" y="453932"/>
              </a:lnTo>
            </a:path>
          </a:pathLst>
        </a:custGeom>
      </dgm:spPr>
      <dgm:t>
        <a:bodyPr/>
        <a:lstStyle/>
        <a:p>
          <a:endParaRPr lang="en-US"/>
        </a:p>
      </dgm:t>
    </dgm:pt>
    <dgm:pt modelId="{6FB0A9D0-6C6F-4CB5-9D93-B166A232BD55}" type="pres">
      <dgm:prSet presAssocID="{1465FC58-6976-48F6-AD2E-8B1C44EF3517}" presName="hierRoot3" presStyleCnt="0">
        <dgm:presLayoutVars>
          <dgm:hierBranch val="init"/>
        </dgm:presLayoutVars>
      </dgm:prSet>
      <dgm:spPr/>
    </dgm:pt>
    <dgm:pt modelId="{5C431372-81E0-4B6C-93CF-A2948BA8D58A}" type="pres">
      <dgm:prSet presAssocID="{1465FC58-6976-48F6-AD2E-8B1C44EF3517}" presName="rootComposite3" presStyleCnt="0"/>
      <dgm:spPr/>
    </dgm:pt>
    <dgm:pt modelId="{3C38D1A0-C623-428F-84E4-79BE3C8E022A}" type="pres">
      <dgm:prSet presAssocID="{1465FC58-6976-48F6-AD2E-8B1C44EF3517}" presName="rootText3" presStyleLbl="asst1" presStyleIdx="1" presStyleCnt="14">
        <dgm:presLayoutVars>
          <dgm:chPref val="3"/>
        </dgm:presLayoutVars>
      </dgm:prSet>
      <dgm:spPr>
        <a:prstGeom prst="rect">
          <a:avLst/>
        </a:prstGeom>
      </dgm:spPr>
      <dgm:t>
        <a:bodyPr/>
        <a:lstStyle/>
        <a:p>
          <a:endParaRPr lang="en-US"/>
        </a:p>
      </dgm:t>
    </dgm:pt>
    <dgm:pt modelId="{B5C906FD-341E-4473-81BB-51FCE8AAC569}" type="pres">
      <dgm:prSet presAssocID="{1465FC58-6976-48F6-AD2E-8B1C44EF3517}" presName="titleText3" presStyleLbl="fgAcc2" presStyleIdx="1" presStyleCnt="14">
        <dgm:presLayoutVars>
          <dgm:chMax val="0"/>
          <dgm:chPref val="0"/>
        </dgm:presLayoutVars>
      </dgm:prSet>
      <dgm:spPr>
        <a:prstGeom prst="rect">
          <a:avLst/>
        </a:prstGeom>
      </dgm:spPr>
      <dgm:t>
        <a:bodyPr/>
        <a:lstStyle/>
        <a:p>
          <a:endParaRPr lang="en-US"/>
        </a:p>
      </dgm:t>
    </dgm:pt>
    <dgm:pt modelId="{CB445CB2-E969-4B41-A3FA-E47A144034D3}" type="pres">
      <dgm:prSet presAssocID="{1465FC58-6976-48F6-AD2E-8B1C44EF3517}" presName="rootConnector3" presStyleLbl="asst2" presStyleIdx="0" presStyleCnt="0"/>
      <dgm:spPr/>
      <dgm:t>
        <a:bodyPr/>
        <a:lstStyle/>
        <a:p>
          <a:endParaRPr lang="en-US"/>
        </a:p>
      </dgm:t>
    </dgm:pt>
    <dgm:pt modelId="{4656B776-7FE0-4326-A374-71824213E0FB}" type="pres">
      <dgm:prSet presAssocID="{1465FC58-6976-48F6-AD2E-8B1C44EF3517}" presName="hierChild6" presStyleCnt="0"/>
      <dgm:spPr/>
    </dgm:pt>
    <dgm:pt modelId="{F264A559-9178-4C2E-AF4C-62B4089A78ED}" type="pres">
      <dgm:prSet presAssocID="{1465FC58-6976-48F6-AD2E-8B1C44EF3517}" presName="hierChild7" presStyleCnt="0"/>
      <dgm:spPr/>
    </dgm:pt>
    <dgm:pt modelId="{829C76D2-6DFC-47D9-9295-D32FFB943E9C}" type="pres">
      <dgm:prSet presAssocID="{49CD70A7-3ABF-42FC-8201-9FD7ACECA49F}" presName="Name96" presStyleLbl="parChTrans1D4" presStyleIdx="1" presStyleCnt="10"/>
      <dgm:spPr>
        <a:custGeom>
          <a:avLst/>
          <a:gdLst/>
          <a:ahLst/>
          <a:cxnLst/>
          <a:rect l="0" t="0" r="0" b="0"/>
          <a:pathLst>
            <a:path>
              <a:moveTo>
                <a:pt x="0" y="0"/>
              </a:moveTo>
              <a:lnTo>
                <a:pt x="0" y="453932"/>
              </a:lnTo>
              <a:lnTo>
                <a:pt x="138947" y="453932"/>
              </a:lnTo>
            </a:path>
          </a:pathLst>
        </a:custGeom>
      </dgm:spPr>
      <dgm:t>
        <a:bodyPr/>
        <a:lstStyle/>
        <a:p>
          <a:endParaRPr lang="en-US"/>
        </a:p>
      </dgm:t>
    </dgm:pt>
    <dgm:pt modelId="{18A57F7A-764B-4993-8CD7-54D1E2E5B740}" type="pres">
      <dgm:prSet presAssocID="{9BD4E40F-E06C-40BD-9442-D3A95C093BEE}" presName="hierRoot3" presStyleCnt="0">
        <dgm:presLayoutVars>
          <dgm:hierBranch val="init"/>
        </dgm:presLayoutVars>
      </dgm:prSet>
      <dgm:spPr/>
    </dgm:pt>
    <dgm:pt modelId="{DCCBBCE8-F69B-465E-912B-1115465146BA}" type="pres">
      <dgm:prSet presAssocID="{9BD4E40F-E06C-40BD-9442-D3A95C093BEE}" presName="rootComposite3" presStyleCnt="0"/>
      <dgm:spPr/>
    </dgm:pt>
    <dgm:pt modelId="{2AF55310-880C-4BF3-99B9-FC6EDA32CB13}" type="pres">
      <dgm:prSet presAssocID="{9BD4E40F-E06C-40BD-9442-D3A95C093BEE}" presName="rootText3" presStyleLbl="asst1" presStyleIdx="2" presStyleCnt="14">
        <dgm:presLayoutVars>
          <dgm:chPref val="3"/>
        </dgm:presLayoutVars>
      </dgm:prSet>
      <dgm:spPr>
        <a:prstGeom prst="rect">
          <a:avLst/>
        </a:prstGeom>
      </dgm:spPr>
      <dgm:t>
        <a:bodyPr/>
        <a:lstStyle/>
        <a:p>
          <a:endParaRPr lang="en-US"/>
        </a:p>
      </dgm:t>
    </dgm:pt>
    <dgm:pt modelId="{56EBF58E-01F7-4E57-8D50-B8A248D5FC80}" type="pres">
      <dgm:prSet presAssocID="{9BD4E40F-E06C-40BD-9442-D3A95C093BEE}" presName="titleText3" presStyleLbl="fgAcc2" presStyleIdx="2" presStyleCnt="14">
        <dgm:presLayoutVars>
          <dgm:chMax val="0"/>
          <dgm:chPref val="0"/>
        </dgm:presLayoutVars>
      </dgm:prSet>
      <dgm:spPr>
        <a:prstGeom prst="rect">
          <a:avLst/>
        </a:prstGeom>
      </dgm:spPr>
      <dgm:t>
        <a:bodyPr/>
        <a:lstStyle/>
        <a:p>
          <a:endParaRPr lang="en-US"/>
        </a:p>
      </dgm:t>
    </dgm:pt>
    <dgm:pt modelId="{6B8226E4-40C6-4459-AC77-47EE3AF880CC}" type="pres">
      <dgm:prSet presAssocID="{9BD4E40F-E06C-40BD-9442-D3A95C093BEE}" presName="rootConnector3" presStyleLbl="asst2" presStyleIdx="0" presStyleCnt="0"/>
      <dgm:spPr/>
      <dgm:t>
        <a:bodyPr/>
        <a:lstStyle/>
        <a:p>
          <a:endParaRPr lang="en-US"/>
        </a:p>
      </dgm:t>
    </dgm:pt>
    <dgm:pt modelId="{1BBB4F85-8C6F-4922-AC89-964C68FB1419}" type="pres">
      <dgm:prSet presAssocID="{9BD4E40F-E06C-40BD-9442-D3A95C093BEE}" presName="hierChild6" presStyleCnt="0"/>
      <dgm:spPr/>
    </dgm:pt>
    <dgm:pt modelId="{DFA3163F-35A3-45E6-93F4-532E7B10A9E4}" type="pres">
      <dgm:prSet presAssocID="{9BD4E40F-E06C-40BD-9442-D3A95C093BEE}" presName="hierChild7" presStyleCnt="0"/>
      <dgm:spPr/>
    </dgm:pt>
    <dgm:pt modelId="{35FCBE67-ADE9-49AB-9C00-EF2937CDD6C5}" type="pres">
      <dgm:prSet presAssocID="{E18E94E7-F3DA-4B37-BEBA-38C0196008EC}" presName="Name96" presStyleLbl="parChTrans1D4" presStyleIdx="2" presStyleCnt="10"/>
      <dgm:spPr>
        <a:custGeom>
          <a:avLst/>
          <a:gdLst/>
          <a:ahLst/>
          <a:cxnLst/>
          <a:rect l="0" t="0" r="0" b="0"/>
          <a:pathLst>
            <a:path>
              <a:moveTo>
                <a:pt x="138947" y="0"/>
              </a:moveTo>
              <a:lnTo>
                <a:pt x="138947" y="1118451"/>
              </a:lnTo>
              <a:lnTo>
                <a:pt x="0" y="1118451"/>
              </a:lnTo>
            </a:path>
          </a:pathLst>
        </a:custGeom>
      </dgm:spPr>
      <dgm:t>
        <a:bodyPr/>
        <a:lstStyle/>
        <a:p>
          <a:endParaRPr lang="en-US"/>
        </a:p>
      </dgm:t>
    </dgm:pt>
    <dgm:pt modelId="{0E8EFFA1-2C03-44BF-B965-3B4E69390B83}" type="pres">
      <dgm:prSet presAssocID="{AE441D95-5689-4306-BFC9-E1A48DF0287A}" presName="hierRoot3" presStyleCnt="0">
        <dgm:presLayoutVars>
          <dgm:hierBranch val="init"/>
        </dgm:presLayoutVars>
      </dgm:prSet>
      <dgm:spPr/>
    </dgm:pt>
    <dgm:pt modelId="{1DDF6E5E-77E6-421A-AEFA-462BDA34904F}" type="pres">
      <dgm:prSet presAssocID="{AE441D95-5689-4306-BFC9-E1A48DF0287A}" presName="rootComposite3" presStyleCnt="0"/>
      <dgm:spPr/>
    </dgm:pt>
    <dgm:pt modelId="{CF656FA9-8E01-4393-AD6D-607C50981EFB}" type="pres">
      <dgm:prSet presAssocID="{AE441D95-5689-4306-BFC9-E1A48DF0287A}" presName="rootText3" presStyleLbl="asst1" presStyleIdx="3" presStyleCnt="14">
        <dgm:presLayoutVars>
          <dgm:chPref val="3"/>
        </dgm:presLayoutVars>
      </dgm:prSet>
      <dgm:spPr>
        <a:prstGeom prst="rect">
          <a:avLst/>
        </a:prstGeom>
      </dgm:spPr>
      <dgm:t>
        <a:bodyPr/>
        <a:lstStyle/>
        <a:p>
          <a:endParaRPr lang="en-US"/>
        </a:p>
      </dgm:t>
    </dgm:pt>
    <dgm:pt modelId="{066E6686-A25C-4F73-A7BC-6799E025DA15}" type="pres">
      <dgm:prSet presAssocID="{AE441D95-5689-4306-BFC9-E1A48DF0287A}" presName="titleText3" presStyleLbl="fgAcc2" presStyleIdx="3" presStyleCnt="14">
        <dgm:presLayoutVars>
          <dgm:chMax val="0"/>
          <dgm:chPref val="0"/>
        </dgm:presLayoutVars>
      </dgm:prSet>
      <dgm:spPr>
        <a:prstGeom prst="rect">
          <a:avLst/>
        </a:prstGeom>
      </dgm:spPr>
      <dgm:t>
        <a:bodyPr/>
        <a:lstStyle/>
        <a:p>
          <a:endParaRPr lang="en-US"/>
        </a:p>
      </dgm:t>
    </dgm:pt>
    <dgm:pt modelId="{D5A055E0-2303-4AA2-A02D-7D25BBE88BB6}" type="pres">
      <dgm:prSet presAssocID="{AE441D95-5689-4306-BFC9-E1A48DF0287A}" presName="rootConnector3" presStyleLbl="asst2" presStyleIdx="0" presStyleCnt="0"/>
      <dgm:spPr/>
      <dgm:t>
        <a:bodyPr/>
        <a:lstStyle/>
        <a:p>
          <a:endParaRPr lang="en-US"/>
        </a:p>
      </dgm:t>
    </dgm:pt>
    <dgm:pt modelId="{BC0D1735-09CC-495D-8DC6-933101145847}" type="pres">
      <dgm:prSet presAssocID="{AE441D95-5689-4306-BFC9-E1A48DF0287A}" presName="hierChild6" presStyleCnt="0"/>
      <dgm:spPr/>
    </dgm:pt>
    <dgm:pt modelId="{2000A4E7-7EFA-4E6D-811B-9C3351BBAB99}" type="pres">
      <dgm:prSet presAssocID="{AE441D95-5689-4306-BFC9-E1A48DF0287A}" presName="hierChild7" presStyleCnt="0"/>
      <dgm:spPr/>
    </dgm:pt>
    <dgm:pt modelId="{461B0B0B-3C10-4AF1-ABB0-7E8E838734D1}" type="pres">
      <dgm:prSet presAssocID="{185DF3A4-3F40-4E1D-A5EA-0FC9C994BC78}" presName="Name96" presStyleLbl="parChTrans1D4" presStyleIdx="3" presStyleCnt="10"/>
      <dgm:spPr>
        <a:custGeom>
          <a:avLst/>
          <a:gdLst/>
          <a:ahLst/>
          <a:cxnLst/>
          <a:rect l="0" t="0" r="0" b="0"/>
          <a:pathLst>
            <a:path>
              <a:moveTo>
                <a:pt x="0" y="0"/>
              </a:moveTo>
              <a:lnTo>
                <a:pt x="0" y="1118451"/>
              </a:lnTo>
              <a:lnTo>
                <a:pt x="138947" y="1118451"/>
              </a:lnTo>
            </a:path>
          </a:pathLst>
        </a:custGeom>
      </dgm:spPr>
      <dgm:t>
        <a:bodyPr/>
        <a:lstStyle/>
        <a:p>
          <a:endParaRPr lang="en-US"/>
        </a:p>
      </dgm:t>
    </dgm:pt>
    <dgm:pt modelId="{139F0EC3-C1C9-412F-B4EC-F32A87DE2278}" type="pres">
      <dgm:prSet presAssocID="{F73C816E-0304-4E30-8A1E-25595BDED02F}" presName="hierRoot3" presStyleCnt="0">
        <dgm:presLayoutVars>
          <dgm:hierBranch val="init"/>
        </dgm:presLayoutVars>
      </dgm:prSet>
      <dgm:spPr/>
    </dgm:pt>
    <dgm:pt modelId="{46717623-DA46-4E46-B55B-F31B571E1E0D}" type="pres">
      <dgm:prSet presAssocID="{F73C816E-0304-4E30-8A1E-25595BDED02F}" presName="rootComposite3" presStyleCnt="0"/>
      <dgm:spPr/>
    </dgm:pt>
    <dgm:pt modelId="{AEECF985-F2AC-440B-ACC3-179D2AC61F6C}" type="pres">
      <dgm:prSet presAssocID="{F73C816E-0304-4E30-8A1E-25595BDED02F}" presName="rootText3" presStyleLbl="asst1" presStyleIdx="4" presStyleCnt="14">
        <dgm:presLayoutVars>
          <dgm:chPref val="3"/>
        </dgm:presLayoutVars>
      </dgm:prSet>
      <dgm:spPr>
        <a:prstGeom prst="rect">
          <a:avLst/>
        </a:prstGeom>
      </dgm:spPr>
      <dgm:t>
        <a:bodyPr/>
        <a:lstStyle/>
        <a:p>
          <a:endParaRPr lang="en-US"/>
        </a:p>
      </dgm:t>
    </dgm:pt>
    <dgm:pt modelId="{DDB90AC4-C394-41D0-B9B3-53B2C33519B0}" type="pres">
      <dgm:prSet presAssocID="{F73C816E-0304-4E30-8A1E-25595BDED02F}" presName="titleText3" presStyleLbl="fgAcc2" presStyleIdx="4" presStyleCnt="14">
        <dgm:presLayoutVars>
          <dgm:chMax val="0"/>
          <dgm:chPref val="0"/>
        </dgm:presLayoutVars>
      </dgm:prSet>
      <dgm:spPr>
        <a:prstGeom prst="rect">
          <a:avLst/>
        </a:prstGeom>
      </dgm:spPr>
      <dgm:t>
        <a:bodyPr/>
        <a:lstStyle/>
        <a:p>
          <a:endParaRPr lang="en-US"/>
        </a:p>
      </dgm:t>
    </dgm:pt>
    <dgm:pt modelId="{197E52A7-3BE9-4312-B0A6-D3371E479488}" type="pres">
      <dgm:prSet presAssocID="{F73C816E-0304-4E30-8A1E-25595BDED02F}" presName="rootConnector3" presStyleLbl="asst2" presStyleIdx="0" presStyleCnt="0"/>
      <dgm:spPr/>
      <dgm:t>
        <a:bodyPr/>
        <a:lstStyle/>
        <a:p>
          <a:endParaRPr lang="en-US"/>
        </a:p>
      </dgm:t>
    </dgm:pt>
    <dgm:pt modelId="{C13630A0-80FA-4497-9799-6356E839D92B}" type="pres">
      <dgm:prSet presAssocID="{F73C816E-0304-4E30-8A1E-25595BDED02F}" presName="hierChild6" presStyleCnt="0"/>
      <dgm:spPr/>
    </dgm:pt>
    <dgm:pt modelId="{D5843B15-7269-4368-A724-942EBCB8FD2B}" type="pres">
      <dgm:prSet presAssocID="{F73C816E-0304-4E30-8A1E-25595BDED02F}" presName="hierChild7" presStyleCnt="0"/>
      <dgm:spPr/>
    </dgm:pt>
    <dgm:pt modelId="{11D92FCA-C8FF-41A6-86B3-28D3A94E6B31}" type="pres">
      <dgm:prSet presAssocID="{CA7385B6-8CE7-477C-A8F2-654067023E24}" presName="Name96" presStyleLbl="parChTrans1D4" presStyleIdx="4" presStyleCnt="10"/>
      <dgm:spPr>
        <a:custGeom>
          <a:avLst/>
          <a:gdLst/>
          <a:ahLst/>
          <a:cxnLst/>
          <a:rect l="0" t="0" r="0" b="0"/>
          <a:pathLst>
            <a:path>
              <a:moveTo>
                <a:pt x="138947" y="0"/>
              </a:moveTo>
              <a:lnTo>
                <a:pt x="138947" y="1782971"/>
              </a:lnTo>
              <a:lnTo>
                <a:pt x="0" y="1782971"/>
              </a:lnTo>
            </a:path>
          </a:pathLst>
        </a:custGeom>
      </dgm:spPr>
      <dgm:t>
        <a:bodyPr/>
        <a:lstStyle/>
        <a:p>
          <a:endParaRPr lang="en-US"/>
        </a:p>
      </dgm:t>
    </dgm:pt>
    <dgm:pt modelId="{699E6901-C0BF-4DD5-AF7A-8A7788D6F772}" type="pres">
      <dgm:prSet presAssocID="{567F1AD4-A34C-4A01-97A6-1286B09CA958}" presName="hierRoot3" presStyleCnt="0">
        <dgm:presLayoutVars>
          <dgm:hierBranch val="init"/>
        </dgm:presLayoutVars>
      </dgm:prSet>
      <dgm:spPr/>
    </dgm:pt>
    <dgm:pt modelId="{1341EE7A-0129-4BFA-8F5C-58E5A3CD21C6}" type="pres">
      <dgm:prSet presAssocID="{567F1AD4-A34C-4A01-97A6-1286B09CA958}" presName="rootComposite3" presStyleCnt="0"/>
      <dgm:spPr/>
    </dgm:pt>
    <dgm:pt modelId="{BBB54F46-E883-412F-B02E-109F3185A9A1}" type="pres">
      <dgm:prSet presAssocID="{567F1AD4-A34C-4A01-97A6-1286B09CA958}" presName="rootText3" presStyleLbl="asst1" presStyleIdx="5" presStyleCnt="14">
        <dgm:presLayoutVars>
          <dgm:chPref val="3"/>
        </dgm:presLayoutVars>
      </dgm:prSet>
      <dgm:spPr>
        <a:prstGeom prst="rect">
          <a:avLst/>
        </a:prstGeom>
      </dgm:spPr>
      <dgm:t>
        <a:bodyPr/>
        <a:lstStyle/>
        <a:p>
          <a:endParaRPr lang="en-US"/>
        </a:p>
      </dgm:t>
    </dgm:pt>
    <dgm:pt modelId="{53A34B42-2636-41D3-91B7-7CB42A1FF6DA}" type="pres">
      <dgm:prSet presAssocID="{567F1AD4-A34C-4A01-97A6-1286B09CA958}" presName="titleText3" presStyleLbl="fgAcc2" presStyleIdx="5" presStyleCnt="14">
        <dgm:presLayoutVars>
          <dgm:chMax val="0"/>
          <dgm:chPref val="0"/>
        </dgm:presLayoutVars>
      </dgm:prSet>
      <dgm:spPr>
        <a:prstGeom prst="rect">
          <a:avLst/>
        </a:prstGeom>
      </dgm:spPr>
      <dgm:t>
        <a:bodyPr/>
        <a:lstStyle/>
        <a:p>
          <a:endParaRPr lang="en-US"/>
        </a:p>
      </dgm:t>
    </dgm:pt>
    <dgm:pt modelId="{D6A5B235-2B9A-49E8-8C7C-CD2DBC5EE09F}" type="pres">
      <dgm:prSet presAssocID="{567F1AD4-A34C-4A01-97A6-1286B09CA958}" presName="rootConnector3" presStyleLbl="asst2" presStyleIdx="0" presStyleCnt="0"/>
      <dgm:spPr/>
      <dgm:t>
        <a:bodyPr/>
        <a:lstStyle/>
        <a:p>
          <a:endParaRPr lang="en-US"/>
        </a:p>
      </dgm:t>
    </dgm:pt>
    <dgm:pt modelId="{83CE6D93-663D-4F4D-9D24-1AB7E113BD5E}" type="pres">
      <dgm:prSet presAssocID="{567F1AD4-A34C-4A01-97A6-1286B09CA958}" presName="hierChild6" presStyleCnt="0"/>
      <dgm:spPr/>
    </dgm:pt>
    <dgm:pt modelId="{65EEDFD1-85FD-4467-82BF-C05E99CDDB99}" type="pres">
      <dgm:prSet presAssocID="{567F1AD4-A34C-4A01-97A6-1286B09CA958}" presName="hierChild7" presStyleCnt="0"/>
      <dgm:spPr/>
    </dgm:pt>
    <dgm:pt modelId="{984F6F21-96ED-4B88-91F8-A9DABC8C9E70}" type="pres">
      <dgm:prSet presAssocID="{0E2E4DAF-948E-4358-AC96-C413D126F49B}" presName="Name96" presStyleLbl="parChTrans1D4" presStyleIdx="5" presStyleCnt="10"/>
      <dgm:spPr>
        <a:custGeom>
          <a:avLst/>
          <a:gdLst/>
          <a:ahLst/>
          <a:cxnLst/>
          <a:rect l="0" t="0" r="0" b="0"/>
          <a:pathLst>
            <a:path>
              <a:moveTo>
                <a:pt x="0" y="0"/>
              </a:moveTo>
              <a:lnTo>
                <a:pt x="0" y="1782971"/>
              </a:lnTo>
              <a:lnTo>
                <a:pt x="138947" y="1782971"/>
              </a:lnTo>
            </a:path>
          </a:pathLst>
        </a:custGeom>
      </dgm:spPr>
      <dgm:t>
        <a:bodyPr/>
        <a:lstStyle/>
        <a:p>
          <a:endParaRPr lang="en-US"/>
        </a:p>
      </dgm:t>
    </dgm:pt>
    <dgm:pt modelId="{616E51F0-B48B-4F91-806D-3CAAC36218EA}" type="pres">
      <dgm:prSet presAssocID="{F02E5286-B0D2-45A8-B7C0-44201180785D}" presName="hierRoot3" presStyleCnt="0">
        <dgm:presLayoutVars>
          <dgm:hierBranch val="init"/>
        </dgm:presLayoutVars>
      </dgm:prSet>
      <dgm:spPr/>
    </dgm:pt>
    <dgm:pt modelId="{83D051A1-4D49-404A-BCC2-2E1CABBF409E}" type="pres">
      <dgm:prSet presAssocID="{F02E5286-B0D2-45A8-B7C0-44201180785D}" presName="rootComposite3" presStyleCnt="0"/>
      <dgm:spPr/>
    </dgm:pt>
    <dgm:pt modelId="{288852A2-774C-4590-A2A3-DE29F917B445}" type="pres">
      <dgm:prSet presAssocID="{F02E5286-B0D2-45A8-B7C0-44201180785D}" presName="rootText3" presStyleLbl="asst1" presStyleIdx="6" presStyleCnt="14">
        <dgm:presLayoutVars>
          <dgm:chPref val="3"/>
        </dgm:presLayoutVars>
      </dgm:prSet>
      <dgm:spPr>
        <a:prstGeom prst="rect">
          <a:avLst/>
        </a:prstGeom>
      </dgm:spPr>
      <dgm:t>
        <a:bodyPr/>
        <a:lstStyle/>
        <a:p>
          <a:endParaRPr lang="en-US"/>
        </a:p>
      </dgm:t>
    </dgm:pt>
    <dgm:pt modelId="{BA8A0441-544C-4A6A-B08F-94B3AEBF1D09}" type="pres">
      <dgm:prSet presAssocID="{F02E5286-B0D2-45A8-B7C0-44201180785D}" presName="titleText3" presStyleLbl="fgAcc2" presStyleIdx="6" presStyleCnt="14">
        <dgm:presLayoutVars>
          <dgm:chMax val="0"/>
          <dgm:chPref val="0"/>
        </dgm:presLayoutVars>
      </dgm:prSet>
      <dgm:spPr>
        <a:prstGeom prst="rect">
          <a:avLst/>
        </a:prstGeom>
      </dgm:spPr>
      <dgm:t>
        <a:bodyPr/>
        <a:lstStyle/>
        <a:p>
          <a:endParaRPr lang="en-US"/>
        </a:p>
      </dgm:t>
    </dgm:pt>
    <dgm:pt modelId="{9B5B8D87-2EE2-4C0C-A24D-41449CB29525}" type="pres">
      <dgm:prSet presAssocID="{F02E5286-B0D2-45A8-B7C0-44201180785D}" presName="rootConnector3" presStyleLbl="asst2" presStyleIdx="0" presStyleCnt="0"/>
      <dgm:spPr/>
      <dgm:t>
        <a:bodyPr/>
        <a:lstStyle/>
        <a:p>
          <a:endParaRPr lang="en-US"/>
        </a:p>
      </dgm:t>
    </dgm:pt>
    <dgm:pt modelId="{0FE4A04B-7CE9-40EA-A274-E4AE9B593D97}" type="pres">
      <dgm:prSet presAssocID="{F02E5286-B0D2-45A8-B7C0-44201180785D}" presName="hierChild6" presStyleCnt="0"/>
      <dgm:spPr/>
    </dgm:pt>
    <dgm:pt modelId="{633C68A0-6C0D-4A9D-80C2-CABC9A435B62}" type="pres">
      <dgm:prSet presAssocID="{F02E5286-B0D2-45A8-B7C0-44201180785D}" presName="hierChild7" presStyleCnt="0"/>
      <dgm:spPr/>
    </dgm:pt>
    <dgm:pt modelId="{1E6094D5-F80A-43B7-AAC8-7918D9FE9020}" type="pres">
      <dgm:prSet presAssocID="{C8B51A2C-C836-47C4-A2DD-3E0FA7C3185D}" presName="Name96" presStyleLbl="parChTrans1D4" presStyleIdx="6" presStyleCnt="10"/>
      <dgm:spPr>
        <a:custGeom>
          <a:avLst/>
          <a:gdLst/>
          <a:ahLst/>
          <a:cxnLst/>
          <a:rect l="0" t="0" r="0" b="0"/>
          <a:pathLst>
            <a:path>
              <a:moveTo>
                <a:pt x="138947" y="0"/>
              </a:moveTo>
              <a:lnTo>
                <a:pt x="138947" y="2447490"/>
              </a:lnTo>
              <a:lnTo>
                <a:pt x="0" y="2447490"/>
              </a:lnTo>
            </a:path>
          </a:pathLst>
        </a:custGeom>
      </dgm:spPr>
      <dgm:t>
        <a:bodyPr/>
        <a:lstStyle/>
        <a:p>
          <a:endParaRPr lang="en-US"/>
        </a:p>
      </dgm:t>
    </dgm:pt>
    <dgm:pt modelId="{8FC86349-E99B-4610-8C05-0D0970C9747C}" type="pres">
      <dgm:prSet presAssocID="{036D6CF2-E694-4BE3-854A-48904A197ECE}" presName="hierRoot3" presStyleCnt="0">
        <dgm:presLayoutVars>
          <dgm:hierBranch val="init"/>
        </dgm:presLayoutVars>
      </dgm:prSet>
      <dgm:spPr/>
    </dgm:pt>
    <dgm:pt modelId="{1274DB20-9848-4A97-BAB6-7CE387F9F597}" type="pres">
      <dgm:prSet presAssocID="{036D6CF2-E694-4BE3-854A-48904A197ECE}" presName="rootComposite3" presStyleCnt="0"/>
      <dgm:spPr/>
    </dgm:pt>
    <dgm:pt modelId="{5E38A81F-0C22-483F-A783-5989953CB6A3}" type="pres">
      <dgm:prSet presAssocID="{036D6CF2-E694-4BE3-854A-48904A197ECE}" presName="rootText3" presStyleLbl="asst1" presStyleIdx="7" presStyleCnt="14">
        <dgm:presLayoutVars>
          <dgm:chPref val="3"/>
        </dgm:presLayoutVars>
      </dgm:prSet>
      <dgm:spPr>
        <a:prstGeom prst="rect">
          <a:avLst/>
        </a:prstGeom>
      </dgm:spPr>
      <dgm:t>
        <a:bodyPr/>
        <a:lstStyle/>
        <a:p>
          <a:endParaRPr lang="en-US"/>
        </a:p>
      </dgm:t>
    </dgm:pt>
    <dgm:pt modelId="{D7749C8B-B850-4030-A304-A295A6C44DA5}" type="pres">
      <dgm:prSet presAssocID="{036D6CF2-E694-4BE3-854A-48904A197ECE}" presName="titleText3" presStyleLbl="fgAcc2" presStyleIdx="7" presStyleCnt="14">
        <dgm:presLayoutVars>
          <dgm:chMax val="0"/>
          <dgm:chPref val="0"/>
        </dgm:presLayoutVars>
      </dgm:prSet>
      <dgm:spPr>
        <a:prstGeom prst="rect">
          <a:avLst/>
        </a:prstGeom>
      </dgm:spPr>
      <dgm:t>
        <a:bodyPr/>
        <a:lstStyle/>
        <a:p>
          <a:endParaRPr lang="en-US"/>
        </a:p>
      </dgm:t>
    </dgm:pt>
    <dgm:pt modelId="{40806CF8-CC9F-43F4-9F34-AEC033B8A991}" type="pres">
      <dgm:prSet presAssocID="{036D6CF2-E694-4BE3-854A-48904A197ECE}" presName="rootConnector3" presStyleLbl="asst2" presStyleIdx="0" presStyleCnt="0"/>
      <dgm:spPr/>
      <dgm:t>
        <a:bodyPr/>
        <a:lstStyle/>
        <a:p>
          <a:endParaRPr lang="en-US"/>
        </a:p>
      </dgm:t>
    </dgm:pt>
    <dgm:pt modelId="{8039AA71-AF88-4877-A03D-218BBB83C20E}" type="pres">
      <dgm:prSet presAssocID="{036D6CF2-E694-4BE3-854A-48904A197ECE}" presName="hierChild6" presStyleCnt="0"/>
      <dgm:spPr/>
    </dgm:pt>
    <dgm:pt modelId="{4CBBB10B-3F6B-4093-BF44-28564E289C8E}" type="pres">
      <dgm:prSet presAssocID="{036D6CF2-E694-4BE3-854A-48904A197ECE}" presName="hierChild7" presStyleCnt="0"/>
      <dgm:spPr/>
    </dgm:pt>
    <dgm:pt modelId="{F8B9C516-8C96-4CD8-ABC2-7DAF4E0B5679}" type="pres">
      <dgm:prSet presAssocID="{F38ACBD2-2CAC-4E1A-9406-0AF3ED3C887F}" presName="Name96" presStyleLbl="parChTrans1D4" presStyleIdx="7" presStyleCnt="10"/>
      <dgm:spPr>
        <a:custGeom>
          <a:avLst/>
          <a:gdLst/>
          <a:ahLst/>
          <a:cxnLst/>
          <a:rect l="0" t="0" r="0" b="0"/>
          <a:pathLst>
            <a:path>
              <a:moveTo>
                <a:pt x="0" y="0"/>
              </a:moveTo>
              <a:lnTo>
                <a:pt x="0" y="2447490"/>
              </a:lnTo>
              <a:lnTo>
                <a:pt x="138947" y="2447490"/>
              </a:lnTo>
            </a:path>
          </a:pathLst>
        </a:custGeom>
      </dgm:spPr>
      <dgm:t>
        <a:bodyPr/>
        <a:lstStyle/>
        <a:p>
          <a:endParaRPr lang="en-US"/>
        </a:p>
      </dgm:t>
    </dgm:pt>
    <dgm:pt modelId="{AFDBFE83-43F4-4E55-B897-83122EEF4B15}" type="pres">
      <dgm:prSet presAssocID="{6E0AD0E6-70F4-4A6D-B86C-E74E33E58BBB}" presName="hierRoot3" presStyleCnt="0">
        <dgm:presLayoutVars>
          <dgm:hierBranch val="init"/>
        </dgm:presLayoutVars>
      </dgm:prSet>
      <dgm:spPr/>
    </dgm:pt>
    <dgm:pt modelId="{87721B47-8BF4-4986-935C-E1085D6C547D}" type="pres">
      <dgm:prSet presAssocID="{6E0AD0E6-70F4-4A6D-B86C-E74E33E58BBB}" presName="rootComposite3" presStyleCnt="0"/>
      <dgm:spPr/>
    </dgm:pt>
    <dgm:pt modelId="{8D126D2E-0795-4190-8755-40042EF15F0D}" type="pres">
      <dgm:prSet presAssocID="{6E0AD0E6-70F4-4A6D-B86C-E74E33E58BBB}" presName="rootText3" presStyleLbl="asst1" presStyleIdx="8" presStyleCnt="14">
        <dgm:presLayoutVars>
          <dgm:chPref val="3"/>
        </dgm:presLayoutVars>
      </dgm:prSet>
      <dgm:spPr>
        <a:prstGeom prst="rect">
          <a:avLst/>
        </a:prstGeom>
      </dgm:spPr>
      <dgm:t>
        <a:bodyPr/>
        <a:lstStyle/>
        <a:p>
          <a:endParaRPr lang="en-US"/>
        </a:p>
      </dgm:t>
    </dgm:pt>
    <dgm:pt modelId="{B15A0C97-39AE-4104-A5CA-9E57D1C73C6D}" type="pres">
      <dgm:prSet presAssocID="{6E0AD0E6-70F4-4A6D-B86C-E74E33E58BBB}" presName="titleText3" presStyleLbl="fgAcc2" presStyleIdx="8" presStyleCnt="14">
        <dgm:presLayoutVars>
          <dgm:chMax val="0"/>
          <dgm:chPref val="0"/>
        </dgm:presLayoutVars>
      </dgm:prSet>
      <dgm:spPr>
        <a:prstGeom prst="rect">
          <a:avLst/>
        </a:prstGeom>
      </dgm:spPr>
      <dgm:t>
        <a:bodyPr/>
        <a:lstStyle/>
        <a:p>
          <a:endParaRPr lang="en-US"/>
        </a:p>
      </dgm:t>
    </dgm:pt>
    <dgm:pt modelId="{49B746FE-9E3A-430D-ABDA-041354CCEB52}" type="pres">
      <dgm:prSet presAssocID="{6E0AD0E6-70F4-4A6D-B86C-E74E33E58BBB}" presName="rootConnector3" presStyleLbl="asst2" presStyleIdx="0" presStyleCnt="0"/>
      <dgm:spPr/>
      <dgm:t>
        <a:bodyPr/>
        <a:lstStyle/>
        <a:p>
          <a:endParaRPr lang="en-US"/>
        </a:p>
      </dgm:t>
    </dgm:pt>
    <dgm:pt modelId="{72F87ECF-9212-4905-B6EF-85B1CEC66D15}" type="pres">
      <dgm:prSet presAssocID="{6E0AD0E6-70F4-4A6D-B86C-E74E33E58BBB}" presName="hierChild6" presStyleCnt="0"/>
      <dgm:spPr/>
    </dgm:pt>
    <dgm:pt modelId="{6879B705-659D-416B-A24F-1F56E7F7A576}" type="pres">
      <dgm:prSet presAssocID="{6E0AD0E6-70F4-4A6D-B86C-E74E33E58BBB}" presName="hierChild7" presStyleCnt="0"/>
      <dgm:spPr/>
    </dgm:pt>
    <dgm:pt modelId="{D0E9CD35-26BA-4C59-BF95-62139C887E42}" type="pres">
      <dgm:prSet presAssocID="{90112F05-7F2F-49AE-9BDE-A9EE613830C7}" presName="Name96" presStyleLbl="parChTrans1D4" presStyleIdx="8" presStyleCnt="10"/>
      <dgm:spPr>
        <a:custGeom>
          <a:avLst/>
          <a:gdLst/>
          <a:ahLst/>
          <a:cxnLst/>
          <a:rect l="0" t="0" r="0" b="0"/>
          <a:pathLst>
            <a:path>
              <a:moveTo>
                <a:pt x="138947" y="0"/>
              </a:moveTo>
              <a:lnTo>
                <a:pt x="138947" y="3112010"/>
              </a:lnTo>
              <a:lnTo>
                <a:pt x="0" y="3112010"/>
              </a:lnTo>
            </a:path>
          </a:pathLst>
        </a:custGeom>
      </dgm:spPr>
      <dgm:t>
        <a:bodyPr/>
        <a:lstStyle/>
        <a:p>
          <a:endParaRPr lang="en-US"/>
        </a:p>
      </dgm:t>
    </dgm:pt>
    <dgm:pt modelId="{99AC2E2C-7FF5-4DFC-BABB-8AAF66C171BC}" type="pres">
      <dgm:prSet presAssocID="{415BE33C-EA60-408D-86CA-B32DF2EA6AA4}" presName="hierRoot3" presStyleCnt="0">
        <dgm:presLayoutVars>
          <dgm:hierBranch val="init"/>
        </dgm:presLayoutVars>
      </dgm:prSet>
      <dgm:spPr/>
    </dgm:pt>
    <dgm:pt modelId="{8CB89C4E-6C29-40D4-B3AD-630B116C2837}" type="pres">
      <dgm:prSet presAssocID="{415BE33C-EA60-408D-86CA-B32DF2EA6AA4}" presName="rootComposite3" presStyleCnt="0"/>
      <dgm:spPr/>
    </dgm:pt>
    <dgm:pt modelId="{62AFBA21-8FF8-4AC1-B02E-0EE70934DC45}" type="pres">
      <dgm:prSet presAssocID="{415BE33C-EA60-408D-86CA-B32DF2EA6AA4}" presName="rootText3" presStyleLbl="asst1" presStyleIdx="9" presStyleCnt="14">
        <dgm:presLayoutVars>
          <dgm:chPref val="3"/>
        </dgm:presLayoutVars>
      </dgm:prSet>
      <dgm:spPr>
        <a:prstGeom prst="rect">
          <a:avLst/>
        </a:prstGeom>
      </dgm:spPr>
      <dgm:t>
        <a:bodyPr/>
        <a:lstStyle/>
        <a:p>
          <a:endParaRPr lang="en-US"/>
        </a:p>
      </dgm:t>
    </dgm:pt>
    <dgm:pt modelId="{2C3C3587-3118-4287-8C6D-1F47448BCA15}" type="pres">
      <dgm:prSet presAssocID="{415BE33C-EA60-408D-86CA-B32DF2EA6AA4}" presName="titleText3" presStyleLbl="fgAcc2" presStyleIdx="9" presStyleCnt="14">
        <dgm:presLayoutVars>
          <dgm:chMax val="0"/>
          <dgm:chPref val="0"/>
        </dgm:presLayoutVars>
      </dgm:prSet>
      <dgm:spPr>
        <a:prstGeom prst="rect">
          <a:avLst/>
        </a:prstGeom>
      </dgm:spPr>
      <dgm:t>
        <a:bodyPr/>
        <a:lstStyle/>
        <a:p>
          <a:endParaRPr lang="en-US"/>
        </a:p>
      </dgm:t>
    </dgm:pt>
    <dgm:pt modelId="{22AE4ACD-73F4-45D7-85CE-CD315139A19A}" type="pres">
      <dgm:prSet presAssocID="{415BE33C-EA60-408D-86CA-B32DF2EA6AA4}" presName="rootConnector3" presStyleLbl="asst2" presStyleIdx="0" presStyleCnt="0"/>
      <dgm:spPr/>
      <dgm:t>
        <a:bodyPr/>
        <a:lstStyle/>
        <a:p>
          <a:endParaRPr lang="en-US"/>
        </a:p>
      </dgm:t>
    </dgm:pt>
    <dgm:pt modelId="{4653DB8E-5F57-42DF-9D0E-A7C2AFE972D7}" type="pres">
      <dgm:prSet presAssocID="{415BE33C-EA60-408D-86CA-B32DF2EA6AA4}" presName="hierChild6" presStyleCnt="0"/>
      <dgm:spPr/>
    </dgm:pt>
    <dgm:pt modelId="{B5668599-CB6B-4079-A289-34FFB934E9EA}" type="pres">
      <dgm:prSet presAssocID="{415BE33C-EA60-408D-86CA-B32DF2EA6AA4}" presName="hierChild7" presStyleCnt="0"/>
      <dgm:spPr/>
    </dgm:pt>
    <dgm:pt modelId="{EC2791BC-A173-4978-8208-6A5BDD919C96}" type="pres">
      <dgm:prSet presAssocID="{70D6228B-02DB-4C8D-95A6-737A3B488C4F}" presName="Name96" presStyleLbl="parChTrans1D3" presStyleIdx="1" presStyleCnt="2"/>
      <dgm:spPr>
        <a:custGeom>
          <a:avLst/>
          <a:gdLst/>
          <a:ahLst/>
          <a:cxnLst/>
          <a:rect l="0" t="0" r="0" b="0"/>
          <a:pathLst>
            <a:path>
              <a:moveTo>
                <a:pt x="0" y="0"/>
              </a:moveTo>
              <a:lnTo>
                <a:pt x="0" y="453932"/>
              </a:lnTo>
              <a:lnTo>
                <a:pt x="684624" y="453932"/>
              </a:lnTo>
            </a:path>
          </a:pathLst>
        </a:custGeom>
      </dgm:spPr>
      <dgm:t>
        <a:bodyPr/>
        <a:lstStyle/>
        <a:p>
          <a:endParaRPr lang="en-US"/>
        </a:p>
      </dgm:t>
    </dgm:pt>
    <dgm:pt modelId="{4F8F93F6-2327-48FD-98C8-E83A8009204D}" type="pres">
      <dgm:prSet presAssocID="{C2BDBD7D-7254-4F74-BB89-6AD7182C9DDE}" presName="hierRoot3" presStyleCnt="0">
        <dgm:presLayoutVars>
          <dgm:hierBranch val="init"/>
        </dgm:presLayoutVars>
      </dgm:prSet>
      <dgm:spPr/>
    </dgm:pt>
    <dgm:pt modelId="{3E55723B-E0BB-42B6-84B7-FFBAAF5281CA}" type="pres">
      <dgm:prSet presAssocID="{C2BDBD7D-7254-4F74-BB89-6AD7182C9DDE}" presName="rootComposite3" presStyleCnt="0"/>
      <dgm:spPr/>
    </dgm:pt>
    <dgm:pt modelId="{2E253158-9ED6-4935-9434-B9B47261894D}" type="pres">
      <dgm:prSet presAssocID="{C2BDBD7D-7254-4F74-BB89-6AD7182C9DDE}" presName="rootText3" presStyleLbl="asst1" presStyleIdx="10" presStyleCnt="14">
        <dgm:presLayoutVars>
          <dgm:chPref val="3"/>
        </dgm:presLayoutVars>
      </dgm:prSet>
      <dgm:spPr>
        <a:prstGeom prst="rect">
          <a:avLst/>
        </a:prstGeom>
      </dgm:spPr>
      <dgm:t>
        <a:bodyPr/>
        <a:lstStyle/>
        <a:p>
          <a:endParaRPr lang="en-US"/>
        </a:p>
      </dgm:t>
    </dgm:pt>
    <dgm:pt modelId="{DD6486D5-91CA-46F4-A72B-9BB2F862CC3D}" type="pres">
      <dgm:prSet presAssocID="{C2BDBD7D-7254-4F74-BB89-6AD7182C9DDE}" presName="titleText3" presStyleLbl="fgAcc2" presStyleIdx="10" presStyleCnt="14">
        <dgm:presLayoutVars>
          <dgm:chMax val="0"/>
          <dgm:chPref val="0"/>
        </dgm:presLayoutVars>
      </dgm:prSet>
      <dgm:spPr>
        <a:prstGeom prst="rect">
          <a:avLst/>
        </a:prstGeom>
      </dgm:spPr>
      <dgm:t>
        <a:bodyPr/>
        <a:lstStyle/>
        <a:p>
          <a:endParaRPr lang="en-US"/>
        </a:p>
      </dgm:t>
    </dgm:pt>
    <dgm:pt modelId="{AACDABBA-6314-480A-867B-88F7F617F6F4}" type="pres">
      <dgm:prSet presAssocID="{C2BDBD7D-7254-4F74-BB89-6AD7182C9DDE}" presName="rootConnector3" presStyleLbl="asst2" presStyleIdx="0" presStyleCnt="0"/>
      <dgm:spPr/>
      <dgm:t>
        <a:bodyPr/>
        <a:lstStyle/>
        <a:p>
          <a:endParaRPr lang="en-US"/>
        </a:p>
      </dgm:t>
    </dgm:pt>
    <dgm:pt modelId="{A5D5BE87-DF9B-4318-AFB9-E3B343459D04}" type="pres">
      <dgm:prSet presAssocID="{C2BDBD7D-7254-4F74-BB89-6AD7182C9DDE}" presName="hierChild6" presStyleCnt="0"/>
      <dgm:spPr/>
    </dgm:pt>
    <dgm:pt modelId="{568BB733-D24F-4119-A8F1-63F29FC81BED}" type="pres">
      <dgm:prSet presAssocID="{C2BDBD7D-7254-4F74-BB89-6AD7182C9DDE}" presName="hierChild7" presStyleCnt="0"/>
      <dgm:spPr/>
    </dgm:pt>
    <dgm:pt modelId="{6ECF4CA3-A555-41B4-9190-2242D5DDA8FF}" type="pres">
      <dgm:prSet presAssocID="{50171846-9C30-4752-A007-3F97604731DF}" presName="Name96" presStyleLbl="parChTrans1D4" presStyleIdx="9" presStyleCnt="10"/>
      <dgm:spPr>
        <a:custGeom>
          <a:avLst/>
          <a:gdLst/>
          <a:ahLst/>
          <a:cxnLst/>
          <a:rect l="0" t="0" r="0" b="0"/>
          <a:pathLst>
            <a:path>
              <a:moveTo>
                <a:pt x="143421" y="0"/>
              </a:moveTo>
              <a:lnTo>
                <a:pt x="143421" y="468549"/>
              </a:lnTo>
              <a:lnTo>
                <a:pt x="0" y="468549"/>
              </a:lnTo>
            </a:path>
          </a:pathLst>
        </a:custGeom>
      </dgm:spPr>
      <dgm:t>
        <a:bodyPr/>
        <a:lstStyle/>
        <a:p>
          <a:endParaRPr lang="en-US"/>
        </a:p>
      </dgm:t>
    </dgm:pt>
    <dgm:pt modelId="{1CFBED76-9726-4229-96F5-A948B7014F48}" type="pres">
      <dgm:prSet presAssocID="{68EF4532-F46E-4181-B067-92BF03119B31}" presName="hierRoot3" presStyleCnt="0">
        <dgm:presLayoutVars>
          <dgm:hierBranch val="init"/>
        </dgm:presLayoutVars>
      </dgm:prSet>
      <dgm:spPr/>
    </dgm:pt>
    <dgm:pt modelId="{82B12BFF-14D7-43C4-A67F-0164279DA4EF}" type="pres">
      <dgm:prSet presAssocID="{68EF4532-F46E-4181-B067-92BF03119B31}" presName="rootComposite3" presStyleCnt="0"/>
      <dgm:spPr/>
    </dgm:pt>
    <dgm:pt modelId="{A22E33E8-A3AC-46E6-A114-8E58C61BB60D}" type="pres">
      <dgm:prSet presAssocID="{68EF4532-F46E-4181-B067-92BF03119B31}" presName="rootText3" presStyleLbl="asst1" presStyleIdx="11" presStyleCnt="14">
        <dgm:presLayoutVars>
          <dgm:chPref val="3"/>
        </dgm:presLayoutVars>
      </dgm:prSet>
      <dgm:spPr>
        <a:prstGeom prst="rect">
          <a:avLst/>
        </a:prstGeom>
      </dgm:spPr>
      <dgm:t>
        <a:bodyPr/>
        <a:lstStyle/>
        <a:p>
          <a:endParaRPr lang="en-US"/>
        </a:p>
      </dgm:t>
    </dgm:pt>
    <dgm:pt modelId="{94B85159-8F98-41A7-BF20-6C6C2806D8A1}" type="pres">
      <dgm:prSet presAssocID="{68EF4532-F46E-4181-B067-92BF03119B31}" presName="titleText3" presStyleLbl="fgAcc2" presStyleIdx="11" presStyleCnt="14" custFlipVert="1" custScaleY="31550" custLinFactNeighborX="-12603" custLinFactNeighborY="0">
        <dgm:presLayoutVars>
          <dgm:chMax val="0"/>
          <dgm:chPref val="0"/>
        </dgm:presLayoutVars>
      </dgm:prSet>
      <dgm:spPr>
        <a:prstGeom prst="rect">
          <a:avLst/>
        </a:prstGeom>
      </dgm:spPr>
      <dgm:t>
        <a:bodyPr/>
        <a:lstStyle/>
        <a:p>
          <a:endParaRPr lang="en-US"/>
        </a:p>
      </dgm:t>
    </dgm:pt>
    <dgm:pt modelId="{1FA9F79B-DFF9-4125-9D37-80F5972D8756}" type="pres">
      <dgm:prSet presAssocID="{68EF4532-F46E-4181-B067-92BF03119B31}" presName="rootConnector3" presStyleLbl="asst2" presStyleIdx="0" presStyleCnt="0"/>
      <dgm:spPr/>
      <dgm:t>
        <a:bodyPr/>
        <a:lstStyle/>
        <a:p>
          <a:endParaRPr lang="en-US"/>
        </a:p>
      </dgm:t>
    </dgm:pt>
    <dgm:pt modelId="{C62BACB0-8311-4583-8558-62738552FA7F}" type="pres">
      <dgm:prSet presAssocID="{68EF4532-F46E-4181-B067-92BF03119B31}" presName="hierChild6" presStyleCnt="0"/>
      <dgm:spPr/>
    </dgm:pt>
    <dgm:pt modelId="{DE90563A-43EA-4D16-BDE2-316142D585BE}" type="pres">
      <dgm:prSet presAssocID="{68EF4532-F46E-4181-B067-92BF03119B31}" presName="hierChild7" presStyleCnt="0"/>
      <dgm:spPr/>
    </dgm:pt>
    <dgm:pt modelId="{C5060475-49DE-4A0E-80D3-470265628749}" type="pres">
      <dgm:prSet presAssocID="{5CDE168A-5551-4485-A425-BED157B9D86D}" presName="hierChild3" presStyleCnt="0"/>
      <dgm:spPr/>
    </dgm:pt>
    <dgm:pt modelId="{8FD8CD0F-92CE-4DB3-94A2-11CF3D5EC00B}" type="pres">
      <dgm:prSet presAssocID="{E6FBDBF9-7F7C-44FA-AF98-8E48145105D0}" presName="Name96" presStyleLbl="parChTrans1D2" presStyleIdx="1" presStyleCnt="3"/>
      <dgm:spPr>
        <a:custGeom>
          <a:avLst/>
          <a:gdLst/>
          <a:ahLst/>
          <a:cxnLst/>
          <a:rect l="0" t="0" r="0" b="0"/>
          <a:pathLst>
            <a:path>
              <a:moveTo>
                <a:pt x="138947" y="0"/>
              </a:moveTo>
              <a:lnTo>
                <a:pt x="138947" y="453932"/>
              </a:lnTo>
              <a:lnTo>
                <a:pt x="0" y="453932"/>
              </a:lnTo>
            </a:path>
          </a:pathLst>
        </a:custGeom>
      </dgm:spPr>
      <dgm:t>
        <a:bodyPr/>
        <a:lstStyle/>
        <a:p>
          <a:endParaRPr lang="en-US"/>
        </a:p>
      </dgm:t>
    </dgm:pt>
    <dgm:pt modelId="{0B13F191-4AB9-4C32-A35F-465EF719F207}" type="pres">
      <dgm:prSet presAssocID="{783A35D6-7063-4559-8F7D-A577CE95CC79}" presName="hierRoot3" presStyleCnt="0">
        <dgm:presLayoutVars>
          <dgm:hierBranch val="init"/>
        </dgm:presLayoutVars>
      </dgm:prSet>
      <dgm:spPr/>
    </dgm:pt>
    <dgm:pt modelId="{FD46C2FB-A3A3-4190-8B8D-CA9E332F1059}" type="pres">
      <dgm:prSet presAssocID="{783A35D6-7063-4559-8F7D-A577CE95CC79}" presName="rootComposite3" presStyleCnt="0"/>
      <dgm:spPr/>
    </dgm:pt>
    <dgm:pt modelId="{95F9FEB1-D81C-42AE-A4DB-AA6B11877D91}" type="pres">
      <dgm:prSet presAssocID="{783A35D6-7063-4559-8F7D-A577CE95CC79}" presName="rootText3" presStyleLbl="asst1" presStyleIdx="12" presStyleCnt="14">
        <dgm:presLayoutVars>
          <dgm:chPref val="3"/>
        </dgm:presLayoutVars>
      </dgm:prSet>
      <dgm:spPr>
        <a:prstGeom prst="rect">
          <a:avLst/>
        </a:prstGeom>
      </dgm:spPr>
      <dgm:t>
        <a:bodyPr/>
        <a:lstStyle/>
        <a:p>
          <a:endParaRPr lang="en-US"/>
        </a:p>
      </dgm:t>
    </dgm:pt>
    <dgm:pt modelId="{E88B2A02-6E2D-4AAB-A081-36F0B13B3F2C}" type="pres">
      <dgm:prSet presAssocID="{783A35D6-7063-4559-8F7D-A577CE95CC79}" presName="titleText3" presStyleLbl="fgAcc2" presStyleIdx="12" presStyleCnt="14">
        <dgm:presLayoutVars>
          <dgm:chMax val="0"/>
          <dgm:chPref val="0"/>
        </dgm:presLayoutVars>
      </dgm:prSet>
      <dgm:spPr>
        <a:prstGeom prst="rect">
          <a:avLst/>
        </a:prstGeom>
      </dgm:spPr>
      <dgm:t>
        <a:bodyPr/>
        <a:lstStyle/>
        <a:p>
          <a:endParaRPr lang="en-US"/>
        </a:p>
      </dgm:t>
    </dgm:pt>
    <dgm:pt modelId="{3D74899D-8973-4C2A-8F79-EFEA11B14A8F}" type="pres">
      <dgm:prSet presAssocID="{783A35D6-7063-4559-8F7D-A577CE95CC79}" presName="rootConnector3" presStyleLbl="asst1" presStyleIdx="12" presStyleCnt="14"/>
      <dgm:spPr/>
      <dgm:t>
        <a:bodyPr/>
        <a:lstStyle/>
        <a:p>
          <a:endParaRPr lang="en-US"/>
        </a:p>
      </dgm:t>
    </dgm:pt>
    <dgm:pt modelId="{86C7FFF7-2E56-4F52-8990-9E45B643EA9E}" type="pres">
      <dgm:prSet presAssocID="{783A35D6-7063-4559-8F7D-A577CE95CC79}" presName="hierChild6" presStyleCnt="0"/>
      <dgm:spPr/>
    </dgm:pt>
    <dgm:pt modelId="{049F9E40-199E-4705-9776-7BEB58CCC977}" type="pres">
      <dgm:prSet presAssocID="{783A35D6-7063-4559-8F7D-A577CE95CC79}" presName="hierChild7" presStyleCnt="0"/>
      <dgm:spPr/>
    </dgm:pt>
    <dgm:pt modelId="{B0E996DC-BF41-43D1-98E4-19AF230412AB}" type="pres">
      <dgm:prSet presAssocID="{7D64B293-A92B-43AE-9C57-FFCA3CDF9795}" presName="Name96" presStyleLbl="parChTrans1D2" presStyleIdx="2" presStyleCnt="3"/>
      <dgm:spPr>
        <a:custGeom>
          <a:avLst/>
          <a:gdLst/>
          <a:ahLst/>
          <a:cxnLst/>
          <a:rect l="0" t="0" r="0" b="0"/>
          <a:pathLst>
            <a:path>
              <a:moveTo>
                <a:pt x="0" y="0"/>
              </a:moveTo>
              <a:lnTo>
                <a:pt x="0" y="453932"/>
              </a:lnTo>
              <a:lnTo>
                <a:pt x="138947" y="453932"/>
              </a:lnTo>
            </a:path>
          </a:pathLst>
        </a:custGeom>
      </dgm:spPr>
      <dgm:t>
        <a:bodyPr/>
        <a:lstStyle/>
        <a:p>
          <a:endParaRPr lang="en-US"/>
        </a:p>
      </dgm:t>
    </dgm:pt>
    <dgm:pt modelId="{CCCD7CB7-CF3E-4D06-AF03-4D264229B75F}" type="pres">
      <dgm:prSet presAssocID="{0EE393DD-39D0-45E8-96FF-90193BB61C3A}" presName="hierRoot3" presStyleCnt="0">
        <dgm:presLayoutVars>
          <dgm:hierBranch val="init"/>
        </dgm:presLayoutVars>
      </dgm:prSet>
      <dgm:spPr/>
    </dgm:pt>
    <dgm:pt modelId="{76D4C183-D67A-4B85-A191-80962AB0CE0E}" type="pres">
      <dgm:prSet presAssocID="{0EE393DD-39D0-45E8-96FF-90193BB61C3A}" presName="rootComposite3" presStyleCnt="0"/>
      <dgm:spPr/>
    </dgm:pt>
    <dgm:pt modelId="{C78F156B-E70B-43C0-A7FE-7E71E3E306FA}" type="pres">
      <dgm:prSet presAssocID="{0EE393DD-39D0-45E8-96FF-90193BB61C3A}" presName="rootText3" presStyleLbl="asst1" presStyleIdx="13" presStyleCnt="14">
        <dgm:presLayoutVars>
          <dgm:chPref val="3"/>
        </dgm:presLayoutVars>
      </dgm:prSet>
      <dgm:spPr>
        <a:prstGeom prst="rect">
          <a:avLst/>
        </a:prstGeom>
      </dgm:spPr>
      <dgm:t>
        <a:bodyPr/>
        <a:lstStyle/>
        <a:p>
          <a:endParaRPr lang="en-US"/>
        </a:p>
      </dgm:t>
    </dgm:pt>
    <dgm:pt modelId="{2FDD980A-1A22-4907-9125-1E9C890C4C94}" type="pres">
      <dgm:prSet presAssocID="{0EE393DD-39D0-45E8-96FF-90193BB61C3A}" presName="titleText3" presStyleLbl="fgAcc2" presStyleIdx="13" presStyleCnt="14" custScaleY="112610" custLinFactNeighborX="-1276" custLinFactNeighborY="13069">
        <dgm:presLayoutVars>
          <dgm:chMax val="0"/>
          <dgm:chPref val="0"/>
        </dgm:presLayoutVars>
      </dgm:prSet>
      <dgm:spPr>
        <a:prstGeom prst="rect">
          <a:avLst/>
        </a:prstGeom>
      </dgm:spPr>
      <dgm:t>
        <a:bodyPr/>
        <a:lstStyle/>
        <a:p>
          <a:endParaRPr lang="en-US"/>
        </a:p>
      </dgm:t>
    </dgm:pt>
    <dgm:pt modelId="{F70A9421-0B88-4B03-8028-24C36BAFC4A0}" type="pres">
      <dgm:prSet presAssocID="{0EE393DD-39D0-45E8-96FF-90193BB61C3A}" presName="rootConnector3" presStyleLbl="asst1" presStyleIdx="13" presStyleCnt="14"/>
      <dgm:spPr/>
      <dgm:t>
        <a:bodyPr/>
        <a:lstStyle/>
        <a:p>
          <a:endParaRPr lang="en-US"/>
        </a:p>
      </dgm:t>
    </dgm:pt>
    <dgm:pt modelId="{134715F4-2A10-4A54-B822-59AF66D0EE3A}" type="pres">
      <dgm:prSet presAssocID="{0EE393DD-39D0-45E8-96FF-90193BB61C3A}" presName="hierChild6" presStyleCnt="0"/>
      <dgm:spPr/>
    </dgm:pt>
    <dgm:pt modelId="{747469A2-21E1-496A-A865-30744A1B5296}" type="pres">
      <dgm:prSet presAssocID="{0EE393DD-39D0-45E8-96FF-90193BB61C3A}" presName="hierChild7" presStyleCnt="0"/>
      <dgm:spPr/>
    </dgm:pt>
  </dgm:ptLst>
  <dgm:cxnLst>
    <dgm:cxn modelId="{D21D65A9-110F-4DD0-97A8-DCDDDEB1BAB8}" type="presOf" srcId="{2CBA6FFC-4B33-419C-BF12-78774263ECDF}" destId="{56EBF58E-01F7-4E57-8D50-B8A248D5FC80}" srcOrd="0" destOrd="0" presId="urn:microsoft.com/office/officeart/2008/layout/NameandTitleOrganizationalChart"/>
    <dgm:cxn modelId="{34062147-462C-4FB5-AF1D-E736A6862FB2}" type="presOf" srcId="{49CD70A7-3ABF-42FC-8201-9FD7ACECA49F}" destId="{829C76D2-6DFC-47D9-9295-D32FFB943E9C}" srcOrd="0" destOrd="0" presId="urn:microsoft.com/office/officeart/2008/layout/NameandTitleOrganizationalChart"/>
    <dgm:cxn modelId="{10DCC1B1-6E3E-4540-AF67-B8E6A0085D7B}" srcId="{A3D2B3AB-F7C8-4FC0-941A-A1DC358C243A}" destId="{F73C816E-0304-4E30-8A1E-25595BDED02F}" srcOrd="3" destOrd="0" parTransId="{185DF3A4-3F40-4E1D-A5EA-0FC9C994BC78}" sibTransId="{0A826447-92C5-4B16-A04D-878E3DB4982B}"/>
    <dgm:cxn modelId="{AEF53DE8-EDF1-441A-88E0-F2FFBC7251A9}" srcId="{A3D2B3AB-F7C8-4FC0-941A-A1DC358C243A}" destId="{F02E5286-B0D2-45A8-B7C0-44201180785D}" srcOrd="5" destOrd="0" parTransId="{0E2E4DAF-948E-4358-AC96-C413D126F49B}" sibTransId="{8F71059A-436F-4DFA-B01B-A6070BAF6CF7}"/>
    <dgm:cxn modelId="{36B62FC5-22BF-4604-91DA-C48F11B8F359}" srcId="{A3D2B3AB-F7C8-4FC0-941A-A1DC358C243A}" destId="{036D6CF2-E694-4BE3-854A-48904A197ECE}" srcOrd="6" destOrd="0" parTransId="{C8B51A2C-C836-47C4-A2DD-3E0FA7C3185D}" sibTransId="{052A592D-0B1A-4C28-9404-3C0A15382210}"/>
    <dgm:cxn modelId="{6A2A00A5-C785-43F3-A6BD-C942A7981BD9}" type="presOf" srcId="{036D6CF2-E694-4BE3-854A-48904A197ECE}" destId="{40806CF8-CC9F-43F4-9F34-AEC033B8A991}" srcOrd="1" destOrd="0" presId="urn:microsoft.com/office/officeart/2008/layout/NameandTitleOrganizationalChart"/>
    <dgm:cxn modelId="{B1509F54-35C7-45AD-95A7-0ABB0B8D1BD5}" type="presOf" srcId="{0A826447-92C5-4B16-A04D-878E3DB4982B}" destId="{DDB90AC4-C394-41D0-B9B3-53B2C33519B0}" srcOrd="0" destOrd="0" presId="urn:microsoft.com/office/officeart/2008/layout/NameandTitleOrganizationalChart"/>
    <dgm:cxn modelId="{4D5A3063-223B-4975-87B9-6539C9BEB986}" type="presOf" srcId="{9BD4E40F-E06C-40BD-9442-D3A95C093BEE}" destId="{2AF55310-880C-4BF3-99B9-FC6EDA32CB13}" srcOrd="0" destOrd="0" presId="urn:microsoft.com/office/officeart/2008/layout/NameandTitleOrganizationalChart"/>
    <dgm:cxn modelId="{A41132F9-3D1C-4031-8B25-F1AA94792CBD}" type="presOf" srcId="{90112F05-7F2F-49AE-9BDE-A9EE613830C7}" destId="{D0E9CD35-26BA-4C59-BF95-62139C887E42}" srcOrd="0" destOrd="0" presId="urn:microsoft.com/office/officeart/2008/layout/NameandTitleOrganizationalChart"/>
    <dgm:cxn modelId="{6791632A-BC5A-46E5-94B3-BE3370C3B734}" type="presOf" srcId="{567F1AD4-A34C-4A01-97A6-1286B09CA958}" destId="{D6A5B235-2B9A-49E8-8C7C-CD2DBC5EE09F}" srcOrd="1" destOrd="0" presId="urn:microsoft.com/office/officeart/2008/layout/NameandTitleOrganizationalChart"/>
    <dgm:cxn modelId="{EF46C12A-E38E-40AA-A48E-133FFE2B7407}" type="presOf" srcId="{783A35D6-7063-4559-8F7D-A577CE95CC79}" destId="{95F9FEB1-D81C-42AE-A4DB-AA6B11877D91}" srcOrd="0" destOrd="0" presId="urn:microsoft.com/office/officeart/2008/layout/NameandTitleOrganizationalChart"/>
    <dgm:cxn modelId="{C76EDC47-0B3C-4C1A-852C-F6089C0AF844}" srcId="{A3D2B3AB-F7C8-4FC0-941A-A1DC358C243A}" destId="{415BE33C-EA60-408D-86CA-B32DF2EA6AA4}" srcOrd="8" destOrd="0" parTransId="{90112F05-7F2F-49AE-9BDE-A9EE613830C7}" sibTransId="{DA7EECDB-548E-4392-8709-57AED18DBD01}"/>
    <dgm:cxn modelId="{8D58F5D0-2694-4047-851C-E4A9DC2D4F8F}" type="presOf" srcId="{F73C816E-0304-4E30-8A1E-25595BDED02F}" destId="{AEECF985-F2AC-440B-ACC3-179D2AC61F6C}" srcOrd="0" destOrd="0" presId="urn:microsoft.com/office/officeart/2008/layout/NameandTitleOrganizationalChart"/>
    <dgm:cxn modelId="{16C6EA8A-772F-42DE-B8D5-DD81AA2275A1}" type="presOf" srcId="{8AB896CC-FF7A-4B55-B6C8-27C8A9D5F8F7}" destId="{43644707-18B5-4469-B243-B0DBCE1C2228}" srcOrd="0" destOrd="0" presId="urn:microsoft.com/office/officeart/2008/layout/NameandTitleOrganizationalChart"/>
    <dgm:cxn modelId="{C85D8158-F165-47C3-9822-6AEE7AE99414}" type="presOf" srcId="{AE441D95-5689-4306-BFC9-E1A48DF0287A}" destId="{D5A055E0-2303-4AA2-A02D-7D25BBE88BB6}" srcOrd="1" destOrd="0" presId="urn:microsoft.com/office/officeart/2008/layout/NameandTitleOrganizationalChart"/>
    <dgm:cxn modelId="{FB53B660-F297-4668-85DE-D5CDD7D185F1}" type="presOf" srcId="{68EF4532-F46E-4181-B067-92BF03119B31}" destId="{1FA9F79B-DFF9-4125-9D37-80F5972D8756}" srcOrd="1" destOrd="0" presId="urn:microsoft.com/office/officeart/2008/layout/NameandTitleOrganizationalChart"/>
    <dgm:cxn modelId="{4AAACB33-27DD-479F-8F22-6172B3E14257}" type="presOf" srcId="{79B855F6-DFA2-44A6-B35C-F9484A75461C}" destId="{1BBA4AA0-43AC-4EC8-A8A3-1314AAF2F9DD}" srcOrd="0" destOrd="0" presId="urn:microsoft.com/office/officeart/2008/layout/NameandTitleOrganizationalChart"/>
    <dgm:cxn modelId="{A8B2CBCF-3B5D-405F-B064-3606968409C1}" type="presOf" srcId="{AF7D1980-4D74-4D27-BCD9-FF6BFF9DF7B4}" destId="{B15A0C97-39AE-4104-A5CA-9E57D1C73C6D}" srcOrd="0" destOrd="0" presId="urn:microsoft.com/office/officeart/2008/layout/NameandTitleOrganizationalChart"/>
    <dgm:cxn modelId="{57BC507D-9C1D-4FE6-9164-9EAE9B1380C2}" type="presOf" srcId="{DDB0396D-02E8-4C37-91F7-05CA4527B5E2}" destId="{DD6486D5-91CA-46F4-A72B-9BB2F862CC3D}" srcOrd="0" destOrd="0" presId="urn:microsoft.com/office/officeart/2008/layout/NameandTitleOrganizationalChart"/>
    <dgm:cxn modelId="{3FCCAFA5-0474-4466-AF84-07B7C007A1EC}" type="presOf" srcId="{A00641F5-E256-4091-8913-EC43BBDDB064}" destId="{53A34B42-2636-41D3-91B7-7CB42A1FF6DA}" srcOrd="0" destOrd="0" presId="urn:microsoft.com/office/officeart/2008/layout/NameandTitleOrganizationalChart"/>
    <dgm:cxn modelId="{4F9EBAA2-CECE-4BDF-B23A-CA5448E21B9E}" type="presOf" srcId="{E8E4A83D-822C-461F-9904-6EF32C767B48}" destId="{066E6686-A25C-4F73-A7BC-6799E025DA15}" srcOrd="0" destOrd="0" presId="urn:microsoft.com/office/officeart/2008/layout/NameandTitleOrganizationalChart"/>
    <dgm:cxn modelId="{964D9D42-26CA-445D-BC4E-A08AAAD8FF3E}" srcId="{A3D2B3AB-F7C8-4FC0-941A-A1DC358C243A}" destId="{6E0AD0E6-70F4-4A6D-B86C-E74E33E58BBB}" srcOrd="7" destOrd="0" parTransId="{F38ACBD2-2CAC-4E1A-9406-0AF3ED3C887F}" sibTransId="{AF7D1980-4D74-4D27-BCD9-FF6BFF9DF7B4}"/>
    <dgm:cxn modelId="{1A669ED8-6270-4733-8DFA-C6474A6E15A3}" srcId="{79B855F6-DFA2-44A6-B35C-F9484A75461C}" destId="{A3D2B3AB-F7C8-4FC0-941A-A1DC358C243A}" srcOrd="0" destOrd="0" parTransId="{5F1DAF85-2DFA-42E7-9F30-79CD218E4356}" sibTransId="{8AB896CC-FF7A-4B55-B6C8-27C8A9D5F8F7}"/>
    <dgm:cxn modelId="{F821044D-88A3-41F3-8B94-302B0882F2A3}" type="presOf" srcId="{415BE33C-EA60-408D-86CA-B32DF2EA6AA4}" destId="{22AE4ACD-73F4-45D7-85CE-CD315139A19A}" srcOrd="1" destOrd="0" presId="urn:microsoft.com/office/officeart/2008/layout/NameandTitleOrganizationalChart"/>
    <dgm:cxn modelId="{8E448133-9B1E-48CC-83BE-5A156118D923}" type="presOf" srcId="{6E0AD0E6-70F4-4A6D-B86C-E74E33E58BBB}" destId="{8D126D2E-0795-4190-8755-40042EF15F0D}" srcOrd="0" destOrd="0" presId="urn:microsoft.com/office/officeart/2008/layout/NameandTitleOrganizationalChart"/>
    <dgm:cxn modelId="{9659A026-DBED-4B69-8B0C-A8B24BD65C08}" type="presOf" srcId="{E18E94E7-F3DA-4B37-BEBA-38C0196008EC}" destId="{35FCBE67-ADE9-49AB-9C00-EF2937CDD6C5}" srcOrd="0" destOrd="0" presId="urn:microsoft.com/office/officeart/2008/layout/NameandTitleOrganizationalChart"/>
    <dgm:cxn modelId="{8596A0FD-43EF-48E1-807F-D7AB4B92A297}" srcId="{A3D2B3AB-F7C8-4FC0-941A-A1DC358C243A}" destId="{1465FC58-6976-48F6-AD2E-8B1C44EF3517}" srcOrd="0" destOrd="0" parTransId="{9815A0B2-92E1-4106-8C26-ACF7B6665872}" sibTransId="{C0907E49-B394-4772-BF7E-12775E1D05B4}"/>
    <dgm:cxn modelId="{3BE8EFDB-09B5-48A3-9237-3B04F6F70A18}" type="presOf" srcId="{1465FC58-6976-48F6-AD2E-8B1C44EF3517}" destId="{3C38D1A0-C623-428F-84E4-79BE3C8E022A}" srcOrd="0" destOrd="0" presId="urn:microsoft.com/office/officeart/2008/layout/NameandTitleOrganizationalChart"/>
    <dgm:cxn modelId="{0997A2F3-7F14-4D37-8524-2E5FF3CF7B7C}" type="presOf" srcId="{783A35D6-7063-4559-8F7D-A577CE95CC79}" destId="{3D74899D-8973-4C2A-8F79-EFEA11B14A8F}" srcOrd="1" destOrd="0" presId="urn:microsoft.com/office/officeart/2008/layout/NameandTitleOrganizationalChart"/>
    <dgm:cxn modelId="{F3CBBEA2-7836-4F9F-95CC-B964A5F90FF0}" type="presOf" srcId="{37DF324C-21C3-4E3C-89FC-FDA068870D60}" destId="{36BB2DA7-4136-48D4-A054-C873EB808706}" srcOrd="0" destOrd="0" presId="urn:microsoft.com/office/officeart/2008/layout/NameandTitleOrganizationalChart"/>
    <dgm:cxn modelId="{41ECB12B-0956-4008-9256-4E9FCD9EA4D3}" type="presOf" srcId="{0A442332-4AA9-4B63-A135-52A57376A9B9}" destId="{F43360F1-FC8D-416A-88EB-45799735BC61}" srcOrd="0" destOrd="0" presId="urn:microsoft.com/office/officeart/2008/layout/NameandTitleOrganizationalChart"/>
    <dgm:cxn modelId="{DE575B0C-550B-4B6F-88C4-447A316312F2}" type="presOf" srcId="{F38ACBD2-2CAC-4E1A-9406-0AF3ED3C887F}" destId="{F8B9C516-8C96-4CD8-ABC2-7DAF4E0B5679}" srcOrd="0" destOrd="0" presId="urn:microsoft.com/office/officeart/2008/layout/NameandTitleOrganizationalChart"/>
    <dgm:cxn modelId="{46CEA722-201C-4AE9-BEAB-8F217E6B1E37}" type="presOf" srcId="{9815A0B2-92E1-4106-8C26-ACF7B6665872}" destId="{C1FAE743-D9C6-4D61-8AF2-ADCF6AA8D802}" srcOrd="0" destOrd="0" presId="urn:microsoft.com/office/officeart/2008/layout/NameandTitleOrganizationalChart"/>
    <dgm:cxn modelId="{DC2EB1A7-20AC-459F-AA9C-251FBD46BE90}" type="presOf" srcId="{0E2E4DAF-948E-4358-AC96-C413D126F49B}" destId="{984F6F21-96ED-4B88-91F8-A9DABC8C9E70}" srcOrd="0" destOrd="0" presId="urn:microsoft.com/office/officeart/2008/layout/NameandTitleOrganizationalChart"/>
    <dgm:cxn modelId="{F105678F-C249-46B4-BC99-F6A10CCA62FD}" type="presOf" srcId="{036D6CF2-E694-4BE3-854A-48904A197ECE}" destId="{5E38A81F-0C22-483F-A783-5989953CB6A3}" srcOrd="0" destOrd="0" presId="urn:microsoft.com/office/officeart/2008/layout/NameandTitleOrganizationalChart"/>
    <dgm:cxn modelId="{A305F66F-D99F-45BC-9F80-B29BF0A65C94}" type="presOf" srcId="{5CDE168A-5551-4485-A425-BED157B9D86D}" destId="{9C444A53-FA0F-4A01-B7BC-3C5628DD54FF}" srcOrd="0" destOrd="0" presId="urn:microsoft.com/office/officeart/2008/layout/NameandTitleOrganizationalChart"/>
    <dgm:cxn modelId="{762B510F-94B5-47C8-817D-DB2590B006CF}" type="presOf" srcId="{6E0AD0E6-70F4-4A6D-B86C-E74E33E58BBB}" destId="{49B746FE-9E3A-430D-ABDA-041354CCEB52}" srcOrd="1" destOrd="0" presId="urn:microsoft.com/office/officeart/2008/layout/NameandTitleOrganizationalChart"/>
    <dgm:cxn modelId="{92B9A317-E1CA-4D78-B25F-60DAA90C5BAC}" type="presOf" srcId="{7D2B0E50-F910-4A57-8CBB-53CFE2CBFDA4}" destId="{E88B2A02-6E2D-4AAB-A081-36F0B13B3F2C}" srcOrd="0" destOrd="0" presId="urn:microsoft.com/office/officeart/2008/layout/NameandTitleOrganizationalChart"/>
    <dgm:cxn modelId="{2C93FAA0-2779-405D-8060-553533FFBC31}" type="presOf" srcId="{50171846-9C30-4752-A007-3F97604731DF}" destId="{6ECF4CA3-A555-41B4-9190-2242D5DDA8FF}" srcOrd="0" destOrd="0" presId="urn:microsoft.com/office/officeart/2008/layout/NameandTitleOrganizationalChart"/>
    <dgm:cxn modelId="{FE54E8EA-DCF5-4EC3-8E6A-6D977C31F37E}" type="presOf" srcId="{5CDE168A-5551-4485-A425-BED157B9D86D}" destId="{8B8F6168-0B13-40C8-8EE2-2430C273EDFD}" srcOrd="1" destOrd="0" presId="urn:microsoft.com/office/officeart/2008/layout/NameandTitleOrganizationalChart"/>
    <dgm:cxn modelId="{AC5A2CA8-BDD9-432F-A39A-D6743CF92DE4}" srcId="{A3D2B3AB-F7C8-4FC0-941A-A1DC358C243A}" destId="{567F1AD4-A34C-4A01-97A6-1286B09CA958}" srcOrd="4" destOrd="0" parTransId="{CA7385B6-8CE7-477C-A8F2-654067023E24}" sibTransId="{A00641F5-E256-4091-8913-EC43BBDDB064}"/>
    <dgm:cxn modelId="{9C50B227-45CA-40C9-993B-A2E65BC2E006}" type="presOf" srcId="{79B855F6-DFA2-44A6-B35C-F9484A75461C}" destId="{94F4642D-DD6E-4F83-8081-05423191BE6D}" srcOrd="1" destOrd="0" presId="urn:microsoft.com/office/officeart/2008/layout/NameandTitleOrganizationalChart"/>
    <dgm:cxn modelId="{6F6F6F7F-3EC6-41B7-A64B-62F163FAA6C0}" type="presOf" srcId="{D829BC20-5A95-48BE-AAA3-61A8B73E8D1C}" destId="{2FDD980A-1A22-4907-9125-1E9C890C4C94}" srcOrd="0" destOrd="0" presId="urn:microsoft.com/office/officeart/2008/layout/NameandTitleOrganizationalChart"/>
    <dgm:cxn modelId="{1DB92AF4-FFDA-45CB-889E-62630A2152C3}" type="presOf" srcId="{CA7385B6-8CE7-477C-A8F2-654067023E24}" destId="{11D92FCA-C8FF-41A6-86B3-28D3A94E6B31}" srcOrd="0" destOrd="0" presId="urn:microsoft.com/office/officeart/2008/layout/NameandTitleOrganizationalChart"/>
    <dgm:cxn modelId="{F5B3B244-BB57-4F3A-9E90-AB379BF8C05C}" type="presOf" srcId="{E6FBDBF9-7F7C-44FA-AF98-8E48145105D0}" destId="{8FD8CD0F-92CE-4DB3-94A2-11CF3D5EC00B}" srcOrd="0" destOrd="0" presId="urn:microsoft.com/office/officeart/2008/layout/NameandTitleOrganizationalChart"/>
    <dgm:cxn modelId="{A6CADB49-4AC1-4194-A683-1965685B9E27}" type="presOf" srcId="{F02E5286-B0D2-45A8-B7C0-44201180785D}" destId="{288852A2-774C-4590-A2A3-DE29F917B445}" srcOrd="0" destOrd="0" presId="urn:microsoft.com/office/officeart/2008/layout/NameandTitleOrganizationalChart"/>
    <dgm:cxn modelId="{E1E2D052-57E3-4B78-91C8-551988C3C313}" type="presOf" srcId="{DA7EECDB-548E-4392-8709-57AED18DBD01}" destId="{2C3C3587-3118-4287-8C6D-1F47448BCA15}" srcOrd="0" destOrd="0" presId="urn:microsoft.com/office/officeart/2008/layout/NameandTitleOrganizationalChart"/>
    <dgm:cxn modelId="{6FFB323A-E27D-4A77-BD1B-9030749007C5}" srcId="{A3D2B3AB-F7C8-4FC0-941A-A1DC358C243A}" destId="{9BD4E40F-E06C-40BD-9442-D3A95C093BEE}" srcOrd="1" destOrd="0" parTransId="{49CD70A7-3ABF-42FC-8201-9FD7ACECA49F}" sibTransId="{2CBA6FFC-4B33-419C-BF12-78774263ECDF}"/>
    <dgm:cxn modelId="{A0304473-F150-484E-B92D-589791EEAD0E}" type="presOf" srcId="{3C6251B3-9648-425C-AAD0-330F01AA05DB}" destId="{94B85159-8F98-41A7-BF20-6C6C2806D8A1}" srcOrd="0" destOrd="0" presId="urn:microsoft.com/office/officeart/2008/layout/NameandTitleOrganizationalChart"/>
    <dgm:cxn modelId="{9569F611-4284-4BE6-8FBD-874E98419BDC}" type="presOf" srcId="{0EE393DD-39D0-45E8-96FF-90193BB61C3A}" destId="{C78F156B-E70B-43C0-A7FE-7E71E3E306FA}" srcOrd="0" destOrd="0" presId="urn:microsoft.com/office/officeart/2008/layout/NameandTitleOrganizationalChart"/>
    <dgm:cxn modelId="{E7416518-D609-416C-9A79-E7299248F695}" type="presOf" srcId="{8F71059A-436F-4DFA-B01B-A6070BAF6CF7}" destId="{BA8A0441-544C-4A6A-B08F-94B3AEBF1D09}" srcOrd="0" destOrd="0" presId="urn:microsoft.com/office/officeart/2008/layout/NameandTitleOrganizationalChart"/>
    <dgm:cxn modelId="{02FE46A0-8553-466B-9F12-E277AF876850}" type="presOf" srcId="{1465FC58-6976-48F6-AD2E-8B1C44EF3517}" destId="{CB445CB2-E969-4B41-A3FA-E47A144034D3}" srcOrd="1" destOrd="0" presId="urn:microsoft.com/office/officeart/2008/layout/NameandTitleOrganizationalChart"/>
    <dgm:cxn modelId="{F04F3A28-8FD9-43F5-8072-3D8AB6AC52D8}" type="presOf" srcId="{415BE33C-EA60-408D-86CA-B32DF2EA6AA4}" destId="{62AFBA21-8FF8-4AC1-B02E-0EE70934DC45}" srcOrd="0" destOrd="0" presId="urn:microsoft.com/office/officeart/2008/layout/NameandTitleOrganizationalChart"/>
    <dgm:cxn modelId="{6AACCA73-CFDF-483F-AA0E-989C43163B23}" type="presOf" srcId="{5F1DAF85-2DFA-42E7-9F30-79CD218E4356}" destId="{8A785E66-3A8A-479C-95A8-1085847E9D77}" srcOrd="0" destOrd="0" presId="urn:microsoft.com/office/officeart/2008/layout/NameandTitleOrganizationalChart"/>
    <dgm:cxn modelId="{2FDC6BE4-7F6D-4752-B190-427277504CB8}" type="presOf" srcId="{70D6228B-02DB-4C8D-95A6-737A3B488C4F}" destId="{EC2791BC-A173-4978-8208-6A5BDD919C96}" srcOrd="0" destOrd="0" presId="urn:microsoft.com/office/officeart/2008/layout/NameandTitleOrganizationalChart"/>
    <dgm:cxn modelId="{5170025D-2298-4007-B438-4B23CD9C36B3}" type="presOf" srcId="{9BD4E40F-E06C-40BD-9442-D3A95C093BEE}" destId="{6B8226E4-40C6-4459-AC77-47EE3AF880CC}" srcOrd="1" destOrd="0" presId="urn:microsoft.com/office/officeart/2008/layout/NameandTitleOrganizationalChart"/>
    <dgm:cxn modelId="{CF0DE4D3-4970-48EE-BEEB-ED627447BF4D}" type="presOf" srcId="{A3D2B3AB-F7C8-4FC0-941A-A1DC358C243A}" destId="{83A292F3-FEA4-4995-A0D1-196090DD475E}" srcOrd="0" destOrd="0" presId="urn:microsoft.com/office/officeart/2008/layout/NameandTitleOrganizationalChart"/>
    <dgm:cxn modelId="{BAFE2DC1-606A-4198-A5D1-5D0144A0844E}" type="presOf" srcId="{7D64B293-A92B-43AE-9C57-FFCA3CDF9795}" destId="{B0E996DC-BF41-43D1-98E4-19AF230412AB}" srcOrd="0" destOrd="0" presId="urn:microsoft.com/office/officeart/2008/layout/NameandTitleOrganizationalChart"/>
    <dgm:cxn modelId="{E033F3E5-D5A1-46B9-8CFD-A1C83E39197D}" type="presOf" srcId="{C0907E49-B394-4772-BF7E-12775E1D05B4}" destId="{B5C906FD-341E-4473-81BB-51FCE8AAC569}" srcOrd="0" destOrd="0" presId="urn:microsoft.com/office/officeart/2008/layout/NameandTitleOrganizationalChart"/>
    <dgm:cxn modelId="{DAD0CA51-7832-4685-83B7-0257102106FC}" type="presOf" srcId="{C2BDBD7D-7254-4F74-BB89-6AD7182C9DDE}" destId="{AACDABBA-6314-480A-867B-88F7F617F6F4}" srcOrd="1" destOrd="0" presId="urn:microsoft.com/office/officeart/2008/layout/NameandTitleOrganizationalChart"/>
    <dgm:cxn modelId="{3E6F84E4-B9AA-468C-94D4-F79CA69FF2A9}" srcId="{C2BDBD7D-7254-4F74-BB89-6AD7182C9DDE}" destId="{68EF4532-F46E-4181-B067-92BF03119B31}" srcOrd="0" destOrd="0" parTransId="{50171846-9C30-4752-A007-3F97604731DF}" sibTransId="{3C6251B3-9648-425C-AAD0-330F01AA05DB}"/>
    <dgm:cxn modelId="{DBF15B69-D7CC-4841-9FD3-E1D3194378CE}" type="presOf" srcId="{F02E5286-B0D2-45A8-B7C0-44201180785D}" destId="{9B5B8D87-2EE2-4C0C-A24D-41449CB29525}" srcOrd="1" destOrd="0" presId="urn:microsoft.com/office/officeart/2008/layout/NameandTitleOrganizationalChart"/>
    <dgm:cxn modelId="{4D6F0AF8-04DC-4E66-BAF1-D5073D1B86A0}" type="presOf" srcId="{AE441D95-5689-4306-BFC9-E1A48DF0287A}" destId="{CF656FA9-8E01-4393-AD6D-607C50981EFB}" srcOrd="0" destOrd="0" presId="urn:microsoft.com/office/officeart/2008/layout/NameandTitleOrganizationalChart"/>
    <dgm:cxn modelId="{C26C3232-0565-42F2-A23E-5A276404978F}" type="presOf" srcId="{0EE393DD-39D0-45E8-96FF-90193BB61C3A}" destId="{F70A9421-0B88-4B03-8028-24C36BAFC4A0}" srcOrd="1" destOrd="0" presId="urn:microsoft.com/office/officeart/2008/layout/NameandTitleOrganizationalChart"/>
    <dgm:cxn modelId="{8F02C19A-619F-4D6E-A19E-94588CC2F552}" srcId="{A3D2B3AB-F7C8-4FC0-941A-A1DC358C243A}" destId="{AE441D95-5689-4306-BFC9-E1A48DF0287A}" srcOrd="2" destOrd="0" parTransId="{E18E94E7-F3DA-4B37-BEBA-38C0196008EC}" sibTransId="{E8E4A83D-822C-461F-9904-6EF32C767B48}"/>
    <dgm:cxn modelId="{898C659E-1396-4280-BE31-84433A6ACB41}" type="presOf" srcId="{185DF3A4-3F40-4E1D-A5EA-0FC9C994BC78}" destId="{461B0B0B-3C10-4AF1-ABB0-7E8E838734D1}" srcOrd="0" destOrd="0" presId="urn:microsoft.com/office/officeart/2008/layout/NameandTitleOrganizationalChart"/>
    <dgm:cxn modelId="{ACA3DF0A-54C6-4A7C-836D-36C5CA9B29F4}" type="presOf" srcId="{C8B51A2C-C836-47C4-A2DD-3E0FA7C3185D}" destId="{1E6094D5-F80A-43B7-AAC8-7918D9FE9020}" srcOrd="0" destOrd="0" presId="urn:microsoft.com/office/officeart/2008/layout/NameandTitleOrganizationalChart"/>
    <dgm:cxn modelId="{310C44F3-FE01-4044-B8D3-7D6CB5D5F540}" type="presOf" srcId="{F73C816E-0304-4E30-8A1E-25595BDED02F}" destId="{197E52A7-3BE9-4312-B0A6-D3371E479488}" srcOrd="1" destOrd="0" presId="urn:microsoft.com/office/officeart/2008/layout/NameandTitleOrganizationalChart"/>
    <dgm:cxn modelId="{A7E3F63B-422F-4150-B723-362ECEFDB3D1}" type="presOf" srcId="{C2BDBD7D-7254-4F74-BB89-6AD7182C9DDE}" destId="{2E253158-9ED6-4935-9434-B9B47261894D}" srcOrd="0" destOrd="0" presId="urn:microsoft.com/office/officeart/2008/layout/NameandTitleOrganizationalChart"/>
    <dgm:cxn modelId="{4343BC68-A29B-478F-A023-F31671CB3246}" type="presOf" srcId="{68EF4532-F46E-4181-B067-92BF03119B31}" destId="{A22E33E8-A3AC-46E6-A114-8E58C61BB60D}" srcOrd="0" destOrd="0" presId="urn:microsoft.com/office/officeart/2008/layout/NameandTitleOrganizationalChart"/>
    <dgm:cxn modelId="{71E89763-0CA6-43BD-9FAF-49CB6EAF7C54}" srcId="{5CDE168A-5551-4485-A425-BED157B9D86D}" destId="{0EE393DD-39D0-45E8-96FF-90193BB61C3A}" srcOrd="1" destOrd="0" parTransId="{7D64B293-A92B-43AE-9C57-FFCA3CDF9795}" sibTransId="{D829BC20-5A95-48BE-AAA3-61A8B73E8D1C}"/>
    <dgm:cxn modelId="{6A76E470-43AD-4B31-B77A-47655BA5B67B}" srcId="{FC714F27-8C9F-47C8-B905-510DD03DE721}" destId="{5CDE168A-5551-4485-A425-BED157B9D86D}" srcOrd="0" destOrd="0" parTransId="{215A9041-6DC0-4CD2-9D2F-1EA92713761D}" sibTransId="{0A442332-4AA9-4B63-A135-52A57376A9B9}"/>
    <dgm:cxn modelId="{6A86E635-2EC7-4D0F-85C4-EE65AF39E2DB}" type="presOf" srcId="{A3D2B3AB-F7C8-4FC0-941A-A1DC358C243A}" destId="{CC484C85-243F-4337-BDD1-05EC80F602DD}" srcOrd="1" destOrd="0" presId="urn:microsoft.com/office/officeart/2008/layout/NameandTitleOrganizationalChart"/>
    <dgm:cxn modelId="{60191EA9-A734-46D4-9EA2-6D26319978A5}" srcId="{5CDE168A-5551-4485-A425-BED157B9D86D}" destId="{783A35D6-7063-4559-8F7D-A577CE95CC79}" srcOrd="0" destOrd="0" parTransId="{E6FBDBF9-7F7C-44FA-AF98-8E48145105D0}" sibTransId="{7D2B0E50-F910-4A57-8CBB-53CFE2CBFDA4}"/>
    <dgm:cxn modelId="{2976ADAB-E6A8-4DB4-AC92-11E42EB33894}" srcId="{5CDE168A-5551-4485-A425-BED157B9D86D}" destId="{79B855F6-DFA2-44A6-B35C-F9484A75461C}" srcOrd="2" destOrd="0" parTransId="{37DF324C-21C3-4E3C-89FC-FDA068870D60}" sibTransId="{05DFEC3C-0E9A-4C47-9E3D-9A9FDE83A779}"/>
    <dgm:cxn modelId="{584581A2-744D-4EF0-812C-92FDC0A78953}" type="presOf" srcId="{567F1AD4-A34C-4A01-97A6-1286B09CA958}" destId="{BBB54F46-E883-412F-B02E-109F3185A9A1}" srcOrd="0" destOrd="0" presId="urn:microsoft.com/office/officeart/2008/layout/NameandTitleOrganizationalChart"/>
    <dgm:cxn modelId="{0498BA86-DF46-4A74-B420-12159F21D816}" type="presOf" srcId="{05DFEC3C-0E9A-4C47-9E3D-9A9FDE83A779}" destId="{1076114E-A7DC-499D-92E0-2B090FFB9BAB}" srcOrd="0" destOrd="0" presId="urn:microsoft.com/office/officeart/2008/layout/NameandTitleOrganizationalChart"/>
    <dgm:cxn modelId="{9E54DF4B-68E0-4A7F-A338-A2ACC90E1750}" srcId="{79B855F6-DFA2-44A6-B35C-F9484A75461C}" destId="{C2BDBD7D-7254-4F74-BB89-6AD7182C9DDE}" srcOrd="1" destOrd="0" parTransId="{70D6228B-02DB-4C8D-95A6-737A3B488C4F}" sibTransId="{DDB0396D-02E8-4C37-91F7-05CA4527B5E2}"/>
    <dgm:cxn modelId="{EF2616DA-41C7-45E5-AD63-7370B95A4E54}" type="presOf" srcId="{052A592D-0B1A-4C28-9404-3C0A15382210}" destId="{D7749C8B-B850-4030-A304-A295A6C44DA5}" srcOrd="0" destOrd="0" presId="urn:microsoft.com/office/officeart/2008/layout/NameandTitleOrganizationalChart"/>
    <dgm:cxn modelId="{CEE837CB-7848-4CEE-9025-E8AA1FEA8DA8}" type="presOf" srcId="{FC714F27-8C9F-47C8-B905-510DD03DE721}" destId="{D77E5AE2-D27F-430E-9F1F-839A39CA9D74}" srcOrd="0" destOrd="0" presId="urn:microsoft.com/office/officeart/2008/layout/NameandTitleOrganizationalChart"/>
    <dgm:cxn modelId="{EE73158B-6177-4C88-8CEE-5505943DCAE4}" type="presParOf" srcId="{D77E5AE2-D27F-430E-9F1F-839A39CA9D74}" destId="{12093359-DAF5-437C-8E4C-2116850A3431}" srcOrd="0" destOrd="0" presId="urn:microsoft.com/office/officeart/2008/layout/NameandTitleOrganizationalChart"/>
    <dgm:cxn modelId="{4AF9D887-8BEE-4209-8F1E-987959C42185}" type="presParOf" srcId="{12093359-DAF5-437C-8E4C-2116850A3431}" destId="{22BD14FD-2E95-4CF9-A65A-594B105B108D}" srcOrd="0" destOrd="0" presId="urn:microsoft.com/office/officeart/2008/layout/NameandTitleOrganizationalChart"/>
    <dgm:cxn modelId="{D0BAF3B1-BEFC-4F6A-AC4D-C8819B1A88F0}" type="presParOf" srcId="{22BD14FD-2E95-4CF9-A65A-594B105B108D}" destId="{9C444A53-FA0F-4A01-B7BC-3C5628DD54FF}" srcOrd="0" destOrd="0" presId="urn:microsoft.com/office/officeart/2008/layout/NameandTitleOrganizationalChart"/>
    <dgm:cxn modelId="{DCC67945-B825-4CB0-B307-32770246B18C}" type="presParOf" srcId="{22BD14FD-2E95-4CF9-A65A-594B105B108D}" destId="{F43360F1-FC8D-416A-88EB-45799735BC61}" srcOrd="1" destOrd="0" presId="urn:microsoft.com/office/officeart/2008/layout/NameandTitleOrganizationalChart"/>
    <dgm:cxn modelId="{3D1BAC75-D1D2-4F85-A7AE-55DDF3E29BAD}" type="presParOf" srcId="{22BD14FD-2E95-4CF9-A65A-594B105B108D}" destId="{8B8F6168-0B13-40C8-8EE2-2430C273EDFD}" srcOrd="2" destOrd="0" presId="urn:microsoft.com/office/officeart/2008/layout/NameandTitleOrganizationalChart"/>
    <dgm:cxn modelId="{984AFB63-483D-4878-90DD-23176151099C}" type="presParOf" srcId="{12093359-DAF5-437C-8E4C-2116850A3431}" destId="{C6F34C75-AC9E-4B2D-9D1A-FBBE5119EFFC}" srcOrd="1" destOrd="0" presId="urn:microsoft.com/office/officeart/2008/layout/NameandTitleOrganizationalChart"/>
    <dgm:cxn modelId="{DA2D6180-5053-4AC6-9FD9-E76E1A45676C}" type="presParOf" srcId="{C6F34C75-AC9E-4B2D-9D1A-FBBE5119EFFC}" destId="{36BB2DA7-4136-48D4-A054-C873EB808706}" srcOrd="0" destOrd="0" presId="urn:microsoft.com/office/officeart/2008/layout/NameandTitleOrganizationalChart"/>
    <dgm:cxn modelId="{F24A7ECA-CD71-41D8-A0AA-85BFF6330352}" type="presParOf" srcId="{C6F34C75-AC9E-4B2D-9D1A-FBBE5119EFFC}" destId="{F55C33B6-937E-4637-92FE-46B5E9F6514D}" srcOrd="1" destOrd="0" presId="urn:microsoft.com/office/officeart/2008/layout/NameandTitleOrganizationalChart"/>
    <dgm:cxn modelId="{CB0FE9ED-F64F-4C03-9F37-3B2C26DFE9FF}" type="presParOf" srcId="{F55C33B6-937E-4637-92FE-46B5E9F6514D}" destId="{CA3FE220-FC55-4B7B-8F70-8D45AF2A5B24}" srcOrd="0" destOrd="0" presId="urn:microsoft.com/office/officeart/2008/layout/NameandTitleOrganizationalChart"/>
    <dgm:cxn modelId="{6F6AA004-7FE5-42E6-8C84-DF0E03F2612E}" type="presParOf" srcId="{CA3FE220-FC55-4B7B-8F70-8D45AF2A5B24}" destId="{1BBA4AA0-43AC-4EC8-A8A3-1314AAF2F9DD}" srcOrd="0" destOrd="0" presId="urn:microsoft.com/office/officeart/2008/layout/NameandTitleOrganizationalChart"/>
    <dgm:cxn modelId="{2535D2BA-AB8F-45E2-8591-467C0D731091}" type="presParOf" srcId="{CA3FE220-FC55-4B7B-8F70-8D45AF2A5B24}" destId="{1076114E-A7DC-499D-92E0-2B090FFB9BAB}" srcOrd="1" destOrd="0" presId="urn:microsoft.com/office/officeart/2008/layout/NameandTitleOrganizationalChart"/>
    <dgm:cxn modelId="{5DD7AC02-F703-4D8D-B95B-0A60F1837EBD}" type="presParOf" srcId="{CA3FE220-FC55-4B7B-8F70-8D45AF2A5B24}" destId="{94F4642D-DD6E-4F83-8081-05423191BE6D}" srcOrd="2" destOrd="0" presId="urn:microsoft.com/office/officeart/2008/layout/NameandTitleOrganizationalChart"/>
    <dgm:cxn modelId="{0C9EFE4F-E11E-4990-826F-A1F3898FCF71}" type="presParOf" srcId="{F55C33B6-937E-4637-92FE-46B5E9F6514D}" destId="{1217575D-2DD6-4F58-9A18-C2B40D5E4BBF}" srcOrd="1" destOrd="0" presId="urn:microsoft.com/office/officeart/2008/layout/NameandTitleOrganizationalChart"/>
    <dgm:cxn modelId="{65F74CA1-AE96-41CD-BC18-5EBEAC489188}" type="presParOf" srcId="{F55C33B6-937E-4637-92FE-46B5E9F6514D}" destId="{3E33E50C-C7EE-47F1-B83E-3B894BD725E7}" srcOrd="2" destOrd="0" presId="urn:microsoft.com/office/officeart/2008/layout/NameandTitleOrganizationalChart"/>
    <dgm:cxn modelId="{70A35033-1A47-4D36-98BA-71390E2C11BD}" type="presParOf" srcId="{3E33E50C-C7EE-47F1-B83E-3B894BD725E7}" destId="{8A785E66-3A8A-479C-95A8-1085847E9D77}" srcOrd="0" destOrd="0" presId="urn:microsoft.com/office/officeart/2008/layout/NameandTitleOrganizationalChart"/>
    <dgm:cxn modelId="{8B7FA081-2C7F-4900-AED7-7EF1C31E2971}" type="presParOf" srcId="{3E33E50C-C7EE-47F1-B83E-3B894BD725E7}" destId="{A08343A5-2DBC-4494-AD89-5F50E9F420A4}" srcOrd="1" destOrd="0" presId="urn:microsoft.com/office/officeart/2008/layout/NameandTitleOrganizationalChart"/>
    <dgm:cxn modelId="{880963B2-E028-4036-9F07-7D32902F90CA}" type="presParOf" srcId="{A08343A5-2DBC-4494-AD89-5F50E9F420A4}" destId="{91C7D6DC-A23E-48D5-BF85-DD1237EE600D}" srcOrd="0" destOrd="0" presId="urn:microsoft.com/office/officeart/2008/layout/NameandTitleOrganizationalChart"/>
    <dgm:cxn modelId="{A515F519-75CA-4349-88FF-7E14F634DF86}" type="presParOf" srcId="{91C7D6DC-A23E-48D5-BF85-DD1237EE600D}" destId="{83A292F3-FEA4-4995-A0D1-196090DD475E}" srcOrd="0" destOrd="0" presId="urn:microsoft.com/office/officeart/2008/layout/NameandTitleOrganizationalChart"/>
    <dgm:cxn modelId="{082B768C-DC9C-489F-B041-BC16B958F52D}" type="presParOf" srcId="{91C7D6DC-A23E-48D5-BF85-DD1237EE600D}" destId="{43644707-18B5-4469-B243-B0DBCE1C2228}" srcOrd="1" destOrd="0" presId="urn:microsoft.com/office/officeart/2008/layout/NameandTitleOrganizationalChart"/>
    <dgm:cxn modelId="{4C95D835-9123-4784-AAD4-4F9BA048FE96}" type="presParOf" srcId="{91C7D6DC-A23E-48D5-BF85-DD1237EE600D}" destId="{CC484C85-243F-4337-BDD1-05EC80F602DD}" srcOrd="2" destOrd="0" presId="urn:microsoft.com/office/officeart/2008/layout/NameandTitleOrganizationalChart"/>
    <dgm:cxn modelId="{46D699AC-942C-455E-B009-55AF5B07D634}" type="presParOf" srcId="{A08343A5-2DBC-4494-AD89-5F50E9F420A4}" destId="{47EBC1B2-D507-4EE7-8EDA-3AA31706C101}" srcOrd="1" destOrd="0" presId="urn:microsoft.com/office/officeart/2008/layout/NameandTitleOrganizationalChart"/>
    <dgm:cxn modelId="{0E4A2BE9-E647-4ADA-AFB8-F77085A614CE}" type="presParOf" srcId="{A08343A5-2DBC-4494-AD89-5F50E9F420A4}" destId="{C2C6F877-B9CE-40B2-8FD4-2BE5962B0713}" srcOrd="2" destOrd="0" presId="urn:microsoft.com/office/officeart/2008/layout/NameandTitleOrganizationalChart"/>
    <dgm:cxn modelId="{2AD8F103-85D5-4B2E-87E4-F5A496E0CA55}" type="presParOf" srcId="{C2C6F877-B9CE-40B2-8FD4-2BE5962B0713}" destId="{C1FAE743-D9C6-4D61-8AF2-ADCF6AA8D802}" srcOrd="0" destOrd="0" presId="urn:microsoft.com/office/officeart/2008/layout/NameandTitleOrganizationalChart"/>
    <dgm:cxn modelId="{FE5A31E2-4AEF-499F-98C8-07A3D2C93087}" type="presParOf" srcId="{C2C6F877-B9CE-40B2-8FD4-2BE5962B0713}" destId="{6FB0A9D0-6C6F-4CB5-9D93-B166A232BD55}" srcOrd="1" destOrd="0" presId="urn:microsoft.com/office/officeart/2008/layout/NameandTitleOrganizationalChart"/>
    <dgm:cxn modelId="{FCF89835-2542-4C2E-9B15-CB96941E9C07}" type="presParOf" srcId="{6FB0A9D0-6C6F-4CB5-9D93-B166A232BD55}" destId="{5C431372-81E0-4B6C-93CF-A2948BA8D58A}" srcOrd="0" destOrd="0" presId="urn:microsoft.com/office/officeart/2008/layout/NameandTitleOrganizationalChart"/>
    <dgm:cxn modelId="{4491F3BE-1589-4EAB-8657-DBAA7EA87AC3}" type="presParOf" srcId="{5C431372-81E0-4B6C-93CF-A2948BA8D58A}" destId="{3C38D1A0-C623-428F-84E4-79BE3C8E022A}" srcOrd="0" destOrd="0" presId="urn:microsoft.com/office/officeart/2008/layout/NameandTitleOrganizationalChart"/>
    <dgm:cxn modelId="{3D8C099F-57D5-4BDB-BC8E-7CB9A73A5D05}" type="presParOf" srcId="{5C431372-81E0-4B6C-93CF-A2948BA8D58A}" destId="{B5C906FD-341E-4473-81BB-51FCE8AAC569}" srcOrd="1" destOrd="0" presId="urn:microsoft.com/office/officeart/2008/layout/NameandTitleOrganizationalChart"/>
    <dgm:cxn modelId="{3032514D-A0E6-4A40-A5D5-A2250463E2BE}" type="presParOf" srcId="{5C431372-81E0-4B6C-93CF-A2948BA8D58A}" destId="{CB445CB2-E969-4B41-A3FA-E47A144034D3}" srcOrd="2" destOrd="0" presId="urn:microsoft.com/office/officeart/2008/layout/NameandTitleOrganizationalChart"/>
    <dgm:cxn modelId="{490DAD15-2F18-4074-8089-C4B95E5C7AB4}" type="presParOf" srcId="{6FB0A9D0-6C6F-4CB5-9D93-B166A232BD55}" destId="{4656B776-7FE0-4326-A374-71824213E0FB}" srcOrd="1" destOrd="0" presId="urn:microsoft.com/office/officeart/2008/layout/NameandTitleOrganizationalChart"/>
    <dgm:cxn modelId="{9DAEC0EA-82B2-4557-A278-E7E00D7A24F0}" type="presParOf" srcId="{6FB0A9D0-6C6F-4CB5-9D93-B166A232BD55}" destId="{F264A559-9178-4C2E-AF4C-62B4089A78ED}" srcOrd="2" destOrd="0" presId="urn:microsoft.com/office/officeart/2008/layout/NameandTitleOrganizationalChart"/>
    <dgm:cxn modelId="{32EC2D03-4C63-4A25-8884-0864CF1902AE}" type="presParOf" srcId="{C2C6F877-B9CE-40B2-8FD4-2BE5962B0713}" destId="{829C76D2-6DFC-47D9-9295-D32FFB943E9C}" srcOrd="2" destOrd="0" presId="urn:microsoft.com/office/officeart/2008/layout/NameandTitleOrganizationalChart"/>
    <dgm:cxn modelId="{008F10FF-1800-4A77-8896-21735737CD0E}" type="presParOf" srcId="{C2C6F877-B9CE-40B2-8FD4-2BE5962B0713}" destId="{18A57F7A-764B-4993-8CD7-54D1E2E5B740}" srcOrd="3" destOrd="0" presId="urn:microsoft.com/office/officeart/2008/layout/NameandTitleOrganizationalChart"/>
    <dgm:cxn modelId="{7681B77E-067A-49D9-B671-4986064E5BCF}" type="presParOf" srcId="{18A57F7A-764B-4993-8CD7-54D1E2E5B740}" destId="{DCCBBCE8-F69B-465E-912B-1115465146BA}" srcOrd="0" destOrd="0" presId="urn:microsoft.com/office/officeart/2008/layout/NameandTitleOrganizationalChart"/>
    <dgm:cxn modelId="{54B21FC2-CC28-46BB-A620-3442EFA33E9E}" type="presParOf" srcId="{DCCBBCE8-F69B-465E-912B-1115465146BA}" destId="{2AF55310-880C-4BF3-99B9-FC6EDA32CB13}" srcOrd="0" destOrd="0" presId="urn:microsoft.com/office/officeart/2008/layout/NameandTitleOrganizationalChart"/>
    <dgm:cxn modelId="{26974F27-D700-4211-AE9A-6F3EBE51F894}" type="presParOf" srcId="{DCCBBCE8-F69B-465E-912B-1115465146BA}" destId="{56EBF58E-01F7-4E57-8D50-B8A248D5FC80}" srcOrd="1" destOrd="0" presId="urn:microsoft.com/office/officeart/2008/layout/NameandTitleOrganizationalChart"/>
    <dgm:cxn modelId="{C05A06C3-0DC2-41DA-A39E-953C4FB73DAF}" type="presParOf" srcId="{DCCBBCE8-F69B-465E-912B-1115465146BA}" destId="{6B8226E4-40C6-4459-AC77-47EE3AF880CC}" srcOrd="2" destOrd="0" presId="urn:microsoft.com/office/officeart/2008/layout/NameandTitleOrganizationalChart"/>
    <dgm:cxn modelId="{06E40F19-8927-4DEC-91F4-D19AE8D60F3F}" type="presParOf" srcId="{18A57F7A-764B-4993-8CD7-54D1E2E5B740}" destId="{1BBB4F85-8C6F-4922-AC89-964C68FB1419}" srcOrd="1" destOrd="0" presId="urn:microsoft.com/office/officeart/2008/layout/NameandTitleOrganizationalChart"/>
    <dgm:cxn modelId="{07390A7A-80F9-4BB6-AF4F-647B437D5334}" type="presParOf" srcId="{18A57F7A-764B-4993-8CD7-54D1E2E5B740}" destId="{DFA3163F-35A3-45E6-93F4-532E7B10A9E4}" srcOrd="2" destOrd="0" presId="urn:microsoft.com/office/officeart/2008/layout/NameandTitleOrganizationalChart"/>
    <dgm:cxn modelId="{693BE085-0BCF-41BE-8321-2A7F3956FA21}" type="presParOf" srcId="{C2C6F877-B9CE-40B2-8FD4-2BE5962B0713}" destId="{35FCBE67-ADE9-49AB-9C00-EF2937CDD6C5}" srcOrd="4" destOrd="0" presId="urn:microsoft.com/office/officeart/2008/layout/NameandTitleOrganizationalChart"/>
    <dgm:cxn modelId="{E392C4F2-AB11-4FD9-8DA3-B8234B7172CB}" type="presParOf" srcId="{C2C6F877-B9CE-40B2-8FD4-2BE5962B0713}" destId="{0E8EFFA1-2C03-44BF-B965-3B4E69390B83}" srcOrd="5" destOrd="0" presId="urn:microsoft.com/office/officeart/2008/layout/NameandTitleOrganizationalChart"/>
    <dgm:cxn modelId="{3AE268C8-1BD1-4350-B553-DD6B32FC3532}" type="presParOf" srcId="{0E8EFFA1-2C03-44BF-B965-3B4E69390B83}" destId="{1DDF6E5E-77E6-421A-AEFA-462BDA34904F}" srcOrd="0" destOrd="0" presId="urn:microsoft.com/office/officeart/2008/layout/NameandTitleOrganizationalChart"/>
    <dgm:cxn modelId="{3222FB59-037B-4500-B2F7-8DB84BE4E432}" type="presParOf" srcId="{1DDF6E5E-77E6-421A-AEFA-462BDA34904F}" destId="{CF656FA9-8E01-4393-AD6D-607C50981EFB}" srcOrd="0" destOrd="0" presId="urn:microsoft.com/office/officeart/2008/layout/NameandTitleOrganizationalChart"/>
    <dgm:cxn modelId="{481A7BE7-0D9C-49A9-861F-E9E8B1DD9343}" type="presParOf" srcId="{1DDF6E5E-77E6-421A-AEFA-462BDA34904F}" destId="{066E6686-A25C-4F73-A7BC-6799E025DA15}" srcOrd="1" destOrd="0" presId="urn:microsoft.com/office/officeart/2008/layout/NameandTitleOrganizationalChart"/>
    <dgm:cxn modelId="{F6961457-BF04-4B3C-ADAC-CB0AD1462506}" type="presParOf" srcId="{1DDF6E5E-77E6-421A-AEFA-462BDA34904F}" destId="{D5A055E0-2303-4AA2-A02D-7D25BBE88BB6}" srcOrd="2" destOrd="0" presId="urn:microsoft.com/office/officeart/2008/layout/NameandTitleOrganizationalChart"/>
    <dgm:cxn modelId="{84892C91-997D-436B-AE91-AF069D028C87}" type="presParOf" srcId="{0E8EFFA1-2C03-44BF-B965-3B4E69390B83}" destId="{BC0D1735-09CC-495D-8DC6-933101145847}" srcOrd="1" destOrd="0" presId="urn:microsoft.com/office/officeart/2008/layout/NameandTitleOrganizationalChart"/>
    <dgm:cxn modelId="{A6C0F044-DDBB-4EC0-B96A-AE4CDB7A8DF2}" type="presParOf" srcId="{0E8EFFA1-2C03-44BF-B965-3B4E69390B83}" destId="{2000A4E7-7EFA-4E6D-811B-9C3351BBAB99}" srcOrd="2" destOrd="0" presId="urn:microsoft.com/office/officeart/2008/layout/NameandTitleOrganizationalChart"/>
    <dgm:cxn modelId="{9D24E554-A71D-49F2-AD22-16EE50BDADED}" type="presParOf" srcId="{C2C6F877-B9CE-40B2-8FD4-2BE5962B0713}" destId="{461B0B0B-3C10-4AF1-ABB0-7E8E838734D1}" srcOrd="6" destOrd="0" presId="urn:microsoft.com/office/officeart/2008/layout/NameandTitleOrganizationalChart"/>
    <dgm:cxn modelId="{BCC5EDDD-E960-44D2-B4E1-457A0EAF0F7E}" type="presParOf" srcId="{C2C6F877-B9CE-40B2-8FD4-2BE5962B0713}" destId="{139F0EC3-C1C9-412F-B4EC-F32A87DE2278}" srcOrd="7" destOrd="0" presId="urn:microsoft.com/office/officeart/2008/layout/NameandTitleOrganizationalChart"/>
    <dgm:cxn modelId="{13290645-749E-42EE-9F09-2FDC6EBBEE34}" type="presParOf" srcId="{139F0EC3-C1C9-412F-B4EC-F32A87DE2278}" destId="{46717623-DA46-4E46-B55B-F31B571E1E0D}" srcOrd="0" destOrd="0" presId="urn:microsoft.com/office/officeart/2008/layout/NameandTitleOrganizationalChart"/>
    <dgm:cxn modelId="{3533BD3D-F692-4538-BDA7-7CDC37431241}" type="presParOf" srcId="{46717623-DA46-4E46-B55B-F31B571E1E0D}" destId="{AEECF985-F2AC-440B-ACC3-179D2AC61F6C}" srcOrd="0" destOrd="0" presId="urn:microsoft.com/office/officeart/2008/layout/NameandTitleOrganizationalChart"/>
    <dgm:cxn modelId="{A198E432-0368-43BA-BEC6-651176D51506}" type="presParOf" srcId="{46717623-DA46-4E46-B55B-F31B571E1E0D}" destId="{DDB90AC4-C394-41D0-B9B3-53B2C33519B0}" srcOrd="1" destOrd="0" presId="urn:microsoft.com/office/officeart/2008/layout/NameandTitleOrganizationalChart"/>
    <dgm:cxn modelId="{D1890E56-E025-4F49-80DE-DB4DB14C170F}" type="presParOf" srcId="{46717623-DA46-4E46-B55B-F31B571E1E0D}" destId="{197E52A7-3BE9-4312-B0A6-D3371E479488}" srcOrd="2" destOrd="0" presId="urn:microsoft.com/office/officeart/2008/layout/NameandTitleOrganizationalChart"/>
    <dgm:cxn modelId="{B4BD282F-9E3A-42C9-B433-32F9C862B4FD}" type="presParOf" srcId="{139F0EC3-C1C9-412F-B4EC-F32A87DE2278}" destId="{C13630A0-80FA-4497-9799-6356E839D92B}" srcOrd="1" destOrd="0" presId="urn:microsoft.com/office/officeart/2008/layout/NameandTitleOrganizationalChart"/>
    <dgm:cxn modelId="{0528F4A2-A98A-43DC-ACA2-302D8074A7B7}" type="presParOf" srcId="{139F0EC3-C1C9-412F-B4EC-F32A87DE2278}" destId="{D5843B15-7269-4368-A724-942EBCB8FD2B}" srcOrd="2" destOrd="0" presId="urn:microsoft.com/office/officeart/2008/layout/NameandTitleOrganizationalChart"/>
    <dgm:cxn modelId="{1C26FBD2-34FC-44FA-AD3F-D1FA63342F3A}" type="presParOf" srcId="{C2C6F877-B9CE-40B2-8FD4-2BE5962B0713}" destId="{11D92FCA-C8FF-41A6-86B3-28D3A94E6B31}" srcOrd="8" destOrd="0" presId="urn:microsoft.com/office/officeart/2008/layout/NameandTitleOrganizationalChart"/>
    <dgm:cxn modelId="{5AC0F38D-3394-4E27-9DD8-66EA33D1B748}" type="presParOf" srcId="{C2C6F877-B9CE-40B2-8FD4-2BE5962B0713}" destId="{699E6901-C0BF-4DD5-AF7A-8A7788D6F772}" srcOrd="9" destOrd="0" presId="urn:microsoft.com/office/officeart/2008/layout/NameandTitleOrganizationalChart"/>
    <dgm:cxn modelId="{EDDB63F2-C30F-4324-87D6-161C7CAD4876}" type="presParOf" srcId="{699E6901-C0BF-4DD5-AF7A-8A7788D6F772}" destId="{1341EE7A-0129-4BFA-8F5C-58E5A3CD21C6}" srcOrd="0" destOrd="0" presId="urn:microsoft.com/office/officeart/2008/layout/NameandTitleOrganizationalChart"/>
    <dgm:cxn modelId="{CFD8CDF5-0427-42E7-87AE-DE90B326FFBD}" type="presParOf" srcId="{1341EE7A-0129-4BFA-8F5C-58E5A3CD21C6}" destId="{BBB54F46-E883-412F-B02E-109F3185A9A1}" srcOrd="0" destOrd="0" presId="urn:microsoft.com/office/officeart/2008/layout/NameandTitleOrganizationalChart"/>
    <dgm:cxn modelId="{CF35985A-755F-4C1C-838C-FFAF32174DE0}" type="presParOf" srcId="{1341EE7A-0129-4BFA-8F5C-58E5A3CD21C6}" destId="{53A34B42-2636-41D3-91B7-7CB42A1FF6DA}" srcOrd="1" destOrd="0" presId="urn:microsoft.com/office/officeart/2008/layout/NameandTitleOrganizationalChart"/>
    <dgm:cxn modelId="{DFEF8940-5656-408C-A98E-FC1E0519B33F}" type="presParOf" srcId="{1341EE7A-0129-4BFA-8F5C-58E5A3CD21C6}" destId="{D6A5B235-2B9A-49E8-8C7C-CD2DBC5EE09F}" srcOrd="2" destOrd="0" presId="urn:microsoft.com/office/officeart/2008/layout/NameandTitleOrganizationalChart"/>
    <dgm:cxn modelId="{FABB419A-AB37-46DF-BA94-164B30BD0854}" type="presParOf" srcId="{699E6901-C0BF-4DD5-AF7A-8A7788D6F772}" destId="{83CE6D93-663D-4F4D-9D24-1AB7E113BD5E}" srcOrd="1" destOrd="0" presId="urn:microsoft.com/office/officeart/2008/layout/NameandTitleOrganizationalChart"/>
    <dgm:cxn modelId="{275D6990-C3C8-40F3-9F23-08B8464DB4AF}" type="presParOf" srcId="{699E6901-C0BF-4DD5-AF7A-8A7788D6F772}" destId="{65EEDFD1-85FD-4467-82BF-C05E99CDDB99}" srcOrd="2" destOrd="0" presId="urn:microsoft.com/office/officeart/2008/layout/NameandTitleOrganizationalChart"/>
    <dgm:cxn modelId="{B08E427C-9935-4933-9795-2E2DB8953FDE}" type="presParOf" srcId="{C2C6F877-B9CE-40B2-8FD4-2BE5962B0713}" destId="{984F6F21-96ED-4B88-91F8-A9DABC8C9E70}" srcOrd="10" destOrd="0" presId="urn:microsoft.com/office/officeart/2008/layout/NameandTitleOrganizationalChart"/>
    <dgm:cxn modelId="{FE18B221-39BC-47B2-8006-A334775E8624}" type="presParOf" srcId="{C2C6F877-B9CE-40B2-8FD4-2BE5962B0713}" destId="{616E51F0-B48B-4F91-806D-3CAAC36218EA}" srcOrd="11" destOrd="0" presId="urn:microsoft.com/office/officeart/2008/layout/NameandTitleOrganizationalChart"/>
    <dgm:cxn modelId="{6ACAA772-E143-4046-AE7B-878036283A33}" type="presParOf" srcId="{616E51F0-B48B-4F91-806D-3CAAC36218EA}" destId="{83D051A1-4D49-404A-BCC2-2E1CABBF409E}" srcOrd="0" destOrd="0" presId="urn:microsoft.com/office/officeart/2008/layout/NameandTitleOrganizationalChart"/>
    <dgm:cxn modelId="{7FAC1347-5B1C-414A-9EA8-4FDDBCE15C54}" type="presParOf" srcId="{83D051A1-4D49-404A-BCC2-2E1CABBF409E}" destId="{288852A2-774C-4590-A2A3-DE29F917B445}" srcOrd="0" destOrd="0" presId="urn:microsoft.com/office/officeart/2008/layout/NameandTitleOrganizationalChart"/>
    <dgm:cxn modelId="{C2723CCA-9510-4C9D-89A6-C7246D785CB9}" type="presParOf" srcId="{83D051A1-4D49-404A-BCC2-2E1CABBF409E}" destId="{BA8A0441-544C-4A6A-B08F-94B3AEBF1D09}" srcOrd="1" destOrd="0" presId="urn:microsoft.com/office/officeart/2008/layout/NameandTitleOrganizationalChart"/>
    <dgm:cxn modelId="{29F9AC92-1FF7-4E6A-B581-7379502F0D66}" type="presParOf" srcId="{83D051A1-4D49-404A-BCC2-2E1CABBF409E}" destId="{9B5B8D87-2EE2-4C0C-A24D-41449CB29525}" srcOrd="2" destOrd="0" presId="urn:microsoft.com/office/officeart/2008/layout/NameandTitleOrganizationalChart"/>
    <dgm:cxn modelId="{18A750B2-1BC1-4FF5-B7F5-E451A7821398}" type="presParOf" srcId="{616E51F0-B48B-4F91-806D-3CAAC36218EA}" destId="{0FE4A04B-7CE9-40EA-A274-E4AE9B593D97}" srcOrd="1" destOrd="0" presId="urn:microsoft.com/office/officeart/2008/layout/NameandTitleOrganizationalChart"/>
    <dgm:cxn modelId="{8285ACC2-1174-41E8-AF08-15B13F436B3F}" type="presParOf" srcId="{616E51F0-B48B-4F91-806D-3CAAC36218EA}" destId="{633C68A0-6C0D-4A9D-80C2-CABC9A435B62}" srcOrd="2" destOrd="0" presId="urn:microsoft.com/office/officeart/2008/layout/NameandTitleOrganizationalChart"/>
    <dgm:cxn modelId="{8E66DCF7-8449-4E04-B83F-8E768CC063CA}" type="presParOf" srcId="{C2C6F877-B9CE-40B2-8FD4-2BE5962B0713}" destId="{1E6094D5-F80A-43B7-AAC8-7918D9FE9020}" srcOrd="12" destOrd="0" presId="urn:microsoft.com/office/officeart/2008/layout/NameandTitleOrganizationalChart"/>
    <dgm:cxn modelId="{826B5962-C3FA-41D3-869A-5486B5B11CD5}" type="presParOf" srcId="{C2C6F877-B9CE-40B2-8FD4-2BE5962B0713}" destId="{8FC86349-E99B-4610-8C05-0D0970C9747C}" srcOrd="13" destOrd="0" presId="urn:microsoft.com/office/officeart/2008/layout/NameandTitleOrganizationalChart"/>
    <dgm:cxn modelId="{A33BBC0F-0684-4A05-8534-F96166ED74C6}" type="presParOf" srcId="{8FC86349-E99B-4610-8C05-0D0970C9747C}" destId="{1274DB20-9848-4A97-BAB6-7CE387F9F597}" srcOrd="0" destOrd="0" presId="urn:microsoft.com/office/officeart/2008/layout/NameandTitleOrganizationalChart"/>
    <dgm:cxn modelId="{07A4CFC1-FAE3-4B18-B9DD-912FA5AC693F}" type="presParOf" srcId="{1274DB20-9848-4A97-BAB6-7CE387F9F597}" destId="{5E38A81F-0C22-483F-A783-5989953CB6A3}" srcOrd="0" destOrd="0" presId="urn:microsoft.com/office/officeart/2008/layout/NameandTitleOrganizationalChart"/>
    <dgm:cxn modelId="{71EBD6FD-0B39-421C-B90D-BB9170B4F662}" type="presParOf" srcId="{1274DB20-9848-4A97-BAB6-7CE387F9F597}" destId="{D7749C8B-B850-4030-A304-A295A6C44DA5}" srcOrd="1" destOrd="0" presId="urn:microsoft.com/office/officeart/2008/layout/NameandTitleOrganizationalChart"/>
    <dgm:cxn modelId="{E7B5CB92-8AD6-413C-99A1-3330DD007D65}" type="presParOf" srcId="{1274DB20-9848-4A97-BAB6-7CE387F9F597}" destId="{40806CF8-CC9F-43F4-9F34-AEC033B8A991}" srcOrd="2" destOrd="0" presId="urn:microsoft.com/office/officeart/2008/layout/NameandTitleOrganizationalChart"/>
    <dgm:cxn modelId="{E9DD7EB6-8736-4C5C-94B3-BE6382566BDF}" type="presParOf" srcId="{8FC86349-E99B-4610-8C05-0D0970C9747C}" destId="{8039AA71-AF88-4877-A03D-218BBB83C20E}" srcOrd="1" destOrd="0" presId="urn:microsoft.com/office/officeart/2008/layout/NameandTitleOrganizationalChart"/>
    <dgm:cxn modelId="{DF85CEA4-AD16-4895-AA21-8F7DAA9E2ED0}" type="presParOf" srcId="{8FC86349-E99B-4610-8C05-0D0970C9747C}" destId="{4CBBB10B-3F6B-4093-BF44-28564E289C8E}" srcOrd="2" destOrd="0" presId="urn:microsoft.com/office/officeart/2008/layout/NameandTitleOrganizationalChart"/>
    <dgm:cxn modelId="{25A3811D-34DA-4832-9D7E-429321535E13}" type="presParOf" srcId="{C2C6F877-B9CE-40B2-8FD4-2BE5962B0713}" destId="{F8B9C516-8C96-4CD8-ABC2-7DAF4E0B5679}" srcOrd="14" destOrd="0" presId="urn:microsoft.com/office/officeart/2008/layout/NameandTitleOrganizationalChart"/>
    <dgm:cxn modelId="{21B910E9-638B-4FA4-A8B5-3BB0733329CC}" type="presParOf" srcId="{C2C6F877-B9CE-40B2-8FD4-2BE5962B0713}" destId="{AFDBFE83-43F4-4E55-B897-83122EEF4B15}" srcOrd="15" destOrd="0" presId="urn:microsoft.com/office/officeart/2008/layout/NameandTitleOrganizationalChart"/>
    <dgm:cxn modelId="{4CDED277-627F-4C0D-B53C-C4DB8CC80C21}" type="presParOf" srcId="{AFDBFE83-43F4-4E55-B897-83122EEF4B15}" destId="{87721B47-8BF4-4986-935C-E1085D6C547D}" srcOrd="0" destOrd="0" presId="urn:microsoft.com/office/officeart/2008/layout/NameandTitleOrganizationalChart"/>
    <dgm:cxn modelId="{50D43E9E-163D-4D2C-B5BD-B5FC18A818F5}" type="presParOf" srcId="{87721B47-8BF4-4986-935C-E1085D6C547D}" destId="{8D126D2E-0795-4190-8755-40042EF15F0D}" srcOrd="0" destOrd="0" presId="urn:microsoft.com/office/officeart/2008/layout/NameandTitleOrganizationalChart"/>
    <dgm:cxn modelId="{9ED4D5FA-EFB6-42B0-863C-5FA5968D9966}" type="presParOf" srcId="{87721B47-8BF4-4986-935C-E1085D6C547D}" destId="{B15A0C97-39AE-4104-A5CA-9E57D1C73C6D}" srcOrd="1" destOrd="0" presId="urn:microsoft.com/office/officeart/2008/layout/NameandTitleOrganizationalChart"/>
    <dgm:cxn modelId="{90250DCB-0C62-4211-B473-1C277B3C0AE6}" type="presParOf" srcId="{87721B47-8BF4-4986-935C-E1085D6C547D}" destId="{49B746FE-9E3A-430D-ABDA-041354CCEB52}" srcOrd="2" destOrd="0" presId="urn:microsoft.com/office/officeart/2008/layout/NameandTitleOrganizationalChart"/>
    <dgm:cxn modelId="{99CE14CC-C8CA-41EF-B0DC-9514159C999A}" type="presParOf" srcId="{AFDBFE83-43F4-4E55-B897-83122EEF4B15}" destId="{72F87ECF-9212-4905-B6EF-85B1CEC66D15}" srcOrd="1" destOrd="0" presId="urn:microsoft.com/office/officeart/2008/layout/NameandTitleOrganizationalChart"/>
    <dgm:cxn modelId="{C404EB33-78D0-4C90-B3BB-8F418297716D}" type="presParOf" srcId="{AFDBFE83-43F4-4E55-B897-83122EEF4B15}" destId="{6879B705-659D-416B-A24F-1F56E7F7A576}" srcOrd="2" destOrd="0" presId="urn:microsoft.com/office/officeart/2008/layout/NameandTitleOrganizationalChart"/>
    <dgm:cxn modelId="{E6E5233F-D47C-478B-8E76-21BDF83F272F}" type="presParOf" srcId="{C2C6F877-B9CE-40B2-8FD4-2BE5962B0713}" destId="{D0E9CD35-26BA-4C59-BF95-62139C887E42}" srcOrd="16" destOrd="0" presId="urn:microsoft.com/office/officeart/2008/layout/NameandTitleOrganizationalChart"/>
    <dgm:cxn modelId="{AFCBB5E4-17F9-4799-99F9-DE7E9C854080}" type="presParOf" srcId="{C2C6F877-B9CE-40B2-8FD4-2BE5962B0713}" destId="{99AC2E2C-7FF5-4DFC-BABB-8AAF66C171BC}" srcOrd="17" destOrd="0" presId="urn:microsoft.com/office/officeart/2008/layout/NameandTitleOrganizationalChart"/>
    <dgm:cxn modelId="{490BFAE7-8946-4663-BF71-2E8862649759}" type="presParOf" srcId="{99AC2E2C-7FF5-4DFC-BABB-8AAF66C171BC}" destId="{8CB89C4E-6C29-40D4-B3AD-630B116C2837}" srcOrd="0" destOrd="0" presId="urn:microsoft.com/office/officeart/2008/layout/NameandTitleOrganizationalChart"/>
    <dgm:cxn modelId="{AA0C5213-5A08-428D-84B8-3FAFB87953BC}" type="presParOf" srcId="{8CB89C4E-6C29-40D4-B3AD-630B116C2837}" destId="{62AFBA21-8FF8-4AC1-B02E-0EE70934DC45}" srcOrd="0" destOrd="0" presId="urn:microsoft.com/office/officeart/2008/layout/NameandTitleOrganizationalChart"/>
    <dgm:cxn modelId="{685ED30B-EC83-4220-83E2-386BC61A07EF}" type="presParOf" srcId="{8CB89C4E-6C29-40D4-B3AD-630B116C2837}" destId="{2C3C3587-3118-4287-8C6D-1F47448BCA15}" srcOrd="1" destOrd="0" presId="urn:microsoft.com/office/officeart/2008/layout/NameandTitleOrganizationalChart"/>
    <dgm:cxn modelId="{2C085CC6-F20B-40E7-A021-FC536990B400}" type="presParOf" srcId="{8CB89C4E-6C29-40D4-B3AD-630B116C2837}" destId="{22AE4ACD-73F4-45D7-85CE-CD315139A19A}" srcOrd="2" destOrd="0" presId="urn:microsoft.com/office/officeart/2008/layout/NameandTitleOrganizationalChart"/>
    <dgm:cxn modelId="{A80E2276-C2B3-4538-99FA-E103E185F2CB}" type="presParOf" srcId="{99AC2E2C-7FF5-4DFC-BABB-8AAF66C171BC}" destId="{4653DB8E-5F57-42DF-9D0E-A7C2AFE972D7}" srcOrd="1" destOrd="0" presId="urn:microsoft.com/office/officeart/2008/layout/NameandTitleOrganizationalChart"/>
    <dgm:cxn modelId="{53470490-3DEA-41C0-8464-579D05B28969}" type="presParOf" srcId="{99AC2E2C-7FF5-4DFC-BABB-8AAF66C171BC}" destId="{B5668599-CB6B-4079-A289-34FFB934E9EA}" srcOrd="2" destOrd="0" presId="urn:microsoft.com/office/officeart/2008/layout/NameandTitleOrganizationalChart"/>
    <dgm:cxn modelId="{82A8074B-ED05-4071-8FE2-B17B08E4C38D}" type="presParOf" srcId="{3E33E50C-C7EE-47F1-B83E-3B894BD725E7}" destId="{EC2791BC-A173-4978-8208-6A5BDD919C96}" srcOrd="2" destOrd="0" presId="urn:microsoft.com/office/officeart/2008/layout/NameandTitleOrganizationalChart"/>
    <dgm:cxn modelId="{999A804B-9E00-4691-A53C-065D96071C41}" type="presParOf" srcId="{3E33E50C-C7EE-47F1-B83E-3B894BD725E7}" destId="{4F8F93F6-2327-48FD-98C8-E83A8009204D}" srcOrd="3" destOrd="0" presId="urn:microsoft.com/office/officeart/2008/layout/NameandTitleOrganizationalChart"/>
    <dgm:cxn modelId="{38620DF7-2822-4E9F-AA63-390AEF2D38F4}" type="presParOf" srcId="{4F8F93F6-2327-48FD-98C8-E83A8009204D}" destId="{3E55723B-E0BB-42B6-84B7-FFBAAF5281CA}" srcOrd="0" destOrd="0" presId="urn:microsoft.com/office/officeart/2008/layout/NameandTitleOrganizationalChart"/>
    <dgm:cxn modelId="{EAB516CD-E840-429A-8246-615672D4811F}" type="presParOf" srcId="{3E55723B-E0BB-42B6-84B7-FFBAAF5281CA}" destId="{2E253158-9ED6-4935-9434-B9B47261894D}" srcOrd="0" destOrd="0" presId="urn:microsoft.com/office/officeart/2008/layout/NameandTitleOrganizationalChart"/>
    <dgm:cxn modelId="{55887A0B-B109-40E9-AFF5-E130C869EDF5}" type="presParOf" srcId="{3E55723B-E0BB-42B6-84B7-FFBAAF5281CA}" destId="{DD6486D5-91CA-46F4-A72B-9BB2F862CC3D}" srcOrd="1" destOrd="0" presId="urn:microsoft.com/office/officeart/2008/layout/NameandTitleOrganizationalChart"/>
    <dgm:cxn modelId="{1E645985-ED15-4E58-AD54-DFC1B0ECCBD0}" type="presParOf" srcId="{3E55723B-E0BB-42B6-84B7-FFBAAF5281CA}" destId="{AACDABBA-6314-480A-867B-88F7F617F6F4}" srcOrd="2" destOrd="0" presId="urn:microsoft.com/office/officeart/2008/layout/NameandTitleOrganizationalChart"/>
    <dgm:cxn modelId="{B90D7534-7F15-4840-85DA-C7004EC727C9}" type="presParOf" srcId="{4F8F93F6-2327-48FD-98C8-E83A8009204D}" destId="{A5D5BE87-DF9B-4318-AFB9-E3B343459D04}" srcOrd="1" destOrd="0" presId="urn:microsoft.com/office/officeart/2008/layout/NameandTitleOrganizationalChart"/>
    <dgm:cxn modelId="{9641AD91-4983-449E-9BF4-235F0579111D}" type="presParOf" srcId="{4F8F93F6-2327-48FD-98C8-E83A8009204D}" destId="{568BB733-D24F-4119-A8F1-63F29FC81BED}" srcOrd="2" destOrd="0" presId="urn:microsoft.com/office/officeart/2008/layout/NameandTitleOrganizationalChart"/>
    <dgm:cxn modelId="{C4F2502D-24D7-4073-ADDD-95A83C486A4F}" type="presParOf" srcId="{568BB733-D24F-4119-A8F1-63F29FC81BED}" destId="{6ECF4CA3-A555-41B4-9190-2242D5DDA8FF}" srcOrd="0" destOrd="0" presId="urn:microsoft.com/office/officeart/2008/layout/NameandTitleOrganizationalChart"/>
    <dgm:cxn modelId="{A374881E-6A59-4FE6-B655-77DD111F8FBA}" type="presParOf" srcId="{568BB733-D24F-4119-A8F1-63F29FC81BED}" destId="{1CFBED76-9726-4229-96F5-A948B7014F48}" srcOrd="1" destOrd="0" presId="urn:microsoft.com/office/officeart/2008/layout/NameandTitleOrganizationalChart"/>
    <dgm:cxn modelId="{11890E3B-ECC3-4383-B012-AAFDCF16BABB}" type="presParOf" srcId="{1CFBED76-9726-4229-96F5-A948B7014F48}" destId="{82B12BFF-14D7-43C4-A67F-0164279DA4EF}" srcOrd="0" destOrd="0" presId="urn:microsoft.com/office/officeart/2008/layout/NameandTitleOrganizationalChart"/>
    <dgm:cxn modelId="{B3567AA3-101B-41BD-BAB6-2705DAFA1CF7}" type="presParOf" srcId="{82B12BFF-14D7-43C4-A67F-0164279DA4EF}" destId="{A22E33E8-A3AC-46E6-A114-8E58C61BB60D}" srcOrd="0" destOrd="0" presId="urn:microsoft.com/office/officeart/2008/layout/NameandTitleOrganizationalChart"/>
    <dgm:cxn modelId="{A805B9D1-D26C-4C64-B03E-A51411A07FE9}" type="presParOf" srcId="{82B12BFF-14D7-43C4-A67F-0164279DA4EF}" destId="{94B85159-8F98-41A7-BF20-6C6C2806D8A1}" srcOrd="1" destOrd="0" presId="urn:microsoft.com/office/officeart/2008/layout/NameandTitleOrganizationalChart"/>
    <dgm:cxn modelId="{AE7A93A8-F0B8-4F04-9E08-4C65C80CA4C3}" type="presParOf" srcId="{82B12BFF-14D7-43C4-A67F-0164279DA4EF}" destId="{1FA9F79B-DFF9-4125-9D37-80F5972D8756}" srcOrd="2" destOrd="0" presId="urn:microsoft.com/office/officeart/2008/layout/NameandTitleOrganizationalChart"/>
    <dgm:cxn modelId="{D1681893-B30F-4B74-8F30-2ED46CB3027D}" type="presParOf" srcId="{1CFBED76-9726-4229-96F5-A948B7014F48}" destId="{C62BACB0-8311-4583-8558-62738552FA7F}" srcOrd="1" destOrd="0" presId="urn:microsoft.com/office/officeart/2008/layout/NameandTitleOrganizationalChart"/>
    <dgm:cxn modelId="{0FD88B24-89B5-460C-BA69-9049F1C946C7}" type="presParOf" srcId="{1CFBED76-9726-4229-96F5-A948B7014F48}" destId="{DE90563A-43EA-4D16-BDE2-316142D585BE}" srcOrd="2" destOrd="0" presId="urn:microsoft.com/office/officeart/2008/layout/NameandTitleOrganizationalChart"/>
    <dgm:cxn modelId="{CCFCAB13-BC6C-4016-8AB9-6E5A3ECE86B2}" type="presParOf" srcId="{12093359-DAF5-437C-8E4C-2116850A3431}" destId="{C5060475-49DE-4A0E-80D3-470265628749}" srcOrd="2" destOrd="0" presId="urn:microsoft.com/office/officeart/2008/layout/NameandTitleOrganizationalChart"/>
    <dgm:cxn modelId="{E1CBABD1-A419-4B75-A582-73FD1C8F629F}" type="presParOf" srcId="{C5060475-49DE-4A0E-80D3-470265628749}" destId="{8FD8CD0F-92CE-4DB3-94A2-11CF3D5EC00B}" srcOrd="0" destOrd="0" presId="urn:microsoft.com/office/officeart/2008/layout/NameandTitleOrganizationalChart"/>
    <dgm:cxn modelId="{D99DDB63-AA85-4F6B-B855-292C477190E6}" type="presParOf" srcId="{C5060475-49DE-4A0E-80D3-470265628749}" destId="{0B13F191-4AB9-4C32-A35F-465EF719F207}" srcOrd="1" destOrd="0" presId="urn:microsoft.com/office/officeart/2008/layout/NameandTitleOrganizationalChart"/>
    <dgm:cxn modelId="{F945D9F2-1530-4537-B57D-7F2C6AC78AB0}" type="presParOf" srcId="{0B13F191-4AB9-4C32-A35F-465EF719F207}" destId="{FD46C2FB-A3A3-4190-8B8D-CA9E332F1059}" srcOrd="0" destOrd="0" presId="urn:microsoft.com/office/officeart/2008/layout/NameandTitleOrganizationalChart"/>
    <dgm:cxn modelId="{34749206-CFD3-48FA-920A-E639AAD2C334}" type="presParOf" srcId="{FD46C2FB-A3A3-4190-8B8D-CA9E332F1059}" destId="{95F9FEB1-D81C-42AE-A4DB-AA6B11877D91}" srcOrd="0" destOrd="0" presId="urn:microsoft.com/office/officeart/2008/layout/NameandTitleOrganizationalChart"/>
    <dgm:cxn modelId="{92ACECCE-AAA6-434A-A647-356A6B743BEA}" type="presParOf" srcId="{FD46C2FB-A3A3-4190-8B8D-CA9E332F1059}" destId="{E88B2A02-6E2D-4AAB-A081-36F0B13B3F2C}" srcOrd="1" destOrd="0" presId="urn:microsoft.com/office/officeart/2008/layout/NameandTitleOrganizationalChart"/>
    <dgm:cxn modelId="{929636C3-B5E7-480D-8994-DED8C48EAD6E}" type="presParOf" srcId="{FD46C2FB-A3A3-4190-8B8D-CA9E332F1059}" destId="{3D74899D-8973-4C2A-8F79-EFEA11B14A8F}" srcOrd="2" destOrd="0" presId="urn:microsoft.com/office/officeart/2008/layout/NameandTitleOrganizationalChart"/>
    <dgm:cxn modelId="{C7568E9D-CF0F-47E6-8D83-E665DCD80D34}" type="presParOf" srcId="{0B13F191-4AB9-4C32-A35F-465EF719F207}" destId="{86C7FFF7-2E56-4F52-8990-9E45B643EA9E}" srcOrd="1" destOrd="0" presId="urn:microsoft.com/office/officeart/2008/layout/NameandTitleOrganizationalChart"/>
    <dgm:cxn modelId="{3107A255-76D8-48EF-8E37-D616582E2D6C}" type="presParOf" srcId="{0B13F191-4AB9-4C32-A35F-465EF719F207}" destId="{049F9E40-199E-4705-9776-7BEB58CCC977}" srcOrd="2" destOrd="0" presId="urn:microsoft.com/office/officeart/2008/layout/NameandTitleOrganizationalChart"/>
    <dgm:cxn modelId="{494EA461-40AC-4572-9C6F-19EC8BFFD3AE}" type="presParOf" srcId="{C5060475-49DE-4A0E-80D3-470265628749}" destId="{B0E996DC-BF41-43D1-98E4-19AF230412AB}" srcOrd="2" destOrd="0" presId="urn:microsoft.com/office/officeart/2008/layout/NameandTitleOrganizationalChart"/>
    <dgm:cxn modelId="{B7E17D02-4FC4-4059-88E1-F036C6084EC6}" type="presParOf" srcId="{C5060475-49DE-4A0E-80D3-470265628749}" destId="{CCCD7CB7-CF3E-4D06-AF03-4D264229B75F}" srcOrd="3" destOrd="0" presId="urn:microsoft.com/office/officeart/2008/layout/NameandTitleOrganizationalChart"/>
    <dgm:cxn modelId="{46B3177C-F39E-47D8-97BF-8CDBABB95B93}" type="presParOf" srcId="{CCCD7CB7-CF3E-4D06-AF03-4D264229B75F}" destId="{76D4C183-D67A-4B85-A191-80962AB0CE0E}" srcOrd="0" destOrd="0" presId="urn:microsoft.com/office/officeart/2008/layout/NameandTitleOrganizationalChart"/>
    <dgm:cxn modelId="{D844DEA2-0675-4CA5-9C04-74F4A3166514}" type="presParOf" srcId="{76D4C183-D67A-4B85-A191-80962AB0CE0E}" destId="{C78F156B-E70B-43C0-A7FE-7E71E3E306FA}" srcOrd="0" destOrd="0" presId="urn:microsoft.com/office/officeart/2008/layout/NameandTitleOrganizationalChart"/>
    <dgm:cxn modelId="{79F5AA33-8914-4564-884E-37B56FEBBAAD}" type="presParOf" srcId="{76D4C183-D67A-4B85-A191-80962AB0CE0E}" destId="{2FDD980A-1A22-4907-9125-1E9C890C4C94}" srcOrd="1" destOrd="0" presId="urn:microsoft.com/office/officeart/2008/layout/NameandTitleOrganizationalChart"/>
    <dgm:cxn modelId="{BBB7CB74-177C-4400-BFC7-ACEB8D5C01F0}" type="presParOf" srcId="{76D4C183-D67A-4B85-A191-80962AB0CE0E}" destId="{F70A9421-0B88-4B03-8028-24C36BAFC4A0}" srcOrd="2" destOrd="0" presId="urn:microsoft.com/office/officeart/2008/layout/NameandTitleOrganizationalChart"/>
    <dgm:cxn modelId="{40C3B740-26FC-4540-A6A1-841F1A678D07}" type="presParOf" srcId="{CCCD7CB7-CF3E-4D06-AF03-4D264229B75F}" destId="{134715F4-2A10-4A54-B822-59AF66D0EE3A}" srcOrd="1" destOrd="0" presId="urn:microsoft.com/office/officeart/2008/layout/NameandTitleOrganizationalChart"/>
    <dgm:cxn modelId="{13F07EC1-ABEA-4796-9E86-B93119B05BB1}" type="presParOf" srcId="{CCCD7CB7-CF3E-4D06-AF03-4D264229B75F}" destId="{747469A2-21E1-496A-A865-30744A1B5296}" srcOrd="2" destOrd="0" presId="urn:microsoft.com/office/officeart/2008/layout/NameandTitleOrganizationalChart"/>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2CF0A28-25D0-4CE3-8418-2451C1F94403}"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n-US"/>
        </a:p>
      </dgm:t>
    </dgm:pt>
    <dgm:pt modelId="{F6E21A52-E64D-4E58-855A-4B95D06C774A}">
      <dgm:prSet phldrT="[Text]"/>
      <dgm:spPr/>
      <dgm:t>
        <a:bodyPr/>
        <a:lstStyle/>
        <a:p>
          <a:r>
            <a:rPr lang="en-US"/>
            <a:t>Quinoa Importers</a:t>
          </a:r>
        </a:p>
      </dgm:t>
    </dgm:pt>
    <dgm:pt modelId="{81AE27CA-036C-4873-83EC-444D6D4D4CF9}" type="parTrans" cxnId="{5934F203-0A04-4929-83EE-F2B8D7EDBB2D}">
      <dgm:prSet/>
      <dgm:spPr/>
      <dgm:t>
        <a:bodyPr/>
        <a:lstStyle/>
        <a:p>
          <a:endParaRPr lang="en-US"/>
        </a:p>
      </dgm:t>
    </dgm:pt>
    <dgm:pt modelId="{13086E04-355C-40BC-8D09-A0B97BB98664}" type="sibTrans" cxnId="{5934F203-0A04-4929-83EE-F2B8D7EDBB2D}">
      <dgm:prSet/>
      <dgm:spPr/>
      <dgm:t>
        <a:bodyPr/>
        <a:lstStyle/>
        <a:p>
          <a:r>
            <a:rPr lang="en-US"/>
            <a:t>Countries</a:t>
          </a:r>
        </a:p>
      </dgm:t>
    </dgm:pt>
    <dgm:pt modelId="{626818A8-4995-4F1C-9A7B-3BBC85E97AA8}" type="asst">
      <dgm:prSet phldrT="[Text]"/>
      <dgm:spPr>
        <a:solidFill>
          <a:srgbClr val="00B050"/>
        </a:solidFill>
      </dgm:spPr>
      <dgm:t>
        <a:bodyPr/>
        <a:lstStyle/>
        <a:p>
          <a:r>
            <a:rPr lang="en-US"/>
            <a:t>France</a:t>
          </a:r>
        </a:p>
      </dgm:t>
    </dgm:pt>
    <dgm:pt modelId="{4C7071F8-D232-466E-B342-8FA6E0D7CC12}" type="parTrans" cxnId="{B7C13A9C-A45F-44C2-9BCB-B9D7CD8CDC80}">
      <dgm:prSet/>
      <dgm:spPr/>
      <dgm:t>
        <a:bodyPr/>
        <a:lstStyle/>
        <a:p>
          <a:endParaRPr lang="en-US"/>
        </a:p>
      </dgm:t>
    </dgm:pt>
    <dgm:pt modelId="{46B55DAB-BF18-4F31-A089-4BA2DBCD9BFE}" type="sibTrans" cxnId="{B7C13A9C-A45F-44C2-9BCB-B9D7CD8CDC80}">
      <dgm:prSet/>
      <dgm:spPr/>
      <dgm:t>
        <a:bodyPr/>
        <a:lstStyle/>
        <a:p>
          <a:r>
            <a:rPr lang="en-US"/>
            <a:t>Market share 16%</a:t>
          </a:r>
        </a:p>
      </dgm:t>
    </dgm:pt>
    <dgm:pt modelId="{B5A52D3F-EE89-4287-AD78-A8260A5D9DFF}" type="asst">
      <dgm:prSet/>
      <dgm:spPr>
        <a:solidFill>
          <a:srgbClr val="00B050"/>
        </a:solidFill>
      </dgm:spPr>
      <dgm:t>
        <a:bodyPr/>
        <a:lstStyle/>
        <a:p>
          <a:r>
            <a:rPr lang="en-US"/>
            <a:t>CARREFOUR</a:t>
          </a:r>
        </a:p>
      </dgm:t>
    </dgm:pt>
    <dgm:pt modelId="{05261BD3-AD9C-43F0-A7F0-7436FEFCB015}" type="parTrans" cxnId="{C623EDA8-A279-48B9-B666-B170D4115B3F}">
      <dgm:prSet/>
      <dgm:spPr/>
      <dgm:t>
        <a:bodyPr/>
        <a:lstStyle/>
        <a:p>
          <a:endParaRPr lang="en-US"/>
        </a:p>
      </dgm:t>
    </dgm:pt>
    <dgm:pt modelId="{37EEBA6E-802B-47CB-BED6-58F2D318A3E7}" type="sibTrans" cxnId="{C623EDA8-A279-48B9-B666-B170D4115B3F}">
      <dgm:prSet/>
      <dgm:spPr/>
      <dgm:t>
        <a:bodyPr/>
        <a:lstStyle/>
        <a:p>
          <a:r>
            <a:rPr lang="en-US"/>
            <a:t>Retailer/Distributor/Hypermarket</a:t>
          </a:r>
        </a:p>
      </dgm:t>
    </dgm:pt>
    <dgm:pt modelId="{03D47DCB-FE39-47C7-8001-960591557A9F}" type="asst">
      <dgm:prSet/>
      <dgm:spPr>
        <a:solidFill>
          <a:srgbClr val="00B050"/>
        </a:solidFill>
      </dgm:spPr>
      <dgm:t>
        <a:bodyPr/>
        <a:lstStyle/>
        <a:p>
          <a:r>
            <a:rPr lang="en-US"/>
            <a:t>EURONAT</a:t>
          </a:r>
        </a:p>
      </dgm:t>
    </dgm:pt>
    <dgm:pt modelId="{6F182E3E-5312-4914-B1F1-B90EE8C69DD9}" type="parTrans" cxnId="{76AB2470-455E-401B-8272-B41D1DF9D5E2}">
      <dgm:prSet/>
      <dgm:spPr/>
      <dgm:t>
        <a:bodyPr/>
        <a:lstStyle/>
        <a:p>
          <a:endParaRPr lang="en-US"/>
        </a:p>
      </dgm:t>
    </dgm:pt>
    <dgm:pt modelId="{53FDE451-D7D1-4186-8461-7355A463154C}" type="sibTrans" cxnId="{76AB2470-455E-401B-8272-B41D1DF9D5E2}">
      <dgm:prSet/>
      <dgm:spPr/>
      <dgm:t>
        <a:bodyPr/>
        <a:lstStyle/>
        <a:p>
          <a:r>
            <a:rPr lang="en-US"/>
            <a:t>Importer and Distributor</a:t>
          </a:r>
        </a:p>
      </dgm:t>
    </dgm:pt>
    <dgm:pt modelId="{4AE8C1EF-BCFC-4F9F-8EF2-C4DC4B4ECD7D}" type="asst">
      <dgm:prSet/>
      <dgm:spPr>
        <a:solidFill>
          <a:srgbClr val="00B050"/>
        </a:solidFill>
      </dgm:spPr>
      <dgm:t>
        <a:bodyPr/>
        <a:lstStyle/>
        <a:p>
          <a:r>
            <a:rPr lang="en-US"/>
            <a:t>JATARY</a:t>
          </a:r>
        </a:p>
      </dgm:t>
    </dgm:pt>
    <dgm:pt modelId="{5F2A93FE-9142-44D8-B86A-1393AB1C7BEA}" type="parTrans" cxnId="{F60CE337-87D8-4FAE-9260-C7E69935293D}">
      <dgm:prSet/>
      <dgm:spPr/>
      <dgm:t>
        <a:bodyPr/>
        <a:lstStyle/>
        <a:p>
          <a:endParaRPr lang="en-US"/>
        </a:p>
      </dgm:t>
    </dgm:pt>
    <dgm:pt modelId="{BFD3D205-4F00-4F5B-8C30-3113673B3ED6}" type="sibTrans" cxnId="{F60CE337-87D8-4FAE-9260-C7E69935293D}">
      <dgm:prSet/>
      <dgm:spPr/>
      <dgm:t>
        <a:bodyPr/>
        <a:lstStyle/>
        <a:p>
          <a:r>
            <a:rPr lang="en-US"/>
            <a:t>Created in 1996.</a:t>
          </a:r>
        </a:p>
      </dgm:t>
    </dgm:pt>
    <dgm:pt modelId="{22049809-D701-4EE4-AE74-0758E3F7FA72}" type="asst">
      <dgm:prSet/>
      <dgm:spPr>
        <a:solidFill>
          <a:srgbClr val="C00000"/>
        </a:solidFill>
      </dgm:spPr>
      <dgm:t>
        <a:bodyPr/>
        <a:lstStyle/>
        <a:p>
          <a:r>
            <a:rPr lang="en-US"/>
            <a:t>Netherlands</a:t>
          </a:r>
        </a:p>
      </dgm:t>
    </dgm:pt>
    <dgm:pt modelId="{3163FA86-1B2F-4D78-BBDE-E6E674206043}" type="parTrans" cxnId="{457850B5-2BAD-4543-AC6C-CD21DC91BF1E}">
      <dgm:prSet/>
      <dgm:spPr/>
      <dgm:t>
        <a:bodyPr/>
        <a:lstStyle/>
        <a:p>
          <a:endParaRPr lang="en-US"/>
        </a:p>
      </dgm:t>
    </dgm:pt>
    <dgm:pt modelId="{7B1CFA48-E3EC-4380-98AB-62F4769C2725}" type="sibTrans" cxnId="{457850B5-2BAD-4543-AC6C-CD21DC91BF1E}">
      <dgm:prSet/>
      <dgm:spPr/>
      <dgm:t>
        <a:bodyPr/>
        <a:lstStyle/>
        <a:p>
          <a:r>
            <a:rPr lang="en-US"/>
            <a:t>Market share 11%.</a:t>
          </a:r>
        </a:p>
      </dgm:t>
    </dgm:pt>
    <dgm:pt modelId="{1C5EDF09-31E9-45F6-8AD5-2BA15F25BDCD}">
      <dgm:prSet/>
      <dgm:spPr>
        <a:solidFill>
          <a:srgbClr val="C00000"/>
        </a:solidFill>
      </dgm:spPr>
      <dgm:t>
        <a:bodyPr/>
        <a:lstStyle/>
        <a:p>
          <a:r>
            <a:rPr lang="en-US"/>
            <a:t>MARKAL</a:t>
          </a:r>
        </a:p>
      </dgm:t>
    </dgm:pt>
    <dgm:pt modelId="{F3596582-32CB-4216-A9B2-9501BC4E03B4}" type="parTrans" cxnId="{E63D8B7D-3460-4FE3-BB4E-0EE4BFEEA9F9}">
      <dgm:prSet/>
      <dgm:spPr/>
      <dgm:t>
        <a:bodyPr/>
        <a:lstStyle/>
        <a:p>
          <a:endParaRPr lang="en-US"/>
        </a:p>
      </dgm:t>
    </dgm:pt>
    <dgm:pt modelId="{BE3A0E51-CD82-490D-AD6F-7C50938A27EA}" type="sibTrans" cxnId="{E63D8B7D-3460-4FE3-BB4E-0EE4BFEEA9F9}">
      <dgm:prSet/>
      <dgm:spPr/>
      <dgm:t>
        <a:bodyPr/>
        <a:lstStyle/>
        <a:p>
          <a:r>
            <a:rPr lang="en-US"/>
            <a:t>Importer adn Distributor</a:t>
          </a:r>
        </a:p>
      </dgm:t>
    </dgm:pt>
    <dgm:pt modelId="{A91D68A7-AFF2-4359-A0A1-5F4A46DD9B23}">
      <dgm:prSet/>
      <dgm:spPr>
        <a:solidFill>
          <a:srgbClr val="C00000"/>
        </a:solidFill>
      </dgm:spPr>
      <dgm:t>
        <a:bodyPr/>
        <a:lstStyle/>
        <a:p>
          <a:r>
            <a:rPr lang="en-US"/>
            <a:t>Quinoa Bol S.R.L.</a:t>
          </a:r>
        </a:p>
      </dgm:t>
    </dgm:pt>
    <dgm:pt modelId="{14D27924-6DE1-4C7E-8629-8E3B1337DC94}" type="parTrans" cxnId="{A7975DCC-B9EB-4353-999D-46833C5C5636}">
      <dgm:prSet/>
      <dgm:spPr/>
      <dgm:t>
        <a:bodyPr/>
        <a:lstStyle/>
        <a:p>
          <a:endParaRPr lang="en-US"/>
        </a:p>
      </dgm:t>
    </dgm:pt>
    <dgm:pt modelId="{F90A5080-AD94-4018-9257-8C8D3AC15F2D}" type="sibTrans" cxnId="{A7975DCC-B9EB-4353-999D-46833C5C5636}">
      <dgm:prSet/>
      <dgm:spPr/>
      <dgm:t>
        <a:bodyPr/>
        <a:lstStyle/>
        <a:p>
          <a:r>
            <a:rPr lang="en-US"/>
            <a:t>Created in 1998. </a:t>
          </a:r>
        </a:p>
      </dgm:t>
    </dgm:pt>
    <dgm:pt modelId="{62BC356D-5963-4347-B810-53E61F5CDF46}" type="pres">
      <dgm:prSet presAssocID="{72CF0A28-25D0-4CE3-8418-2451C1F94403}" presName="hierChild1" presStyleCnt="0">
        <dgm:presLayoutVars>
          <dgm:orgChart val="1"/>
          <dgm:chPref val="1"/>
          <dgm:dir/>
          <dgm:animOne val="branch"/>
          <dgm:animLvl val="lvl"/>
          <dgm:resizeHandles/>
        </dgm:presLayoutVars>
      </dgm:prSet>
      <dgm:spPr/>
      <dgm:t>
        <a:bodyPr/>
        <a:lstStyle/>
        <a:p>
          <a:endParaRPr lang="en-US"/>
        </a:p>
      </dgm:t>
    </dgm:pt>
    <dgm:pt modelId="{05213563-32DC-44A0-BBB1-7529A92F1A97}" type="pres">
      <dgm:prSet presAssocID="{F6E21A52-E64D-4E58-855A-4B95D06C774A}" presName="hierRoot1" presStyleCnt="0">
        <dgm:presLayoutVars>
          <dgm:hierBranch val="init"/>
        </dgm:presLayoutVars>
      </dgm:prSet>
      <dgm:spPr/>
    </dgm:pt>
    <dgm:pt modelId="{1AB669DE-D454-40E0-BD34-51A9501FB467}" type="pres">
      <dgm:prSet presAssocID="{F6E21A52-E64D-4E58-855A-4B95D06C774A}" presName="rootComposite1" presStyleCnt="0"/>
      <dgm:spPr/>
    </dgm:pt>
    <dgm:pt modelId="{F3DA2FD1-CFBA-4AAC-912E-9E906865E799}" type="pres">
      <dgm:prSet presAssocID="{F6E21A52-E64D-4E58-855A-4B95D06C774A}" presName="rootText1" presStyleLbl="node0" presStyleIdx="0" presStyleCnt="1">
        <dgm:presLayoutVars>
          <dgm:chMax/>
          <dgm:chPref val="3"/>
        </dgm:presLayoutVars>
      </dgm:prSet>
      <dgm:spPr/>
      <dgm:t>
        <a:bodyPr/>
        <a:lstStyle/>
        <a:p>
          <a:endParaRPr lang="en-US"/>
        </a:p>
      </dgm:t>
    </dgm:pt>
    <dgm:pt modelId="{BEF5765B-B684-47C8-9FEA-04FD29042B81}" type="pres">
      <dgm:prSet presAssocID="{F6E21A52-E64D-4E58-855A-4B95D06C774A}" presName="titleText1" presStyleLbl="fgAcc0" presStyleIdx="0" presStyleCnt="1">
        <dgm:presLayoutVars>
          <dgm:chMax val="0"/>
          <dgm:chPref val="0"/>
        </dgm:presLayoutVars>
      </dgm:prSet>
      <dgm:spPr/>
      <dgm:t>
        <a:bodyPr/>
        <a:lstStyle/>
        <a:p>
          <a:endParaRPr lang="en-US"/>
        </a:p>
      </dgm:t>
    </dgm:pt>
    <dgm:pt modelId="{F6944C49-659E-48F4-AE5B-862C9914DF60}" type="pres">
      <dgm:prSet presAssocID="{F6E21A52-E64D-4E58-855A-4B95D06C774A}" presName="rootConnector1" presStyleLbl="node1" presStyleIdx="0" presStyleCnt="2"/>
      <dgm:spPr/>
      <dgm:t>
        <a:bodyPr/>
        <a:lstStyle/>
        <a:p>
          <a:endParaRPr lang="en-US"/>
        </a:p>
      </dgm:t>
    </dgm:pt>
    <dgm:pt modelId="{4FD9B800-721C-4EA8-9387-D11756105FD6}" type="pres">
      <dgm:prSet presAssocID="{F6E21A52-E64D-4E58-855A-4B95D06C774A}" presName="hierChild2" presStyleCnt="0"/>
      <dgm:spPr/>
    </dgm:pt>
    <dgm:pt modelId="{392AFD49-9987-4DFE-B568-87F9A4DF9E17}" type="pres">
      <dgm:prSet presAssocID="{F6E21A52-E64D-4E58-855A-4B95D06C774A}" presName="hierChild3" presStyleCnt="0"/>
      <dgm:spPr/>
    </dgm:pt>
    <dgm:pt modelId="{90AA02D6-B99F-4492-B144-3F9A5C69D2D9}" type="pres">
      <dgm:prSet presAssocID="{4C7071F8-D232-466E-B342-8FA6E0D7CC12}" presName="Name96" presStyleLbl="parChTrans1D2" presStyleIdx="0" presStyleCnt="2"/>
      <dgm:spPr/>
      <dgm:t>
        <a:bodyPr/>
        <a:lstStyle/>
        <a:p>
          <a:endParaRPr lang="en-US"/>
        </a:p>
      </dgm:t>
    </dgm:pt>
    <dgm:pt modelId="{DA066763-55AE-4F2F-A63E-6B623A7AC480}" type="pres">
      <dgm:prSet presAssocID="{626818A8-4995-4F1C-9A7B-3BBC85E97AA8}" presName="hierRoot3" presStyleCnt="0">
        <dgm:presLayoutVars>
          <dgm:hierBranch val="init"/>
        </dgm:presLayoutVars>
      </dgm:prSet>
      <dgm:spPr/>
    </dgm:pt>
    <dgm:pt modelId="{0C9A4344-65A6-44C5-8851-6AC6CBADBD2F}" type="pres">
      <dgm:prSet presAssocID="{626818A8-4995-4F1C-9A7B-3BBC85E97AA8}" presName="rootComposite3" presStyleCnt="0"/>
      <dgm:spPr/>
    </dgm:pt>
    <dgm:pt modelId="{6C0CA625-1B41-4028-B218-E53472BF6C9E}" type="pres">
      <dgm:prSet presAssocID="{626818A8-4995-4F1C-9A7B-3BBC85E97AA8}" presName="rootText3" presStyleLbl="asst1" presStyleIdx="0" presStyleCnt="5">
        <dgm:presLayoutVars>
          <dgm:chPref val="3"/>
        </dgm:presLayoutVars>
      </dgm:prSet>
      <dgm:spPr/>
      <dgm:t>
        <a:bodyPr/>
        <a:lstStyle/>
        <a:p>
          <a:endParaRPr lang="en-US"/>
        </a:p>
      </dgm:t>
    </dgm:pt>
    <dgm:pt modelId="{B4F87CFA-1956-45C4-B4F1-E58B20881B7D}" type="pres">
      <dgm:prSet presAssocID="{626818A8-4995-4F1C-9A7B-3BBC85E97AA8}" presName="titleText3" presStyleLbl="fgAcc2" presStyleIdx="0" presStyleCnt="5">
        <dgm:presLayoutVars>
          <dgm:chMax val="0"/>
          <dgm:chPref val="0"/>
        </dgm:presLayoutVars>
      </dgm:prSet>
      <dgm:spPr/>
      <dgm:t>
        <a:bodyPr/>
        <a:lstStyle/>
        <a:p>
          <a:endParaRPr lang="en-US"/>
        </a:p>
      </dgm:t>
    </dgm:pt>
    <dgm:pt modelId="{9C082684-6819-488B-90A2-AEB47EB13C86}" type="pres">
      <dgm:prSet presAssocID="{626818A8-4995-4F1C-9A7B-3BBC85E97AA8}" presName="rootConnector3" presStyleLbl="asst1" presStyleIdx="0" presStyleCnt="5"/>
      <dgm:spPr/>
      <dgm:t>
        <a:bodyPr/>
        <a:lstStyle/>
        <a:p>
          <a:endParaRPr lang="en-US"/>
        </a:p>
      </dgm:t>
    </dgm:pt>
    <dgm:pt modelId="{32676DAE-2DED-4D86-8E6A-5CFFFB7C3FC5}" type="pres">
      <dgm:prSet presAssocID="{626818A8-4995-4F1C-9A7B-3BBC85E97AA8}" presName="hierChild6" presStyleCnt="0"/>
      <dgm:spPr/>
    </dgm:pt>
    <dgm:pt modelId="{632EAA1F-EE38-402F-AF75-D99C0B991DFA}" type="pres">
      <dgm:prSet presAssocID="{626818A8-4995-4F1C-9A7B-3BBC85E97AA8}" presName="hierChild7" presStyleCnt="0"/>
      <dgm:spPr/>
    </dgm:pt>
    <dgm:pt modelId="{E9940DC3-80F6-43C8-B885-7D4E1B7996A4}" type="pres">
      <dgm:prSet presAssocID="{05261BD3-AD9C-43F0-A7F0-7436FEFCB015}" presName="Name96" presStyleLbl="parChTrans1D3" presStyleIdx="0" presStyleCnt="2"/>
      <dgm:spPr/>
      <dgm:t>
        <a:bodyPr/>
        <a:lstStyle/>
        <a:p>
          <a:endParaRPr lang="en-US"/>
        </a:p>
      </dgm:t>
    </dgm:pt>
    <dgm:pt modelId="{A55D92DD-B6A1-4939-ABFB-99722AE0E196}" type="pres">
      <dgm:prSet presAssocID="{B5A52D3F-EE89-4287-AD78-A8260A5D9DFF}" presName="hierRoot3" presStyleCnt="0">
        <dgm:presLayoutVars>
          <dgm:hierBranch val="init"/>
        </dgm:presLayoutVars>
      </dgm:prSet>
      <dgm:spPr/>
    </dgm:pt>
    <dgm:pt modelId="{B8867BD7-A298-4E09-9708-62F3ADD4E126}" type="pres">
      <dgm:prSet presAssocID="{B5A52D3F-EE89-4287-AD78-A8260A5D9DFF}" presName="rootComposite3" presStyleCnt="0"/>
      <dgm:spPr/>
    </dgm:pt>
    <dgm:pt modelId="{B705B59A-3E76-4F03-A683-0984B5F75565}" type="pres">
      <dgm:prSet presAssocID="{B5A52D3F-EE89-4287-AD78-A8260A5D9DFF}" presName="rootText3" presStyleLbl="asst1" presStyleIdx="1" presStyleCnt="5">
        <dgm:presLayoutVars>
          <dgm:chPref val="3"/>
        </dgm:presLayoutVars>
      </dgm:prSet>
      <dgm:spPr/>
      <dgm:t>
        <a:bodyPr/>
        <a:lstStyle/>
        <a:p>
          <a:endParaRPr lang="en-US"/>
        </a:p>
      </dgm:t>
    </dgm:pt>
    <dgm:pt modelId="{18D1C728-EA4F-46FE-B3DC-6E2C03934EEB}" type="pres">
      <dgm:prSet presAssocID="{B5A52D3F-EE89-4287-AD78-A8260A5D9DFF}" presName="titleText3" presStyleLbl="fgAcc2" presStyleIdx="1" presStyleCnt="5">
        <dgm:presLayoutVars>
          <dgm:chMax val="0"/>
          <dgm:chPref val="0"/>
        </dgm:presLayoutVars>
      </dgm:prSet>
      <dgm:spPr/>
      <dgm:t>
        <a:bodyPr/>
        <a:lstStyle/>
        <a:p>
          <a:endParaRPr lang="en-US"/>
        </a:p>
      </dgm:t>
    </dgm:pt>
    <dgm:pt modelId="{FB12281E-E4E6-46A2-8CAB-88DC5DC0FAC8}" type="pres">
      <dgm:prSet presAssocID="{B5A52D3F-EE89-4287-AD78-A8260A5D9DFF}" presName="rootConnector3" presStyleLbl="asst1" presStyleIdx="1" presStyleCnt="5"/>
      <dgm:spPr/>
      <dgm:t>
        <a:bodyPr/>
        <a:lstStyle/>
        <a:p>
          <a:endParaRPr lang="en-US"/>
        </a:p>
      </dgm:t>
    </dgm:pt>
    <dgm:pt modelId="{A569248D-D7A3-452E-9809-55A9BA27891F}" type="pres">
      <dgm:prSet presAssocID="{B5A52D3F-EE89-4287-AD78-A8260A5D9DFF}" presName="hierChild6" presStyleCnt="0"/>
      <dgm:spPr/>
    </dgm:pt>
    <dgm:pt modelId="{49EB06E8-09B4-4575-B268-9D717DF8F22E}" type="pres">
      <dgm:prSet presAssocID="{B5A52D3F-EE89-4287-AD78-A8260A5D9DFF}" presName="hierChild7" presStyleCnt="0"/>
      <dgm:spPr/>
    </dgm:pt>
    <dgm:pt modelId="{6FED9207-333E-4312-8684-C146CA1D4EA8}" type="pres">
      <dgm:prSet presAssocID="{6F182E3E-5312-4914-B1F1-B90EE8C69DD9}" presName="Name96" presStyleLbl="parChTrans1D4" presStyleIdx="0" presStyleCnt="3"/>
      <dgm:spPr/>
      <dgm:t>
        <a:bodyPr/>
        <a:lstStyle/>
        <a:p>
          <a:endParaRPr lang="en-US"/>
        </a:p>
      </dgm:t>
    </dgm:pt>
    <dgm:pt modelId="{9AD3FCE1-B2F3-4B9C-99B5-D04A70C52DA0}" type="pres">
      <dgm:prSet presAssocID="{03D47DCB-FE39-47C7-8001-960591557A9F}" presName="hierRoot3" presStyleCnt="0">
        <dgm:presLayoutVars>
          <dgm:hierBranch val="init"/>
        </dgm:presLayoutVars>
      </dgm:prSet>
      <dgm:spPr/>
    </dgm:pt>
    <dgm:pt modelId="{1F857D38-C377-43A8-B414-C50938D72462}" type="pres">
      <dgm:prSet presAssocID="{03D47DCB-FE39-47C7-8001-960591557A9F}" presName="rootComposite3" presStyleCnt="0"/>
      <dgm:spPr/>
    </dgm:pt>
    <dgm:pt modelId="{D36AD6BC-AB02-4FC3-9F8A-E707179B2E09}" type="pres">
      <dgm:prSet presAssocID="{03D47DCB-FE39-47C7-8001-960591557A9F}" presName="rootText3" presStyleLbl="asst1" presStyleIdx="2" presStyleCnt="5" custLinFactNeighborX="3080">
        <dgm:presLayoutVars>
          <dgm:chPref val="3"/>
        </dgm:presLayoutVars>
      </dgm:prSet>
      <dgm:spPr/>
      <dgm:t>
        <a:bodyPr/>
        <a:lstStyle/>
        <a:p>
          <a:endParaRPr lang="en-US"/>
        </a:p>
      </dgm:t>
    </dgm:pt>
    <dgm:pt modelId="{18140B57-BC6D-4D97-8CE6-5FE2E19C19DF}" type="pres">
      <dgm:prSet presAssocID="{03D47DCB-FE39-47C7-8001-960591557A9F}" presName="titleText3" presStyleLbl="fgAcc2" presStyleIdx="2" presStyleCnt="5">
        <dgm:presLayoutVars>
          <dgm:chMax val="0"/>
          <dgm:chPref val="0"/>
        </dgm:presLayoutVars>
      </dgm:prSet>
      <dgm:spPr/>
      <dgm:t>
        <a:bodyPr/>
        <a:lstStyle/>
        <a:p>
          <a:endParaRPr lang="en-US"/>
        </a:p>
      </dgm:t>
    </dgm:pt>
    <dgm:pt modelId="{07276AFE-6803-41BC-A16D-04692699A980}" type="pres">
      <dgm:prSet presAssocID="{03D47DCB-FE39-47C7-8001-960591557A9F}" presName="rootConnector3" presStyleLbl="asst1" presStyleIdx="2" presStyleCnt="5"/>
      <dgm:spPr/>
      <dgm:t>
        <a:bodyPr/>
        <a:lstStyle/>
        <a:p>
          <a:endParaRPr lang="en-US"/>
        </a:p>
      </dgm:t>
    </dgm:pt>
    <dgm:pt modelId="{13E4BEF5-A5AF-4732-8775-23FDED5F4DBB}" type="pres">
      <dgm:prSet presAssocID="{03D47DCB-FE39-47C7-8001-960591557A9F}" presName="hierChild6" presStyleCnt="0"/>
      <dgm:spPr/>
    </dgm:pt>
    <dgm:pt modelId="{F4F01BE7-0637-4553-9557-480C4D8375CA}" type="pres">
      <dgm:prSet presAssocID="{03D47DCB-FE39-47C7-8001-960591557A9F}" presName="hierChild7" presStyleCnt="0"/>
      <dgm:spPr/>
    </dgm:pt>
    <dgm:pt modelId="{A4FAFEBF-B4D0-467C-AB4B-D22DAE96F322}" type="pres">
      <dgm:prSet presAssocID="{5F2A93FE-9142-44D8-B86A-1393AB1C7BEA}" presName="Name96" presStyleLbl="parChTrans1D4" presStyleIdx="1" presStyleCnt="3"/>
      <dgm:spPr/>
      <dgm:t>
        <a:bodyPr/>
        <a:lstStyle/>
        <a:p>
          <a:endParaRPr lang="en-US"/>
        </a:p>
      </dgm:t>
    </dgm:pt>
    <dgm:pt modelId="{2C3275C2-AE5A-4A6A-BA52-3F933E9C4F22}" type="pres">
      <dgm:prSet presAssocID="{4AE8C1EF-BCFC-4F9F-8EF2-C4DC4B4ECD7D}" presName="hierRoot3" presStyleCnt="0">
        <dgm:presLayoutVars>
          <dgm:hierBranch val="init"/>
        </dgm:presLayoutVars>
      </dgm:prSet>
      <dgm:spPr/>
    </dgm:pt>
    <dgm:pt modelId="{2F87B94E-3D47-4FF7-B39F-F39877C512E3}" type="pres">
      <dgm:prSet presAssocID="{4AE8C1EF-BCFC-4F9F-8EF2-C4DC4B4ECD7D}" presName="rootComposite3" presStyleCnt="0"/>
      <dgm:spPr/>
    </dgm:pt>
    <dgm:pt modelId="{09BBBB50-75EF-4D83-8F38-05064D5CA477}" type="pres">
      <dgm:prSet presAssocID="{4AE8C1EF-BCFC-4F9F-8EF2-C4DC4B4ECD7D}" presName="rootText3" presStyleLbl="asst1" presStyleIdx="3" presStyleCnt="5">
        <dgm:presLayoutVars>
          <dgm:chPref val="3"/>
        </dgm:presLayoutVars>
      </dgm:prSet>
      <dgm:spPr/>
      <dgm:t>
        <a:bodyPr/>
        <a:lstStyle/>
        <a:p>
          <a:endParaRPr lang="en-US"/>
        </a:p>
      </dgm:t>
    </dgm:pt>
    <dgm:pt modelId="{1858692D-93E3-49E8-9325-2FFCE615FC45}" type="pres">
      <dgm:prSet presAssocID="{4AE8C1EF-BCFC-4F9F-8EF2-C4DC4B4ECD7D}" presName="titleText3" presStyleLbl="fgAcc2" presStyleIdx="3" presStyleCnt="5">
        <dgm:presLayoutVars>
          <dgm:chMax val="0"/>
          <dgm:chPref val="0"/>
        </dgm:presLayoutVars>
      </dgm:prSet>
      <dgm:spPr/>
      <dgm:t>
        <a:bodyPr/>
        <a:lstStyle/>
        <a:p>
          <a:endParaRPr lang="en-US"/>
        </a:p>
      </dgm:t>
    </dgm:pt>
    <dgm:pt modelId="{389FFBB8-7254-47AA-BF9B-32AC53C1E71A}" type="pres">
      <dgm:prSet presAssocID="{4AE8C1EF-BCFC-4F9F-8EF2-C4DC4B4ECD7D}" presName="rootConnector3" presStyleLbl="asst1" presStyleIdx="3" presStyleCnt="5"/>
      <dgm:spPr/>
      <dgm:t>
        <a:bodyPr/>
        <a:lstStyle/>
        <a:p>
          <a:endParaRPr lang="en-US"/>
        </a:p>
      </dgm:t>
    </dgm:pt>
    <dgm:pt modelId="{AC358C86-802E-4664-ADA8-34D095DB8038}" type="pres">
      <dgm:prSet presAssocID="{4AE8C1EF-BCFC-4F9F-8EF2-C4DC4B4ECD7D}" presName="hierChild6" presStyleCnt="0"/>
      <dgm:spPr/>
    </dgm:pt>
    <dgm:pt modelId="{2E5FAF92-7B81-4B14-A22F-60E897032CA3}" type="pres">
      <dgm:prSet presAssocID="{4AE8C1EF-BCFC-4F9F-8EF2-C4DC4B4ECD7D}" presName="hierChild7" presStyleCnt="0"/>
      <dgm:spPr/>
    </dgm:pt>
    <dgm:pt modelId="{4676D5E5-4F89-4B3C-BEE2-BF8F7CA45102}" type="pres">
      <dgm:prSet presAssocID="{3163FA86-1B2F-4D78-BBDE-E6E674206043}" presName="Name96" presStyleLbl="parChTrans1D2" presStyleIdx="1" presStyleCnt="2"/>
      <dgm:spPr/>
      <dgm:t>
        <a:bodyPr/>
        <a:lstStyle/>
        <a:p>
          <a:endParaRPr lang="en-US"/>
        </a:p>
      </dgm:t>
    </dgm:pt>
    <dgm:pt modelId="{022E3A91-4306-4146-8340-59EF26018B91}" type="pres">
      <dgm:prSet presAssocID="{22049809-D701-4EE4-AE74-0758E3F7FA72}" presName="hierRoot3" presStyleCnt="0">
        <dgm:presLayoutVars>
          <dgm:hierBranch val="init"/>
        </dgm:presLayoutVars>
      </dgm:prSet>
      <dgm:spPr/>
    </dgm:pt>
    <dgm:pt modelId="{D00CF95A-A59F-4E29-83F9-B7B90F391F67}" type="pres">
      <dgm:prSet presAssocID="{22049809-D701-4EE4-AE74-0758E3F7FA72}" presName="rootComposite3" presStyleCnt="0"/>
      <dgm:spPr/>
    </dgm:pt>
    <dgm:pt modelId="{69EFCBC2-908D-4C9F-B47D-B29617962B4C}" type="pres">
      <dgm:prSet presAssocID="{22049809-D701-4EE4-AE74-0758E3F7FA72}" presName="rootText3" presStyleLbl="asst1" presStyleIdx="4" presStyleCnt="5">
        <dgm:presLayoutVars>
          <dgm:chPref val="3"/>
        </dgm:presLayoutVars>
      </dgm:prSet>
      <dgm:spPr/>
      <dgm:t>
        <a:bodyPr/>
        <a:lstStyle/>
        <a:p>
          <a:endParaRPr lang="en-US"/>
        </a:p>
      </dgm:t>
    </dgm:pt>
    <dgm:pt modelId="{DB4AAC20-C740-4771-A27F-24C085B81FE0}" type="pres">
      <dgm:prSet presAssocID="{22049809-D701-4EE4-AE74-0758E3F7FA72}" presName="titleText3" presStyleLbl="fgAcc2" presStyleIdx="4" presStyleCnt="5">
        <dgm:presLayoutVars>
          <dgm:chMax val="0"/>
          <dgm:chPref val="0"/>
        </dgm:presLayoutVars>
      </dgm:prSet>
      <dgm:spPr/>
      <dgm:t>
        <a:bodyPr/>
        <a:lstStyle/>
        <a:p>
          <a:endParaRPr lang="en-US"/>
        </a:p>
      </dgm:t>
    </dgm:pt>
    <dgm:pt modelId="{74D451B1-9780-4CA9-872A-414D43E99039}" type="pres">
      <dgm:prSet presAssocID="{22049809-D701-4EE4-AE74-0758E3F7FA72}" presName="rootConnector3" presStyleLbl="asst1" presStyleIdx="4" presStyleCnt="5"/>
      <dgm:spPr/>
      <dgm:t>
        <a:bodyPr/>
        <a:lstStyle/>
        <a:p>
          <a:endParaRPr lang="en-US"/>
        </a:p>
      </dgm:t>
    </dgm:pt>
    <dgm:pt modelId="{6B4B6047-27BF-4ECF-A90D-9225EB201086}" type="pres">
      <dgm:prSet presAssocID="{22049809-D701-4EE4-AE74-0758E3F7FA72}" presName="hierChild6" presStyleCnt="0"/>
      <dgm:spPr/>
    </dgm:pt>
    <dgm:pt modelId="{9A2E20A9-DCD6-47A1-B47E-28E9BE47A9E3}" type="pres">
      <dgm:prSet presAssocID="{F3596582-32CB-4216-A9B2-9501BC4E03B4}" presName="Name37" presStyleLbl="parChTrans1D3" presStyleIdx="1" presStyleCnt="2"/>
      <dgm:spPr/>
      <dgm:t>
        <a:bodyPr/>
        <a:lstStyle/>
        <a:p>
          <a:endParaRPr lang="en-US"/>
        </a:p>
      </dgm:t>
    </dgm:pt>
    <dgm:pt modelId="{A124B840-330B-40A2-B3F9-6952CB2C40CF}" type="pres">
      <dgm:prSet presAssocID="{1C5EDF09-31E9-45F6-8AD5-2BA15F25BDCD}" presName="hierRoot2" presStyleCnt="0">
        <dgm:presLayoutVars>
          <dgm:hierBranch val="init"/>
        </dgm:presLayoutVars>
      </dgm:prSet>
      <dgm:spPr/>
    </dgm:pt>
    <dgm:pt modelId="{2B744A31-B9C0-40F0-BEF6-3CB67352465F}" type="pres">
      <dgm:prSet presAssocID="{1C5EDF09-31E9-45F6-8AD5-2BA15F25BDCD}" presName="rootComposite" presStyleCnt="0"/>
      <dgm:spPr/>
    </dgm:pt>
    <dgm:pt modelId="{3239A8BB-B7F3-4115-90A8-21F9DA219B54}" type="pres">
      <dgm:prSet presAssocID="{1C5EDF09-31E9-45F6-8AD5-2BA15F25BDCD}" presName="rootText" presStyleLbl="node1" presStyleIdx="0" presStyleCnt="2">
        <dgm:presLayoutVars>
          <dgm:chMax/>
          <dgm:chPref val="3"/>
        </dgm:presLayoutVars>
      </dgm:prSet>
      <dgm:spPr/>
      <dgm:t>
        <a:bodyPr/>
        <a:lstStyle/>
        <a:p>
          <a:endParaRPr lang="en-US"/>
        </a:p>
      </dgm:t>
    </dgm:pt>
    <dgm:pt modelId="{175253B8-B182-4955-845A-65B3F4B4F5EC}" type="pres">
      <dgm:prSet presAssocID="{1C5EDF09-31E9-45F6-8AD5-2BA15F25BDCD}" presName="titleText2" presStyleLbl="fgAcc1" presStyleIdx="0" presStyleCnt="2">
        <dgm:presLayoutVars>
          <dgm:chMax val="0"/>
          <dgm:chPref val="0"/>
        </dgm:presLayoutVars>
      </dgm:prSet>
      <dgm:spPr/>
      <dgm:t>
        <a:bodyPr/>
        <a:lstStyle/>
        <a:p>
          <a:endParaRPr lang="en-US"/>
        </a:p>
      </dgm:t>
    </dgm:pt>
    <dgm:pt modelId="{505C5108-8A3B-41FE-986B-3275E862B4CB}" type="pres">
      <dgm:prSet presAssocID="{1C5EDF09-31E9-45F6-8AD5-2BA15F25BDCD}" presName="rootConnector" presStyleLbl="node3" presStyleIdx="0" presStyleCnt="0"/>
      <dgm:spPr/>
      <dgm:t>
        <a:bodyPr/>
        <a:lstStyle/>
        <a:p>
          <a:endParaRPr lang="en-US"/>
        </a:p>
      </dgm:t>
    </dgm:pt>
    <dgm:pt modelId="{DE13829B-C422-4BF1-8B6D-DC66FB9BBB51}" type="pres">
      <dgm:prSet presAssocID="{1C5EDF09-31E9-45F6-8AD5-2BA15F25BDCD}" presName="hierChild4" presStyleCnt="0"/>
      <dgm:spPr/>
    </dgm:pt>
    <dgm:pt modelId="{B4F77DC6-967E-4865-A4CC-F8E084164F3E}" type="pres">
      <dgm:prSet presAssocID="{14D27924-6DE1-4C7E-8629-8E3B1337DC94}" presName="Name37" presStyleLbl="parChTrans1D4" presStyleIdx="2" presStyleCnt="3"/>
      <dgm:spPr/>
      <dgm:t>
        <a:bodyPr/>
        <a:lstStyle/>
        <a:p>
          <a:endParaRPr lang="en-US"/>
        </a:p>
      </dgm:t>
    </dgm:pt>
    <dgm:pt modelId="{D26375BF-3D4C-47B0-ABDD-703DD760FCDD}" type="pres">
      <dgm:prSet presAssocID="{A91D68A7-AFF2-4359-A0A1-5F4A46DD9B23}" presName="hierRoot2" presStyleCnt="0">
        <dgm:presLayoutVars>
          <dgm:hierBranch val="init"/>
        </dgm:presLayoutVars>
      </dgm:prSet>
      <dgm:spPr/>
    </dgm:pt>
    <dgm:pt modelId="{C7F702F7-8B6F-490D-A1C9-B7E0A40260E8}" type="pres">
      <dgm:prSet presAssocID="{A91D68A7-AFF2-4359-A0A1-5F4A46DD9B23}" presName="rootComposite" presStyleCnt="0"/>
      <dgm:spPr/>
    </dgm:pt>
    <dgm:pt modelId="{DCD7C067-D40A-4C7E-874E-107A5B0CBFE3}" type="pres">
      <dgm:prSet presAssocID="{A91D68A7-AFF2-4359-A0A1-5F4A46DD9B23}" presName="rootText" presStyleLbl="node1" presStyleIdx="1" presStyleCnt="2">
        <dgm:presLayoutVars>
          <dgm:chMax/>
          <dgm:chPref val="3"/>
        </dgm:presLayoutVars>
      </dgm:prSet>
      <dgm:spPr/>
      <dgm:t>
        <a:bodyPr/>
        <a:lstStyle/>
        <a:p>
          <a:endParaRPr lang="en-US"/>
        </a:p>
      </dgm:t>
    </dgm:pt>
    <dgm:pt modelId="{82EF9BA4-CEEB-434D-9127-7DA157D7C439}" type="pres">
      <dgm:prSet presAssocID="{A91D68A7-AFF2-4359-A0A1-5F4A46DD9B23}" presName="titleText2" presStyleLbl="fgAcc1" presStyleIdx="1" presStyleCnt="2">
        <dgm:presLayoutVars>
          <dgm:chMax val="0"/>
          <dgm:chPref val="0"/>
        </dgm:presLayoutVars>
      </dgm:prSet>
      <dgm:spPr/>
      <dgm:t>
        <a:bodyPr/>
        <a:lstStyle/>
        <a:p>
          <a:endParaRPr lang="en-US"/>
        </a:p>
      </dgm:t>
    </dgm:pt>
    <dgm:pt modelId="{81452273-9272-4056-A36A-4F43EBE4CE9A}" type="pres">
      <dgm:prSet presAssocID="{A91D68A7-AFF2-4359-A0A1-5F4A46DD9B23}" presName="rootConnector" presStyleLbl="node4" presStyleIdx="0" presStyleCnt="0"/>
      <dgm:spPr/>
      <dgm:t>
        <a:bodyPr/>
        <a:lstStyle/>
        <a:p>
          <a:endParaRPr lang="en-US"/>
        </a:p>
      </dgm:t>
    </dgm:pt>
    <dgm:pt modelId="{B74FB399-DEED-49EE-9D87-84FFA9263BF4}" type="pres">
      <dgm:prSet presAssocID="{A91D68A7-AFF2-4359-A0A1-5F4A46DD9B23}" presName="hierChild4" presStyleCnt="0"/>
      <dgm:spPr/>
    </dgm:pt>
    <dgm:pt modelId="{86B3F4E7-6B5C-4198-BC2C-032ED780EB36}" type="pres">
      <dgm:prSet presAssocID="{A91D68A7-AFF2-4359-A0A1-5F4A46DD9B23}" presName="hierChild5" presStyleCnt="0"/>
      <dgm:spPr/>
    </dgm:pt>
    <dgm:pt modelId="{CA551FE6-445D-40AC-9794-3C73DD48949C}" type="pres">
      <dgm:prSet presAssocID="{1C5EDF09-31E9-45F6-8AD5-2BA15F25BDCD}" presName="hierChild5" presStyleCnt="0"/>
      <dgm:spPr/>
    </dgm:pt>
    <dgm:pt modelId="{D3C3D2EA-255A-4805-8AA4-2AFBA16A2572}" type="pres">
      <dgm:prSet presAssocID="{22049809-D701-4EE4-AE74-0758E3F7FA72}" presName="hierChild7" presStyleCnt="0"/>
      <dgm:spPr/>
    </dgm:pt>
  </dgm:ptLst>
  <dgm:cxnLst>
    <dgm:cxn modelId="{E8F44647-DFB1-48F8-8645-EF6CDACB974A}" type="presOf" srcId="{46B55DAB-BF18-4F31-A089-4BA2DBCD9BFE}" destId="{B4F87CFA-1956-45C4-B4F1-E58B20881B7D}" srcOrd="0" destOrd="0" presId="urn:microsoft.com/office/officeart/2008/layout/NameandTitleOrganizationalChart"/>
    <dgm:cxn modelId="{E55DC8BE-3D0D-4A47-BD14-364BBB4EC329}" type="presOf" srcId="{53FDE451-D7D1-4186-8461-7355A463154C}" destId="{18140B57-BC6D-4D97-8CE6-5FE2E19C19DF}" srcOrd="0" destOrd="0" presId="urn:microsoft.com/office/officeart/2008/layout/NameandTitleOrganizationalChart"/>
    <dgm:cxn modelId="{5BC7FC63-A069-42C8-94E0-8C03CF95F178}" type="presOf" srcId="{03D47DCB-FE39-47C7-8001-960591557A9F}" destId="{D36AD6BC-AB02-4FC3-9F8A-E707179B2E09}" srcOrd="0" destOrd="0" presId="urn:microsoft.com/office/officeart/2008/layout/NameandTitleOrganizationalChart"/>
    <dgm:cxn modelId="{A082D1E8-24E8-49E7-A46C-758EEFA6B06E}" type="presOf" srcId="{BFD3D205-4F00-4F5B-8C30-3113673B3ED6}" destId="{1858692D-93E3-49E8-9325-2FFCE615FC45}" srcOrd="0" destOrd="0" presId="urn:microsoft.com/office/officeart/2008/layout/NameandTitleOrganizationalChart"/>
    <dgm:cxn modelId="{CF197131-8FC6-4B2E-85AE-22DC17658B02}" type="presOf" srcId="{22049809-D701-4EE4-AE74-0758E3F7FA72}" destId="{74D451B1-9780-4CA9-872A-414D43E99039}" srcOrd="1" destOrd="0" presId="urn:microsoft.com/office/officeart/2008/layout/NameandTitleOrganizationalChart"/>
    <dgm:cxn modelId="{62DBEA21-1C06-42B7-B09C-2B9695544D8E}" type="presOf" srcId="{22049809-D701-4EE4-AE74-0758E3F7FA72}" destId="{69EFCBC2-908D-4C9F-B47D-B29617962B4C}" srcOrd="0" destOrd="0" presId="urn:microsoft.com/office/officeart/2008/layout/NameandTitleOrganizationalChart"/>
    <dgm:cxn modelId="{2A030CCB-C5B3-4B0C-8299-047E3195AF39}" type="presOf" srcId="{5F2A93FE-9142-44D8-B86A-1393AB1C7BEA}" destId="{A4FAFEBF-B4D0-467C-AB4B-D22DAE96F322}" srcOrd="0" destOrd="0" presId="urn:microsoft.com/office/officeart/2008/layout/NameandTitleOrganizationalChart"/>
    <dgm:cxn modelId="{329FECD2-8BEC-4C5A-8704-2BE9EB9FF5C0}" type="presOf" srcId="{03D47DCB-FE39-47C7-8001-960591557A9F}" destId="{07276AFE-6803-41BC-A16D-04692699A980}" srcOrd="1" destOrd="0" presId="urn:microsoft.com/office/officeart/2008/layout/NameandTitleOrganizationalChart"/>
    <dgm:cxn modelId="{76AB2470-455E-401B-8272-B41D1DF9D5E2}" srcId="{B5A52D3F-EE89-4287-AD78-A8260A5D9DFF}" destId="{03D47DCB-FE39-47C7-8001-960591557A9F}" srcOrd="0" destOrd="0" parTransId="{6F182E3E-5312-4914-B1F1-B90EE8C69DD9}" sibTransId="{53FDE451-D7D1-4186-8461-7355A463154C}"/>
    <dgm:cxn modelId="{E63D8B7D-3460-4FE3-BB4E-0EE4BFEEA9F9}" srcId="{22049809-D701-4EE4-AE74-0758E3F7FA72}" destId="{1C5EDF09-31E9-45F6-8AD5-2BA15F25BDCD}" srcOrd="0" destOrd="0" parTransId="{F3596582-32CB-4216-A9B2-9501BC4E03B4}" sibTransId="{BE3A0E51-CD82-490D-AD6F-7C50938A27EA}"/>
    <dgm:cxn modelId="{B183886D-38E6-4E50-85AE-8AEC03441C52}" type="presOf" srcId="{1C5EDF09-31E9-45F6-8AD5-2BA15F25BDCD}" destId="{3239A8BB-B7F3-4115-90A8-21F9DA219B54}" srcOrd="0" destOrd="0" presId="urn:microsoft.com/office/officeart/2008/layout/NameandTitleOrganizationalChart"/>
    <dgm:cxn modelId="{A152FF8A-0AD4-4788-B7B6-AB76821DCE17}" type="presOf" srcId="{A91D68A7-AFF2-4359-A0A1-5F4A46DD9B23}" destId="{DCD7C067-D40A-4C7E-874E-107A5B0CBFE3}" srcOrd="0" destOrd="0" presId="urn:microsoft.com/office/officeart/2008/layout/NameandTitleOrganizationalChart"/>
    <dgm:cxn modelId="{A7975DCC-B9EB-4353-999D-46833C5C5636}" srcId="{1C5EDF09-31E9-45F6-8AD5-2BA15F25BDCD}" destId="{A91D68A7-AFF2-4359-A0A1-5F4A46DD9B23}" srcOrd="0" destOrd="0" parTransId="{14D27924-6DE1-4C7E-8629-8E3B1337DC94}" sibTransId="{F90A5080-AD94-4018-9257-8C8D3AC15F2D}"/>
    <dgm:cxn modelId="{C7D3FC51-54E2-41F8-AF0C-4438BA5CCD88}" type="presOf" srcId="{7B1CFA48-E3EC-4380-98AB-62F4769C2725}" destId="{DB4AAC20-C740-4771-A27F-24C085B81FE0}" srcOrd="0" destOrd="0" presId="urn:microsoft.com/office/officeart/2008/layout/NameandTitleOrganizationalChart"/>
    <dgm:cxn modelId="{62DDDF09-7043-407D-AAA4-3B51284F8C88}" type="presOf" srcId="{6F182E3E-5312-4914-B1F1-B90EE8C69DD9}" destId="{6FED9207-333E-4312-8684-C146CA1D4EA8}" srcOrd="0" destOrd="0" presId="urn:microsoft.com/office/officeart/2008/layout/NameandTitleOrganizationalChart"/>
    <dgm:cxn modelId="{3D1655A8-2F30-4B94-9E71-6D04300FDA61}" type="presOf" srcId="{37EEBA6E-802B-47CB-BED6-58F2D318A3E7}" destId="{18D1C728-EA4F-46FE-B3DC-6E2C03934EEB}" srcOrd="0" destOrd="0" presId="urn:microsoft.com/office/officeart/2008/layout/NameandTitleOrganizationalChart"/>
    <dgm:cxn modelId="{457850B5-2BAD-4543-AC6C-CD21DC91BF1E}" srcId="{F6E21A52-E64D-4E58-855A-4B95D06C774A}" destId="{22049809-D701-4EE4-AE74-0758E3F7FA72}" srcOrd="1" destOrd="0" parTransId="{3163FA86-1B2F-4D78-BBDE-E6E674206043}" sibTransId="{7B1CFA48-E3EC-4380-98AB-62F4769C2725}"/>
    <dgm:cxn modelId="{E34BF829-9F46-4959-88EA-BBAAF5D6DE9F}" type="presOf" srcId="{05261BD3-AD9C-43F0-A7F0-7436FEFCB015}" destId="{E9940DC3-80F6-43C8-B885-7D4E1B7996A4}" srcOrd="0" destOrd="0" presId="urn:microsoft.com/office/officeart/2008/layout/NameandTitleOrganizationalChart"/>
    <dgm:cxn modelId="{B7C13A9C-A45F-44C2-9BCB-B9D7CD8CDC80}" srcId="{F6E21A52-E64D-4E58-855A-4B95D06C774A}" destId="{626818A8-4995-4F1C-9A7B-3BBC85E97AA8}" srcOrd="0" destOrd="0" parTransId="{4C7071F8-D232-466E-B342-8FA6E0D7CC12}" sibTransId="{46B55DAB-BF18-4F31-A089-4BA2DBCD9BFE}"/>
    <dgm:cxn modelId="{0720D481-5691-4334-BBF7-1E91C9E0DE2A}" type="presOf" srcId="{4C7071F8-D232-466E-B342-8FA6E0D7CC12}" destId="{90AA02D6-B99F-4492-B144-3F9A5C69D2D9}" srcOrd="0" destOrd="0" presId="urn:microsoft.com/office/officeart/2008/layout/NameandTitleOrganizationalChart"/>
    <dgm:cxn modelId="{8B3C6E80-7092-4A22-937B-8D2066A3C519}" type="presOf" srcId="{BE3A0E51-CD82-490D-AD6F-7C50938A27EA}" destId="{175253B8-B182-4955-845A-65B3F4B4F5EC}" srcOrd="0" destOrd="0" presId="urn:microsoft.com/office/officeart/2008/layout/NameandTitleOrganizationalChart"/>
    <dgm:cxn modelId="{95BF90ED-7959-4DBB-A540-BC70E5336DFF}" type="presOf" srcId="{B5A52D3F-EE89-4287-AD78-A8260A5D9DFF}" destId="{FB12281E-E4E6-46A2-8CAB-88DC5DC0FAC8}" srcOrd="1" destOrd="0" presId="urn:microsoft.com/office/officeart/2008/layout/NameandTitleOrganizationalChart"/>
    <dgm:cxn modelId="{9B845F0F-3C17-4A4B-BB01-0681A52F1052}" type="presOf" srcId="{F3596582-32CB-4216-A9B2-9501BC4E03B4}" destId="{9A2E20A9-DCD6-47A1-B47E-28E9BE47A9E3}" srcOrd="0" destOrd="0" presId="urn:microsoft.com/office/officeart/2008/layout/NameandTitleOrganizationalChart"/>
    <dgm:cxn modelId="{F60CE337-87D8-4FAE-9260-C7E69935293D}" srcId="{03D47DCB-FE39-47C7-8001-960591557A9F}" destId="{4AE8C1EF-BCFC-4F9F-8EF2-C4DC4B4ECD7D}" srcOrd="0" destOrd="0" parTransId="{5F2A93FE-9142-44D8-B86A-1393AB1C7BEA}" sibTransId="{BFD3D205-4F00-4F5B-8C30-3113673B3ED6}"/>
    <dgm:cxn modelId="{A1092992-A515-4ADA-A671-E72FD6A20410}" type="presOf" srcId="{3163FA86-1B2F-4D78-BBDE-E6E674206043}" destId="{4676D5E5-4F89-4B3C-BEE2-BF8F7CA45102}" srcOrd="0" destOrd="0" presId="urn:microsoft.com/office/officeart/2008/layout/NameandTitleOrganizationalChart"/>
    <dgm:cxn modelId="{E3DC8704-321B-411C-BA74-48EF6C2F0D99}" type="presOf" srcId="{13086E04-355C-40BC-8D09-A0B97BB98664}" destId="{BEF5765B-B684-47C8-9FEA-04FD29042B81}" srcOrd="0" destOrd="0" presId="urn:microsoft.com/office/officeart/2008/layout/NameandTitleOrganizationalChart"/>
    <dgm:cxn modelId="{626A5602-C188-4999-A261-FE7254F17895}" type="presOf" srcId="{626818A8-4995-4F1C-9A7B-3BBC85E97AA8}" destId="{9C082684-6819-488B-90A2-AEB47EB13C86}" srcOrd="1" destOrd="0" presId="urn:microsoft.com/office/officeart/2008/layout/NameandTitleOrganizationalChart"/>
    <dgm:cxn modelId="{FF4308ED-42C0-4543-94D7-E6DB942DEFD0}" type="presOf" srcId="{14D27924-6DE1-4C7E-8629-8E3B1337DC94}" destId="{B4F77DC6-967E-4865-A4CC-F8E084164F3E}" srcOrd="0" destOrd="0" presId="urn:microsoft.com/office/officeart/2008/layout/NameandTitleOrganizationalChart"/>
    <dgm:cxn modelId="{FFB06126-6921-4101-8F95-B59AC18006D9}" type="presOf" srcId="{4AE8C1EF-BCFC-4F9F-8EF2-C4DC4B4ECD7D}" destId="{09BBBB50-75EF-4D83-8F38-05064D5CA477}" srcOrd="0" destOrd="0" presId="urn:microsoft.com/office/officeart/2008/layout/NameandTitleOrganizationalChart"/>
    <dgm:cxn modelId="{61761FFB-3494-432B-9DAE-CCD59869BD1B}" type="presOf" srcId="{F6E21A52-E64D-4E58-855A-4B95D06C774A}" destId="{F3DA2FD1-CFBA-4AAC-912E-9E906865E799}" srcOrd="0" destOrd="0" presId="urn:microsoft.com/office/officeart/2008/layout/NameandTitleOrganizationalChart"/>
    <dgm:cxn modelId="{D9BB3B3F-2E10-43B9-9947-35DC02801C98}" type="presOf" srcId="{F6E21A52-E64D-4E58-855A-4B95D06C774A}" destId="{F6944C49-659E-48F4-AE5B-862C9914DF60}" srcOrd="1" destOrd="0" presId="urn:microsoft.com/office/officeart/2008/layout/NameandTitleOrganizationalChart"/>
    <dgm:cxn modelId="{C623EDA8-A279-48B9-B666-B170D4115B3F}" srcId="{626818A8-4995-4F1C-9A7B-3BBC85E97AA8}" destId="{B5A52D3F-EE89-4287-AD78-A8260A5D9DFF}" srcOrd="0" destOrd="0" parTransId="{05261BD3-AD9C-43F0-A7F0-7436FEFCB015}" sibTransId="{37EEBA6E-802B-47CB-BED6-58F2D318A3E7}"/>
    <dgm:cxn modelId="{252ED558-16FE-408A-9389-B1FA67B6633D}" type="presOf" srcId="{B5A52D3F-EE89-4287-AD78-A8260A5D9DFF}" destId="{B705B59A-3E76-4F03-A683-0984B5F75565}" srcOrd="0" destOrd="0" presId="urn:microsoft.com/office/officeart/2008/layout/NameandTitleOrganizationalChart"/>
    <dgm:cxn modelId="{5934F203-0A04-4929-83EE-F2B8D7EDBB2D}" srcId="{72CF0A28-25D0-4CE3-8418-2451C1F94403}" destId="{F6E21A52-E64D-4E58-855A-4B95D06C774A}" srcOrd="0" destOrd="0" parTransId="{81AE27CA-036C-4873-83EC-444D6D4D4CF9}" sibTransId="{13086E04-355C-40BC-8D09-A0B97BB98664}"/>
    <dgm:cxn modelId="{4DC79122-5E4D-4165-9032-712A0C1CFB69}" type="presOf" srcId="{A91D68A7-AFF2-4359-A0A1-5F4A46DD9B23}" destId="{81452273-9272-4056-A36A-4F43EBE4CE9A}" srcOrd="1" destOrd="0" presId="urn:microsoft.com/office/officeart/2008/layout/NameandTitleOrganizationalChart"/>
    <dgm:cxn modelId="{AFF3843F-035C-462C-9D3F-2C37E4203DD1}" type="presOf" srcId="{4AE8C1EF-BCFC-4F9F-8EF2-C4DC4B4ECD7D}" destId="{389FFBB8-7254-47AA-BF9B-32AC53C1E71A}" srcOrd="1" destOrd="0" presId="urn:microsoft.com/office/officeart/2008/layout/NameandTitleOrganizationalChart"/>
    <dgm:cxn modelId="{0A17933C-501D-4252-A67A-F01E718A9BBE}" type="presOf" srcId="{626818A8-4995-4F1C-9A7B-3BBC85E97AA8}" destId="{6C0CA625-1B41-4028-B218-E53472BF6C9E}" srcOrd="0" destOrd="0" presId="urn:microsoft.com/office/officeart/2008/layout/NameandTitleOrganizationalChart"/>
    <dgm:cxn modelId="{56738A74-9924-4ED1-BC5A-B8F08C9726D4}" type="presOf" srcId="{72CF0A28-25D0-4CE3-8418-2451C1F94403}" destId="{62BC356D-5963-4347-B810-53E61F5CDF46}" srcOrd="0" destOrd="0" presId="urn:microsoft.com/office/officeart/2008/layout/NameandTitleOrganizationalChart"/>
    <dgm:cxn modelId="{2069E99E-3523-4E43-8660-2606612E0379}" type="presOf" srcId="{1C5EDF09-31E9-45F6-8AD5-2BA15F25BDCD}" destId="{505C5108-8A3B-41FE-986B-3275E862B4CB}" srcOrd="1" destOrd="0" presId="urn:microsoft.com/office/officeart/2008/layout/NameandTitleOrganizationalChart"/>
    <dgm:cxn modelId="{CF536EE5-EE41-40D7-AA35-B36A669F67EF}" type="presOf" srcId="{F90A5080-AD94-4018-9257-8C8D3AC15F2D}" destId="{82EF9BA4-CEEB-434D-9127-7DA157D7C439}" srcOrd="0" destOrd="0" presId="urn:microsoft.com/office/officeart/2008/layout/NameandTitleOrganizationalChart"/>
    <dgm:cxn modelId="{75606CC4-DD44-4AE9-B9B2-E1DE1224AD37}" type="presParOf" srcId="{62BC356D-5963-4347-B810-53E61F5CDF46}" destId="{05213563-32DC-44A0-BBB1-7529A92F1A97}" srcOrd="0" destOrd="0" presId="urn:microsoft.com/office/officeart/2008/layout/NameandTitleOrganizationalChart"/>
    <dgm:cxn modelId="{D15D5F63-B02E-4FF2-8E31-E94ED96F0F6A}" type="presParOf" srcId="{05213563-32DC-44A0-BBB1-7529A92F1A97}" destId="{1AB669DE-D454-40E0-BD34-51A9501FB467}" srcOrd="0" destOrd="0" presId="urn:microsoft.com/office/officeart/2008/layout/NameandTitleOrganizationalChart"/>
    <dgm:cxn modelId="{D3AE81AB-1B9E-4DEE-97AA-494BC305F73D}" type="presParOf" srcId="{1AB669DE-D454-40E0-BD34-51A9501FB467}" destId="{F3DA2FD1-CFBA-4AAC-912E-9E906865E799}" srcOrd="0" destOrd="0" presId="urn:microsoft.com/office/officeart/2008/layout/NameandTitleOrganizationalChart"/>
    <dgm:cxn modelId="{180A19DE-6B22-451E-94BB-A2EE129A081A}" type="presParOf" srcId="{1AB669DE-D454-40E0-BD34-51A9501FB467}" destId="{BEF5765B-B684-47C8-9FEA-04FD29042B81}" srcOrd="1" destOrd="0" presId="urn:microsoft.com/office/officeart/2008/layout/NameandTitleOrganizationalChart"/>
    <dgm:cxn modelId="{3A023D8E-B96B-4B13-99E7-116EEEC5710D}" type="presParOf" srcId="{1AB669DE-D454-40E0-BD34-51A9501FB467}" destId="{F6944C49-659E-48F4-AE5B-862C9914DF60}" srcOrd="2" destOrd="0" presId="urn:microsoft.com/office/officeart/2008/layout/NameandTitleOrganizationalChart"/>
    <dgm:cxn modelId="{BE496FE7-5ADB-45A6-81A4-FD0E607129AB}" type="presParOf" srcId="{05213563-32DC-44A0-BBB1-7529A92F1A97}" destId="{4FD9B800-721C-4EA8-9387-D11756105FD6}" srcOrd="1" destOrd="0" presId="urn:microsoft.com/office/officeart/2008/layout/NameandTitleOrganizationalChart"/>
    <dgm:cxn modelId="{6E349FC6-E441-4778-A3FF-0108251B8572}" type="presParOf" srcId="{05213563-32DC-44A0-BBB1-7529A92F1A97}" destId="{392AFD49-9987-4DFE-B568-87F9A4DF9E17}" srcOrd="2" destOrd="0" presId="urn:microsoft.com/office/officeart/2008/layout/NameandTitleOrganizationalChart"/>
    <dgm:cxn modelId="{BEC1C49B-50CA-47C9-9A7A-3FA0AAA5835C}" type="presParOf" srcId="{392AFD49-9987-4DFE-B568-87F9A4DF9E17}" destId="{90AA02D6-B99F-4492-B144-3F9A5C69D2D9}" srcOrd="0" destOrd="0" presId="urn:microsoft.com/office/officeart/2008/layout/NameandTitleOrganizationalChart"/>
    <dgm:cxn modelId="{BD91A075-C0DE-4461-A247-3E57FF7ED40D}" type="presParOf" srcId="{392AFD49-9987-4DFE-B568-87F9A4DF9E17}" destId="{DA066763-55AE-4F2F-A63E-6B623A7AC480}" srcOrd="1" destOrd="0" presId="urn:microsoft.com/office/officeart/2008/layout/NameandTitleOrganizationalChart"/>
    <dgm:cxn modelId="{2EE0883D-3117-4094-BFC7-AE434D739565}" type="presParOf" srcId="{DA066763-55AE-4F2F-A63E-6B623A7AC480}" destId="{0C9A4344-65A6-44C5-8851-6AC6CBADBD2F}" srcOrd="0" destOrd="0" presId="urn:microsoft.com/office/officeart/2008/layout/NameandTitleOrganizationalChart"/>
    <dgm:cxn modelId="{FC09ED6B-3BC8-4CDC-BDEE-748C1AA82808}" type="presParOf" srcId="{0C9A4344-65A6-44C5-8851-6AC6CBADBD2F}" destId="{6C0CA625-1B41-4028-B218-E53472BF6C9E}" srcOrd="0" destOrd="0" presId="urn:microsoft.com/office/officeart/2008/layout/NameandTitleOrganizationalChart"/>
    <dgm:cxn modelId="{C528D6E1-6171-486C-A4E9-27D4D6100DD8}" type="presParOf" srcId="{0C9A4344-65A6-44C5-8851-6AC6CBADBD2F}" destId="{B4F87CFA-1956-45C4-B4F1-E58B20881B7D}" srcOrd="1" destOrd="0" presId="urn:microsoft.com/office/officeart/2008/layout/NameandTitleOrganizationalChart"/>
    <dgm:cxn modelId="{B5A985D3-3FA1-4B00-AA19-0A53C172928B}" type="presParOf" srcId="{0C9A4344-65A6-44C5-8851-6AC6CBADBD2F}" destId="{9C082684-6819-488B-90A2-AEB47EB13C86}" srcOrd="2" destOrd="0" presId="urn:microsoft.com/office/officeart/2008/layout/NameandTitleOrganizationalChart"/>
    <dgm:cxn modelId="{F3FF0AD1-79BB-4593-814A-74C488E5FC7A}" type="presParOf" srcId="{DA066763-55AE-4F2F-A63E-6B623A7AC480}" destId="{32676DAE-2DED-4D86-8E6A-5CFFFB7C3FC5}" srcOrd="1" destOrd="0" presId="urn:microsoft.com/office/officeart/2008/layout/NameandTitleOrganizationalChart"/>
    <dgm:cxn modelId="{9C73809B-E2F0-4FF7-B826-72B1CB51A8A1}" type="presParOf" srcId="{DA066763-55AE-4F2F-A63E-6B623A7AC480}" destId="{632EAA1F-EE38-402F-AF75-D99C0B991DFA}" srcOrd="2" destOrd="0" presId="urn:microsoft.com/office/officeart/2008/layout/NameandTitleOrganizationalChart"/>
    <dgm:cxn modelId="{50CEA6D4-627E-4025-88F1-A32E94602856}" type="presParOf" srcId="{632EAA1F-EE38-402F-AF75-D99C0B991DFA}" destId="{E9940DC3-80F6-43C8-B885-7D4E1B7996A4}" srcOrd="0" destOrd="0" presId="urn:microsoft.com/office/officeart/2008/layout/NameandTitleOrganizationalChart"/>
    <dgm:cxn modelId="{8DF5A723-6EC0-4E51-A79C-2AD5B14B170F}" type="presParOf" srcId="{632EAA1F-EE38-402F-AF75-D99C0B991DFA}" destId="{A55D92DD-B6A1-4939-ABFB-99722AE0E196}" srcOrd="1" destOrd="0" presId="urn:microsoft.com/office/officeart/2008/layout/NameandTitleOrganizationalChart"/>
    <dgm:cxn modelId="{2C0A2029-E8A9-4502-85D9-81B263F69D41}" type="presParOf" srcId="{A55D92DD-B6A1-4939-ABFB-99722AE0E196}" destId="{B8867BD7-A298-4E09-9708-62F3ADD4E126}" srcOrd="0" destOrd="0" presId="urn:microsoft.com/office/officeart/2008/layout/NameandTitleOrganizationalChart"/>
    <dgm:cxn modelId="{135B1B6F-DE21-42D2-B2E2-72B6F1347B04}" type="presParOf" srcId="{B8867BD7-A298-4E09-9708-62F3ADD4E126}" destId="{B705B59A-3E76-4F03-A683-0984B5F75565}" srcOrd="0" destOrd="0" presId="urn:microsoft.com/office/officeart/2008/layout/NameandTitleOrganizationalChart"/>
    <dgm:cxn modelId="{512475D6-869F-48CF-92A6-1D1CAD58ACB4}" type="presParOf" srcId="{B8867BD7-A298-4E09-9708-62F3ADD4E126}" destId="{18D1C728-EA4F-46FE-B3DC-6E2C03934EEB}" srcOrd="1" destOrd="0" presId="urn:microsoft.com/office/officeart/2008/layout/NameandTitleOrganizationalChart"/>
    <dgm:cxn modelId="{46E30314-41EE-49F1-ACEE-32CCF75F31F3}" type="presParOf" srcId="{B8867BD7-A298-4E09-9708-62F3ADD4E126}" destId="{FB12281E-E4E6-46A2-8CAB-88DC5DC0FAC8}" srcOrd="2" destOrd="0" presId="urn:microsoft.com/office/officeart/2008/layout/NameandTitleOrganizationalChart"/>
    <dgm:cxn modelId="{4FD65F0E-9099-4046-A766-373881E5F4E5}" type="presParOf" srcId="{A55D92DD-B6A1-4939-ABFB-99722AE0E196}" destId="{A569248D-D7A3-452E-9809-55A9BA27891F}" srcOrd="1" destOrd="0" presId="urn:microsoft.com/office/officeart/2008/layout/NameandTitleOrganizationalChart"/>
    <dgm:cxn modelId="{859E57F5-EF8C-496F-9375-566616407A0C}" type="presParOf" srcId="{A55D92DD-B6A1-4939-ABFB-99722AE0E196}" destId="{49EB06E8-09B4-4575-B268-9D717DF8F22E}" srcOrd="2" destOrd="0" presId="urn:microsoft.com/office/officeart/2008/layout/NameandTitleOrganizationalChart"/>
    <dgm:cxn modelId="{6DA8C337-98F1-47C2-A8CE-65D4CAE01414}" type="presParOf" srcId="{49EB06E8-09B4-4575-B268-9D717DF8F22E}" destId="{6FED9207-333E-4312-8684-C146CA1D4EA8}" srcOrd="0" destOrd="0" presId="urn:microsoft.com/office/officeart/2008/layout/NameandTitleOrganizationalChart"/>
    <dgm:cxn modelId="{74A1E726-35D7-42B3-9106-A3B11F3B2541}" type="presParOf" srcId="{49EB06E8-09B4-4575-B268-9D717DF8F22E}" destId="{9AD3FCE1-B2F3-4B9C-99B5-D04A70C52DA0}" srcOrd="1" destOrd="0" presId="urn:microsoft.com/office/officeart/2008/layout/NameandTitleOrganizationalChart"/>
    <dgm:cxn modelId="{66CB4B5C-ED22-40DA-8351-4FC6EAAA35E0}" type="presParOf" srcId="{9AD3FCE1-B2F3-4B9C-99B5-D04A70C52DA0}" destId="{1F857D38-C377-43A8-B414-C50938D72462}" srcOrd="0" destOrd="0" presId="urn:microsoft.com/office/officeart/2008/layout/NameandTitleOrganizationalChart"/>
    <dgm:cxn modelId="{3A2FF273-AFC4-4B73-B032-5933A6C167E8}" type="presParOf" srcId="{1F857D38-C377-43A8-B414-C50938D72462}" destId="{D36AD6BC-AB02-4FC3-9F8A-E707179B2E09}" srcOrd="0" destOrd="0" presId="urn:microsoft.com/office/officeart/2008/layout/NameandTitleOrganizationalChart"/>
    <dgm:cxn modelId="{A6364F8A-D8C1-4BBB-A86E-C850303B620A}" type="presParOf" srcId="{1F857D38-C377-43A8-B414-C50938D72462}" destId="{18140B57-BC6D-4D97-8CE6-5FE2E19C19DF}" srcOrd="1" destOrd="0" presId="urn:microsoft.com/office/officeart/2008/layout/NameandTitleOrganizationalChart"/>
    <dgm:cxn modelId="{71E04B86-63F7-469B-A461-B9366DCB2C45}" type="presParOf" srcId="{1F857D38-C377-43A8-B414-C50938D72462}" destId="{07276AFE-6803-41BC-A16D-04692699A980}" srcOrd="2" destOrd="0" presId="urn:microsoft.com/office/officeart/2008/layout/NameandTitleOrganizationalChart"/>
    <dgm:cxn modelId="{EF0F7402-354B-40A8-83ED-1E559A7A7019}" type="presParOf" srcId="{9AD3FCE1-B2F3-4B9C-99B5-D04A70C52DA0}" destId="{13E4BEF5-A5AF-4732-8775-23FDED5F4DBB}" srcOrd="1" destOrd="0" presId="urn:microsoft.com/office/officeart/2008/layout/NameandTitleOrganizationalChart"/>
    <dgm:cxn modelId="{C82E713F-8B54-4938-9F4D-0490CB698E95}" type="presParOf" srcId="{9AD3FCE1-B2F3-4B9C-99B5-D04A70C52DA0}" destId="{F4F01BE7-0637-4553-9557-480C4D8375CA}" srcOrd="2" destOrd="0" presId="urn:microsoft.com/office/officeart/2008/layout/NameandTitleOrganizationalChart"/>
    <dgm:cxn modelId="{2517B6E1-FC28-4184-9340-F1F2F0524F13}" type="presParOf" srcId="{F4F01BE7-0637-4553-9557-480C4D8375CA}" destId="{A4FAFEBF-B4D0-467C-AB4B-D22DAE96F322}" srcOrd="0" destOrd="0" presId="urn:microsoft.com/office/officeart/2008/layout/NameandTitleOrganizationalChart"/>
    <dgm:cxn modelId="{E632DEBA-8074-484B-8CBF-9BD599731B4C}" type="presParOf" srcId="{F4F01BE7-0637-4553-9557-480C4D8375CA}" destId="{2C3275C2-AE5A-4A6A-BA52-3F933E9C4F22}" srcOrd="1" destOrd="0" presId="urn:microsoft.com/office/officeart/2008/layout/NameandTitleOrganizationalChart"/>
    <dgm:cxn modelId="{0434B278-92F8-4982-9112-D47830BB68F6}" type="presParOf" srcId="{2C3275C2-AE5A-4A6A-BA52-3F933E9C4F22}" destId="{2F87B94E-3D47-4FF7-B39F-F39877C512E3}" srcOrd="0" destOrd="0" presId="urn:microsoft.com/office/officeart/2008/layout/NameandTitleOrganizationalChart"/>
    <dgm:cxn modelId="{72C43C92-F370-44FF-9673-857732DA2A76}" type="presParOf" srcId="{2F87B94E-3D47-4FF7-B39F-F39877C512E3}" destId="{09BBBB50-75EF-4D83-8F38-05064D5CA477}" srcOrd="0" destOrd="0" presId="urn:microsoft.com/office/officeart/2008/layout/NameandTitleOrganizationalChart"/>
    <dgm:cxn modelId="{985A2216-AE56-4A7E-8110-B1B651EC05C4}" type="presParOf" srcId="{2F87B94E-3D47-4FF7-B39F-F39877C512E3}" destId="{1858692D-93E3-49E8-9325-2FFCE615FC45}" srcOrd="1" destOrd="0" presId="urn:microsoft.com/office/officeart/2008/layout/NameandTitleOrganizationalChart"/>
    <dgm:cxn modelId="{89ACFF06-6C39-4E5B-AC46-B01874AA1AF3}" type="presParOf" srcId="{2F87B94E-3D47-4FF7-B39F-F39877C512E3}" destId="{389FFBB8-7254-47AA-BF9B-32AC53C1E71A}" srcOrd="2" destOrd="0" presId="urn:microsoft.com/office/officeart/2008/layout/NameandTitleOrganizationalChart"/>
    <dgm:cxn modelId="{FD489F9D-83E0-4499-B7CB-4A268AFF158F}" type="presParOf" srcId="{2C3275C2-AE5A-4A6A-BA52-3F933E9C4F22}" destId="{AC358C86-802E-4664-ADA8-34D095DB8038}" srcOrd="1" destOrd="0" presId="urn:microsoft.com/office/officeart/2008/layout/NameandTitleOrganizationalChart"/>
    <dgm:cxn modelId="{E8E1B73E-65F3-43F6-90A5-F71A46278221}" type="presParOf" srcId="{2C3275C2-AE5A-4A6A-BA52-3F933E9C4F22}" destId="{2E5FAF92-7B81-4B14-A22F-60E897032CA3}" srcOrd="2" destOrd="0" presId="urn:microsoft.com/office/officeart/2008/layout/NameandTitleOrganizationalChart"/>
    <dgm:cxn modelId="{3AA88EEF-BA54-4367-8B6A-CB224647AF63}" type="presParOf" srcId="{392AFD49-9987-4DFE-B568-87F9A4DF9E17}" destId="{4676D5E5-4F89-4B3C-BEE2-BF8F7CA45102}" srcOrd="2" destOrd="0" presId="urn:microsoft.com/office/officeart/2008/layout/NameandTitleOrganizationalChart"/>
    <dgm:cxn modelId="{829BA653-CBA1-4C2C-8F60-3D0D9BEE01BE}" type="presParOf" srcId="{392AFD49-9987-4DFE-B568-87F9A4DF9E17}" destId="{022E3A91-4306-4146-8340-59EF26018B91}" srcOrd="3" destOrd="0" presId="urn:microsoft.com/office/officeart/2008/layout/NameandTitleOrganizationalChart"/>
    <dgm:cxn modelId="{1CFC2016-C52D-449B-9992-AB0901713DBB}" type="presParOf" srcId="{022E3A91-4306-4146-8340-59EF26018B91}" destId="{D00CF95A-A59F-4E29-83F9-B7B90F391F67}" srcOrd="0" destOrd="0" presId="urn:microsoft.com/office/officeart/2008/layout/NameandTitleOrganizationalChart"/>
    <dgm:cxn modelId="{50A7BAFE-20D9-4407-8054-2CB49FE5907E}" type="presParOf" srcId="{D00CF95A-A59F-4E29-83F9-B7B90F391F67}" destId="{69EFCBC2-908D-4C9F-B47D-B29617962B4C}" srcOrd="0" destOrd="0" presId="urn:microsoft.com/office/officeart/2008/layout/NameandTitleOrganizationalChart"/>
    <dgm:cxn modelId="{BB4C6CD1-0E4A-48D5-BD7F-9DFCDE3974E4}" type="presParOf" srcId="{D00CF95A-A59F-4E29-83F9-B7B90F391F67}" destId="{DB4AAC20-C740-4771-A27F-24C085B81FE0}" srcOrd="1" destOrd="0" presId="urn:microsoft.com/office/officeart/2008/layout/NameandTitleOrganizationalChart"/>
    <dgm:cxn modelId="{F21525A0-1D78-433F-AF36-737DA75C50B8}" type="presParOf" srcId="{D00CF95A-A59F-4E29-83F9-B7B90F391F67}" destId="{74D451B1-9780-4CA9-872A-414D43E99039}" srcOrd="2" destOrd="0" presId="urn:microsoft.com/office/officeart/2008/layout/NameandTitleOrganizationalChart"/>
    <dgm:cxn modelId="{A08734D8-E0D7-4106-A1C7-B4C432C15618}" type="presParOf" srcId="{022E3A91-4306-4146-8340-59EF26018B91}" destId="{6B4B6047-27BF-4ECF-A90D-9225EB201086}" srcOrd="1" destOrd="0" presId="urn:microsoft.com/office/officeart/2008/layout/NameandTitleOrganizationalChart"/>
    <dgm:cxn modelId="{C3EF6BA4-11A8-4E31-BCED-EDDC79FC6918}" type="presParOf" srcId="{6B4B6047-27BF-4ECF-A90D-9225EB201086}" destId="{9A2E20A9-DCD6-47A1-B47E-28E9BE47A9E3}" srcOrd="0" destOrd="0" presId="urn:microsoft.com/office/officeart/2008/layout/NameandTitleOrganizationalChart"/>
    <dgm:cxn modelId="{C974B34A-0C53-455E-9CB9-89CE80EAC669}" type="presParOf" srcId="{6B4B6047-27BF-4ECF-A90D-9225EB201086}" destId="{A124B840-330B-40A2-B3F9-6952CB2C40CF}" srcOrd="1" destOrd="0" presId="urn:microsoft.com/office/officeart/2008/layout/NameandTitleOrganizationalChart"/>
    <dgm:cxn modelId="{3C88E515-08AF-4B0B-B084-19A930AF4A83}" type="presParOf" srcId="{A124B840-330B-40A2-B3F9-6952CB2C40CF}" destId="{2B744A31-B9C0-40F0-BEF6-3CB67352465F}" srcOrd="0" destOrd="0" presId="urn:microsoft.com/office/officeart/2008/layout/NameandTitleOrganizationalChart"/>
    <dgm:cxn modelId="{59D9ADDB-0017-4B4C-8DD0-4B9FE62DB52A}" type="presParOf" srcId="{2B744A31-B9C0-40F0-BEF6-3CB67352465F}" destId="{3239A8BB-B7F3-4115-90A8-21F9DA219B54}" srcOrd="0" destOrd="0" presId="urn:microsoft.com/office/officeart/2008/layout/NameandTitleOrganizationalChart"/>
    <dgm:cxn modelId="{04A3059C-589E-496F-B333-87132A235CF8}" type="presParOf" srcId="{2B744A31-B9C0-40F0-BEF6-3CB67352465F}" destId="{175253B8-B182-4955-845A-65B3F4B4F5EC}" srcOrd="1" destOrd="0" presId="urn:microsoft.com/office/officeart/2008/layout/NameandTitleOrganizationalChart"/>
    <dgm:cxn modelId="{37E244D1-462C-4642-AD5D-C2912DC75F6D}" type="presParOf" srcId="{2B744A31-B9C0-40F0-BEF6-3CB67352465F}" destId="{505C5108-8A3B-41FE-986B-3275E862B4CB}" srcOrd="2" destOrd="0" presId="urn:microsoft.com/office/officeart/2008/layout/NameandTitleOrganizationalChart"/>
    <dgm:cxn modelId="{02B74548-E38F-4F68-931C-F303F06FCEFF}" type="presParOf" srcId="{A124B840-330B-40A2-B3F9-6952CB2C40CF}" destId="{DE13829B-C422-4BF1-8B6D-DC66FB9BBB51}" srcOrd="1" destOrd="0" presId="urn:microsoft.com/office/officeart/2008/layout/NameandTitleOrganizationalChart"/>
    <dgm:cxn modelId="{9CC390B6-1BE2-4494-8E1F-0F63B22D88E1}" type="presParOf" srcId="{DE13829B-C422-4BF1-8B6D-DC66FB9BBB51}" destId="{B4F77DC6-967E-4865-A4CC-F8E084164F3E}" srcOrd="0" destOrd="0" presId="urn:microsoft.com/office/officeart/2008/layout/NameandTitleOrganizationalChart"/>
    <dgm:cxn modelId="{9C34C884-4299-4C8D-9E17-3228042B4820}" type="presParOf" srcId="{DE13829B-C422-4BF1-8B6D-DC66FB9BBB51}" destId="{D26375BF-3D4C-47B0-ABDD-703DD760FCDD}" srcOrd="1" destOrd="0" presId="urn:microsoft.com/office/officeart/2008/layout/NameandTitleOrganizationalChart"/>
    <dgm:cxn modelId="{FABC6A87-2279-4AC2-AE4A-2B4344542288}" type="presParOf" srcId="{D26375BF-3D4C-47B0-ABDD-703DD760FCDD}" destId="{C7F702F7-8B6F-490D-A1C9-B7E0A40260E8}" srcOrd="0" destOrd="0" presId="urn:microsoft.com/office/officeart/2008/layout/NameandTitleOrganizationalChart"/>
    <dgm:cxn modelId="{5F848F85-2CCD-452C-8476-15DB13167A6E}" type="presParOf" srcId="{C7F702F7-8B6F-490D-A1C9-B7E0A40260E8}" destId="{DCD7C067-D40A-4C7E-874E-107A5B0CBFE3}" srcOrd="0" destOrd="0" presId="urn:microsoft.com/office/officeart/2008/layout/NameandTitleOrganizationalChart"/>
    <dgm:cxn modelId="{EA95D09A-D750-4AC1-BC47-8A9797EF2425}" type="presParOf" srcId="{C7F702F7-8B6F-490D-A1C9-B7E0A40260E8}" destId="{82EF9BA4-CEEB-434D-9127-7DA157D7C439}" srcOrd="1" destOrd="0" presId="urn:microsoft.com/office/officeart/2008/layout/NameandTitleOrganizationalChart"/>
    <dgm:cxn modelId="{BB245927-2038-49A7-992A-1FE7C199DA48}" type="presParOf" srcId="{C7F702F7-8B6F-490D-A1C9-B7E0A40260E8}" destId="{81452273-9272-4056-A36A-4F43EBE4CE9A}" srcOrd="2" destOrd="0" presId="urn:microsoft.com/office/officeart/2008/layout/NameandTitleOrganizationalChart"/>
    <dgm:cxn modelId="{2A9A9453-D56F-4FF1-AB5A-63941974BEA1}" type="presParOf" srcId="{D26375BF-3D4C-47B0-ABDD-703DD760FCDD}" destId="{B74FB399-DEED-49EE-9D87-84FFA9263BF4}" srcOrd="1" destOrd="0" presId="urn:microsoft.com/office/officeart/2008/layout/NameandTitleOrganizationalChart"/>
    <dgm:cxn modelId="{1BA45324-089F-4412-9AEB-0E275F367327}" type="presParOf" srcId="{D26375BF-3D4C-47B0-ABDD-703DD760FCDD}" destId="{86B3F4E7-6B5C-4198-BC2C-032ED780EB36}" srcOrd="2" destOrd="0" presId="urn:microsoft.com/office/officeart/2008/layout/NameandTitleOrganizationalChart"/>
    <dgm:cxn modelId="{9CAD167E-AD7D-41CB-8117-9190C1198E73}" type="presParOf" srcId="{A124B840-330B-40A2-B3F9-6952CB2C40CF}" destId="{CA551FE6-445D-40AC-9794-3C73DD48949C}" srcOrd="2" destOrd="0" presId="urn:microsoft.com/office/officeart/2008/layout/NameandTitleOrganizationalChart"/>
    <dgm:cxn modelId="{359D92F8-8518-470A-A77D-507B5AF496F3}" type="presParOf" srcId="{022E3A91-4306-4146-8340-59EF26018B91}" destId="{D3C3D2EA-255A-4805-8AA4-2AFBA16A2572}" srcOrd="2" destOrd="0" presId="urn:microsoft.com/office/officeart/2008/layout/NameandTitleOrganizationalChart"/>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F4A49AD7-1BF0-4B85-AD44-247E7F107112}"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en-US"/>
        </a:p>
      </dgm:t>
    </dgm:pt>
    <dgm:pt modelId="{2DD23FCB-DFA4-4B44-99B3-2CB640DC1C5A}">
      <dgm:prSet phldrT="[Text]"/>
      <dgm:spPr/>
      <dgm:t>
        <a:bodyPr/>
        <a:lstStyle/>
        <a:p>
          <a:r>
            <a:rPr lang="en-US"/>
            <a:t>USA</a:t>
          </a:r>
        </a:p>
      </dgm:t>
    </dgm:pt>
    <dgm:pt modelId="{A7F9F094-FEDD-40F0-9D89-7108DD4957B1}" type="parTrans" cxnId="{05440C88-184A-4C51-ADE9-A5B961AC3805}">
      <dgm:prSet/>
      <dgm:spPr/>
      <dgm:t>
        <a:bodyPr/>
        <a:lstStyle/>
        <a:p>
          <a:endParaRPr lang="en-US"/>
        </a:p>
      </dgm:t>
    </dgm:pt>
    <dgm:pt modelId="{11E2839E-95A4-4083-B63A-0D04A74242B8}" type="sibTrans" cxnId="{05440C88-184A-4C51-ADE9-A5B961AC3805}">
      <dgm:prSet/>
      <dgm:spPr/>
      <dgm:t>
        <a:bodyPr/>
        <a:lstStyle/>
        <a:p>
          <a:r>
            <a:rPr lang="en-US"/>
            <a:t>Market share 48%</a:t>
          </a:r>
        </a:p>
      </dgm:t>
    </dgm:pt>
    <dgm:pt modelId="{2E876377-2863-4413-84D3-BED94A056F9C}" type="asst">
      <dgm:prSet phldrT="[Text]"/>
      <dgm:spPr>
        <a:solidFill>
          <a:schemeClr val="accent6"/>
        </a:solidFill>
      </dgm:spPr>
      <dgm:t>
        <a:bodyPr/>
        <a:lstStyle/>
        <a:p>
          <a:r>
            <a:rPr lang="en-US"/>
            <a:t>Shoppers</a:t>
          </a:r>
        </a:p>
      </dgm:t>
    </dgm:pt>
    <dgm:pt modelId="{F4B77C60-B672-454F-BA15-04AAF594529B}" type="parTrans" cxnId="{75E06BEC-06CB-473A-89D7-C213BFD9BCA1}">
      <dgm:prSet/>
      <dgm:spPr/>
      <dgm:t>
        <a:bodyPr/>
        <a:lstStyle/>
        <a:p>
          <a:endParaRPr lang="en-US"/>
        </a:p>
      </dgm:t>
    </dgm:pt>
    <dgm:pt modelId="{25D72855-F06E-4A7C-A0BC-237BE2B6EA9F}" type="sibTrans" cxnId="{75E06BEC-06CB-473A-89D7-C213BFD9BCA1}">
      <dgm:prSet/>
      <dgm:spPr/>
      <dgm:t>
        <a:bodyPr/>
        <a:lstStyle/>
        <a:p>
          <a:r>
            <a:rPr lang="en-US"/>
            <a:t>Supermarket</a:t>
          </a:r>
        </a:p>
      </dgm:t>
    </dgm:pt>
    <dgm:pt modelId="{FD94AAC4-D59A-423C-9781-F02639755989}">
      <dgm:prSet/>
      <dgm:spPr>
        <a:solidFill>
          <a:schemeClr val="accent6"/>
        </a:solidFill>
      </dgm:spPr>
      <dgm:t>
        <a:bodyPr/>
        <a:lstStyle/>
        <a:p>
          <a:r>
            <a:rPr lang="en-US"/>
            <a:t>Quinoa Corporation</a:t>
          </a:r>
        </a:p>
      </dgm:t>
    </dgm:pt>
    <dgm:pt modelId="{C9A778F8-851A-4179-8C85-FA7FCCB63D1C}" type="parTrans" cxnId="{1B614B26-C3DD-4359-A22D-9EF02F864B61}">
      <dgm:prSet/>
      <dgm:spPr/>
      <dgm:t>
        <a:bodyPr/>
        <a:lstStyle/>
        <a:p>
          <a:endParaRPr lang="en-US"/>
        </a:p>
      </dgm:t>
    </dgm:pt>
    <dgm:pt modelId="{2726F54D-39D3-4CE7-BCCA-90277365C62B}" type="sibTrans" cxnId="{1B614B26-C3DD-4359-A22D-9EF02F864B61}">
      <dgm:prSet/>
      <dgm:spPr/>
      <dgm:t>
        <a:bodyPr/>
        <a:lstStyle/>
        <a:p>
          <a:r>
            <a:rPr lang="en-US"/>
            <a:t>Importer and Distributor</a:t>
          </a:r>
        </a:p>
      </dgm:t>
    </dgm:pt>
    <dgm:pt modelId="{134F1452-EFAE-4C45-95BE-68654D369655}">
      <dgm:prSet/>
      <dgm:spPr>
        <a:solidFill>
          <a:schemeClr val="accent6"/>
        </a:solidFill>
      </dgm:spPr>
      <dgm:t>
        <a:bodyPr/>
        <a:lstStyle/>
        <a:p>
          <a:r>
            <a:rPr lang="en-US"/>
            <a:t>Andean Valley</a:t>
          </a:r>
        </a:p>
      </dgm:t>
    </dgm:pt>
    <dgm:pt modelId="{54339A9B-371E-4486-BEC3-4ED0B7E6F747}" type="parTrans" cxnId="{FA21CEBE-C720-42C2-B3FB-739673082D87}">
      <dgm:prSet/>
      <dgm:spPr/>
      <dgm:t>
        <a:bodyPr/>
        <a:lstStyle/>
        <a:p>
          <a:endParaRPr lang="en-US"/>
        </a:p>
      </dgm:t>
    </dgm:pt>
    <dgm:pt modelId="{7767E3F1-6348-4B1B-9FC9-B4DD06DB4162}" type="sibTrans" cxnId="{FA21CEBE-C720-42C2-B3FB-739673082D87}">
      <dgm:prSet/>
      <dgm:spPr/>
      <dgm:t>
        <a:bodyPr/>
        <a:lstStyle/>
        <a:p>
          <a:r>
            <a:rPr lang="en-US"/>
            <a:t>Relationship established since 2000. </a:t>
          </a:r>
        </a:p>
      </dgm:t>
    </dgm:pt>
    <dgm:pt modelId="{4AF025AE-DB52-44C4-A15F-DA970DB38BBB}" type="pres">
      <dgm:prSet presAssocID="{F4A49AD7-1BF0-4B85-AD44-247E7F107112}" presName="hierChild1" presStyleCnt="0">
        <dgm:presLayoutVars>
          <dgm:orgChart val="1"/>
          <dgm:chPref val="1"/>
          <dgm:dir/>
          <dgm:animOne val="branch"/>
          <dgm:animLvl val="lvl"/>
          <dgm:resizeHandles/>
        </dgm:presLayoutVars>
      </dgm:prSet>
      <dgm:spPr/>
      <dgm:t>
        <a:bodyPr/>
        <a:lstStyle/>
        <a:p>
          <a:endParaRPr lang="en-US"/>
        </a:p>
      </dgm:t>
    </dgm:pt>
    <dgm:pt modelId="{59B94626-521F-4E0D-AABB-FD7829C8560D}" type="pres">
      <dgm:prSet presAssocID="{2DD23FCB-DFA4-4B44-99B3-2CB640DC1C5A}" presName="hierRoot1" presStyleCnt="0">
        <dgm:presLayoutVars>
          <dgm:hierBranch val="init"/>
        </dgm:presLayoutVars>
      </dgm:prSet>
      <dgm:spPr/>
    </dgm:pt>
    <dgm:pt modelId="{2961922E-CFA0-4F5E-A10E-E60CFC976524}" type="pres">
      <dgm:prSet presAssocID="{2DD23FCB-DFA4-4B44-99B3-2CB640DC1C5A}" presName="rootComposite1" presStyleCnt="0"/>
      <dgm:spPr/>
    </dgm:pt>
    <dgm:pt modelId="{0279FAE7-C9DD-4E23-ACB2-2286985481BA}" type="pres">
      <dgm:prSet presAssocID="{2DD23FCB-DFA4-4B44-99B3-2CB640DC1C5A}" presName="rootText1" presStyleLbl="node0" presStyleIdx="0" presStyleCnt="1">
        <dgm:presLayoutVars>
          <dgm:chMax/>
          <dgm:chPref val="3"/>
        </dgm:presLayoutVars>
      </dgm:prSet>
      <dgm:spPr/>
      <dgm:t>
        <a:bodyPr/>
        <a:lstStyle/>
        <a:p>
          <a:endParaRPr lang="en-US"/>
        </a:p>
      </dgm:t>
    </dgm:pt>
    <dgm:pt modelId="{7373755F-6B71-472E-B1E8-7736C77B76C7}" type="pres">
      <dgm:prSet presAssocID="{2DD23FCB-DFA4-4B44-99B3-2CB640DC1C5A}" presName="titleText1" presStyleLbl="fgAcc0" presStyleIdx="0" presStyleCnt="1">
        <dgm:presLayoutVars>
          <dgm:chMax val="0"/>
          <dgm:chPref val="0"/>
        </dgm:presLayoutVars>
      </dgm:prSet>
      <dgm:spPr/>
      <dgm:t>
        <a:bodyPr/>
        <a:lstStyle/>
        <a:p>
          <a:endParaRPr lang="en-US"/>
        </a:p>
      </dgm:t>
    </dgm:pt>
    <dgm:pt modelId="{01B3CF68-F431-4BFC-A887-6964A9B48F5D}" type="pres">
      <dgm:prSet presAssocID="{2DD23FCB-DFA4-4B44-99B3-2CB640DC1C5A}" presName="rootConnector1" presStyleLbl="node1" presStyleIdx="0" presStyleCnt="2"/>
      <dgm:spPr/>
      <dgm:t>
        <a:bodyPr/>
        <a:lstStyle/>
        <a:p>
          <a:endParaRPr lang="en-US"/>
        </a:p>
      </dgm:t>
    </dgm:pt>
    <dgm:pt modelId="{6BF787A0-7F9A-4787-B62D-FD3E14C19001}" type="pres">
      <dgm:prSet presAssocID="{2DD23FCB-DFA4-4B44-99B3-2CB640DC1C5A}" presName="hierChild2" presStyleCnt="0"/>
      <dgm:spPr/>
    </dgm:pt>
    <dgm:pt modelId="{72660392-6681-4C3E-91D7-39B787A23431}" type="pres">
      <dgm:prSet presAssocID="{2DD23FCB-DFA4-4B44-99B3-2CB640DC1C5A}" presName="hierChild3" presStyleCnt="0"/>
      <dgm:spPr/>
    </dgm:pt>
    <dgm:pt modelId="{972E3513-B333-456F-80C7-F8CE886EAB8A}" type="pres">
      <dgm:prSet presAssocID="{F4B77C60-B672-454F-BA15-04AAF594529B}" presName="Name96" presStyleLbl="parChTrans1D2" presStyleIdx="0" presStyleCnt="1"/>
      <dgm:spPr/>
      <dgm:t>
        <a:bodyPr/>
        <a:lstStyle/>
        <a:p>
          <a:endParaRPr lang="en-US"/>
        </a:p>
      </dgm:t>
    </dgm:pt>
    <dgm:pt modelId="{2FB91495-6843-4865-B3E3-F693E59D13A6}" type="pres">
      <dgm:prSet presAssocID="{2E876377-2863-4413-84D3-BED94A056F9C}" presName="hierRoot3" presStyleCnt="0">
        <dgm:presLayoutVars>
          <dgm:hierBranch val="init"/>
        </dgm:presLayoutVars>
      </dgm:prSet>
      <dgm:spPr/>
    </dgm:pt>
    <dgm:pt modelId="{5424D0BC-710D-43AD-80AA-C6AD5E5E44DC}" type="pres">
      <dgm:prSet presAssocID="{2E876377-2863-4413-84D3-BED94A056F9C}" presName="rootComposite3" presStyleCnt="0"/>
      <dgm:spPr/>
    </dgm:pt>
    <dgm:pt modelId="{25541E0D-476B-426B-BCB5-4E1B95739F97}" type="pres">
      <dgm:prSet presAssocID="{2E876377-2863-4413-84D3-BED94A056F9C}" presName="rootText3" presStyleLbl="asst1" presStyleIdx="0" presStyleCnt="1">
        <dgm:presLayoutVars>
          <dgm:chPref val="3"/>
        </dgm:presLayoutVars>
      </dgm:prSet>
      <dgm:spPr/>
      <dgm:t>
        <a:bodyPr/>
        <a:lstStyle/>
        <a:p>
          <a:endParaRPr lang="en-US"/>
        </a:p>
      </dgm:t>
    </dgm:pt>
    <dgm:pt modelId="{0AE28D8B-902B-42F5-ABC1-53D6A5BE6BD0}" type="pres">
      <dgm:prSet presAssocID="{2E876377-2863-4413-84D3-BED94A056F9C}" presName="titleText3" presStyleLbl="fgAcc2" presStyleIdx="0" presStyleCnt="1">
        <dgm:presLayoutVars>
          <dgm:chMax val="0"/>
          <dgm:chPref val="0"/>
        </dgm:presLayoutVars>
      </dgm:prSet>
      <dgm:spPr/>
      <dgm:t>
        <a:bodyPr/>
        <a:lstStyle/>
        <a:p>
          <a:endParaRPr lang="en-US"/>
        </a:p>
      </dgm:t>
    </dgm:pt>
    <dgm:pt modelId="{4BA8C88D-3B2F-4B63-ACF3-97D12B97A4DB}" type="pres">
      <dgm:prSet presAssocID="{2E876377-2863-4413-84D3-BED94A056F9C}" presName="rootConnector3" presStyleLbl="asst1" presStyleIdx="0" presStyleCnt="1"/>
      <dgm:spPr/>
      <dgm:t>
        <a:bodyPr/>
        <a:lstStyle/>
        <a:p>
          <a:endParaRPr lang="en-US"/>
        </a:p>
      </dgm:t>
    </dgm:pt>
    <dgm:pt modelId="{181CE5DC-57F5-48FD-AC47-966DF6290358}" type="pres">
      <dgm:prSet presAssocID="{2E876377-2863-4413-84D3-BED94A056F9C}" presName="hierChild6" presStyleCnt="0"/>
      <dgm:spPr/>
    </dgm:pt>
    <dgm:pt modelId="{2A34F3BD-1930-4306-845B-765A83E2058A}" type="pres">
      <dgm:prSet presAssocID="{C9A778F8-851A-4179-8C85-FA7FCCB63D1C}" presName="Name37" presStyleLbl="parChTrans1D3" presStyleIdx="0" presStyleCnt="1"/>
      <dgm:spPr/>
      <dgm:t>
        <a:bodyPr/>
        <a:lstStyle/>
        <a:p>
          <a:endParaRPr lang="en-US"/>
        </a:p>
      </dgm:t>
    </dgm:pt>
    <dgm:pt modelId="{84643983-A290-495E-8656-540E109CFFD6}" type="pres">
      <dgm:prSet presAssocID="{FD94AAC4-D59A-423C-9781-F02639755989}" presName="hierRoot2" presStyleCnt="0">
        <dgm:presLayoutVars>
          <dgm:hierBranch val="init"/>
        </dgm:presLayoutVars>
      </dgm:prSet>
      <dgm:spPr/>
    </dgm:pt>
    <dgm:pt modelId="{331EE168-A5EA-4B1E-AADB-1D1AAA8F0AE2}" type="pres">
      <dgm:prSet presAssocID="{FD94AAC4-D59A-423C-9781-F02639755989}" presName="rootComposite" presStyleCnt="0"/>
      <dgm:spPr/>
    </dgm:pt>
    <dgm:pt modelId="{FF5E6235-03AC-4ACD-A281-6CC5CF76346E}" type="pres">
      <dgm:prSet presAssocID="{FD94AAC4-D59A-423C-9781-F02639755989}" presName="rootText" presStyleLbl="node1" presStyleIdx="0" presStyleCnt="2">
        <dgm:presLayoutVars>
          <dgm:chMax/>
          <dgm:chPref val="3"/>
        </dgm:presLayoutVars>
      </dgm:prSet>
      <dgm:spPr/>
      <dgm:t>
        <a:bodyPr/>
        <a:lstStyle/>
        <a:p>
          <a:endParaRPr lang="en-US"/>
        </a:p>
      </dgm:t>
    </dgm:pt>
    <dgm:pt modelId="{71E2EAA6-CBC5-46BC-B29F-2F16C7302B3C}" type="pres">
      <dgm:prSet presAssocID="{FD94AAC4-D59A-423C-9781-F02639755989}" presName="titleText2" presStyleLbl="fgAcc1" presStyleIdx="0" presStyleCnt="2">
        <dgm:presLayoutVars>
          <dgm:chMax val="0"/>
          <dgm:chPref val="0"/>
        </dgm:presLayoutVars>
      </dgm:prSet>
      <dgm:spPr/>
      <dgm:t>
        <a:bodyPr/>
        <a:lstStyle/>
        <a:p>
          <a:endParaRPr lang="en-US"/>
        </a:p>
      </dgm:t>
    </dgm:pt>
    <dgm:pt modelId="{3A6FB68E-9A1F-444C-9675-7B755A6F78A9}" type="pres">
      <dgm:prSet presAssocID="{FD94AAC4-D59A-423C-9781-F02639755989}" presName="rootConnector" presStyleLbl="node3" presStyleIdx="0" presStyleCnt="0"/>
      <dgm:spPr/>
      <dgm:t>
        <a:bodyPr/>
        <a:lstStyle/>
        <a:p>
          <a:endParaRPr lang="en-US"/>
        </a:p>
      </dgm:t>
    </dgm:pt>
    <dgm:pt modelId="{3D788E10-B232-4CB1-88E5-9B030E051328}" type="pres">
      <dgm:prSet presAssocID="{FD94AAC4-D59A-423C-9781-F02639755989}" presName="hierChild4" presStyleCnt="0"/>
      <dgm:spPr/>
    </dgm:pt>
    <dgm:pt modelId="{E7645CF8-B082-4C92-AD70-7EEDD2C19B78}" type="pres">
      <dgm:prSet presAssocID="{54339A9B-371E-4486-BEC3-4ED0B7E6F747}" presName="Name37" presStyleLbl="parChTrans1D4" presStyleIdx="0" presStyleCnt="1"/>
      <dgm:spPr/>
      <dgm:t>
        <a:bodyPr/>
        <a:lstStyle/>
        <a:p>
          <a:endParaRPr lang="en-US"/>
        </a:p>
      </dgm:t>
    </dgm:pt>
    <dgm:pt modelId="{840D8BCC-E4B7-48D7-9EF8-7ECB4CBBF2CA}" type="pres">
      <dgm:prSet presAssocID="{134F1452-EFAE-4C45-95BE-68654D369655}" presName="hierRoot2" presStyleCnt="0">
        <dgm:presLayoutVars>
          <dgm:hierBranch val="init"/>
        </dgm:presLayoutVars>
      </dgm:prSet>
      <dgm:spPr/>
    </dgm:pt>
    <dgm:pt modelId="{98A9A65D-DE39-4BA6-9563-1398D4DA338F}" type="pres">
      <dgm:prSet presAssocID="{134F1452-EFAE-4C45-95BE-68654D369655}" presName="rootComposite" presStyleCnt="0"/>
      <dgm:spPr/>
    </dgm:pt>
    <dgm:pt modelId="{C7D751CC-BED6-47EF-8689-E39E9BD4C31B}" type="pres">
      <dgm:prSet presAssocID="{134F1452-EFAE-4C45-95BE-68654D369655}" presName="rootText" presStyleLbl="node1" presStyleIdx="1" presStyleCnt="2">
        <dgm:presLayoutVars>
          <dgm:chMax/>
          <dgm:chPref val="3"/>
        </dgm:presLayoutVars>
      </dgm:prSet>
      <dgm:spPr/>
      <dgm:t>
        <a:bodyPr/>
        <a:lstStyle/>
        <a:p>
          <a:endParaRPr lang="en-US"/>
        </a:p>
      </dgm:t>
    </dgm:pt>
    <dgm:pt modelId="{F678A5E8-CB26-479B-9D38-A53EAA9BE1E7}" type="pres">
      <dgm:prSet presAssocID="{134F1452-EFAE-4C45-95BE-68654D369655}" presName="titleText2" presStyleLbl="fgAcc1" presStyleIdx="1" presStyleCnt="2">
        <dgm:presLayoutVars>
          <dgm:chMax val="0"/>
          <dgm:chPref val="0"/>
        </dgm:presLayoutVars>
      </dgm:prSet>
      <dgm:spPr/>
      <dgm:t>
        <a:bodyPr/>
        <a:lstStyle/>
        <a:p>
          <a:endParaRPr lang="en-US"/>
        </a:p>
      </dgm:t>
    </dgm:pt>
    <dgm:pt modelId="{C322C213-5944-4F21-A6AE-A982AF9CE7A9}" type="pres">
      <dgm:prSet presAssocID="{134F1452-EFAE-4C45-95BE-68654D369655}" presName="rootConnector" presStyleLbl="node4" presStyleIdx="0" presStyleCnt="0"/>
      <dgm:spPr/>
      <dgm:t>
        <a:bodyPr/>
        <a:lstStyle/>
        <a:p>
          <a:endParaRPr lang="en-US"/>
        </a:p>
      </dgm:t>
    </dgm:pt>
    <dgm:pt modelId="{4ADFACD3-B809-4735-991A-369C46F4890D}" type="pres">
      <dgm:prSet presAssocID="{134F1452-EFAE-4C45-95BE-68654D369655}" presName="hierChild4" presStyleCnt="0"/>
      <dgm:spPr/>
    </dgm:pt>
    <dgm:pt modelId="{10C0CBFC-D7E1-4E1C-A1BF-01F9372D3352}" type="pres">
      <dgm:prSet presAssocID="{134F1452-EFAE-4C45-95BE-68654D369655}" presName="hierChild5" presStyleCnt="0"/>
      <dgm:spPr/>
    </dgm:pt>
    <dgm:pt modelId="{C65D04CA-6216-46D0-8DC7-ECD315706851}" type="pres">
      <dgm:prSet presAssocID="{FD94AAC4-D59A-423C-9781-F02639755989}" presName="hierChild5" presStyleCnt="0"/>
      <dgm:spPr/>
    </dgm:pt>
    <dgm:pt modelId="{92A3BF9A-A349-4C00-94ED-834FC403EB20}" type="pres">
      <dgm:prSet presAssocID="{2E876377-2863-4413-84D3-BED94A056F9C}" presName="hierChild7" presStyleCnt="0"/>
      <dgm:spPr/>
    </dgm:pt>
  </dgm:ptLst>
  <dgm:cxnLst>
    <dgm:cxn modelId="{7BD3932C-3EF1-4AAE-A94D-CD6D38593BEE}" type="presOf" srcId="{2DD23FCB-DFA4-4B44-99B3-2CB640DC1C5A}" destId="{01B3CF68-F431-4BFC-A887-6964A9B48F5D}" srcOrd="1" destOrd="0" presId="urn:microsoft.com/office/officeart/2008/layout/NameandTitleOrganizationalChart"/>
    <dgm:cxn modelId="{FA21CEBE-C720-42C2-B3FB-739673082D87}" srcId="{FD94AAC4-D59A-423C-9781-F02639755989}" destId="{134F1452-EFAE-4C45-95BE-68654D369655}" srcOrd="0" destOrd="0" parTransId="{54339A9B-371E-4486-BEC3-4ED0B7E6F747}" sibTransId="{7767E3F1-6348-4B1B-9FC9-B4DD06DB4162}"/>
    <dgm:cxn modelId="{1B614B26-C3DD-4359-A22D-9EF02F864B61}" srcId="{2E876377-2863-4413-84D3-BED94A056F9C}" destId="{FD94AAC4-D59A-423C-9781-F02639755989}" srcOrd="0" destOrd="0" parTransId="{C9A778F8-851A-4179-8C85-FA7FCCB63D1C}" sibTransId="{2726F54D-39D3-4CE7-BCCA-90277365C62B}"/>
    <dgm:cxn modelId="{08069241-3218-4A7B-9154-9B94ED36C7B7}" type="presOf" srcId="{F4B77C60-B672-454F-BA15-04AAF594529B}" destId="{972E3513-B333-456F-80C7-F8CE886EAB8A}" srcOrd="0" destOrd="0" presId="urn:microsoft.com/office/officeart/2008/layout/NameandTitleOrganizationalChart"/>
    <dgm:cxn modelId="{05440C88-184A-4C51-ADE9-A5B961AC3805}" srcId="{F4A49AD7-1BF0-4B85-AD44-247E7F107112}" destId="{2DD23FCB-DFA4-4B44-99B3-2CB640DC1C5A}" srcOrd="0" destOrd="0" parTransId="{A7F9F094-FEDD-40F0-9D89-7108DD4957B1}" sibTransId="{11E2839E-95A4-4083-B63A-0D04A74242B8}"/>
    <dgm:cxn modelId="{75E06BEC-06CB-473A-89D7-C213BFD9BCA1}" srcId="{2DD23FCB-DFA4-4B44-99B3-2CB640DC1C5A}" destId="{2E876377-2863-4413-84D3-BED94A056F9C}" srcOrd="0" destOrd="0" parTransId="{F4B77C60-B672-454F-BA15-04AAF594529B}" sibTransId="{25D72855-F06E-4A7C-A0BC-237BE2B6EA9F}"/>
    <dgm:cxn modelId="{AB55409B-E495-4B6B-948B-61202D13AA81}" type="presOf" srcId="{134F1452-EFAE-4C45-95BE-68654D369655}" destId="{C7D751CC-BED6-47EF-8689-E39E9BD4C31B}" srcOrd="0" destOrd="0" presId="urn:microsoft.com/office/officeart/2008/layout/NameandTitleOrganizationalChart"/>
    <dgm:cxn modelId="{EEB64751-5ACC-4340-B82C-FA989F426750}" type="presOf" srcId="{7767E3F1-6348-4B1B-9FC9-B4DD06DB4162}" destId="{F678A5E8-CB26-479B-9D38-A53EAA9BE1E7}" srcOrd="0" destOrd="0" presId="urn:microsoft.com/office/officeart/2008/layout/NameandTitleOrganizationalChart"/>
    <dgm:cxn modelId="{4CCBD0C0-5798-49B7-85A1-F7DEC3AF828C}" type="presOf" srcId="{FD94AAC4-D59A-423C-9781-F02639755989}" destId="{FF5E6235-03AC-4ACD-A281-6CC5CF76346E}" srcOrd="0" destOrd="0" presId="urn:microsoft.com/office/officeart/2008/layout/NameandTitleOrganizationalChart"/>
    <dgm:cxn modelId="{D74227A6-6243-42C7-8401-355E01BC0A31}" type="presOf" srcId="{54339A9B-371E-4486-BEC3-4ED0B7E6F747}" destId="{E7645CF8-B082-4C92-AD70-7EEDD2C19B78}" srcOrd="0" destOrd="0" presId="urn:microsoft.com/office/officeart/2008/layout/NameandTitleOrganizationalChart"/>
    <dgm:cxn modelId="{B6032F0D-7CA1-4E0C-87AD-68B25FE898BB}" type="presOf" srcId="{2DD23FCB-DFA4-4B44-99B3-2CB640DC1C5A}" destId="{0279FAE7-C9DD-4E23-ACB2-2286985481BA}" srcOrd="0" destOrd="0" presId="urn:microsoft.com/office/officeart/2008/layout/NameandTitleOrganizationalChart"/>
    <dgm:cxn modelId="{B64E7533-7182-4073-BC15-2A11E563DE4F}" type="presOf" srcId="{2726F54D-39D3-4CE7-BCCA-90277365C62B}" destId="{71E2EAA6-CBC5-46BC-B29F-2F16C7302B3C}" srcOrd="0" destOrd="0" presId="urn:microsoft.com/office/officeart/2008/layout/NameandTitleOrganizationalChart"/>
    <dgm:cxn modelId="{7AEDFE04-323D-4B06-B0F7-98C0F661005C}" type="presOf" srcId="{F4A49AD7-1BF0-4B85-AD44-247E7F107112}" destId="{4AF025AE-DB52-44C4-A15F-DA970DB38BBB}" srcOrd="0" destOrd="0" presId="urn:microsoft.com/office/officeart/2008/layout/NameandTitleOrganizationalChart"/>
    <dgm:cxn modelId="{E8227917-782F-4066-83E7-6F3349F2D1C9}" type="presOf" srcId="{FD94AAC4-D59A-423C-9781-F02639755989}" destId="{3A6FB68E-9A1F-444C-9675-7B755A6F78A9}" srcOrd="1" destOrd="0" presId="urn:microsoft.com/office/officeart/2008/layout/NameandTitleOrganizationalChart"/>
    <dgm:cxn modelId="{14169201-D7EB-426F-BD7E-A7C237C2E68C}" type="presOf" srcId="{2E876377-2863-4413-84D3-BED94A056F9C}" destId="{4BA8C88D-3B2F-4B63-ACF3-97D12B97A4DB}" srcOrd="1" destOrd="0" presId="urn:microsoft.com/office/officeart/2008/layout/NameandTitleOrganizationalChart"/>
    <dgm:cxn modelId="{3265682F-32FD-4BFF-B8C8-670170BFCC0D}" type="presOf" srcId="{25D72855-F06E-4A7C-A0BC-237BE2B6EA9F}" destId="{0AE28D8B-902B-42F5-ABC1-53D6A5BE6BD0}" srcOrd="0" destOrd="0" presId="urn:microsoft.com/office/officeart/2008/layout/NameandTitleOrganizationalChart"/>
    <dgm:cxn modelId="{B29D6E97-C050-4ABF-BBF5-13F7F59792B0}" type="presOf" srcId="{C9A778F8-851A-4179-8C85-FA7FCCB63D1C}" destId="{2A34F3BD-1930-4306-845B-765A83E2058A}" srcOrd="0" destOrd="0" presId="urn:microsoft.com/office/officeart/2008/layout/NameandTitleOrganizationalChart"/>
    <dgm:cxn modelId="{F8163CD8-494B-43F9-89F3-D6B6B9C5A57A}" type="presOf" srcId="{2E876377-2863-4413-84D3-BED94A056F9C}" destId="{25541E0D-476B-426B-BCB5-4E1B95739F97}" srcOrd="0" destOrd="0" presId="urn:microsoft.com/office/officeart/2008/layout/NameandTitleOrganizationalChart"/>
    <dgm:cxn modelId="{9790EBDF-387A-4B22-938F-034535885FF5}" type="presOf" srcId="{134F1452-EFAE-4C45-95BE-68654D369655}" destId="{C322C213-5944-4F21-A6AE-A982AF9CE7A9}" srcOrd="1" destOrd="0" presId="urn:microsoft.com/office/officeart/2008/layout/NameandTitleOrganizationalChart"/>
    <dgm:cxn modelId="{3EAD71FD-5D44-4B30-9FEC-98BAF2D4DFB3}" type="presOf" srcId="{11E2839E-95A4-4083-B63A-0D04A74242B8}" destId="{7373755F-6B71-472E-B1E8-7736C77B76C7}" srcOrd="0" destOrd="0" presId="urn:microsoft.com/office/officeart/2008/layout/NameandTitleOrganizationalChart"/>
    <dgm:cxn modelId="{479A98E6-434E-4269-9103-94648BE746A5}" type="presParOf" srcId="{4AF025AE-DB52-44C4-A15F-DA970DB38BBB}" destId="{59B94626-521F-4E0D-AABB-FD7829C8560D}" srcOrd="0" destOrd="0" presId="urn:microsoft.com/office/officeart/2008/layout/NameandTitleOrganizationalChart"/>
    <dgm:cxn modelId="{5DAABF27-A263-4D91-8817-269B9CEC43E2}" type="presParOf" srcId="{59B94626-521F-4E0D-AABB-FD7829C8560D}" destId="{2961922E-CFA0-4F5E-A10E-E60CFC976524}" srcOrd="0" destOrd="0" presId="urn:microsoft.com/office/officeart/2008/layout/NameandTitleOrganizationalChart"/>
    <dgm:cxn modelId="{826C7C5B-E96E-49A0-BFC8-15FE4C31AAF8}" type="presParOf" srcId="{2961922E-CFA0-4F5E-A10E-E60CFC976524}" destId="{0279FAE7-C9DD-4E23-ACB2-2286985481BA}" srcOrd="0" destOrd="0" presId="urn:microsoft.com/office/officeart/2008/layout/NameandTitleOrganizationalChart"/>
    <dgm:cxn modelId="{8E45A5AD-85E2-45A3-9BC4-E726268401AF}" type="presParOf" srcId="{2961922E-CFA0-4F5E-A10E-E60CFC976524}" destId="{7373755F-6B71-472E-B1E8-7736C77B76C7}" srcOrd="1" destOrd="0" presId="urn:microsoft.com/office/officeart/2008/layout/NameandTitleOrganizationalChart"/>
    <dgm:cxn modelId="{B7F3C859-A8FD-4252-8E0C-686F953A0D49}" type="presParOf" srcId="{2961922E-CFA0-4F5E-A10E-E60CFC976524}" destId="{01B3CF68-F431-4BFC-A887-6964A9B48F5D}" srcOrd="2" destOrd="0" presId="urn:microsoft.com/office/officeart/2008/layout/NameandTitleOrganizationalChart"/>
    <dgm:cxn modelId="{8C03BF07-D14F-4CB6-B947-45A54FBF164D}" type="presParOf" srcId="{59B94626-521F-4E0D-AABB-FD7829C8560D}" destId="{6BF787A0-7F9A-4787-B62D-FD3E14C19001}" srcOrd="1" destOrd="0" presId="urn:microsoft.com/office/officeart/2008/layout/NameandTitleOrganizationalChart"/>
    <dgm:cxn modelId="{C5CE61AC-E31F-4F30-BF5E-7A56A555D457}" type="presParOf" srcId="{59B94626-521F-4E0D-AABB-FD7829C8560D}" destId="{72660392-6681-4C3E-91D7-39B787A23431}" srcOrd="2" destOrd="0" presId="urn:microsoft.com/office/officeart/2008/layout/NameandTitleOrganizationalChart"/>
    <dgm:cxn modelId="{45835BF1-1FF2-414B-B3E1-9D76508D5295}" type="presParOf" srcId="{72660392-6681-4C3E-91D7-39B787A23431}" destId="{972E3513-B333-456F-80C7-F8CE886EAB8A}" srcOrd="0" destOrd="0" presId="urn:microsoft.com/office/officeart/2008/layout/NameandTitleOrganizationalChart"/>
    <dgm:cxn modelId="{22FF170D-1CC5-4FC0-B592-C8020DBE0AFB}" type="presParOf" srcId="{72660392-6681-4C3E-91D7-39B787A23431}" destId="{2FB91495-6843-4865-B3E3-F693E59D13A6}" srcOrd="1" destOrd="0" presId="urn:microsoft.com/office/officeart/2008/layout/NameandTitleOrganizationalChart"/>
    <dgm:cxn modelId="{39ABD4D6-9DED-463A-86EF-9E431D000EC6}" type="presParOf" srcId="{2FB91495-6843-4865-B3E3-F693E59D13A6}" destId="{5424D0BC-710D-43AD-80AA-C6AD5E5E44DC}" srcOrd="0" destOrd="0" presId="urn:microsoft.com/office/officeart/2008/layout/NameandTitleOrganizationalChart"/>
    <dgm:cxn modelId="{2EEC91E9-DA27-42AE-9905-AFF062BE59BD}" type="presParOf" srcId="{5424D0BC-710D-43AD-80AA-C6AD5E5E44DC}" destId="{25541E0D-476B-426B-BCB5-4E1B95739F97}" srcOrd="0" destOrd="0" presId="urn:microsoft.com/office/officeart/2008/layout/NameandTitleOrganizationalChart"/>
    <dgm:cxn modelId="{3F1DB055-7DB3-457B-B984-9599F8470B58}" type="presParOf" srcId="{5424D0BC-710D-43AD-80AA-C6AD5E5E44DC}" destId="{0AE28D8B-902B-42F5-ABC1-53D6A5BE6BD0}" srcOrd="1" destOrd="0" presId="urn:microsoft.com/office/officeart/2008/layout/NameandTitleOrganizationalChart"/>
    <dgm:cxn modelId="{247A1BC6-2A0F-4E8B-9F55-E6695CB47981}" type="presParOf" srcId="{5424D0BC-710D-43AD-80AA-C6AD5E5E44DC}" destId="{4BA8C88D-3B2F-4B63-ACF3-97D12B97A4DB}" srcOrd="2" destOrd="0" presId="urn:microsoft.com/office/officeart/2008/layout/NameandTitleOrganizationalChart"/>
    <dgm:cxn modelId="{46E36E51-7C98-40FF-B3A1-665088199A2E}" type="presParOf" srcId="{2FB91495-6843-4865-B3E3-F693E59D13A6}" destId="{181CE5DC-57F5-48FD-AC47-966DF6290358}" srcOrd="1" destOrd="0" presId="urn:microsoft.com/office/officeart/2008/layout/NameandTitleOrganizationalChart"/>
    <dgm:cxn modelId="{43E6B81E-76B2-457D-8AD5-2B07E017A100}" type="presParOf" srcId="{181CE5DC-57F5-48FD-AC47-966DF6290358}" destId="{2A34F3BD-1930-4306-845B-765A83E2058A}" srcOrd="0" destOrd="0" presId="urn:microsoft.com/office/officeart/2008/layout/NameandTitleOrganizationalChart"/>
    <dgm:cxn modelId="{8ED99345-63FC-4A19-B591-41A362DF93BB}" type="presParOf" srcId="{181CE5DC-57F5-48FD-AC47-966DF6290358}" destId="{84643983-A290-495E-8656-540E109CFFD6}" srcOrd="1" destOrd="0" presId="urn:microsoft.com/office/officeart/2008/layout/NameandTitleOrganizationalChart"/>
    <dgm:cxn modelId="{379C0968-F459-41FE-863E-01B8E74FED13}" type="presParOf" srcId="{84643983-A290-495E-8656-540E109CFFD6}" destId="{331EE168-A5EA-4B1E-AADB-1D1AAA8F0AE2}" srcOrd="0" destOrd="0" presId="urn:microsoft.com/office/officeart/2008/layout/NameandTitleOrganizationalChart"/>
    <dgm:cxn modelId="{7A2B88D6-4FF0-4B77-AC3C-51C7FAB96779}" type="presParOf" srcId="{331EE168-A5EA-4B1E-AADB-1D1AAA8F0AE2}" destId="{FF5E6235-03AC-4ACD-A281-6CC5CF76346E}" srcOrd="0" destOrd="0" presId="urn:microsoft.com/office/officeart/2008/layout/NameandTitleOrganizationalChart"/>
    <dgm:cxn modelId="{84662614-0A48-4D51-BE73-45F69E1D77B6}" type="presParOf" srcId="{331EE168-A5EA-4B1E-AADB-1D1AAA8F0AE2}" destId="{71E2EAA6-CBC5-46BC-B29F-2F16C7302B3C}" srcOrd="1" destOrd="0" presId="urn:microsoft.com/office/officeart/2008/layout/NameandTitleOrganizationalChart"/>
    <dgm:cxn modelId="{A1449808-48E3-4A1F-8DA8-E3B769A778BF}" type="presParOf" srcId="{331EE168-A5EA-4B1E-AADB-1D1AAA8F0AE2}" destId="{3A6FB68E-9A1F-444C-9675-7B755A6F78A9}" srcOrd="2" destOrd="0" presId="urn:microsoft.com/office/officeart/2008/layout/NameandTitleOrganizationalChart"/>
    <dgm:cxn modelId="{F802D3EE-95F5-445B-9D31-284B8794D68A}" type="presParOf" srcId="{84643983-A290-495E-8656-540E109CFFD6}" destId="{3D788E10-B232-4CB1-88E5-9B030E051328}" srcOrd="1" destOrd="0" presId="urn:microsoft.com/office/officeart/2008/layout/NameandTitleOrganizationalChart"/>
    <dgm:cxn modelId="{5E94E16D-4089-4DE4-A6FA-091E7A417873}" type="presParOf" srcId="{3D788E10-B232-4CB1-88E5-9B030E051328}" destId="{E7645CF8-B082-4C92-AD70-7EEDD2C19B78}" srcOrd="0" destOrd="0" presId="urn:microsoft.com/office/officeart/2008/layout/NameandTitleOrganizationalChart"/>
    <dgm:cxn modelId="{93B3C845-B3C6-4C80-A62A-D12646853A94}" type="presParOf" srcId="{3D788E10-B232-4CB1-88E5-9B030E051328}" destId="{840D8BCC-E4B7-48D7-9EF8-7ECB4CBBF2CA}" srcOrd="1" destOrd="0" presId="urn:microsoft.com/office/officeart/2008/layout/NameandTitleOrganizationalChart"/>
    <dgm:cxn modelId="{4AC99E0D-0780-439B-8250-9A38EA1F205A}" type="presParOf" srcId="{840D8BCC-E4B7-48D7-9EF8-7ECB4CBBF2CA}" destId="{98A9A65D-DE39-4BA6-9563-1398D4DA338F}" srcOrd="0" destOrd="0" presId="urn:microsoft.com/office/officeart/2008/layout/NameandTitleOrganizationalChart"/>
    <dgm:cxn modelId="{35A8A2EA-CE85-4824-B782-2E71621BCC1E}" type="presParOf" srcId="{98A9A65D-DE39-4BA6-9563-1398D4DA338F}" destId="{C7D751CC-BED6-47EF-8689-E39E9BD4C31B}" srcOrd="0" destOrd="0" presId="urn:microsoft.com/office/officeart/2008/layout/NameandTitleOrganizationalChart"/>
    <dgm:cxn modelId="{C88554D7-3C65-446C-B352-ACDED2AD9F62}" type="presParOf" srcId="{98A9A65D-DE39-4BA6-9563-1398D4DA338F}" destId="{F678A5E8-CB26-479B-9D38-A53EAA9BE1E7}" srcOrd="1" destOrd="0" presId="urn:microsoft.com/office/officeart/2008/layout/NameandTitleOrganizationalChart"/>
    <dgm:cxn modelId="{BD0DFF63-10CA-472C-9226-DA17A9D00F7B}" type="presParOf" srcId="{98A9A65D-DE39-4BA6-9563-1398D4DA338F}" destId="{C322C213-5944-4F21-A6AE-A982AF9CE7A9}" srcOrd="2" destOrd="0" presId="urn:microsoft.com/office/officeart/2008/layout/NameandTitleOrganizationalChart"/>
    <dgm:cxn modelId="{645DFF4C-775B-435E-BB8B-CDFFED23E85E}" type="presParOf" srcId="{840D8BCC-E4B7-48D7-9EF8-7ECB4CBBF2CA}" destId="{4ADFACD3-B809-4735-991A-369C46F4890D}" srcOrd="1" destOrd="0" presId="urn:microsoft.com/office/officeart/2008/layout/NameandTitleOrganizationalChart"/>
    <dgm:cxn modelId="{9B39C25A-1BBE-4C5F-8981-226B9C6C70E7}" type="presParOf" srcId="{840D8BCC-E4B7-48D7-9EF8-7ECB4CBBF2CA}" destId="{10C0CBFC-D7E1-4E1C-A1BF-01F9372D3352}" srcOrd="2" destOrd="0" presId="urn:microsoft.com/office/officeart/2008/layout/NameandTitleOrganizationalChart"/>
    <dgm:cxn modelId="{82A239D0-4F04-46C7-B5C9-475D802B267C}" type="presParOf" srcId="{84643983-A290-495E-8656-540E109CFFD6}" destId="{C65D04CA-6216-46D0-8DC7-ECD315706851}" srcOrd="2" destOrd="0" presId="urn:microsoft.com/office/officeart/2008/layout/NameandTitleOrganizationalChart"/>
    <dgm:cxn modelId="{9EFBB6B8-5B9C-49FE-9EC5-7FEEF8001AA9}" type="presParOf" srcId="{2FB91495-6843-4865-B3E3-F693E59D13A6}" destId="{92A3BF9A-A349-4C00-94ED-834FC403EB20}" srcOrd="2" destOrd="0" presId="urn:microsoft.com/office/officeart/2008/layout/NameandTitleOrganizationalChart"/>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AA1AD1-244B-4C4D-8961-2FB5CE2808B8}">
      <dsp:nvSpPr>
        <dsp:cNvPr id="0" name=""/>
        <dsp:cNvSpPr/>
      </dsp:nvSpPr>
      <dsp:spPr>
        <a:xfrm>
          <a:off x="2691230" y="658696"/>
          <a:ext cx="217037" cy="709049"/>
        </a:xfrm>
        <a:custGeom>
          <a:avLst/>
          <a:gdLst/>
          <a:ahLst/>
          <a:cxnLst/>
          <a:rect l="0" t="0" r="0" b="0"/>
          <a:pathLst>
            <a:path>
              <a:moveTo>
                <a:pt x="218968" y="0"/>
              </a:moveTo>
              <a:lnTo>
                <a:pt x="218968" y="715358"/>
              </a:lnTo>
              <a:lnTo>
                <a:pt x="0" y="71535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B68FE8-4CC1-4680-827E-24E83EE4F2BD}">
      <dsp:nvSpPr>
        <dsp:cNvPr id="0" name=""/>
        <dsp:cNvSpPr/>
      </dsp:nvSpPr>
      <dsp:spPr>
        <a:xfrm>
          <a:off x="4567262" y="2734675"/>
          <a:ext cx="91440" cy="380108"/>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AC35AEF-9B09-4937-BA4E-15553AA3989E}">
      <dsp:nvSpPr>
        <dsp:cNvPr id="0" name=""/>
        <dsp:cNvSpPr/>
      </dsp:nvSpPr>
      <dsp:spPr>
        <a:xfrm>
          <a:off x="2908268" y="658696"/>
          <a:ext cx="1704714" cy="1418098"/>
        </a:xfrm>
        <a:custGeom>
          <a:avLst/>
          <a:gdLst/>
          <a:ahLst/>
          <a:cxnLst/>
          <a:rect l="0" t="0" r="0" b="0"/>
          <a:pathLst>
            <a:path>
              <a:moveTo>
                <a:pt x="0" y="0"/>
              </a:moveTo>
              <a:lnTo>
                <a:pt x="0" y="1275845"/>
              </a:lnTo>
              <a:lnTo>
                <a:pt x="1719882" y="1275845"/>
              </a:lnTo>
              <a:lnTo>
                <a:pt x="1719882" y="143071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D1E6DD7-3405-409A-9BFC-D69600FA687E}">
      <dsp:nvSpPr>
        <dsp:cNvPr id="0" name=""/>
        <dsp:cNvSpPr/>
      </dsp:nvSpPr>
      <dsp:spPr>
        <a:xfrm>
          <a:off x="2862548" y="4951077"/>
          <a:ext cx="91440" cy="441702"/>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61E17C-A0A7-4909-9642-5E23194ABD12}">
      <dsp:nvSpPr>
        <dsp:cNvPr id="0" name=""/>
        <dsp:cNvSpPr/>
      </dsp:nvSpPr>
      <dsp:spPr>
        <a:xfrm>
          <a:off x="2862548" y="3772665"/>
          <a:ext cx="91440" cy="520531"/>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D4FCC6-4A86-48F4-894A-B12FAE497647}">
      <dsp:nvSpPr>
        <dsp:cNvPr id="0" name=""/>
        <dsp:cNvSpPr/>
      </dsp:nvSpPr>
      <dsp:spPr>
        <a:xfrm>
          <a:off x="2862548" y="2734675"/>
          <a:ext cx="91440" cy="380108"/>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6A76AF-C164-4B8F-8D11-8415902D1A5F}">
      <dsp:nvSpPr>
        <dsp:cNvPr id="0" name=""/>
        <dsp:cNvSpPr/>
      </dsp:nvSpPr>
      <dsp:spPr>
        <a:xfrm>
          <a:off x="2862548" y="658696"/>
          <a:ext cx="91440" cy="1418098"/>
        </a:xfrm>
        <a:custGeom>
          <a:avLst/>
          <a:gdLst/>
          <a:ahLst/>
          <a:cxnLst/>
          <a:rect l="0" t="0" r="0" b="0"/>
          <a:pathLst>
            <a:path>
              <a:moveTo>
                <a:pt x="45720" y="0"/>
              </a:moveTo>
              <a:lnTo>
                <a:pt x="45720" y="143071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A33C117-E4E5-4AF5-A304-61FB43ED3DCD}">
      <dsp:nvSpPr>
        <dsp:cNvPr id="0" name=""/>
        <dsp:cNvSpPr/>
      </dsp:nvSpPr>
      <dsp:spPr>
        <a:xfrm>
          <a:off x="1157833" y="4929348"/>
          <a:ext cx="91440" cy="380108"/>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C3ADB33-7187-47FB-ABB8-D088FFD3756E}">
      <dsp:nvSpPr>
        <dsp:cNvPr id="0" name=""/>
        <dsp:cNvSpPr/>
      </dsp:nvSpPr>
      <dsp:spPr>
        <a:xfrm>
          <a:off x="1157833" y="3772665"/>
          <a:ext cx="91440" cy="498802"/>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0B30EE3-F4DD-4610-A709-912D5EE9439E}">
      <dsp:nvSpPr>
        <dsp:cNvPr id="0" name=""/>
        <dsp:cNvSpPr/>
      </dsp:nvSpPr>
      <dsp:spPr>
        <a:xfrm>
          <a:off x="1157833" y="2734675"/>
          <a:ext cx="91440" cy="380108"/>
        </a:xfrm>
        <a:custGeom>
          <a:avLst/>
          <a:gdLst/>
          <a:ahLst/>
          <a:cxnLst/>
          <a:rect l="0" t="0" r="0" b="0"/>
          <a:pathLst>
            <a:path>
              <a:moveTo>
                <a:pt x="45720" y="0"/>
              </a:moveTo>
              <a:lnTo>
                <a:pt x="45720" y="3834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E5407C-BDD1-4A73-A80B-878BF2700911}">
      <dsp:nvSpPr>
        <dsp:cNvPr id="0" name=""/>
        <dsp:cNvSpPr/>
      </dsp:nvSpPr>
      <dsp:spPr>
        <a:xfrm>
          <a:off x="1203553" y="658696"/>
          <a:ext cx="1704714" cy="1418098"/>
        </a:xfrm>
        <a:custGeom>
          <a:avLst/>
          <a:gdLst/>
          <a:ahLst/>
          <a:cxnLst/>
          <a:rect l="0" t="0" r="0" b="0"/>
          <a:pathLst>
            <a:path>
              <a:moveTo>
                <a:pt x="1719882" y="0"/>
              </a:moveTo>
              <a:lnTo>
                <a:pt x="1719882" y="1275845"/>
              </a:lnTo>
              <a:lnTo>
                <a:pt x="0" y="1275845"/>
              </a:lnTo>
              <a:lnTo>
                <a:pt x="0" y="143071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BFBF0C7-CBE0-4D48-B671-40C161728A63}">
      <dsp:nvSpPr>
        <dsp:cNvPr id="0" name=""/>
        <dsp:cNvSpPr/>
      </dsp:nvSpPr>
      <dsp:spPr>
        <a:xfrm>
          <a:off x="2272948" y="815"/>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92834" numCol="1" spcCol="1270" anchor="ctr" anchorCtr="0">
          <a:noAutofit/>
        </a:bodyPr>
        <a:lstStyle/>
        <a:p>
          <a:pPr lvl="0" algn="ctr" defTabSz="488950">
            <a:lnSpc>
              <a:spcPct val="90000"/>
            </a:lnSpc>
            <a:spcBef>
              <a:spcPct val="0"/>
            </a:spcBef>
            <a:spcAft>
              <a:spcPct val="35000"/>
            </a:spcAft>
          </a:pPr>
          <a:r>
            <a:rPr lang="en-US" sz="1100" b="1" kern="1200" dirty="0" smtClean="0">
              <a:latin typeface="Times New Roman"/>
              <a:ea typeface="+mn-ea"/>
              <a:cs typeface="+mn-cs"/>
            </a:rPr>
            <a:t>Quinoa Farmers</a:t>
          </a:r>
          <a:endParaRPr lang="en-US" sz="1100" b="1" kern="1200" dirty="0">
            <a:latin typeface="Times New Roman"/>
            <a:ea typeface="+mn-ea"/>
            <a:cs typeface="+mn-cs"/>
          </a:endParaRPr>
        </a:p>
      </dsp:txBody>
      <dsp:txXfrm>
        <a:off x="2272948" y="815"/>
        <a:ext cx="1270639" cy="657880"/>
      </dsp:txXfrm>
    </dsp:sp>
    <dsp:sp modelId="{9CAC1903-B064-4D80-A17D-B3DED5AAA0B8}">
      <dsp:nvSpPr>
        <dsp:cNvPr id="0" name=""/>
        <dsp:cNvSpPr/>
      </dsp:nvSpPr>
      <dsp:spPr>
        <a:xfrm>
          <a:off x="3145556" y="1693892"/>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smtClean="0">
              <a:latin typeface="Times New Roman"/>
              <a:ea typeface="+mn-ea"/>
              <a:cs typeface="+mn-cs"/>
            </a:rPr>
            <a:t>Organic and Non Organic </a:t>
          </a:r>
          <a:endParaRPr lang="en-US" sz="800" kern="1200" dirty="0">
            <a:latin typeface="Times New Roman"/>
            <a:ea typeface="+mn-ea"/>
            <a:cs typeface="+mn-cs"/>
          </a:endParaRPr>
        </a:p>
      </dsp:txBody>
      <dsp:txXfrm>
        <a:off x="3145556" y="1693892"/>
        <a:ext cx="1143575" cy="219293"/>
      </dsp:txXfrm>
    </dsp:sp>
    <dsp:sp modelId="{B716599B-9D29-47B1-8F06-9443BF99C68C}">
      <dsp:nvSpPr>
        <dsp:cNvPr id="0" name=""/>
        <dsp:cNvSpPr/>
      </dsp:nvSpPr>
      <dsp:spPr>
        <a:xfrm>
          <a:off x="568233" y="2076795"/>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Producer Organizations</a:t>
          </a:r>
        </a:p>
        <a:p>
          <a:pPr lvl="0" algn="ctr" defTabSz="444500">
            <a:lnSpc>
              <a:spcPct val="90000"/>
            </a:lnSpc>
            <a:spcBef>
              <a:spcPct val="0"/>
            </a:spcBef>
            <a:spcAft>
              <a:spcPct val="35000"/>
            </a:spcAft>
          </a:pPr>
          <a:r>
            <a:rPr lang="en-US" sz="800" kern="1200" dirty="0" smtClean="0">
              <a:latin typeface="Times New Roman"/>
              <a:ea typeface="+mn-ea"/>
              <a:cs typeface="+mn-cs"/>
            </a:rPr>
            <a:t>(ANAPQUI and  CECAOT)	</a:t>
          </a:r>
          <a:endParaRPr lang="en-US" sz="800" kern="1200" dirty="0">
            <a:latin typeface="Times New Roman"/>
            <a:ea typeface="+mn-ea"/>
            <a:cs typeface="+mn-cs"/>
          </a:endParaRPr>
        </a:p>
      </dsp:txBody>
      <dsp:txXfrm>
        <a:off x="568233" y="2076795"/>
        <a:ext cx="1270639" cy="657880"/>
      </dsp:txXfrm>
    </dsp:sp>
    <dsp:sp modelId="{42919571-8C8A-45A5-9BFE-47659453BD29}">
      <dsp:nvSpPr>
        <dsp:cNvPr id="0" name=""/>
        <dsp:cNvSpPr/>
      </dsp:nvSpPr>
      <dsp:spPr>
        <a:xfrm>
          <a:off x="726964" y="1731618"/>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pPr>
          <a:r>
            <a:rPr lang="en-US" sz="700" kern="1200" dirty="0" smtClean="0">
              <a:latin typeface="Times New Roman"/>
              <a:ea typeface="+mn-ea"/>
              <a:cs typeface="+mn-cs"/>
            </a:rPr>
            <a:t>Mostly deal with Organic Quinoa</a:t>
          </a:r>
          <a:endParaRPr lang="en-US" sz="700" kern="1200" dirty="0">
            <a:latin typeface="Times New Roman"/>
            <a:ea typeface="+mn-ea"/>
            <a:cs typeface="+mn-cs"/>
          </a:endParaRPr>
        </a:p>
      </dsp:txBody>
      <dsp:txXfrm>
        <a:off x="726964" y="1731618"/>
        <a:ext cx="1143575" cy="219293"/>
      </dsp:txXfrm>
    </dsp:sp>
    <dsp:sp modelId="{60382261-A942-47A8-B60E-253683743B5F}">
      <dsp:nvSpPr>
        <dsp:cNvPr id="0" name=""/>
        <dsp:cNvSpPr/>
      </dsp:nvSpPr>
      <dsp:spPr>
        <a:xfrm>
          <a:off x="568233" y="3114784"/>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92834" numCol="1" spcCol="1270" anchor="ctr" anchorCtr="0">
          <a:noAutofit/>
        </a:bodyPr>
        <a:lstStyle/>
        <a:p>
          <a:pPr lvl="0" algn="ctr" defTabSz="355600">
            <a:lnSpc>
              <a:spcPct val="90000"/>
            </a:lnSpc>
            <a:spcBef>
              <a:spcPct val="0"/>
            </a:spcBef>
            <a:spcAft>
              <a:spcPct val="35000"/>
            </a:spcAft>
          </a:pPr>
          <a:r>
            <a:rPr lang="en-US" sz="800" kern="1200" dirty="0" smtClean="0">
              <a:latin typeface="Times New Roman"/>
              <a:ea typeface="+mn-ea"/>
              <a:cs typeface="+mn-cs"/>
            </a:rPr>
            <a:t> </a:t>
          </a:r>
          <a:r>
            <a:rPr lang="en-US" sz="800" b="1" kern="1200" dirty="0" smtClean="0">
              <a:latin typeface="Times New Roman"/>
              <a:ea typeface="+mn-ea"/>
              <a:cs typeface="+mn-cs"/>
            </a:rPr>
            <a:t>EXPORT to markets in the US  and Europe </a:t>
          </a:r>
          <a:r>
            <a:rPr lang="en-US" sz="800" kern="1200" dirty="0" smtClean="0">
              <a:latin typeface="Times New Roman"/>
              <a:ea typeface="+mn-ea"/>
              <a:cs typeface="+mn-cs"/>
            </a:rPr>
            <a:t>(primarilly)</a:t>
          </a:r>
          <a:endParaRPr lang="en-US" sz="800" kern="1200" dirty="0">
            <a:latin typeface="Times New Roman"/>
            <a:ea typeface="+mn-ea"/>
            <a:cs typeface="+mn-cs"/>
          </a:endParaRPr>
        </a:p>
      </dsp:txBody>
      <dsp:txXfrm>
        <a:off x="568233" y="3114784"/>
        <a:ext cx="1270639" cy="657880"/>
      </dsp:txXfrm>
    </dsp:sp>
    <dsp:sp modelId="{C865E448-AD2D-47F5-95BD-B87B54EF5141}">
      <dsp:nvSpPr>
        <dsp:cNvPr id="0" name=""/>
        <dsp:cNvSpPr/>
      </dsp:nvSpPr>
      <dsp:spPr>
        <a:xfrm>
          <a:off x="850653" y="3554932"/>
          <a:ext cx="1143575" cy="45668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dirty="0" smtClean="0">
              <a:latin typeface="Times New Roman"/>
              <a:ea typeface="+mn-ea"/>
              <a:cs typeface="+mn-cs"/>
            </a:rPr>
            <a:t>Regional PO's deliver the quinoa to the umbrella POs for  full or final processing. </a:t>
          </a:r>
          <a:endParaRPr lang="en-US" sz="800" kern="1200" dirty="0">
            <a:latin typeface="Times New Roman"/>
            <a:ea typeface="+mn-ea"/>
            <a:cs typeface="+mn-cs"/>
          </a:endParaRPr>
        </a:p>
      </dsp:txBody>
      <dsp:txXfrm>
        <a:off x="850653" y="3554932"/>
        <a:ext cx="1143575" cy="456681"/>
      </dsp:txXfrm>
    </dsp:sp>
    <dsp:sp modelId="{C875B58D-8C27-4F0F-AEA8-8943E08F99A9}">
      <dsp:nvSpPr>
        <dsp:cNvPr id="0" name=""/>
        <dsp:cNvSpPr/>
      </dsp:nvSpPr>
      <dsp:spPr>
        <a:xfrm>
          <a:off x="568233" y="4271468"/>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Importers and Distributors</a:t>
          </a:r>
          <a:endParaRPr lang="en-US" sz="1000" b="1" kern="1200" dirty="0">
            <a:latin typeface="Times New Roman"/>
            <a:ea typeface="+mn-ea"/>
            <a:cs typeface="+mn-cs"/>
          </a:endParaRPr>
        </a:p>
      </dsp:txBody>
      <dsp:txXfrm>
        <a:off x="568233" y="4271468"/>
        <a:ext cx="1270639" cy="657880"/>
      </dsp:txXfrm>
    </dsp:sp>
    <dsp:sp modelId="{120993E5-7505-42CA-AF14-AB16847D8911}">
      <dsp:nvSpPr>
        <dsp:cNvPr id="0" name=""/>
        <dsp:cNvSpPr/>
      </dsp:nvSpPr>
      <dsp:spPr>
        <a:xfrm>
          <a:off x="822361" y="4783153"/>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en-US" sz="900" kern="1200">
              <a:solidFill>
                <a:srgbClr val="000000">
                  <a:hueOff val="0"/>
                  <a:satOff val="0"/>
                  <a:lumOff val="0"/>
                  <a:alphaOff val="0"/>
                </a:srgbClr>
              </a:solidFill>
              <a:latin typeface="Times New Roman"/>
              <a:ea typeface="+mn-ea"/>
              <a:cs typeface="+mn-cs"/>
            </a:rPr>
            <a:t>Ex. Rapunzel, GEPA.</a:t>
          </a:r>
        </a:p>
      </dsp:txBody>
      <dsp:txXfrm>
        <a:off x="822361" y="4783153"/>
        <a:ext cx="1143575" cy="219293"/>
      </dsp:txXfrm>
    </dsp:sp>
    <dsp:sp modelId="{25392AC2-8380-425A-AD2F-6CF1E880CE75}">
      <dsp:nvSpPr>
        <dsp:cNvPr id="0" name=""/>
        <dsp:cNvSpPr/>
      </dsp:nvSpPr>
      <dsp:spPr>
        <a:xfrm>
          <a:off x="568233" y="5309457"/>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Retailers and Supermarkets</a:t>
          </a:r>
          <a:endParaRPr lang="en-US" sz="1000" b="1" kern="1200" dirty="0">
            <a:latin typeface="Times New Roman"/>
            <a:ea typeface="+mn-ea"/>
            <a:cs typeface="+mn-cs"/>
          </a:endParaRPr>
        </a:p>
      </dsp:txBody>
      <dsp:txXfrm>
        <a:off x="568233" y="5309457"/>
        <a:ext cx="1270639" cy="657880"/>
      </dsp:txXfrm>
    </dsp:sp>
    <dsp:sp modelId="{EBCEC652-FC84-4905-81B0-7C9CD667481C}">
      <dsp:nvSpPr>
        <dsp:cNvPr id="0" name=""/>
        <dsp:cNvSpPr/>
      </dsp:nvSpPr>
      <dsp:spPr>
        <a:xfrm>
          <a:off x="822361" y="5821142"/>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9525" rIns="38100" bIns="9525" numCol="1" spcCol="1270" anchor="ctr" anchorCtr="0">
          <a:noAutofit/>
        </a:bodyPr>
        <a:lstStyle/>
        <a:p>
          <a:pPr lvl="0" algn="r" defTabSz="666750">
            <a:lnSpc>
              <a:spcPct val="90000"/>
            </a:lnSpc>
            <a:spcBef>
              <a:spcPct val="0"/>
            </a:spcBef>
            <a:spcAft>
              <a:spcPct val="35000"/>
            </a:spcAft>
          </a:pPr>
          <a:endParaRPr lang="en-US" sz="1500" kern="1200">
            <a:solidFill>
              <a:srgbClr val="000000">
                <a:hueOff val="0"/>
                <a:satOff val="0"/>
                <a:lumOff val="0"/>
                <a:alphaOff val="0"/>
              </a:srgbClr>
            </a:solidFill>
            <a:latin typeface="Times New Roman"/>
            <a:ea typeface="+mn-ea"/>
            <a:cs typeface="+mn-cs"/>
          </a:endParaRPr>
        </a:p>
      </dsp:txBody>
      <dsp:txXfrm>
        <a:off x="822361" y="5821142"/>
        <a:ext cx="1143575" cy="219293"/>
      </dsp:txXfrm>
    </dsp:sp>
    <dsp:sp modelId="{2065DD9D-A86A-4FD9-897E-55298C65AF97}">
      <dsp:nvSpPr>
        <dsp:cNvPr id="0" name=""/>
        <dsp:cNvSpPr/>
      </dsp:nvSpPr>
      <dsp:spPr>
        <a:xfrm>
          <a:off x="2272948" y="2076795"/>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Private Firms</a:t>
          </a:r>
        </a:p>
        <a:p>
          <a:pPr lvl="0" algn="ctr" defTabSz="444500">
            <a:lnSpc>
              <a:spcPct val="90000"/>
            </a:lnSpc>
            <a:spcBef>
              <a:spcPct val="0"/>
            </a:spcBef>
            <a:spcAft>
              <a:spcPct val="35000"/>
            </a:spcAft>
          </a:pPr>
          <a:r>
            <a:rPr lang="en-US" sz="800" b="1" kern="1200" dirty="0" smtClean="0">
              <a:latin typeface="Times New Roman"/>
              <a:ea typeface="+mn-ea"/>
              <a:cs typeface="+mn-cs"/>
            </a:rPr>
            <a:t> </a:t>
          </a:r>
          <a:r>
            <a:rPr lang="en-US" sz="800" kern="1200" dirty="0" smtClean="0">
              <a:latin typeface="Times New Roman"/>
              <a:ea typeface="+mn-ea"/>
              <a:cs typeface="+mn-cs"/>
            </a:rPr>
            <a:t>(new private firms enter the  quinoa market during the late 1990's)		</a:t>
          </a:r>
          <a:endParaRPr lang="en-US" sz="800" kern="1200" dirty="0">
            <a:latin typeface="Times New Roman"/>
            <a:ea typeface="+mn-ea"/>
            <a:cs typeface="+mn-cs"/>
          </a:endParaRPr>
        </a:p>
      </dsp:txBody>
      <dsp:txXfrm>
        <a:off x="2272948" y="2076795"/>
        <a:ext cx="1270639" cy="657880"/>
      </dsp:txXfrm>
    </dsp:sp>
    <dsp:sp modelId="{B73EC240-C8AA-4B9D-9C74-8E16D0917658}">
      <dsp:nvSpPr>
        <dsp:cNvPr id="0" name=""/>
        <dsp:cNvSpPr/>
      </dsp:nvSpPr>
      <dsp:spPr>
        <a:xfrm>
          <a:off x="3386095" y="854437"/>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dirty="0" smtClean="0">
              <a:latin typeface="Times New Roman"/>
              <a:ea typeface="+mn-ea"/>
              <a:cs typeface="+mn-cs"/>
            </a:rPr>
            <a:t>Small Land Owners	</a:t>
          </a:r>
          <a:endParaRPr lang="en-US" sz="800" kern="1200" dirty="0">
            <a:latin typeface="Times New Roman"/>
            <a:ea typeface="+mn-ea"/>
            <a:cs typeface="+mn-cs"/>
          </a:endParaRPr>
        </a:p>
      </dsp:txBody>
      <dsp:txXfrm>
        <a:off x="3386095" y="854437"/>
        <a:ext cx="1143575" cy="219293"/>
      </dsp:txXfrm>
    </dsp:sp>
    <dsp:sp modelId="{E515D687-E6F2-4D41-9E1F-31BBE09F8E78}">
      <dsp:nvSpPr>
        <dsp:cNvPr id="0" name=""/>
        <dsp:cNvSpPr/>
      </dsp:nvSpPr>
      <dsp:spPr>
        <a:xfrm>
          <a:off x="2272948" y="3114784"/>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92834" numCol="1" spcCol="1270" anchor="ctr" anchorCtr="0">
          <a:noAutofit/>
        </a:bodyPr>
        <a:lstStyle/>
        <a:p>
          <a:pPr lvl="0" algn="ctr" defTabSz="355600">
            <a:lnSpc>
              <a:spcPct val="90000"/>
            </a:lnSpc>
            <a:spcBef>
              <a:spcPct val="0"/>
            </a:spcBef>
            <a:spcAft>
              <a:spcPct val="35000"/>
            </a:spcAft>
          </a:pPr>
          <a:r>
            <a:rPr lang="en-US" sz="800" b="1" kern="1200" dirty="0" smtClean="0">
              <a:latin typeface="Times New Roman"/>
              <a:ea typeface="+mn-ea"/>
              <a:cs typeface="+mn-cs"/>
            </a:rPr>
            <a:t>EXPORT to markets in the  US  and Europe </a:t>
          </a:r>
          <a:r>
            <a:rPr lang="en-US" sz="800" kern="1200" dirty="0" smtClean="0">
              <a:latin typeface="Times New Roman"/>
              <a:ea typeface="+mn-ea"/>
              <a:cs typeface="+mn-cs"/>
            </a:rPr>
            <a:t>(primarilly)</a:t>
          </a:r>
          <a:endParaRPr lang="en-US" sz="800" kern="1200" dirty="0">
            <a:latin typeface="Times New Roman"/>
            <a:ea typeface="+mn-ea"/>
            <a:cs typeface="+mn-cs"/>
          </a:endParaRPr>
        </a:p>
      </dsp:txBody>
      <dsp:txXfrm>
        <a:off x="2272948" y="3114784"/>
        <a:ext cx="1270639" cy="657880"/>
      </dsp:txXfrm>
    </dsp:sp>
    <dsp:sp modelId="{31277573-1C5F-45B0-926D-801658735A2F}">
      <dsp:nvSpPr>
        <dsp:cNvPr id="0" name=""/>
        <dsp:cNvSpPr/>
      </dsp:nvSpPr>
      <dsp:spPr>
        <a:xfrm>
          <a:off x="2527076" y="3579957"/>
          <a:ext cx="1143575" cy="50013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l" defTabSz="355600">
            <a:lnSpc>
              <a:spcPct val="90000"/>
            </a:lnSpc>
            <a:spcBef>
              <a:spcPct val="0"/>
            </a:spcBef>
            <a:spcAft>
              <a:spcPct val="35000"/>
            </a:spcAft>
          </a:pPr>
          <a:r>
            <a:rPr lang="en-US" sz="800" kern="1200" dirty="0" smtClean="0">
              <a:latin typeface="Times New Roman"/>
              <a:ea typeface="+mn-ea"/>
              <a:cs typeface="+mn-cs"/>
            </a:rPr>
            <a:t>Some companies are vertically integrated throughout the chain. Ex. Jatary. </a:t>
          </a:r>
          <a:endParaRPr lang="en-US" sz="800" kern="1200" dirty="0">
            <a:latin typeface="Times New Roman"/>
            <a:ea typeface="+mn-ea"/>
            <a:cs typeface="+mn-cs"/>
          </a:endParaRPr>
        </a:p>
      </dsp:txBody>
      <dsp:txXfrm>
        <a:off x="2527076" y="3579957"/>
        <a:ext cx="1143575" cy="500138"/>
      </dsp:txXfrm>
    </dsp:sp>
    <dsp:sp modelId="{9E3F4FB7-26B1-4FE5-BD56-458836CC26C5}">
      <dsp:nvSpPr>
        <dsp:cNvPr id="0" name=""/>
        <dsp:cNvSpPr/>
      </dsp:nvSpPr>
      <dsp:spPr>
        <a:xfrm>
          <a:off x="2272948" y="4293196"/>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Importers and Distributors</a:t>
          </a:r>
          <a:endParaRPr lang="en-US" sz="1000" b="1" kern="1200" dirty="0">
            <a:latin typeface="Times New Roman"/>
            <a:ea typeface="+mn-ea"/>
            <a:cs typeface="+mn-cs"/>
          </a:endParaRPr>
        </a:p>
      </dsp:txBody>
      <dsp:txXfrm>
        <a:off x="2272948" y="4293196"/>
        <a:ext cx="1270639" cy="657880"/>
      </dsp:txXfrm>
    </dsp:sp>
    <dsp:sp modelId="{D1842742-09C3-49C4-ADA7-0919AA4B7F0A}">
      <dsp:nvSpPr>
        <dsp:cNvPr id="0" name=""/>
        <dsp:cNvSpPr/>
      </dsp:nvSpPr>
      <dsp:spPr>
        <a:xfrm>
          <a:off x="2527076" y="4743287"/>
          <a:ext cx="1143575" cy="34248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a:solidFill>
                <a:srgbClr val="000000">
                  <a:hueOff val="0"/>
                  <a:satOff val="0"/>
                  <a:lumOff val="0"/>
                  <a:alphaOff val="0"/>
                </a:srgbClr>
              </a:solidFill>
              <a:latin typeface="Times New Roman"/>
              <a:ea typeface="+mn-ea"/>
              <a:cs typeface="+mn-cs"/>
            </a:rPr>
            <a:t>French company Euronat is vertically integrated with Jatary</a:t>
          </a:r>
          <a:r>
            <a:rPr lang="en-US" sz="600" kern="1200">
              <a:solidFill>
                <a:srgbClr val="000000">
                  <a:hueOff val="0"/>
                  <a:satOff val="0"/>
                  <a:lumOff val="0"/>
                  <a:alphaOff val="0"/>
                </a:srgbClr>
              </a:solidFill>
              <a:latin typeface="Times New Roman"/>
              <a:ea typeface="+mn-ea"/>
              <a:cs typeface="+mn-cs"/>
            </a:rPr>
            <a:t>.</a:t>
          </a:r>
        </a:p>
      </dsp:txBody>
      <dsp:txXfrm>
        <a:off x="2527076" y="4743287"/>
        <a:ext cx="1143575" cy="342481"/>
      </dsp:txXfrm>
    </dsp:sp>
    <dsp:sp modelId="{42D4EE86-357E-40D6-B0D9-3B02F0E1F571}">
      <dsp:nvSpPr>
        <dsp:cNvPr id="0" name=""/>
        <dsp:cNvSpPr/>
      </dsp:nvSpPr>
      <dsp:spPr>
        <a:xfrm>
          <a:off x="2272948" y="5392780"/>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Retailers and </a:t>
          </a:r>
          <a:r>
            <a:rPr lang="en-US" sz="1000" b="1" kern="1200" dirty="0" err="1" smtClean="0">
              <a:latin typeface="Times New Roman"/>
              <a:ea typeface="+mn-ea"/>
              <a:cs typeface="+mn-cs"/>
            </a:rPr>
            <a:t>Supermarkts</a:t>
          </a:r>
          <a:r>
            <a:rPr lang="en-US" sz="800" kern="1200" dirty="0" smtClean="0">
              <a:latin typeface="Times New Roman"/>
              <a:ea typeface="+mn-ea"/>
              <a:cs typeface="+mn-cs"/>
            </a:rPr>
            <a:t>	</a:t>
          </a:r>
          <a:endParaRPr lang="en-US" sz="800" kern="1200" dirty="0">
            <a:latin typeface="Times New Roman"/>
            <a:ea typeface="+mn-ea"/>
            <a:cs typeface="+mn-cs"/>
          </a:endParaRPr>
        </a:p>
      </dsp:txBody>
      <dsp:txXfrm>
        <a:off x="2272948" y="5392780"/>
        <a:ext cx="1270639" cy="657880"/>
      </dsp:txXfrm>
    </dsp:sp>
    <dsp:sp modelId="{8E7A71A3-695B-4824-A3DF-9A1495271320}">
      <dsp:nvSpPr>
        <dsp:cNvPr id="0" name=""/>
        <dsp:cNvSpPr/>
      </dsp:nvSpPr>
      <dsp:spPr>
        <a:xfrm>
          <a:off x="2527076" y="5904465"/>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lvl="0" algn="r" defTabSz="488950">
            <a:lnSpc>
              <a:spcPct val="90000"/>
            </a:lnSpc>
            <a:spcBef>
              <a:spcPct val="0"/>
            </a:spcBef>
            <a:spcAft>
              <a:spcPct val="35000"/>
            </a:spcAft>
          </a:pPr>
          <a:r>
            <a:rPr lang="en-US" sz="1100" kern="1200">
              <a:solidFill>
                <a:srgbClr val="000000">
                  <a:hueOff val="0"/>
                  <a:satOff val="0"/>
                  <a:lumOff val="0"/>
                  <a:alphaOff val="0"/>
                </a:srgbClr>
              </a:solidFill>
              <a:latin typeface="Times New Roman"/>
              <a:ea typeface="+mn-ea"/>
              <a:cs typeface="+mn-cs"/>
            </a:rPr>
            <a:t>Ex. Carrefour</a:t>
          </a:r>
        </a:p>
      </dsp:txBody>
      <dsp:txXfrm>
        <a:off x="2527076" y="5904465"/>
        <a:ext cx="1143575" cy="219293"/>
      </dsp:txXfrm>
    </dsp:sp>
    <dsp:sp modelId="{37F8178C-3067-4163-BADD-EB86CDCCE161}">
      <dsp:nvSpPr>
        <dsp:cNvPr id="0" name=""/>
        <dsp:cNvSpPr/>
      </dsp:nvSpPr>
      <dsp:spPr>
        <a:xfrm>
          <a:off x="3977662" y="2076795"/>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92834" numCol="1" spcCol="1270" anchor="ctr" anchorCtr="0">
          <a:noAutofit/>
        </a:bodyPr>
        <a:lstStyle/>
        <a:p>
          <a:pPr lvl="0" algn="ctr" defTabSz="444500">
            <a:lnSpc>
              <a:spcPct val="90000"/>
            </a:lnSpc>
            <a:spcBef>
              <a:spcPct val="0"/>
            </a:spcBef>
            <a:spcAft>
              <a:spcPct val="35000"/>
            </a:spcAft>
          </a:pPr>
          <a:r>
            <a:rPr lang="en-US" sz="1000" b="1" kern="1200" dirty="0" smtClean="0">
              <a:latin typeface="Times New Roman"/>
              <a:ea typeface="+mn-ea"/>
              <a:cs typeface="+mn-cs"/>
            </a:rPr>
            <a:t>"Challapata  Fair"</a:t>
          </a:r>
          <a:endParaRPr lang="en-US" sz="1000" b="1" kern="1200" dirty="0">
            <a:latin typeface="Times New Roman"/>
            <a:ea typeface="+mn-ea"/>
            <a:cs typeface="+mn-cs"/>
          </a:endParaRPr>
        </a:p>
      </dsp:txBody>
      <dsp:txXfrm>
        <a:off x="3977662" y="2076795"/>
        <a:ext cx="1270639" cy="657880"/>
      </dsp:txXfrm>
    </dsp:sp>
    <dsp:sp modelId="{DCD7400E-067A-4AE2-9EB4-3702F03B1B89}">
      <dsp:nvSpPr>
        <dsp:cNvPr id="0" name=""/>
        <dsp:cNvSpPr/>
      </dsp:nvSpPr>
      <dsp:spPr>
        <a:xfrm>
          <a:off x="1049837" y="821164"/>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pPr>
          <a:r>
            <a:rPr lang="en-US" sz="700" kern="1200" dirty="0" smtClean="0">
              <a:latin typeface="Times New Roman"/>
              <a:ea typeface="+mn-ea"/>
              <a:cs typeface="+mn-cs"/>
            </a:rPr>
            <a:t>Medium or Big Size Land Owners</a:t>
          </a:r>
          <a:endParaRPr lang="en-US" sz="700" kern="1200" dirty="0">
            <a:latin typeface="Times New Roman"/>
            <a:ea typeface="+mn-ea"/>
            <a:cs typeface="+mn-cs"/>
          </a:endParaRPr>
        </a:p>
      </dsp:txBody>
      <dsp:txXfrm>
        <a:off x="1049837" y="821164"/>
        <a:ext cx="1143575" cy="219293"/>
      </dsp:txXfrm>
    </dsp:sp>
    <dsp:sp modelId="{B94DF55F-5C74-4AA9-8B7B-FA6DE9B984B1}">
      <dsp:nvSpPr>
        <dsp:cNvPr id="0" name=""/>
        <dsp:cNvSpPr/>
      </dsp:nvSpPr>
      <dsp:spPr>
        <a:xfrm>
          <a:off x="3977662" y="3114784"/>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92834" numCol="1" spcCol="1270" anchor="ctr" anchorCtr="0">
          <a:noAutofit/>
        </a:bodyPr>
        <a:lstStyle/>
        <a:p>
          <a:pPr lvl="0" algn="ctr" defTabSz="355600">
            <a:lnSpc>
              <a:spcPct val="90000"/>
            </a:lnSpc>
            <a:spcBef>
              <a:spcPct val="0"/>
            </a:spcBef>
            <a:spcAft>
              <a:spcPct val="35000"/>
            </a:spcAft>
          </a:pPr>
          <a:r>
            <a:rPr lang="en-US" sz="800" kern="1200" dirty="0" smtClean="0">
              <a:latin typeface="Times New Roman"/>
              <a:ea typeface="+mn-ea"/>
              <a:cs typeface="+mn-cs"/>
            </a:rPr>
            <a:t>Also, known  as the </a:t>
          </a:r>
          <a:r>
            <a:rPr lang="en-US" sz="800" b="1" kern="1200" dirty="0" smtClean="0">
              <a:latin typeface="Times New Roman"/>
              <a:ea typeface="+mn-ea"/>
              <a:cs typeface="+mn-cs"/>
            </a:rPr>
            <a:t>"Black Market</a:t>
          </a:r>
          <a:r>
            <a:rPr lang="en-US" sz="800" kern="1200" dirty="0" smtClean="0">
              <a:latin typeface="Times New Roman"/>
              <a:ea typeface="+mn-ea"/>
              <a:cs typeface="+mn-cs"/>
            </a:rPr>
            <a:t>" since Qunoa is either smuggled into Peru or destine towards the Internal Market.</a:t>
          </a:r>
          <a:endParaRPr lang="en-US" sz="800" kern="1200" dirty="0">
            <a:latin typeface="Times New Roman"/>
            <a:ea typeface="+mn-ea"/>
            <a:cs typeface="+mn-cs"/>
          </a:endParaRPr>
        </a:p>
      </dsp:txBody>
      <dsp:txXfrm>
        <a:off x="3977662" y="3114784"/>
        <a:ext cx="1270639" cy="657880"/>
      </dsp:txXfrm>
    </dsp:sp>
    <dsp:sp modelId="{99281717-D511-4EA0-B924-B110F79F835C}">
      <dsp:nvSpPr>
        <dsp:cNvPr id="0" name=""/>
        <dsp:cNvSpPr/>
      </dsp:nvSpPr>
      <dsp:spPr>
        <a:xfrm>
          <a:off x="4231790" y="3705643"/>
          <a:ext cx="1143575" cy="30616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en-US" sz="900" kern="1200" dirty="0" smtClean="0">
              <a:latin typeface="Times New Roman"/>
              <a:ea typeface="+mn-ea"/>
              <a:cs typeface="+mn-cs"/>
            </a:rPr>
            <a:t>Conventional Quinoa prices are set here. </a:t>
          </a:r>
          <a:endParaRPr lang="en-US" sz="900" kern="1200" dirty="0">
            <a:latin typeface="Times New Roman"/>
            <a:ea typeface="+mn-ea"/>
            <a:cs typeface="+mn-cs"/>
          </a:endParaRPr>
        </a:p>
      </dsp:txBody>
      <dsp:txXfrm>
        <a:off x="4231790" y="3705643"/>
        <a:ext cx="1143575" cy="306160"/>
      </dsp:txXfrm>
    </dsp:sp>
    <dsp:sp modelId="{5B81EF67-4E40-48C8-8A56-DA358B67F993}">
      <dsp:nvSpPr>
        <dsp:cNvPr id="0" name=""/>
        <dsp:cNvSpPr/>
      </dsp:nvSpPr>
      <dsp:spPr>
        <a:xfrm>
          <a:off x="1420591" y="1038805"/>
          <a:ext cx="1270639" cy="65788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92834" numCol="1" spcCol="1270" anchor="ctr" anchorCtr="0">
          <a:noAutofit/>
        </a:bodyPr>
        <a:lstStyle/>
        <a:p>
          <a:pPr lvl="0" algn="ctr" defTabSz="355600">
            <a:lnSpc>
              <a:spcPct val="90000"/>
            </a:lnSpc>
            <a:spcBef>
              <a:spcPct val="0"/>
            </a:spcBef>
            <a:spcAft>
              <a:spcPct val="35000"/>
            </a:spcAft>
          </a:pPr>
          <a:r>
            <a:rPr lang="en-US" sz="800" b="1" kern="1200" dirty="0" smtClean="0">
              <a:latin typeface="Times New Roman"/>
              <a:ea typeface="+mn-ea"/>
              <a:cs typeface="+mn-cs"/>
            </a:rPr>
            <a:t>SELL</a:t>
          </a:r>
          <a:endParaRPr lang="en-US" sz="800" b="1" kern="1200" dirty="0">
            <a:latin typeface="Times New Roman"/>
            <a:ea typeface="+mn-ea"/>
            <a:cs typeface="+mn-cs"/>
          </a:endParaRPr>
        </a:p>
      </dsp:txBody>
      <dsp:txXfrm>
        <a:off x="1420591" y="1038805"/>
        <a:ext cx="1270639" cy="657880"/>
      </dsp:txXfrm>
    </dsp:sp>
    <dsp:sp modelId="{E8E05CC8-7047-470A-961E-1E4DDDDA7F3E}">
      <dsp:nvSpPr>
        <dsp:cNvPr id="0" name=""/>
        <dsp:cNvSpPr/>
      </dsp:nvSpPr>
      <dsp:spPr>
        <a:xfrm>
          <a:off x="3608916" y="1079480"/>
          <a:ext cx="1143575" cy="219293"/>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r" defTabSz="311150">
            <a:lnSpc>
              <a:spcPct val="90000"/>
            </a:lnSpc>
            <a:spcBef>
              <a:spcPct val="0"/>
            </a:spcBef>
            <a:spcAft>
              <a:spcPct val="35000"/>
            </a:spcAft>
          </a:pPr>
          <a:r>
            <a:rPr lang="en-US" sz="700" kern="1200" dirty="0" smtClean="0">
              <a:latin typeface="Times New Roman"/>
              <a:ea typeface="+mn-ea"/>
              <a:cs typeface="+mn-cs"/>
            </a:rPr>
            <a:t>Produce mostly for self consumption    </a:t>
          </a:r>
          <a:endParaRPr lang="en-US" sz="700" kern="1200" dirty="0">
            <a:latin typeface="Times New Roman"/>
            <a:ea typeface="+mn-ea"/>
            <a:cs typeface="+mn-cs"/>
          </a:endParaRPr>
        </a:p>
      </dsp:txBody>
      <dsp:txXfrm>
        <a:off x="3608916" y="1079480"/>
        <a:ext cx="1143575" cy="21929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87E50C4-F2FC-4346-B87E-BCF48FC37FFE}">
      <dsp:nvSpPr>
        <dsp:cNvPr id="0" name=""/>
        <dsp:cNvSpPr/>
      </dsp:nvSpPr>
      <dsp:spPr>
        <a:xfrm>
          <a:off x="2799061" y="1077221"/>
          <a:ext cx="1945897" cy="540590"/>
        </a:xfrm>
        <a:custGeom>
          <a:avLst/>
          <a:gdLst/>
          <a:ahLst/>
          <a:cxnLst/>
          <a:rect l="0" t="0" r="0" b="0"/>
          <a:pathLst>
            <a:path>
              <a:moveTo>
                <a:pt x="0" y="0"/>
              </a:moveTo>
              <a:lnTo>
                <a:pt x="0" y="363599"/>
              </a:lnTo>
              <a:lnTo>
                <a:pt x="1899536" y="363599"/>
              </a:lnTo>
              <a:lnTo>
                <a:pt x="1899536" y="538937"/>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EA63578-D38A-43B0-87F7-9775A0747158}">
      <dsp:nvSpPr>
        <dsp:cNvPr id="0" name=""/>
        <dsp:cNvSpPr/>
      </dsp:nvSpPr>
      <dsp:spPr>
        <a:xfrm>
          <a:off x="2753341" y="1077221"/>
          <a:ext cx="91440" cy="956541"/>
        </a:xfrm>
        <a:custGeom>
          <a:avLst/>
          <a:gdLst/>
          <a:ahLst/>
          <a:cxnLst/>
          <a:rect l="0" t="0" r="0" b="0"/>
          <a:pathLst>
            <a:path>
              <a:moveTo>
                <a:pt x="45720" y="0"/>
              </a:moveTo>
              <a:lnTo>
                <a:pt x="45720" y="332434"/>
              </a:lnTo>
              <a:lnTo>
                <a:pt x="121916" y="332434"/>
              </a:lnTo>
              <a:lnTo>
                <a:pt x="121916" y="50777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ADEECE4F-560D-4460-A8C7-2ACAFA6A316F}">
      <dsp:nvSpPr>
        <dsp:cNvPr id="0" name=""/>
        <dsp:cNvSpPr/>
      </dsp:nvSpPr>
      <dsp:spPr>
        <a:xfrm>
          <a:off x="853149" y="1077221"/>
          <a:ext cx="1945912" cy="530866"/>
        </a:xfrm>
        <a:custGeom>
          <a:avLst/>
          <a:gdLst/>
          <a:ahLst/>
          <a:cxnLst/>
          <a:rect l="0" t="0" r="0" b="0"/>
          <a:pathLst>
            <a:path>
              <a:moveTo>
                <a:pt x="1899550" y="0"/>
              </a:moveTo>
              <a:lnTo>
                <a:pt x="1899550" y="353904"/>
              </a:lnTo>
              <a:lnTo>
                <a:pt x="0" y="353904"/>
              </a:lnTo>
              <a:lnTo>
                <a:pt x="0" y="52924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72FE443-8522-4DEA-838D-83E1E5DBAB70}">
      <dsp:nvSpPr>
        <dsp:cNvPr id="0" name=""/>
        <dsp:cNvSpPr/>
      </dsp:nvSpPr>
      <dsp:spPr>
        <a:xfrm>
          <a:off x="2071156" y="323467"/>
          <a:ext cx="1455809" cy="753753"/>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6363" numCol="1" spcCol="1270" anchor="ctr" anchorCtr="0">
          <a:noAutofit/>
        </a:bodyPr>
        <a:lstStyle/>
        <a:p>
          <a:pPr lvl="0" algn="ctr" defTabSz="711200">
            <a:lnSpc>
              <a:spcPct val="90000"/>
            </a:lnSpc>
            <a:spcBef>
              <a:spcPct val="0"/>
            </a:spcBef>
            <a:spcAft>
              <a:spcPct val="35000"/>
            </a:spcAft>
          </a:pPr>
          <a:r>
            <a:rPr lang="en-US" sz="1600" b="1" kern="1200">
              <a:solidFill>
                <a:sysClr val="window" lastClr="FFFFFF"/>
              </a:solidFill>
              <a:latin typeface="Calibri"/>
              <a:ea typeface="+mn-ea"/>
              <a:cs typeface="+mn-cs"/>
            </a:rPr>
            <a:t>Quinoa Farmer</a:t>
          </a:r>
        </a:p>
      </dsp:txBody>
      <dsp:txXfrm>
        <a:off x="2071156" y="323467"/>
        <a:ext cx="1455809" cy="753753"/>
      </dsp:txXfrm>
    </dsp:sp>
    <dsp:sp modelId="{F0069CFF-471A-498C-AF77-2F837622B185}">
      <dsp:nvSpPr>
        <dsp:cNvPr id="0" name=""/>
        <dsp:cNvSpPr/>
      </dsp:nvSpPr>
      <dsp:spPr>
        <a:xfrm>
          <a:off x="2343204" y="909718"/>
          <a:ext cx="1310228" cy="251251"/>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Organic and Convetional </a:t>
          </a:r>
        </a:p>
      </dsp:txBody>
      <dsp:txXfrm>
        <a:off x="2343204" y="909718"/>
        <a:ext cx="1310228" cy="251251"/>
      </dsp:txXfrm>
    </dsp:sp>
    <dsp:sp modelId="{8B553898-54DC-46A0-BC2F-C78D80A3D96E}">
      <dsp:nvSpPr>
        <dsp:cNvPr id="0" name=""/>
        <dsp:cNvSpPr/>
      </dsp:nvSpPr>
      <dsp:spPr>
        <a:xfrm>
          <a:off x="125244" y="1608087"/>
          <a:ext cx="1455809" cy="753753"/>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6363" numCol="1" spcCol="1270" anchor="ctr" anchorCtr="0">
          <a:noAutofit/>
        </a:bodyPr>
        <a:lstStyle/>
        <a:p>
          <a:pPr lvl="0" algn="ctr" defTabSz="711200">
            <a:lnSpc>
              <a:spcPct val="90000"/>
            </a:lnSpc>
            <a:spcBef>
              <a:spcPct val="0"/>
            </a:spcBef>
            <a:spcAft>
              <a:spcPct val="35000"/>
            </a:spcAft>
          </a:pPr>
          <a:r>
            <a:rPr lang="en-US" sz="1600" b="1" kern="1200">
              <a:solidFill>
                <a:sysClr val="window" lastClr="FFFFFF"/>
              </a:solidFill>
              <a:latin typeface="Calibri"/>
              <a:ea typeface="+mn-ea"/>
              <a:cs typeface="+mn-cs"/>
            </a:rPr>
            <a:t>Producer Organizations</a:t>
          </a:r>
        </a:p>
      </dsp:txBody>
      <dsp:txXfrm>
        <a:off x="125244" y="1608087"/>
        <a:ext cx="1455809" cy="753753"/>
      </dsp:txXfrm>
    </dsp:sp>
    <dsp:sp modelId="{82D25515-C644-447F-9399-B4EB366E4224}">
      <dsp:nvSpPr>
        <dsp:cNvPr id="0" name=""/>
        <dsp:cNvSpPr/>
      </dsp:nvSpPr>
      <dsp:spPr>
        <a:xfrm>
          <a:off x="473710" y="2210179"/>
          <a:ext cx="1310228" cy="1576269"/>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just"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 Farmers will have to wait at least 1  month and a half  to get paid. </a:t>
          </a:r>
        </a:p>
        <a:p>
          <a:pPr lvl="0" algn="just" defTabSz="400050">
            <a:lnSpc>
              <a:spcPct val="90000"/>
            </a:lnSpc>
            <a:spcBef>
              <a:spcPct val="0"/>
            </a:spcBef>
            <a:spcAft>
              <a:spcPct val="35000"/>
            </a:spcAft>
          </a:pPr>
          <a:r>
            <a:rPr lang="en-US" sz="900" kern="1200">
              <a:solidFill>
                <a:sysClr val="windowText" lastClr="000000"/>
              </a:solidFill>
              <a:latin typeface="Calibri"/>
              <a:ea typeface="+mn-ea"/>
              <a:cs typeface="+mn-cs"/>
            </a:rPr>
            <a:t>- Prices are set in advance. </a:t>
          </a:r>
        </a:p>
        <a:p>
          <a:pPr lvl="0" algn="just"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 Prices are usually higher than what the private firms pay (although not always). </a:t>
          </a:r>
        </a:p>
        <a:p>
          <a:pPr lvl="0" algn="just"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 But higher (usually) than what the "Black Market" pays. </a:t>
          </a:r>
        </a:p>
      </dsp:txBody>
      <dsp:txXfrm>
        <a:off x="473710" y="2210179"/>
        <a:ext cx="1310228" cy="1576269"/>
      </dsp:txXfrm>
    </dsp:sp>
    <dsp:sp modelId="{4579174E-EE96-4297-9EA0-61150DFC29E7}">
      <dsp:nvSpPr>
        <dsp:cNvPr id="0" name=""/>
        <dsp:cNvSpPr/>
      </dsp:nvSpPr>
      <dsp:spPr>
        <a:xfrm>
          <a:off x="2107051" y="2033762"/>
          <a:ext cx="1455809" cy="753753"/>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6363" numCol="1" spcCol="1270" anchor="ctr" anchorCtr="0">
          <a:noAutofit/>
        </a:bodyPr>
        <a:lstStyle/>
        <a:p>
          <a:pPr lvl="0" algn="ctr" defTabSz="711200">
            <a:lnSpc>
              <a:spcPct val="90000"/>
            </a:lnSpc>
            <a:spcBef>
              <a:spcPct val="0"/>
            </a:spcBef>
            <a:spcAft>
              <a:spcPct val="35000"/>
            </a:spcAft>
          </a:pPr>
          <a:r>
            <a:rPr lang="en-US" sz="1600" b="1" kern="1200">
              <a:solidFill>
                <a:sysClr val="window" lastClr="FFFFFF"/>
              </a:solidFill>
              <a:latin typeface="Calibri"/>
              <a:ea typeface="+mn-ea"/>
              <a:cs typeface="+mn-cs"/>
            </a:rPr>
            <a:t>Private Firms</a:t>
          </a:r>
        </a:p>
      </dsp:txBody>
      <dsp:txXfrm>
        <a:off x="2107051" y="2033762"/>
        <a:ext cx="1455809" cy="753753"/>
      </dsp:txXfrm>
    </dsp:sp>
    <dsp:sp modelId="{F003A317-02C4-4510-AD45-A56311754474}">
      <dsp:nvSpPr>
        <dsp:cNvPr id="0" name=""/>
        <dsp:cNvSpPr/>
      </dsp:nvSpPr>
      <dsp:spPr>
        <a:xfrm>
          <a:off x="2317127" y="2477694"/>
          <a:ext cx="1472369" cy="2484950"/>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780" tIns="4445" rIns="17780" bIns="4445" numCol="1" spcCol="1270" anchor="ctr" anchorCtr="0">
          <a:noAutofit/>
        </a:bodyPr>
        <a:lstStyle/>
        <a:p>
          <a:pPr lvl="0" algn="just" defTabSz="311150">
            <a:lnSpc>
              <a:spcPct val="90000"/>
            </a:lnSpc>
            <a:spcBef>
              <a:spcPct val="0"/>
            </a:spcBef>
            <a:spcAft>
              <a:spcPct val="35000"/>
            </a:spcAft>
          </a:pPr>
          <a:r>
            <a:rPr lang="en-US" sz="700" kern="1200">
              <a:solidFill>
                <a:sysClr val="windowText" lastClr="000000">
                  <a:hueOff val="0"/>
                  <a:satOff val="0"/>
                  <a:lumOff val="0"/>
                  <a:alphaOff val="0"/>
                </a:sysClr>
              </a:solidFill>
              <a:latin typeface="Calibri"/>
              <a:ea typeface="+mn-ea"/>
              <a:cs typeface="+mn-cs"/>
            </a:rPr>
            <a:t>- </a:t>
          </a:r>
          <a:r>
            <a:rPr lang="en-US" sz="1050" kern="1200">
              <a:solidFill>
                <a:sysClr val="windowText" lastClr="000000">
                  <a:hueOff val="0"/>
                  <a:satOff val="0"/>
                  <a:lumOff val="0"/>
                  <a:alphaOff val="0"/>
                </a:sysClr>
              </a:solidFill>
              <a:latin typeface="Calibri"/>
              <a:ea typeface="+mn-ea"/>
              <a:cs typeface="+mn-cs"/>
            </a:rPr>
            <a:t>Farmers will  have to wait at least 3</a:t>
          </a:r>
          <a:r>
            <a:rPr lang="en-US" sz="1050" kern="1200">
              <a:solidFill>
                <a:srgbClr val="FF0000"/>
              </a:solidFill>
              <a:latin typeface="Calibri"/>
              <a:ea typeface="+mn-ea"/>
              <a:cs typeface="+mn-cs"/>
            </a:rPr>
            <a:t> </a:t>
          </a:r>
          <a:r>
            <a:rPr lang="en-US" sz="1050" kern="1200">
              <a:solidFill>
                <a:sysClr val="windowText" lastClr="000000"/>
              </a:solidFill>
              <a:latin typeface="Calibri"/>
              <a:ea typeface="+mn-ea"/>
              <a:cs typeface="+mn-cs"/>
            </a:rPr>
            <a:t>monhts</a:t>
          </a:r>
          <a:r>
            <a:rPr lang="en-US" sz="1050" kern="1200">
              <a:solidFill>
                <a:srgbClr val="FF0000"/>
              </a:solidFill>
              <a:latin typeface="Calibri"/>
              <a:ea typeface="+mn-ea"/>
              <a:cs typeface="+mn-cs"/>
            </a:rPr>
            <a:t> </a:t>
          </a:r>
          <a:r>
            <a:rPr lang="en-US" sz="1050" kern="1200">
              <a:solidFill>
                <a:sysClr val="windowText" lastClr="000000">
                  <a:hueOff val="0"/>
                  <a:satOff val="0"/>
                  <a:lumOff val="0"/>
                  <a:alphaOff val="0"/>
                </a:sysClr>
              </a:solidFill>
              <a:latin typeface="Calibri"/>
              <a:ea typeface="+mn-ea"/>
              <a:cs typeface="+mn-cs"/>
            </a:rPr>
            <a:t>to get paid. </a:t>
          </a:r>
        </a:p>
        <a:p>
          <a:pPr lvl="0" algn="just" defTabSz="311150">
            <a:lnSpc>
              <a:spcPct val="90000"/>
            </a:lnSpc>
            <a:spcBef>
              <a:spcPct val="0"/>
            </a:spcBef>
            <a:spcAft>
              <a:spcPct val="35000"/>
            </a:spcAft>
          </a:pPr>
          <a:r>
            <a:rPr lang="en-US" sz="1050" kern="1200">
              <a:solidFill>
                <a:sysClr val="windowText" lastClr="000000">
                  <a:hueOff val="0"/>
                  <a:satOff val="0"/>
                  <a:lumOff val="0"/>
                  <a:alphaOff val="0"/>
                </a:sysClr>
              </a:solidFill>
              <a:latin typeface="Calibri"/>
              <a:ea typeface="+mn-ea"/>
              <a:cs typeface="+mn-cs"/>
            </a:rPr>
            <a:t>- </a:t>
          </a:r>
          <a:r>
            <a:rPr lang="en-US" sz="1050" kern="1200">
              <a:solidFill>
                <a:sysClr val="windowText" lastClr="000000"/>
              </a:solidFill>
              <a:latin typeface="Calibri"/>
              <a:ea typeface="+mn-ea"/>
              <a:cs typeface="+mn-cs"/>
            </a:rPr>
            <a:t>Prices are set at the "signing of the contract".  However, these only indicate the % that will be added to the "Challapata price", which varies on  a weekly basis.</a:t>
          </a:r>
        </a:p>
        <a:p>
          <a:pPr lvl="0" algn="just" defTabSz="311150">
            <a:lnSpc>
              <a:spcPct val="90000"/>
            </a:lnSpc>
            <a:spcBef>
              <a:spcPct val="0"/>
            </a:spcBef>
            <a:spcAft>
              <a:spcPct val="35000"/>
            </a:spcAft>
          </a:pPr>
          <a:r>
            <a:rPr lang="en-US" sz="1050" kern="1200">
              <a:solidFill>
                <a:sysClr val="windowText" lastClr="000000">
                  <a:hueOff val="0"/>
                  <a:satOff val="0"/>
                  <a:lumOff val="0"/>
                  <a:alphaOff val="0"/>
                </a:sysClr>
              </a:solidFill>
              <a:latin typeface="Calibri"/>
              <a:ea typeface="+mn-ea"/>
              <a:cs typeface="+mn-cs"/>
            </a:rPr>
            <a:t>- Prices paid are usually lower than what the PO's pay (although not always). </a:t>
          </a:r>
        </a:p>
        <a:p>
          <a:pPr lvl="0" algn="just" defTabSz="311150">
            <a:lnSpc>
              <a:spcPct val="90000"/>
            </a:lnSpc>
            <a:spcBef>
              <a:spcPct val="0"/>
            </a:spcBef>
            <a:spcAft>
              <a:spcPct val="35000"/>
            </a:spcAft>
          </a:pPr>
          <a:r>
            <a:rPr lang="en-US" sz="1050" kern="1200">
              <a:solidFill>
                <a:sysClr val="windowText" lastClr="000000">
                  <a:hueOff val="0"/>
                  <a:satOff val="0"/>
                  <a:lumOff val="0"/>
                  <a:alphaOff val="0"/>
                </a:sysClr>
              </a:solidFill>
              <a:latin typeface="Calibri"/>
              <a:ea typeface="+mn-ea"/>
              <a:cs typeface="+mn-cs"/>
            </a:rPr>
            <a:t>- But higher (usually) than what the "Black Market" pays</a:t>
          </a:r>
          <a:r>
            <a:rPr lang="en-US" sz="700" kern="1200">
              <a:solidFill>
                <a:sysClr val="windowText" lastClr="000000">
                  <a:hueOff val="0"/>
                  <a:satOff val="0"/>
                  <a:lumOff val="0"/>
                  <a:alphaOff val="0"/>
                </a:sysClr>
              </a:solidFill>
              <a:latin typeface="Calibri"/>
              <a:ea typeface="+mn-ea"/>
              <a:cs typeface="+mn-cs"/>
            </a:rPr>
            <a:t>. </a:t>
          </a:r>
        </a:p>
      </dsp:txBody>
      <dsp:txXfrm>
        <a:off x="2317127" y="2477694"/>
        <a:ext cx="1472369" cy="2484950"/>
      </dsp:txXfrm>
    </dsp:sp>
    <dsp:sp modelId="{C7187661-BF0B-442C-8226-2E13F8BF3399}">
      <dsp:nvSpPr>
        <dsp:cNvPr id="0" name=""/>
        <dsp:cNvSpPr/>
      </dsp:nvSpPr>
      <dsp:spPr>
        <a:xfrm>
          <a:off x="4017054" y="1617811"/>
          <a:ext cx="1455809" cy="753753"/>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6363" numCol="1" spcCol="1270" anchor="ctr" anchorCtr="0">
          <a:noAutofit/>
        </a:bodyPr>
        <a:lstStyle/>
        <a:p>
          <a:pPr lvl="0" algn="ctr" defTabSz="711200">
            <a:lnSpc>
              <a:spcPct val="90000"/>
            </a:lnSpc>
            <a:spcBef>
              <a:spcPct val="0"/>
            </a:spcBef>
            <a:spcAft>
              <a:spcPct val="35000"/>
            </a:spcAft>
          </a:pPr>
          <a:r>
            <a:rPr lang="en-US" sz="1600" b="1" kern="1200">
              <a:solidFill>
                <a:sysClr val="window" lastClr="FFFFFF"/>
              </a:solidFill>
              <a:latin typeface="Calibri"/>
              <a:ea typeface="+mn-ea"/>
              <a:cs typeface="+mn-cs"/>
            </a:rPr>
            <a:t>"Challapata Fair</a:t>
          </a:r>
          <a:r>
            <a:rPr lang="en-US" sz="1600" kern="1200">
              <a:solidFill>
                <a:sysClr val="window" lastClr="FFFFFF"/>
              </a:solidFill>
              <a:latin typeface="Calibri"/>
              <a:ea typeface="+mn-ea"/>
              <a:cs typeface="+mn-cs"/>
            </a:rPr>
            <a:t>"</a:t>
          </a:r>
        </a:p>
      </dsp:txBody>
      <dsp:txXfrm>
        <a:off x="4017054" y="1617811"/>
        <a:ext cx="1455809" cy="753753"/>
      </dsp:txXfrm>
    </dsp:sp>
    <dsp:sp modelId="{559FD167-4DEC-422E-AD06-1DB164A58BEC}">
      <dsp:nvSpPr>
        <dsp:cNvPr id="0" name=""/>
        <dsp:cNvSpPr/>
      </dsp:nvSpPr>
      <dsp:spPr>
        <a:xfrm>
          <a:off x="4209317" y="2203224"/>
          <a:ext cx="1310228" cy="1338769"/>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6350" rIns="25400" bIns="6350" numCol="1" spcCol="1270" anchor="ctr" anchorCtr="0">
          <a:noAutofit/>
        </a:bodyPr>
        <a:lstStyle/>
        <a:p>
          <a:pPr lvl="0" algn="just" defTabSz="444500">
            <a:lnSpc>
              <a:spcPct val="90000"/>
            </a:lnSpc>
            <a:spcBef>
              <a:spcPct val="0"/>
            </a:spcBef>
            <a:spcAft>
              <a:spcPct val="35000"/>
            </a:spcAft>
          </a:pPr>
          <a:r>
            <a:rPr lang="en-US" sz="1000" kern="1200">
              <a:solidFill>
                <a:sysClr val="windowText" lastClr="000000">
                  <a:hueOff val="0"/>
                  <a:satOff val="0"/>
                  <a:lumOff val="0"/>
                  <a:alphaOff val="0"/>
                </a:sysClr>
              </a:solidFill>
              <a:latin typeface="Calibri"/>
              <a:ea typeface="+mn-ea"/>
              <a:cs typeface="+mn-cs"/>
            </a:rPr>
            <a:t>- </a:t>
          </a:r>
          <a:r>
            <a:rPr lang="en-US" sz="900" kern="1200">
              <a:solidFill>
                <a:sysClr val="windowText" lastClr="000000">
                  <a:hueOff val="0"/>
                  <a:satOff val="0"/>
                  <a:lumOff val="0"/>
                  <a:alphaOff val="0"/>
                </a:sysClr>
              </a:solidFill>
              <a:latin typeface="Calibri"/>
              <a:ea typeface="+mn-ea"/>
              <a:cs typeface="+mn-cs"/>
            </a:rPr>
            <a:t>Farmers are paid on     the spot. </a:t>
          </a:r>
        </a:p>
        <a:p>
          <a:pPr lvl="0" algn="just" defTabSz="44450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  Prices are set on the spot. </a:t>
          </a:r>
        </a:p>
        <a:p>
          <a:pPr lvl="0" algn="just" defTabSz="44450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 Prices are usually lower than what the PO's and private firms pay. </a:t>
          </a:r>
        </a:p>
      </dsp:txBody>
      <dsp:txXfrm>
        <a:off x="4209317" y="2203224"/>
        <a:ext cx="1310228" cy="133876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0E996DC-BF41-43D1-98E4-19AF230412AB}">
      <dsp:nvSpPr>
        <dsp:cNvPr id="0" name=""/>
        <dsp:cNvSpPr/>
      </dsp:nvSpPr>
      <dsp:spPr>
        <a:xfrm>
          <a:off x="2982841" y="435828"/>
          <a:ext cx="143421" cy="468549"/>
        </a:xfrm>
        <a:custGeom>
          <a:avLst/>
          <a:gdLst/>
          <a:ahLst/>
          <a:cxnLst/>
          <a:rect l="0" t="0" r="0" b="0"/>
          <a:pathLst>
            <a:path>
              <a:moveTo>
                <a:pt x="0" y="0"/>
              </a:moveTo>
              <a:lnTo>
                <a:pt x="0" y="453932"/>
              </a:lnTo>
              <a:lnTo>
                <a:pt x="138947" y="45393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FD8CD0F-92CE-4DB3-94A2-11CF3D5EC00B}">
      <dsp:nvSpPr>
        <dsp:cNvPr id="0" name=""/>
        <dsp:cNvSpPr/>
      </dsp:nvSpPr>
      <dsp:spPr>
        <a:xfrm>
          <a:off x="2839420" y="435828"/>
          <a:ext cx="143421" cy="468549"/>
        </a:xfrm>
        <a:custGeom>
          <a:avLst/>
          <a:gdLst/>
          <a:ahLst/>
          <a:cxnLst/>
          <a:rect l="0" t="0" r="0" b="0"/>
          <a:pathLst>
            <a:path>
              <a:moveTo>
                <a:pt x="138947" y="0"/>
              </a:moveTo>
              <a:lnTo>
                <a:pt x="138947" y="453932"/>
              </a:lnTo>
              <a:lnTo>
                <a:pt x="0" y="453932"/>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6ECF4CA3-A555-41B4-9190-2242D5DDA8FF}">
      <dsp:nvSpPr>
        <dsp:cNvPr id="0" name=""/>
        <dsp:cNvSpPr/>
      </dsp:nvSpPr>
      <dsp:spPr>
        <a:xfrm>
          <a:off x="3965918" y="2502717"/>
          <a:ext cx="143421" cy="468549"/>
        </a:xfrm>
        <a:custGeom>
          <a:avLst/>
          <a:gdLst/>
          <a:ahLst/>
          <a:cxnLst/>
          <a:rect l="0" t="0" r="0" b="0"/>
          <a:pathLst>
            <a:path>
              <a:moveTo>
                <a:pt x="143421" y="0"/>
              </a:moveTo>
              <a:lnTo>
                <a:pt x="143421" y="468549"/>
              </a:lnTo>
              <a:lnTo>
                <a:pt x="0" y="46854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C2791BC-A173-4978-8208-6A5BDD919C96}">
      <dsp:nvSpPr>
        <dsp:cNvPr id="0" name=""/>
        <dsp:cNvSpPr/>
      </dsp:nvSpPr>
      <dsp:spPr>
        <a:xfrm>
          <a:off x="2982841" y="1816800"/>
          <a:ext cx="706670" cy="468549"/>
        </a:xfrm>
        <a:custGeom>
          <a:avLst/>
          <a:gdLst/>
          <a:ahLst/>
          <a:cxnLst/>
          <a:rect l="0" t="0" r="0" b="0"/>
          <a:pathLst>
            <a:path>
              <a:moveTo>
                <a:pt x="0" y="0"/>
              </a:moveTo>
              <a:lnTo>
                <a:pt x="0" y="453932"/>
              </a:lnTo>
              <a:lnTo>
                <a:pt x="684624" y="453932"/>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0E9CD35-26BA-4C59-BF95-62139C887E42}">
      <dsp:nvSpPr>
        <dsp:cNvPr id="0" name=""/>
        <dsp:cNvSpPr/>
      </dsp:nvSpPr>
      <dsp:spPr>
        <a:xfrm>
          <a:off x="1712922" y="2502717"/>
          <a:ext cx="143421" cy="3212217"/>
        </a:xfrm>
        <a:custGeom>
          <a:avLst/>
          <a:gdLst/>
          <a:ahLst/>
          <a:cxnLst/>
          <a:rect l="0" t="0" r="0" b="0"/>
          <a:pathLst>
            <a:path>
              <a:moveTo>
                <a:pt x="138947" y="0"/>
              </a:moveTo>
              <a:lnTo>
                <a:pt x="138947" y="3112010"/>
              </a:lnTo>
              <a:lnTo>
                <a:pt x="0" y="3112010"/>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F8B9C516-8C96-4CD8-ABC2-7DAF4E0B5679}">
      <dsp:nvSpPr>
        <dsp:cNvPr id="0" name=""/>
        <dsp:cNvSpPr/>
      </dsp:nvSpPr>
      <dsp:spPr>
        <a:xfrm>
          <a:off x="1856344" y="2502717"/>
          <a:ext cx="143421" cy="2526300"/>
        </a:xfrm>
        <a:custGeom>
          <a:avLst/>
          <a:gdLst/>
          <a:ahLst/>
          <a:cxnLst/>
          <a:rect l="0" t="0" r="0" b="0"/>
          <a:pathLst>
            <a:path>
              <a:moveTo>
                <a:pt x="0" y="0"/>
              </a:moveTo>
              <a:lnTo>
                <a:pt x="0" y="2447490"/>
              </a:lnTo>
              <a:lnTo>
                <a:pt x="138947" y="2447490"/>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1E6094D5-F80A-43B7-AAC8-7918D9FE9020}">
      <dsp:nvSpPr>
        <dsp:cNvPr id="0" name=""/>
        <dsp:cNvSpPr/>
      </dsp:nvSpPr>
      <dsp:spPr>
        <a:xfrm>
          <a:off x="1712922" y="2502717"/>
          <a:ext cx="143421" cy="2526300"/>
        </a:xfrm>
        <a:custGeom>
          <a:avLst/>
          <a:gdLst/>
          <a:ahLst/>
          <a:cxnLst/>
          <a:rect l="0" t="0" r="0" b="0"/>
          <a:pathLst>
            <a:path>
              <a:moveTo>
                <a:pt x="138947" y="0"/>
              </a:moveTo>
              <a:lnTo>
                <a:pt x="138947" y="2447490"/>
              </a:lnTo>
              <a:lnTo>
                <a:pt x="0" y="2447490"/>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984F6F21-96ED-4B88-91F8-A9DABC8C9E70}">
      <dsp:nvSpPr>
        <dsp:cNvPr id="0" name=""/>
        <dsp:cNvSpPr/>
      </dsp:nvSpPr>
      <dsp:spPr>
        <a:xfrm>
          <a:off x="1856344" y="2502717"/>
          <a:ext cx="143421" cy="1840383"/>
        </a:xfrm>
        <a:custGeom>
          <a:avLst/>
          <a:gdLst/>
          <a:ahLst/>
          <a:cxnLst/>
          <a:rect l="0" t="0" r="0" b="0"/>
          <a:pathLst>
            <a:path>
              <a:moveTo>
                <a:pt x="0" y="0"/>
              </a:moveTo>
              <a:lnTo>
                <a:pt x="0" y="1782971"/>
              </a:lnTo>
              <a:lnTo>
                <a:pt x="138947" y="1782971"/>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11D92FCA-C8FF-41A6-86B3-28D3A94E6B31}">
      <dsp:nvSpPr>
        <dsp:cNvPr id="0" name=""/>
        <dsp:cNvSpPr/>
      </dsp:nvSpPr>
      <dsp:spPr>
        <a:xfrm>
          <a:off x="1712922" y="2502717"/>
          <a:ext cx="143421" cy="1840383"/>
        </a:xfrm>
        <a:custGeom>
          <a:avLst/>
          <a:gdLst/>
          <a:ahLst/>
          <a:cxnLst/>
          <a:rect l="0" t="0" r="0" b="0"/>
          <a:pathLst>
            <a:path>
              <a:moveTo>
                <a:pt x="138947" y="0"/>
              </a:moveTo>
              <a:lnTo>
                <a:pt x="138947" y="1782971"/>
              </a:lnTo>
              <a:lnTo>
                <a:pt x="0" y="1782971"/>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461B0B0B-3C10-4AF1-ABB0-7E8E838734D1}">
      <dsp:nvSpPr>
        <dsp:cNvPr id="0" name=""/>
        <dsp:cNvSpPr/>
      </dsp:nvSpPr>
      <dsp:spPr>
        <a:xfrm>
          <a:off x="1856344" y="2502717"/>
          <a:ext cx="143421" cy="1154466"/>
        </a:xfrm>
        <a:custGeom>
          <a:avLst/>
          <a:gdLst/>
          <a:ahLst/>
          <a:cxnLst/>
          <a:rect l="0" t="0" r="0" b="0"/>
          <a:pathLst>
            <a:path>
              <a:moveTo>
                <a:pt x="0" y="0"/>
              </a:moveTo>
              <a:lnTo>
                <a:pt x="0" y="1118451"/>
              </a:lnTo>
              <a:lnTo>
                <a:pt x="138947" y="1118451"/>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35FCBE67-ADE9-49AB-9C00-EF2937CDD6C5}">
      <dsp:nvSpPr>
        <dsp:cNvPr id="0" name=""/>
        <dsp:cNvSpPr/>
      </dsp:nvSpPr>
      <dsp:spPr>
        <a:xfrm>
          <a:off x="1712922" y="2502717"/>
          <a:ext cx="143421" cy="1154466"/>
        </a:xfrm>
        <a:custGeom>
          <a:avLst/>
          <a:gdLst/>
          <a:ahLst/>
          <a:cxnLst/>
          <a:rect l="0" t="0" r="0" b="0"/>
          <a:pathLst>
            <a:path>
              <a:moveTo>
                <a:pt x="138947" y="0"/>
              </a:moveTo>
              <a:lnTo>
                <a:pt x="138947" y="1118451"/>
              </a:lnTo>
              <a:lnTo>
                <a:pt x="0" y="1118451"/>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29C76D2-6DFC-47D9-9295-D32FFB943E9C}">
      <dsp:nvSpPr>
        <dsp:cNvPr id="0" name=""/>
        <dsp:cNvSpPr/>
      </dsp:nvSpPr>
      <dsp:spPr>
        <a:xfrm>
          <a:off x="1856344" y="2502717"/>
          <a:ext cx="143421" cy="468549"/>
        </a:xfrm>
        <a:custGeom>
          <a:avLst/>
          <a:gdLst/>
          <a:ahLst/>
          <a:cxnLst/>
          <a:rect l="0" t="0" r="0" b="0"/>
          <a:pathLst>
            <a:path>
              <a:moveTo>
                <a:pt x="0" y="0"/>
              </a:moveTo>
              <a:lnTo>
                <a:pt x="0" y="453932"/>
              </a:lnTo>
              <a:lnTo>
                <a:pt x="138947" y="453932"/>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C1FAE743-D9C6-4D61-8AF2-ADCF6AA8D802}">
      <dsp:nvSpPr>
        <dsp:cNvPr id="0" name=""/>
        <dsp:cNvSpPr/>
      </dsp:nvSpPr>
      <dsp:spPr>
        <a:xfrm>
          <a:off x="1712922" y="2502717"/>
          <a:ext cx="143421" cy="468549"/>
        </a:xfrm>
        <a:custGeom>
          <a:avLst/>
          <a:gdLst/>
          <a:ahLst/>
          <a:cxnLst/>
          <a:rect l="0" t="0" r="0" b="0"/>
          <a:pathLst>
            <a:path>
              <a:moveTo>
                <a:pt x="138947" y="0"/>
              </a:moveTo>
              <a:lnTo>
                <a:pt x="138947" y="453932"/>
              </a:lnTo>
              <a:lnTo>
                <a:pt x="0" y="453932"/>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A785E66-3A8A-479C-95A8-1085847E9D77}">
      <dsp:nvSpPr>
        <dsp:cNvPr id="0" name=""/>
        <dsp:cNvSpPr/>
      </dsp:nvSpPr>
      <dsp:spPr>
        <a:xfrm>
          <a:off x="2276171" y="1816800"/>
          <a:ext cx="706670" cy="468549"/>
        </a:xfrm>
        <a:custGeom>
          <a:avLst/>
          <a:gdLst/>
          <a:ahLst/>
          <a:cxnLst/>
          <a:rect l="0" t="0" r="0" b="0"/>
          <a:pathLst>
            <a:path>
              <a:moveTo>
                <a:pt x="684624" y="0"/>
              </a:moveTo>
              <a:lnTo>
                <a:pt x="684624" y="453932"/>
              </a:lnTo>
              <a:lnTo>
                <a:pt x="0" y="453932"/>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36BB2DA7-4136-48D4-A054-C873EB808706}">
      <dsp:nvSpPr>
        <dsp:cNvPr id="0" name=""/>
        <dsp:cNvSpPr/>
      </dsp:nvSpPr>
      <dsp:spPr>
        <a:xfrm>
          <a:off x="2937121" y="435828"/>
          <a:ext cx="91440" cy="946234"/>
        </a:xfrm>
        <a:custGeom>
          <a:avLst/>
          <a:gdLst/>
          <a:ahLst/>
          <a:cxnLst/>
          <a:rect l="0" t="0" r="0" b="0"/>
          <a:pathLst>
            <a:path>
              <a:moveTo>
                <a:pt x="45720" y="0"/>
              </a:moveTo>
              <a:lnTo>
                <a:pt x="45720" y="1097393"/>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9C444A53-FA0F-4A01-B7BC-3C5628DD54FF}">
      <dsp:nvSpPr>
        <dsp:cNvPr id="0" name=""/>
        <dsp:cNvSpPr/>
      </dsp:nvSpPr>
      <dsp:spPr>
        <a:xfrm>
          <a:off x="2563014" y="1092"/>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61346" numCol="1" spcCol="1270" anchor="ctr" anchorCtr="0">
          <a:noAutofit/>
        </a:bodyPr>
        <a:lstStyle/>
        <a:p>
          <a:pPr lvl="0" algn="ctr" defTabSz="355600">
            <a:lnSpc>
              <a:spcPct val="90000"/>
            </a:lnSpc>
            <a:spcBef>
              <a:spcPct val="0"/>
            </a:spcBef>
            <a:spcAft>
              <a:spcPct val="35000"/>
            </a:spcAft>
          </a:pPr>
          <a:r>
            <a:rPr lang="en-US" sz="800" kern="1200">
              <a:solidFill>
                <a:sysClr val="window" lastClr="FFFFFF"/>
              </a:solidFill>
              <a:latin typeface="Calibri"/>
              <a:ea typeface="+mn-ea"/>
              <a:cs typeface="+mn-cs"/>
            </a:rPr>
            <a:t>Producer Organizations </a:t>
          </a:r>
        </a:p>
      </dsp:txBody>
      <dsp:txXfrm>
        <a:off x="2563014" y="1092"/>
        <a:ext cx="839655" cy="434736"/>
      </dsp:txXfrm>
    </dsp:sp>
    <dsp:sp modelId="{F43360F1-FC8D-416A-88EB-45799735BC61}">
      <dsp:nvSpPr>
        <dsp:cNvPr id="0" name=""/>
        <dsp:cNvSpPr/>
      </dsp:nvSpPr>
      <dsp:spPr>
        <a:xfrm>
          <a:off x="2730945" y="339220"/>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Peasant PO</a:t>
          </a:r>
        </a:p>
      </dsp:txBody>
      <dsp:txXfrm>
        <a:off x="2730945" y="339220"/>
        <a:ext cx="755689" cy="144912"/>
      </dsp:txXfrm>
    </dsp:sp>
    <dsp:sp modelId="{1BBA4AA0-43AC-4EC8-A8A3-1314AAF2F9DD}">
      <dsp:nvSpPr>
        <dsp:cNvPr id="0" name=""/>
        <dsp:cNvSpPr/>
      </dsp:nvSpPr>
      <dsp:spPr>
        <a:xfrm>
          <a:off x="2563014" y="1382063"/>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61346" numCol="1" spcCol="1270" anchor="ctr" anchorCtr="0">
          <a:noAutofit/>
        </a:bodyPr>
        <a:lstStyle/>
        <a:p>
          <a:pPr lvl="0" algn="ctr" defTabSz="355600">
            <a:lnSpc>
              <a:spcPct val="90000"/>
            </a:lnSpc>
            <a:spcBef>
              <a:spcPct val="0"/>
            </a:spcBef>
            <a:spcAft>
              <a:spcPct val="35000"/>
            </a:spcAft>
          </a:pPr>
          <a:r>
            <a:rPr lang="en-US" sz="800" kern="1200">
              <a:solidFill>
                <a:sysClr val="window" lastClr="FFFFFF"/>
              </a:solidFill>
              <a:latin typeface="Calibri"/>
              <a:ea typeface="+mn-ea"/>
              <a:cs typeface="+mn-cs"/>
            </a:rPr>
            <a:t>Regional Producer Organizations</a:t>
          </a:r>
        </a:p>
      </dsp:txBody>
      <dsp:txXfrm>
        <a:off x="2563014" y="1382063"/>
        <a:ext cx="839655" cy="434736"/>
      </dsp:txXfrm>
    </dsp:sp>
    <dsp:sp modelId="{1076114E-A7DC-499D-92E0-2B090FFB9BAB}">
      <dsp:nvSpPr>
        <dsp:cNvPr id="0" name=""/>
        <dsp:cNvSpPr/>
      </dsp:nvSpPr>
      <dsp:spPr>
        <a:xfrm>
          <a:off x="2730945" y="1720192"/>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endParaRPr lang="en-US" sz="900" kern="1200">
            <a:solidFill>
              <a:sysClr val="windowText" lastClr="000000">
                <a:hueOff val="0"/>
                <a:satOff val="0"/>
                <a:lumOff val="0"/>
                <a:alphaOff val="0"/>
              </a:sysClr>
            </a:solidFill>
            <a:latin typeface="Calibri"/>
            <a:ea typeface="+mn-ea"/>
            <a:cs typeface="+mn-cs"/>
          </a:endParaRPr>
        </a:p>
      </dsp:txBody>
      <dsp:txXfrm>
        <a:off x="2730945" y="1720192"/>
        <a:ext cx="755689" cy="144912"/>
      </dsp:txXfrm>
    </dsp:sp>
    <dsp:sp modelId="{83A292F3-FEA4-4995-A0D1-196090DD475E}">
      <dsp:nvSpPr>
        <dsp:cNvPr id="0" name=""/>
        <dsp:cNvSpPr/>
      </dsp:nvSpPr>
      <dsp:spPr>
        <a:xfrm>
          <a:off x="1436516" y="2067981"/>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ANAPQUI</a:t>
          </a:r>
        </a:p>
      </dsp:txBody>
      <dsp:txXfrm>
        <a:off x="1436516" y="2067981"/>
        <a:ext cx="839655" cy="434736"/>
      </dsp:txXfrm>
    </dsp:sp>
    <dsp:sp modelId="{43644707-18B5-4469-B243-B0DBCE1C2228}">
      <dsp:nvSpPr>
        <dsp:cNvPr id="0" name=""/>
        <dsp:cNvSpPr/>
      </dsp:nvSpPr>
      <dsp:spPr>
        <a:xfrm>
          <a:off x="1604447" y="2406109"/>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Umbrella  PO</a:t>
          </a:r>
        </a:p>
      </dsp:txBody>
      <dsp:txXfrm>
        <a:off x="1604447" y="2406109"/>
        <a:ext cx="755689" cy="144912"/>
      </dsp:txXfrm>
    </dsp:sp>
    <dsp:sp modelId="{3C38D1A0-C623-428F-84E4-79BE3C8E022A}">
      <dsp:nvSpPr>
        <dsp:cNvPr id="0" name=""/>
        <dsp:cNvSpPr/>
      </dsp:nvSpPr>
      <dsp:spPr>
        <a:xfrm>
          <a:off x="873267" y="2753898"/>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COPROQUIRC</a:t>
          </a:r>
        </a:p>
      </dsp:txBody>
      <dsp:txXfrm>
        <a:off x="873267" y="2753898"/>
        <a:ext cx="839655" cy="434736"/>
      </dsp:txXfrm>
    </dsp:sp>
    <dsp:sp modelId="{B5C906FD-341E-4473-81BB-51FCE8AAC569}">
      <dsp:nvSpPr>
        <dsp:cNvPr id="0" name=""/>
        <dsp:cNvSpPr/>
      </dsp:nvSpPr>
      <dsp:spPr>
        <a:xfrm>
          <a:off x="1041198" y="3092026"/>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a:ea typeface="+mn-ea"/>
              <a:cs typeface="+mn-cs"/>
            </a:rPr>
            <a:t>Regional PO	</a:t>
          </a:r>
        </a:p>
      </dsp:txBody>
      <dsp:txXfrm>
        <a:off x="1041198" y="3092026"/>
        <a:ext cx="755689" cy="144912"/>
      </dsp:txXfrm>
    </dsp:sp>
    <dsp:sp modelId="{2AF55310-880C-4BF3-99B9-FC6EDA32CB13}">
      <dsp:nvSpPr>
        <dsp:cNvPr id="0" name=""/>
        <dsp:cNvSpPr/>
      </dsp:nvSpPr>
      <dsp:spPr>
        <a:xfrm>
          <a:off x="1999765" y="2753898"/>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APROQUIRY</a:t>
          </a:r>
        </a:p>
      </dsp:txBody>
      <dsp:txXfrm>
        <a:off x="1999765" y="2753898"/>
        <a:ext cx="839655" cy="434736"/>
      </dsp:txXfrm>
    </dsp:sp>
    <dsp:sp modelId="{56EBF58E-01F7-4E57-8D50-B8A248D5FC80}">
      <dsp:nvSpPr>
        <dsp:cNvPr id="0" name=""/>
        <dsp:cNvSpPr/>
      </dsp:nvSpPr>
      <dsp:spPr>
        <a:xfrm>
          <a:off x="2167696" y="3092026"/>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2167696" y="3092026"/>
        <a:ext cx="755689" cy="144912"/>
      </dsp:txXfrm>
    </dsp:sp>
    <dsp:sp modelId="{CF656FA9-8E01-4393-AD6D-607C50981EFB}">
      <dsp:nvSpPr>
        <dsp:cNvPr id="0" name=""/>
        <dsp:cNvSpPr/>
      </dsp:nvSpPr>
      <dsp:spPr>
        <a:xfrm>
          <a:off x="873267" y="3439815"/>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SOPROQUI</a:t>
          </a:r>
        </a:p>
      </dsp:txBody>
      <dsp:txXfrm>
        <a:off x="873267" y="3439815"/>
        <a:ext cx="839655" cy="434736"/>
      </dsp:txXfrm>
    </dsp:sp>
    <dsp:sp modelId="{066E6686-A25C-4F73-A7BC-6799E025DA15}">
      <dsp:nvSpPr>
        <dsp:cNvPr id="0" name=""/>
        <dsp:cNvSpPr/>
      </dsp:nvSpPr>
      <dsp:spPr>
        <a:xfrm>
          <a:off x="1041198" y="3777943"/>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a:ea typeface="+mn-ea"/>
              <a:cs typeface="+mn-cs"/>
            </a:rPr>
            <a:t>Regional PO	</a:t>
          </a:r>
        </a:p>
      </dsp:txBody>
      <dsp:txXfrm>
        <a:off x="1041198" y="3777943"/>
        <a:ext cx="755689" cy="144912"/>
      </dsp:txXfrm>
    </dsp:sp>
    <dsp:sp modelId="{AEECF985-F2AC-440B-ACC3-179D2AC61F6C}">
      <dsp:nvSpPr>
        <dsp:cNvPr id="0" name=""/>
        <dsp:cNvSpPr/>
      </dsp:nvSpPr>
      <dsp:spPr>
        <a:xfrm>
          <a:off x="1999765" y="3439815"/>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APROQUIGAN</a:t>
          </a:r>
        </a:p>
      </dsp:txBody>
      <dsp:txXfrm>
        <a:off x="1999765" y="3439815"/>
        <a:ext cx="839655" cy="434736"/>
      </dsp:txXfrm>
    </dsp:sp>
    <dsp:sp modelId="{DDB90AC4-C394-41D0-B9B3-53B2C33519B0}">
      <dsp:nvSpPr>
        <dsp:cNvPr id="0" name=""/>
        <dsp:cNvSpPr/>
      </dsp:nvSpPr>
      <dsp:spPr>
        <a:xfrm>
          <a:off x="2167696" y="3777943"/>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2167696" y="3777943"/>
        <a:ext cx="755689" cy="144912"/>
      </dsp:txXfrm>
    </dsp:sp>
    <dsp:sp modelId="{BBB54F46-E883-412F-B02E-109F3185A9A1}">
      <dsp:nvSpPr>
        <dsp:cNvPr id="0" name=""/>
        <dsp:cNvSpPr/>
      </dsp:nvSpPr>
      <dsp:spPr>
        <a:xfrm>
          <a:off x="873267" y="4125732"/>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APQUINQUI</a:t>
          </a:r>
        </a:p>
      </dsp:txBody>
      <dsp:txXfrm>
        <a:off x="873267" y="4125732"/>
        <a:ext cx="839655" cy="434736"/>
      </dsp:txXfrm>
    </dsp:sp>
    <dsp:sp modelId="{53A34B42-2636-41D3-91B7-7CB42A1FF6DA}">
      <dsp:nvSpPr>
        <dsp:cNvPr id="0" name=""/>
        <dsp:cNvSpPr/>
      </dsp:nvSpPr>
      <dsp:spPr>
        <a:xfrm>
          <a:off x="1041198" y="4463860"/>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1041198" y="4463860"/>
        <a:ext cx="755689" cy="144912"/>
      </dsp:txXfrm>
    </dsp:sp>
    <dsp:sp modelId="{288852A2-774C-4590-A2A3-DE29F917B445}">
      <dsp:nvSpPr>
        <dsp:cNvPr id="0" name=""/>
        <dsp:cNvSpPr/>
      </dsp:nvSpPr>
      <dsp:spPr>
        <a:xfrm>
          <a:off x="1999765" y="4125732"/>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COPROQUINAC</a:t>
          </a:r>
        </a:p>
      </dsp:txBody>
      <dsp:txXfrm>
        <a:off x="1999765" y="4125732"/>
        <a:ext cx="839655" cy="434736"/>
      </dsp:txXfrm>
    </dsp:sp>
    <dsp:sp modelId="{BA8A0441-544C-4A6A-B08F-94B3AEBF1D09}">
      <dsp:nvSpPr>
        <dsp:cNvPr id="0" name=""/>
        <dsp:cNvSpPr/>
      </dsp:nvSpPr>
      <dsp:spPr>
        <a:xfrm>
          <a:off x="2167696" y="4463860"/>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2167696" y="4463860"/>
        <a:ext cx="755689" cy="144912"/>
      </dsp:txXfrm>
    </dsp:sp>
    <dsp:sp modelId="{5E38A81F-0C22-483F-A783-5989953CB6A3}">
      <dsp:nvSpPr>
        <dsp:cNvPr id="0" name=""/>
        <dsp:cNvSpPr/>
      </dsp:nvSpPr>
      <dsp:spPr>
        <a:xfrm>
          <a:off x="873267" y="4811649"/>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CEDEIINKU</a:t>
          </a:r>
        </a:p>
      </dsp:txBody>
      <dsp:txXfrm>
        <a:off x="873267" y="4811649"/>
        <a:ext cx="839655" cy="434736"/>
      </dsp:txXfrm>
    </dsp:sp>
    <dsp:sp modelId="{D7749C8B-B850-4030-A304-A295A6C44DA5}">
      <dsp:nvSpPr>
        <dsp:cNvPr id="0" name=""/>
        <dsp:cNvSpPr/>
      </dsp:nvSpPr>
      <dsp:spPr>
        <a:xfrm>
          <a:off x="1041198" y="5149778"/>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1041198" y="5149778"/>
        <a:ext cx="755689" cy="144912"/>
      </dsp:txXfrm>
    </dsp:sp>
    <dsp:sp modelId="{8D126D2E-0795-4190-8755-40042EF15F0D}">
      <dsp:nvSpPr>
        <dsp:cNvPr id="0" name=""/>
        <dsp:cNvSpPr/>
      </dsp:nvSpPr>
      <dsp:spPr>
        <a:xfrm>
          <a:off x="1999765" y="4811649"/>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APREQC</a:t>
          </a:r>
        </a:p>
      </dsp:txBody>
      <dsp:txXfrm>
        <a:off x="1999765" y="4811649"/>
        <a:ext cx="839655" cy="434736"/>
      </dsp:txXfrm>
    </dsp:sp>
    <dsp:sp modelId="{B15A0C97-39AE-4104-A5CA-9E57D1C73C6D}">
      <dsp:nvSpPr>
        <dsp:cNvPr id="0" name=""/>
        <dsp:cNvSpPr/>
      </dsp:nvSpPr>
      <dsp:spPr>
        <a:xfrm>
          <a:off x="2167696" y="5149778"/>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2167696" y="5149778"/>
        <a:ext cx="755689" cy="144912"/>
      </dsp:txXfrm>
    </dsp:sp>
    <dsp:sp modelId="{62AFBA21-8FF8-4AC1-B02E-0EE70934DC45}">
      <dsp:nvSpPr>
        <dsp:cNvPr id="0" name=""/>
        <dsp:cNvSpPr/>
      </dsp:nvSpPr>
      <dsp:spPr>
        <a:xfrm>
          <a:off x="873267" y="5497567"/>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ARPAIAMI</a:t>
          </a:r>
        </a:p>
      </dsp:txBody>
      <dsp:txXfrm>
        <a:off x="873267" y="5497567"/>
        <a:ext cx="839655" cy="434736"/>
      </dsp:txXfrm>
    </dsp:sp>
    <dsp:sp modelId="{2C3C3587-3118-4287-8C6D-1F47448BCA15}">
      <dsp:nvSpPr>
        <dsp:cNvPr id="0" name=""/>
        <dsp:cNvSpPr/>
      </dsp:nvSpPr>
      <dsp:spPr>
        <a:xfrm>
          <a:off x="1041198" y="5835695"/>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Regional PO</a:t>
          </a:r>
        </a:p>
      </dsp:txBody>
      <dsp:txXfrm>
        <a:off x="1041198" y="5835695"/>
        <a:ext cx="755689" cy="144912"/>
      </dsp:txXfrm>
    </dsp:sp>
    <dsp:sp modelId="{2E253158-9ED6-4935-9434-B9B47261894D}">
      <dsp:nvSpPr>
        <dsp:cNvPr id="0" name=""/>
        <dsp:cNvSpPr/>
      </dsp:nvSpPr>
      <dsp:spPr>
        <a:xfrm>
          <a:off x="3689511" y="2067981"/>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CECAOT</a:t>
          </a:r>
        </a:p>
      </dsp:txBody>
      <dsp:txXfrm>
        <a:off x="3689511" y="2067981"/>
        <a:ext cx="839655" cy="434736"/>
      </dsp:txXfrm>
    </dsp:sp>
    <dsp:sp modelId="{DD6486D5-91CA-46F4-A72B-9BB2F862CC3D}">
      <dsp:nvSpPr>
        <dsp:cNvPr id="0" name=""/>
        <dsp:cNvSpPr/>
      </dsp:nvSpPr>
      <dsp:spPr>
        <a:xfrm>
          <a:off x="3857442" y="2406109"/>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Umbrella  PO</a:t>
          </a:r>
        </a:p>
      </dsp:txBody>
      <dsp:txXfrm>
        <a:off x="3857442" y="2406109"/>
        <a:ext cx="755689" cy="144912"/>
      </dsp:txXfrm>
    </dsp:sp>
    <dsp:sp modelId="{A22E33E8-A3AC-46E6-A114-8E58C61BB60D}">
      <dsp:nvSpPr>
        <dsp:cNvPr id="0" name=""/>
        <dsp:cNvSpPr/>
      </dsp:nvSpPr>
      <dsp:spPr>
        <a:xfrm>
          <a:off x="3126262" y="2753898"/>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61346" numCol="1" spcCol="1270" anchor="ctr" anchorCtr="0">
          <a:noAutofit/>
        </a:bodyPr>
        <a:lstStyle/>
        <a:p>
          <a:pPr lvl="0" algn="ctr" defTabSz="355600">
            <a:lnSpc>
              <a:spcPct val="90000"/>
            </a:lnSpc>
            <a:spcBef>
              <a:spcPct val="0"/>
            </a:spcBef>
            <a:spcAft>
              <a:spcPct val="35000"/>
            </a:spcAft>
          </a:pPr>
          <a:r>
            <a:rPr lang="en-US" sz="800" kern="1200">
              <a:solidFill>
                <a:sysClr val="window" lastClr="FFFFFF"/>
              </a:solidFill>
              <a:latin typeface="Calibri"/>
              <a:ea typeface="+mn-ea"/>
              <a:cs typeface="+mn-cs"/>
            </a:rPr>
            <a:t>13 cooperatives associated in 13 communities </a:t>
          </a:r>
        </a:p>
      </dsp:txBody>
      <dsp:txXfrm>
        <a:off x="3126262" y="2753898"/>
        <a:ext cx="839655" cy="434736"/>
      </dsp:txXfrm>
    </dsp:sp>
    <dsp:sp modelId="{94B85159-8F98-41A7-BF20-6C6C2806D8A1}">
      <dsp:nvSpPr>
        <dsp:cNvPr id="0" name=""/>
        <dsp:cNvSpPr/>
      </dsp:nvSpPr>
      <dsp:spPr>
        <a:xfrm flipV="1">
          <a:off x="3198954" y="3141622"/>
          <a:ext cx="755689" cy="45719"/>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2700" tIns="3175" rIns="12700" bIns="3175" numCol="1" spcCol="1270" anchor="ctr" anchorCtr="0">
          <a:noAutofit/>
        </a:bodyPr>
        <a:lstStyle/>
        <a:p>
          <a:pPr lvl="0" algn="r" defTabSz="222250">
            <a:lnSpc>
              <a:spcPct val="90000"/>
            </a:lnSpc>
            <a:spcBef>
              <a:spcPct val="0"/>
            </a:spcBef>
            <a:spcAft>
              <a:spcPct val="35000"/>
            </a:spcAft>
          </a:pPr>
          <a:endParaRPr lang="en-US" sz="500" kern="1200">
            <a:solidFill>
              <a:sysClr val="windowText" lastClr="000000">
                <a:hueOff val="0"/>
                <a:satOff val="0"/>
                <a:lumOff val="0"/>
                <a:alphaOff val="0"/>
              </a:sysClr>
            </a:solidFill>
            <a:latin typeface="Calibri"/>
            <a:ea typeface="+mn-ea"/>
            <a:cs typeface="+mn-cs"/>
          </a:endParaRPr>
        </a:p>
      </dsp:txBody>
      <dsp:txXfrm rot="10800000">
        <a:off x="3198954" y="3141622"/>
        <a:ext cx="755689" cy="45719"/>
      </dsp:txXfrm>
    </dsp:sp>
    <dsp:sp modelId="{95F9FEB1-D81C-42AE-A4DB-AA6B11877D91}">
      <dsp:nvSpPr>
        <dsp:cNvPr id="0" name=""/>
        <dsp:cNvSpPr/>
      </dsp:nvSpPr>
      <dsp:spPr>
        <a:xfrm>
          <a:off x="1999765" y="687009"/>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61346" numCol="1" spcCol="1270" anchor="ctr" anchorCtr="0">
          <a:noAutofit/>
        </a:bodyPr>
        <a:lstStyle/>
        <a:p>
          <a:pPr lvl="0" algn="ctr" defTabSz="400050">
            <a:lnSpc>
              <a:spcPct val="90000"/>
            </a:lnSpc>
            <a:spcBef>
              <a:spcPct val="0"/>
            </a:spcBef>
            <a:spcAft>
              <a:spcPct val="35000"/>
            </a:spcAft>
          </a:pPr>
          <a:r>
            <a:rPr lang="en-US" sz="900" kern="1200">
              <a:solidFill>
                <a:sysClr val="window" lastClr="FFFFFF"/>
              </a:solidFill>
              <a:latin typeface="Calibri"/>
              <a:ea typeface="+mn-ea"/>
              <a:cs typeface="+mn-cs"/>
            </a:rPr>
            <a:t>ANAPQUI</a:t>
          </a:r>
        </a:p>
      </dsp:txBody>
      <dsp:txXfrm>
        <a:off x="1999765" y="687009"/>
        <a:ext cx="839655" cy="434736"/>
      </dsp:txXfrm>
    </dsp:sp>
    <dsp:sp modelId="{E88B2A02-6E2D-4AAB-A081-36F0B13B3F2C}">
      <dsp:nvSpPr>
        <dsp:cNvPr id="0" name=""/>
        <dsp:cNvSpPr/>
      </dsp:nvSpPr>
      <dsp:spPr>
        <a:xfrm>
          <a:off x="2167696" y="1025138"/>
          <a:ext cx="755689" cy="144912"/>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Umbrella PO</a:t>
          </a:r>
        </a:p>
      </dsp:txBody>
      <dsp:txXfrm>
        <a:off x="2167696" y="1025138"/>
        <a:ext cx="755689" cy="144912"/>
      </dsp:txXfrm>
    </dsp:sp>
    <dsp:sp modelId="{C78F156B-E70B-43C0-A7FE-7E71E3E306FA}">
      <dsp:nvSpPr>
        <dsp:cNvPr id="0" name=""/>
        <dsp:cNvSpPr/>
      </dsp:nvSpPr>
      <dsp:spPr>
        <a:xfrm>
          <a:off x="3126262" y="687009"/>
          <a:ext cx="839655" cy="434736"/>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1346"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solidFill>
              <a:latin typeface="Calibri"/>
              <a:ea typeface="+mn-ea"/>
              <a:cs typeface="+mn-cs"/>
            </a:rPr>
            <a:t>CECAOT</a:t>
          </a:r>
        </a:p>
      </dsp:txBody>
      <dsp:txXfrm>
        <a:off x="3126262" y="687009"/>
        <a:ext cx="839655" cy="434736"/>
      </dsp:txXfrm>
    </dsp:sp>
    <dsp:sp modelId="{2FDD980A-1A22-4907-9125-1E9C890C4C94}">
      <dsp:nvSpPr>
        <dsp:cNvPr id="0" name=""/>
        <dsp:cNvSpPr/>
      </dsp:nvSpPr>
      <dsp:spPr>
        <a:xfrm>
          <a:off x="3284551" y="1034939"/>
          <a:ext cx="755689" cy="163185"/>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a:ea typeface="+mn-ea"/>
              <a:cs typeface="+mn-cs"/>
            </a:rPr>
            <a:t>Umbrella PO</a:t>
          </a:r>
        </a:p>
      </dsp:txBody>
      <dsp:txXfrm>
        <a:off x="3284551" y="1034939"/>
        <a:ext cx="755689" cy="16318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4F77DC6-967E-4865-A4CC-F8E084164F3E}">
      <dsp:nvSpPr>
        <dsp:cNvPr id="0" name=""/>
        <dsp:cNvSpPr/>
      </dsp:nvSpPr>
      <dsp:spPr>
        <a:xfrm>
          <a:off x="4777076" y="2694516"/>
          <a:ext cx="91440" cy="370099"/>
        </a:xfrm>
        <a:custGeom>
          <a:avLst/>
          <a:gdLst/>
          <a:ahLst/>
          <a:cxnLst/>
          <a:rect l="0" t="0" r="0" b="0"/>
          <a:pathLst>
            <a:path>
              <a:moveTo>
                <a:pt x="45720" y="0"/>
              </a:moveTo>
              <a:lnTo>
                <a:pt x="45720" y="37009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A2E20A9-DCD6-47A1-B47E-28E9BE47A9E3}">
      <dsp:nvSpPr>
        <dsp:cNvPr id="0" name=""/>
        <dsp:cNvSpPr/>
      </dsp:nvSpPr>
      <dsp:spPr>
        <a:xfrm>
          <a:off x="4777076" y="1683860"/>
          <a:ext cx="91440" cy="370099"/>
        </a:xfrm>
        <a:custGeom>
          <a:avLst/>
          <a:gdLst/>
          <a:ahLst/>
          <a:cxnLst/>
          <a:rect l="0" t="0" r="0" b="0"/>
          <a:pathLst>
            <a:path>
              <a:moveTo>
                <a:pt x="45720" y="0"/>
              </a:moveTo>
              <a:lnTo>
                <a:pt x="45720" y="37009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676D5E5-4F89-4B3C-BEE2-BF8F7CA45102}">
      <dsp:nvSpPr>
        <dsp:cNvPr id="0" name=""/>
        <dsp:cNvSpPr/>
      </dsp:nvSpPr>
      <dsp:spPr>
        <a:xfrm>
          <a:off x="3992884" y="673204"/>
          <a:ext cx="211322" cy="690377"/>
        </a:xfrm>
        <a:custGeom>
          <a:avLst/>
          <a:gdLst/>
          <a:ahLst/>
          <a:cxnLst/>
          <a:rect l="0" t="0" r="0" b="0"/>
          <a:pathLst>
            <a:path>
              <a:moveTo>
                <a:pt x="0" y="0"/>
              </a:moveTo>
              <a:lnTo>
                <a:pt x="0" y="690377"/>
              </a:lnTo>
              <a:lnTo>
                <a:pt x="211322" y="69037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4FAFEBF-B4D0-467C-AB4B-D22DAE96F322}">
      <dsp:nvSpPr>
        <dsp:cNvPr id="0" name=""/>
        <dsp:cNvSpPr/>
      </dsp:nvSpPr>
      <dsp:spPr>
        <a:xfrm>
          <a:off x="1291825" y="3705173"/>
          <a:ext cx="249427" cy="690377"/>
        </a:xfrm>
        <a:custGeom>
          <a:avLst/>
          <a:gdLst/>
          <a:ahLst/>
          <a:cxnLst/>
          <a:rect l="0" t="0" r="0" b="0"/>
          <a:pathLst>
            <a:path>
              <a:moveTo>
                <a:pt x="249427" y="0"/>
              </a:moveTo>
              <a:lnTo>
                <a:pt x="249427" y="690377"/>
              </a:lnTo>
              <a:lnTo>
                <a:pt x="0" y="6903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FED9207-333E-4312-8684-C146CA1D4EA8}">
      <dsp:nvSpPr>
        <dsp:cNvPr id="0" name=""/>
        <dsp:cNvSpPr/>
      </dsp:nvSpPr>
      <dsp:spPr>
        <a:xfrm>
          <a:off x="2159842" y="2694516"/>
          <a:ext cx="173217" cy="690377"/>
        </a:xfrm>
        <a:custGeom>
          <a:avLst/>
          <a:gdLst/>
          <a:ahLst/>
          <a:cxnLst/>
          <a:rect l="0" t="0" r="0" b="0"/>
          <a:pathLst>
            <a:path>
              <a:moveTo>
                <a:pt x="173217" y="0"/>
              </a:moveTo>
              <a:lnTo>
                <a:pt x="173217" y="690377"/>
              </a:lnTo>
              <a:lnTo>
                <a:pt x="0" y="6903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9940DC3-80F6-43C8-B885-7D4E1B7996A4}">
      <dsp:nvSpPr>
        <dsp:cNvPr id="0" name=""/>
        <dsp:cNvSpPr/>
      </dsp:nvSpPr>
      <dsp:spPr>
        <a:xfrm>
          <a:off x="2951649" y="1683860"/>
          <a:ext cx="211322" cy="690377"/>
        </a:xfrm>
        <a:custGeom>
          <a:avLst/>
          <a:gdLst/>
          <a:ahLst/>
          <a:cxnLst/>
          <a:rect l="0" t="0" r="0" b="0"/>
          <a:pathLst>
            <a:path>
              <a:moveTo>
                <a:pt x="211322" y="0"/>
              </a:moveTo>
              <a:lnTo>
                <a:pt x="211322" y="690377"/>
              </a:lnTo>
              <a:lnTo>
                <a:pt x="0" y="6903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0AA02D6-B99F-4492-B144-3F9A5C69D2D9}">
      <dsp:nvSpPr>
        <dsp:cNvPr id="0" name=""/>
        <dsp:cNvSpPr/>
      </dsp:nvSpPr>
      <dsp:spPr>
        <a:xfrm>
          <a:off x="3781561" y="673204"/>
          <a:ext cx="211322" cy="690377"/>
        </a:xfrm>
        <a:custGeom>
          <a:avLst/>
          <a:gdLst/>
          <a:ahLst/>
          <a:cxnLst/>
          <a:rect l="0" t="0" r="0" b="0"/>
          <a:pathLst>
            <a:path>
              <a:moveTo>
                <a:pt x="211322" y="0"/>
              </a:moveTo>
              <a:lnTo>
                <a:pt x="211322" y="690377"/>
              </a:lnTo>
              <a:lnTo>
                <a:pt x="0" y="69037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3DA2FD1-CFBA-4AAC-912E-9E906865E799}">
      <dsp:nvSpPr>
        <dsp:cNvPr id="0" name=""/>
        <dsp:cNvSpPr/>
      </dsp:nvSpPr>
      <dsp:spPr>
        <a:xfrm>
          <a:off x="3374294" y="32647"/>
          <a:ext cx="1237179" cy="64055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Quinoa Importers</a:t>
          </a:r>
        </a:p>
      </dsp:txBody>
      <dsp:txXfrm>
        <a:off x="3374294" y="32647"/>
        <a:ext cx="1237179" cy="640556"/>
      </dsp:txXfrm>
    </dsp:sp>
    <dsp:sp modelId="{BEF5765B-B684-47C8-9FEA-04FD29042B81}">
      <dsp:nvSpPr>
        <dsp:cNvPr id="0" name=""/>
        <dsp:cNvSpPr/>
      </dsp:nvSpPr>
      <dsp:spPr>
        <a:xfrm>
          <a:off x="3621730" y="530858"/>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5560" tIns="8890" rIns="35560" bIns="8890" numCol="1" spcCol="1270" anchor="ctr" anchorCtr="0">
          <a:noAutofit/>
        </a:bodyPr>
        <a:lstStyle/>
        <a:p>
          <a:pPr lvl="0" algn="r" defTabSz="622300">
            <a:lnSpc>
              <a:spcPct val="90000"/>
            </a:lnSpc>
            <a:spcBef>
              <a:spcPct val="0"/>
            </a:spcBef>
            <a:spcAft>
              <a:spcPct val="35000"/>
            </a:spcAft>
          </a:pPr>
          <a:r>
            <a:rPr lang="en-US" sz="1400" kern="1200"/>
            <a:t>Countries</a:t>
          </a:r>
        </a:p>
      </dsp:txBody>
      <dsp:txXfrm>
        <a:off x="3621730" y="530858"/>
        <a:ext cx="1113461" cy="213518"/>
      </dsp:txXfrm>
    </dsp:sp>
    <dsp:sp modelId="{6C0CA625-1B41-4028-B218-E53472BF6C9E}">
      <dsp:nvSpPr>
        <dsp:cNvPr id="0" name=""/>
        <dsp:cNvSpPr/>
      </dsp:nvSpPr>
      <dsp:spPr>
        <a:xfrm>
          <a:off x="2544382" y="1043303"/>
          <a:ext cx="1237179" cy="640556"/>
        </a:xfrm>
        <a:prstGeom prst="rect">
          <a:avLst/>
        </a:prstGeom>
        <a:solidFill>
          <a:srgbClr val="00B05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France</a:t>
          </a:r>
        </a:p>
      </dsp:txBody>
      <dsp:txXfrm>
        <a:off x="2544382" y="1043303"/>
        <a:ext cx="1237179" cy="640556"/>
      </dsp:txXfrm>
    </dsp:sp>
    <dsp:sp modelId="{B4F87CFA-1956-45C4-B4F1-E58B20881B7D}">
      <dsp:nvSpPr>
        <dsp:cNvPr id="0" name=""/>
        <dsp:cNvSpPr/>
      </dsp:nvSpPr>
      <dsp:spPr>
        <a:xfrm>
          <a:off x="2791818" y="1541514"/>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lvl="0" algn="r" defTabSz="488950">
            <a:lnSpc>
              <a:spcPct val="90000"/>
            </a:lnSpc>
            <a:spcBef>
              <a:spcPct val="0"/>
            </a:spcBef>
            <a:spcAft>
              <a:spcPct val="35000"/>
            </a:spcAft>
          </a:pPr>
          <a:r>
            <a:rPr lang="en-US" sz="1100" kern="1200"/>
            <a:t>Market share 16%</a:t>
          </a:r>
        </a:p>
      </dsp:txBody>
      <dsp:txXfrm>
        <a:off x="2791818" y="1541514"/>
        <a:ext cx="1113461" cy="213518"/>
      </dsp:txXfrm>
    </dsp:sp>
    <dsp:sp modelId="{B705B59A-3E76-4F03-A683-0984B5F75565}">
      <dsp:nvSpPr>
        <dsp:cNvPr id="0" name=""/>
        <dsp:cNvSpPr/>
      </dsp:nvSpPr>
      <dsp:spPr>
        <a:xfrm>
          <a:off x="1714470" y="2053960"/>
          <a:ext cx="1237179" cy="640556"/>
        </a:xfrm>
        <a:prstGeom prst="rect">
          <a:avLst/>
        </a:prstGeom>
        <a:solidFill>
          <a:srgbClr val="00B05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CARREFOUR</a:t>
          </a:r>
        </a:p>
      </dsp:txBody>
      <dsp:txXfrm>
        <a:off x="1714470" y="2053960"/>
        <a:ext cx="1237179" cy="640556"/>
      </dsp:txXfrm>
    </dsp:sp>
    <dsp:sp modelId="{18D1C728-EA4F-46FE-B3DC-6E2C03934EEB}">
      <dsp:nvSpPr>
        <dsp:cNvPr id="0" name=""/>
        <dsp:cNvSpPr/>
      </dsp:nvSpPr>
      <dsp:spPr>
        <a:xfrm>
          <a:off x="1961906" y="2552170"/>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3810" rIns="15240" bIns="3810" numCol="1" spcCol="1270" anchor="ctr" anchorCtr="0">
          <a:noAutofit/>
        </a:bodyPr>
        <a:lstStyle/>
        <a:p>
          <a:pPr lvl="0" algn="r" defTabSz="266700">
            <a:lnSpc>
              <a:spcPct val="90000"/>
            </a:lnSpc>
            <a:spcBef>
              <a:spcPct val="0"/>
            </a:spcBef>
            <a:spcAft>
              <a:spcPct val="35000"/>
            </a:spcAft>
          </a:pPr>
          <a:r>
            <a:rPr lang="en-US" sz="600" kern="1200"/>
            <a:t>Retailer/Distributor/Hypermarket</a:t>
          </a:r>
        </a:p>
      </dsp:txBody>
      <dsp:txXfrm>
        <a:off x="1961906" y="2552170"/>
        <a:ext cx="1113461" cy="213518"/>
      </dsp:txXfrm>
    </dsp:sp>
    <dsp:sp modelId="{D36AD6BC-AB02-4FC3-9F8A-E707179B2E09}">
      <dsp:nvSpPr>
        <dsp:cNvPr id="0" name=""/>
        <dsp:cNvSpPr/>
      </dsp:nvSpPr>
      <dsp:spPr>
        <a:xfrm>
          <a:off x="922663" y="3064616"/>
          <a:ext cx="1237179" cy="640556"/>
        </a:xfrm>
        <a:prstGeom prst="rect">
          <a:avLst/>
        </a:prstGeom>
        <a:solidFill>
          <a:srgbClr val="00B05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EURONAT</a:t>
          </a:r>
        </a:p>
      </dsp:txBody>
      <dsp:txXfrm>
        <a:off x="922663" y="3064616"/>
        <a:ext cx="1237179" cy="640556"/>
      </dsp:txXfrm>
    </dsp:sp>
    <dsp:sp modelId="{18140B57-BC6D-4D97-8CE6-5FE2E19C19DF}">
      <dsp:nvSpPr>
        <dsp:cNvPr id="0" name=""/>
        <dsp:cNvSpPr/>
      </dsp:nvSpPr>
      <dsp:spPr>
        <a:xfrm>
          <a:off x="1131993" y="3562827"/>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a:t>Importer and Distributor</a:t>
          </a:r>
        </a:p>
      </dsp:txBody>
      <dsp:txXfrm>
        <a:off x="1131993" y="3562827"/>
        <a:ext cx="1113461" cy="213518"/>
      </dsp:txXfrm>
    </dsp:sp>
    <dsp:sp modelId="{09BBBB50-75EF-4D83-8F38-05064D5CA477}">
      <dsp:nvSpPr>
        <dsp:cNvPr id="0" name=""/>
        <dsp:cNvSpPr/>
      </dsp:nvSpPr>
      <dsp:spPr>
        <a:xfrm>
          <a:off x="54645" y="4075272"/>
          <a:ext cx="1237179" cy="640556"/>
        </a:xfrm>
        <a:prstGeom prst="rect">
          <a:avLst/>
        </a:prstGeom>
        <a:solidFill>
          <a:srgbClr val="00B05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JATARY</a:t>
          </a:r>
        </a:p>
      </dsp:txBody>
      <dsp:txXfrm>
        <a:off x="54645" y="4075272"/>
        <a:ext cx="1237179" cy="640556"/>
      </dsp:txXfrm>
    </dsp:sp>
    <dsp:sp modelId="{1858692D-93E3-49E8-9325-2FFCE615FC45}">
      <dsp:nvSpPr>
        <dsp:cNvPr id="0" name=""/>
        <dsp:cNvSpPr/>
      </dsp:nvSpPr>
      <dsp:spPr>
        <a:xfrm>
          <a:off x="302081" y="4573483"/>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7620" rIns="30480" bIns="7620" numCol="1" spcCol="1270" anchor="ctr" anchorCtr="0">
          <a:noAutofit/>
        </a:bodyPr>
        <a:lstStyle/>
        <a:p>
          <a:pPr lvl="0" algn="r" defTabSz="533400">
            <a:lnSpc>
              <a:spcPct val="90000"/>
            </a:lnSpc>
            <a:spcBef>
              <a:spcPct val="0"/>
            </a:spcBef>
            <a:spcAft>
              <a:spcPct val="35000"/>
            </a:spcAft>
          </a:pPr>
          <a:r>
            <a:rPr lang="en-US" sz="1200" kern="1200"/>
            <a:t>Created in 1996.</a:t>
          </a:r>
        </a:p>
      </dsp:txBody>
      <dsp:txXfrm>
        <a:off x="302081" y="4573483"/>
        <a:ext cx="1113461" cy="213518"/>
      </dsp:txXfrm>
    </dsp:sp>
    <dsp:sp modelId="{69EFCBC2-908D-4C9F-B47D-B29617962B4C}">
      <dsp:nvSpPr>
        <dsp:cNvPr id="0" name=""/>
        <dsp:cNvSpPr/>
      </dsp:nvSpPr>
      <dsp:spPr>
        <a:xfrm>
          <a:off x="4204206" y="1043303"/>
          <a:ext cx="1237179" cy="640556"/>
        </a:xfrm>
        <a:prstGeom prst="rect">
          <a:avLst/>
        </a:prstGeom>
        <a:solidFill>
          <a:srgbClr val="C00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Netherlands</a:t>
          </a:r>
        </a:p>
      </dsp:txBody>
      <dsp:txXfrm>
        <a:off x="4204206" y="1043303"/>
        <a:ext cx="1237179" cy="640556"/>
      </dsp:txXfrm>
    </dsp:sp>
    <dsp:sp modelId="{DB4AAC20-C740-4771-A27F-24C085B81FE0}">
      <dsp:nvSpPr>
        <dsp:cNvPr id="0" name=""/>
        <dsp:cNvSpPr/>
      </dsp:nvSpPr>
      <dsp:spPr>
        <a:xfrm>
          <a:off x="4451642" y="1541514"/>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6350" rIns="25400" bIns="6350" numCol="1" spcCol="1270" anchor="ctr" anchorCtr="0">
          <a:noAutofit/>
        </a:bodyPr>
        <a:lstStyle/>
        <a:p>
          <a:pPr lvl="0" algn="r" defTabSz="444500">
            <a:lnSpc>
              <a:spcPct val="90000"/>
            </a:lnSpc>
            <a:spcBef>
              <a:spcPct val="0"/>
            </a:spcBef>
            <a:spcAft>
              <a:spcPct val="35000"/>
            </a:spcAft>
          </a:pPr>
          <a:r>
            <a:rPr lang="en-US" sz="1000" kern="1200"/>
            <a:t>Market share 11%.</a:t>
          </a:r>
        </a:p>
      </dsp:txBody>
      <dsp:txXfrm>
        <a:off x="4451642" y="1541514"/>
        <a:ext cx="1113461" cy="213518"/>
      </dsp:txXfrm>
    </dsp:sp>
    <dsp:sp modelId="{3239A8BB-B7F3-4115-90A8-21F9DA219B54}">
      <dsp:nvSpPr>
        <dsp:cNvPr id="0" name=""/>
        <dsp:cNvSpPr/>
      </dsp:nvSpPr>
      <dsp:spPr>
        <a:xfrm>
          <a:off x="4204206" y="2053960"/>
          <a:ext cx="1237179" cy="640556"/>
        </a:xfrm>
        <a:prstGeom prst="rect">
          <a:avLst/>
        </a:prstGeom>
        <a:solidFill>
          <a:srgbClr val="C00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MARKAL</a:t>
          </a:r>
        </a:p>
      </dsp:txBody>
      <dsp:txXfrm>
        <a:off x="4204206" y="2053960"/>
        <a:ext cx="1237179" cy="640556"/>
      </dsp:txXfrm>
    </dsp:sp>
    <dsp:sp modelId="{175253B8-B182-4955-845A-65B3F4B4F5EC}">
      <dsp:nvSpPr>
        <dsp:cNvPr id="0" name=""/>
        <dsp:cNvSpPr/>
      </dsp:nvSpPr>
      <dsp:spPr>
        <a:xfrm>
          <a:off x="4451642" y="2552170"/>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a:t>Importer adn Distributor</a:t>
          </a:r>
        </a:p>
      </dsp:txBody>
      <dsp:txXfrm>
        <a:off x="4451642" y="2552170"/>
        <a:ext cx="1113461" cy="213518"/>
      </dsp:txXfrm>
    </dsp:sp>
    <dsp:sp modelId="{DCD7C067-D40A-4C7E-874E-107A5B0CBFE3}">
      <dsp:nvSpPr>
        <dsp:cNvPr id="0" name=""/>
        <dsp:cNvSpPr/>
      </dsp:nvSpPr>
      <dsp:spPr>
        <a:xfrm>
          <a:off x="4204206" y="3064616"/>
          <a:ext cx="1237179" cy="640556"/>
        </a:xfrm>
        <a:prstGeom prst="rect">
          <a:avLst/>
        </a:prstGeom>
        <a:solidFill>
          <a:srgbClr val="C00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90390" numCol="1" spcCol="1270" anchor="ctr" anchorCtr="0">
          <a:noAutofit/>
        </a:bodyPr>
        <a:lstStyle/>
        <a:p>
          <a:pPr lvl="0" algn="ctr" defTabSz="844550">
            <a:lnSpc>
              <a:spcPct val="90000"/>
            </a:lnSpc>
            <a:spcBef>
              <a:spcPct val="0"/>
            </a:spcBef>
            <a:spcAft>
              <a:spcPct val="35000"/>
            </a:spcAft>
          </a:pPr>
          <a:r>
            <a:rPr lang="en-US" sz="1900" kern="1200"/>
            <a:t>Quinoa Bol S.R.L.</a:t>
          </a:r>
        </a:p>
      </dsp:txBody>
      <dsp:txXfrm>
        <a:off x="4204206" y="3064616"/>
        <a:ext cx="1237179" cy="640556"/>
      </dsp:txXfrm>
    </dsp:sp>
    <dsp:sp modelId="{82EF9BA4-CEEB-434D-9127-7DA157D7C439}">
      <dsp:nvSpPr>
        <dsp:cNvPr id="0" name=""/>
        <dsp:cNvSpPr/>
      </dsp:nvSpPr>
      <dsp:spPr>
        <a:xfrm>
          <a:off x="4451642" y="3562827"/>
          <a:ext cx="1113461" cy="213518"/>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7620" rIns="30480" bIns="7620" numCol="1" spcCol="1270" anchor="ctr" anchorCtr="0">
          <a:noAutofit/>
        </a:bodyPr>
        <a:lstStyle/>
        <a:p>
          <a:pPr lvl="0" algn="r" defTabSz="533400">
            <a:lnSpc>
              <a:spcPct val="90000"/>
            </a:lnSpc>
            <a:spcBef>
              <a:spcPct val="0"/>
            </a:spcBef>
            <a:spcAft>
              <a:spcPct val="35000"/>
            </a:spcAft>
          </a:pPr>
          <a:r>
            <a:rPr lang="en-US" sz="1200" kern="1200"/>
            <a:t>Created in 1998. </a:t>
          </a:r>
        </a:p>
      </dsp:txBody>
      <dsp:txXfrm>
        <a:off x="4451642" y="3562827"/>
        <a:ext cx="1113461" cy="21351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645CF8-B082-4C92-AD70-7EEDD2C19B78}">
      <dsp:nvSpPr>
        <dsp:cNvPr id="0" name=""/>
        <dsp:cNvSpPr/>
      </dsp:nvSpPr>
      <dsp:spPr>
        <a:xfrm>
          <a:off x="2164117" y="2979212"/>
          <a:ext cx="91440" cy="413991"/>
        </a:xfrm>
        <a:custGeom>
          <a:avLst/>
          <a:gdLst/>
          <a:ahLst/>
          <a:cxnLst/>
          <a:rect l="0" t="0" r="0" b="0"/>
          <a:pathLst>
            <a:path>
              <a:moveTo>
                <a:pt x="45720" y="0"/>
              </a:moveTo>
              <a:lnTo>
                <a:pt x="45720" y="41399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A34F3BD-1930-4306-845B-765A83E2058A}">
      <dsp:nvSpPr>
        <dsp:cNvPr id="0" name=""/>
        <dsp:cNvSpPr/>
      </dsp:nvSpPr>
      <dsp:spPr>
        <a:xfrm>
          <a:off x="2164117" y="1848697"/>
          <a:ext cx="91440" cy="413991"/>
        </a:xfrm>
        <a:custGeom>
          <a:avLst/>
          <a:gdLst/>
          <a:ahLst/>
          <a:cxnLst/>
          <a:rect l="0" t="0" r="0" b="0"/>
          <a:pathLst>
            <a:path>
              <a:moveTo>
                <a:pt x="45720" y="0"/>
              </a:moveTo>
              <a:lnTo>
                <a:pt x="45720" y="41399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72E3513-B333-456F-80C7-F8CE886EAB8A}">
      <dsp:nvSpPr>
        <dsp:cNvPr id="0" name=""/>
        <dsp:cNvSpPr/>
      </dsp:nvSpPr>
      <dsp:spPr>
        <a:xfrm>
          <a:off x="2901788" y="718182"/>
          <a:ext cx="236384" cy="772253"/>
        </a:xfrm>
        <a:custGeom>
          <a:avLst/>
          <a:gdLst/>
          <a:ahLst/>
          <a:cxnLst/>
          <a:rect l="0" t="0" r="0" b="0"/>
          <a:pathLst>
            <a:path>
              <a:moveTo>
                <a:pt x="236384" y="0"/>
              </a:moveTo>
              <a:lnTo>
                <a:pt x="236384" y="772253"/>
              </a:lnTo>
              <a:lnTo>
                <a:pt x="0" y="77225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279FAE7-C9DD-4E23-ACB2-2286985481BA}">
      <dsp:nvSpPr>
        <dsp:cNvPr id="0" name=""/>
        <dsp:cNvSpPr/>
      </dsp:nvSpPr>
      <dsp:spPr>
        <a:xfrm>
          <a:off x="2446221" y="1658"/>
          <a:ext cx="1383903" cy="71652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335" tIns="13335" rIns="13335" bIns="101109" numCol="1" spcCol="1270" anchor="ctr" anchorCtr="0">
          <a:noAutofit/>
        </a:bodyPr>
        <a:lstStyle/>
        <a:p>
          <a:pPr lvl="0" algn="ctr" defTabSz="933450">
            <a:lnSpc>
              <a:spcPct val="90000"/>
            </a:lnSpc>
            <a:spcBef>
              <a:spcPct val="0"/>
            </a:spcBef>
            <a:spcAft>
              <a:spcPct val="35000"/>
            </a:spcAft>
          </a:pPr>
          <a:r>
            <a:rPr lang="en-US" sz="2100" kern="1200"/>
            <a:t>USA</a:t>
          </a:r>
        </a:p>
      </dsp:txBody>
      <dsp:txXfrm>
        <a:off x="2446221" y="1658"/>
        <a:ext cx="1383903" cy="716523"/>
      </dsp:txXfrm>
    </dsp:sp>
    <dsp:sp modelId="{7373755F-6B71-472E-B1E8-7736C77B76C7}">
      <dsp:nvSpPr>
        <dsp:cNvPr id="0" name=""/>
        <dsp:cNvSpPr/>
      </dsp:nvSpPr>
      <dsp:spPr>
        <a:xfrm>
          <a:off x="2723001" y="558954"/>
          <a:ext cx="1245512" cy="23884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7620" rIns="30480" bIns="7620" numCol="1" spcCol="1270" anchor="ctr" anchorCtr="0">
          <a:noAutofit/>
        </a:bodyPr>
        <a:lstStyle/>
        <a:p>
          <a:pPr lvl="0" algn="r" defTabSz="533400">
            <a:lnSpc>
              <a:spcPct val="90000"/>
            </a:lnSpc>
            <a:spcBef>
              <a:spcPct val="0"/>
            </a:spcBef>
            <a:spcAft>
              <a:spcPct val="35000"/>
            </a:spcAft>
          </a:pPr>
          <a:r>
            <a:rPr lang="en-US" sz="1200" kern="1200"/>
            <a:t>Market share 48%</a:t>
          </a:r>
        </a:p>
      </dsp:txBody>
      <dsp:txXfrm>
        <a:off x="2723001" y="558954"/>
        <a:ext cx="1245512" cy="238841"/>
      </dsp:txXfrm>
    </dsp:sp>
    <dsp:sp modelId="{25541E0D-476B-426B-BCB5-4E1B95739F97}">
      <dsp:nvSpPr>
        <dsp:cNvPr id="0" name=""/>
        <dsp:cNvSpPr/>
      </dsp:nvSpPr>
      <dsp:spPr>
        <a:xfrm>
          <a:off x="1517885" y="1132173"/>
          <a:ext cx="1383903" cy="716523"/>
        </a:xfrm>
        <a:prstGeom prst="rect">
          <a:avLst/>
        </a:prstGeom>
        <a:solidFill>
          <a:schemeClr val="accent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335" tIns="13335" rIns="13335" bIns="101109" numCol="1" spcCol="1270" anchor="ctr" anchorCtr="0">
          <a:noAutofit/>
        </a:bodyPr>
        <a:lstStyle/>
        <a:p>
          <a:pPr lvl="0" algn="ctr" defTabSz="933450">
            <a:lnSpc>
              <a:spcPct val="90000"/>
            </a:lnSpc>
            <a:spcBef>
              <a:spcPct val="0"/>
            </a:spcBef>
            <a:spcAft>
              <a:spcPct val="35000"/>
            </a:spcAft>
          </a:pPr>
          <a:r>
            <a:rPr lang="en-US" sz="2100" kern="1200"/>
            <a:t>Shoppers</a:t>
          </a:r>
        </a:p>
      </dsp:txBody>
      <dsp:txXfrm>
        <a:off x="1517885" y="1132173"/>
        <a:ext cx="1383903" cy="716523"/>
      </dsp:txXfrm>
    </dsp:sp>
    <dsp:sp modelId="{0AE28D8B-902B-42F5-ABC1-53D6A5BE6BD0}">
      <dsp:nvSpPr>
        <dsp:cNvPr id="0" name=""/>
        <dsp:cNvSpPr/>
      </dsp:nvSpPr>
      <dsp:spPr>
        <a:xfrm>
          <a:off x="1794666" y="1689469"/>
          <a:ext cx="1245512" cy="23884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9525" rIns="38100" bIns="9525" numCol="1" spcCol="1270" anchor="ctr" anchorCtr="0">
          <a:noAutofit/>
        </a:bodyPr>
        <a:lstStyle/>
        <a:p>
          <a:pPr lvl="0" algn="r" defTabSz="666750">
            <a:lnSpc>
              <a:spcPct val="90000"/>
            </a:lnSpc>
            <a:spcBef>
              <a:spcPct val="0"/>
            </a:spcBef>
            <a:spcAft>
              <a:spcPct val="35000"/>
            </a:spcAft>
          </a:pPr>
          <a:r>
            <a:rPr lang="en-US" sz="1500" kern="1200"/>
            <a:t>Supermarket</a:t>
          </a:r>
        </a:p>
      </dsp:txBody>
      <dsp:txXfrm>
        <a:off x="1794666" y="1689469"/>
        <a:ext cx="1245512" cy="238841"/>
      </dsp:txXfrm>
    </dsp:sp>
    <dsp:sp modelId="{FF5E6235-03AC-4ACD-A281-6CC5CF76346E}">
      <dsp:nvSpPr>
        <dsp:cNvPr id="0" name=""/>
        <dsp:cNvSpPr/>
      </dsp:nvSpPr>
      <dsp:spPr>
        <a:xfrm>
          <a:off x="1517885" y="2262688"/>
          <a:ext cx="1383903" cy="716523"/>
        </a:xfrm>
        <a:prstGeom prst="rect">
          <a:avLst/>
        </a:prstGeom>
        <a:solidFill>
          <a:schemeClr val="accent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335" tIns="13335" rIns="13335" bIns="101109" numCol="1" spcCol="1270" anchor="ctr" anchorCtr="0">
          <a:noAutofit/>
        </a:bodyPr>
        <a:lstStyle/>
        <a:p>
          <a:pPr lvl="0" algn="ctr" defTabSz="933450">
            <a:lnSpc>
              <a:spcPct val="90000"/>
            </a:lnSpc>
            <a:spcBef>
              <a:spcPct val="0"/>
            </a:spcBef>
            <a:spcAft>
              <a:spcPct val="35000"/>
            </a:spcAft>
          </a:pPr>
          <a:r>
            <a:rPr lang="en-US" sz="2100" kern="1200"/>
            <a:t>Quinoa Corporation</a:t>
          </a:r>
        </a:p>
      </dsp:txBody>
      <dsp:txXfrm>
        <a:off x="1517885" y="2262688"/>
        <a:ext cx="1383903" cy="716523"/>
      </dsp:txXfrm>
    </dsp:sp>
    <dsp:sp modelId="{71E2EAA6-CBC5-46BC-B29F-2F16C7302B3C}">
      <dsp:nvSpPr>
        <dsp:cNvPr id="0" name=""/>
        <dsp:cNvSpPr/>
      </dsp:nvSpPr>
      <dsp:spPr>
        <a:xfrm>
          <a:off x="1794666" y="2819985"/>
          <a:ext cx="1245512" cy="23884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en-US" sz="900" kern="1200"/>
            <a:t>Importer and Distributor</a:t>
          </a:r>
        </a:p>
      </dsp:txBody>
      <dsp:txXfrm>
        <a:off x="1794666" y="2819985"/>
        <a:ext cx="1245512" cy="238841"/>
      </dsp:txXfrm>
    </dsp:sp>
    <dsp:sp modelId="{C7D751CC-BED6-47EF-8689-E39E9BD4C31B}">
      <dsp:nvSpPr>
        <dsp:cNvPr id="0" name=""/>
        <dsp:cNvSpPr/>
      </dsp:nvSpPr>
      <dsp:spPr>
        <a:xfrm>
          <a:off x="1517885" y="3393204"/>
          <a:ext cx="1383903" cy="716523"/>
        </a:xfrm>
        <a:prstGeom prst="rect">
          <a:avLst/>
        </a:prstGeom>
        <a:solidFill>
          <a:schemeClr val="accent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335" tIns="13335" rIns="13335" bIns="101109" numCol="1" spcCol="1270" anchor="ctr" anchorCtr="0">
          <a:noAutofit/>
        </a:bodyPr>
        <a:lstStyle/>
        <a:p>
          <a:pPr lvl="0" algn="ctr" defTabSz="933450">
            <a:lnSpc>
              <a:spcPct val="90000"/>
            </a:lnSpc>
            <a:spcBef>
              <a:spcPct val="0"/>
            </a:spcBef>
            <a:spcAft>
              <a:spcPct val="35000"/>
            </a:spcAft>
          </a:pPr>
          <a:r>
            <a:rPr lang="en-US" sz="2100" kern="1200"/>
            <a:t>Andean Valley</a:t>
          </a:r>
        </a:p>
      </dsp:txBody>
      <dsp:txXfrm>
        <a:off x="1517885" y="3393204"/>
        <a:ext cx="1383903" cy="716523"/>
      </dsp:txXfrm>
    </dsp:sp>
    <dsp:sp modelId="{F678A5E8-CB26-479B-9D38-A53EAA9BE1E7}">
      <dsp:nvSpPr>
        <dsp:cNvPr id="0" name=""/>
        <dsp:cNvSpPr/>
      </dsp:nvSpPr>
      <dsp:spPr>
        <a:xfrm>
          <a:off x="1794666" y="3950500"/>
          <a:ext cx="1245512" cy="238841"/>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lvl="0" algn="r" defTabSz="355600">
            <a:lnSpc>
              <a:spcPct val="90000"/>
            </a:lnSpc>
            <a:spcBef>
              <a:spcPct val="0"/>
            </a:spcBef>
            <a:spcAft>
              <a:spcPct val="35000"/>
            </a:spcAft>
          </a:pPr>
          <a:r>
            <a:rPr lang="en-US" sz="800" kern="1200"/>
            <a:t>Relationship established since 2000. </a:t>
          </a:r>
        </a:p>
      </dsp:txBody>
      <dsp:txXfrm>
        <a:off x="1794666" y="3950500"/>
        <a:ext cx="1245512" cy="238841"/>
      </dsp:txXfrm>
    </dsp:sp>
  </dsp:spTree>
</dsp:drawing>
</file>

<file path=word/diagrams/layout1.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6751B-05E3-4B77-B488-F9EAF7322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18658</Words>
  <Characters>99262</Characters>
  <Application>Microsoft Office Word</Application>
  <DocSecurity>0</DocSecurity>
  <Lines>1481</Lines>
  <Paragraphs>422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117498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Davis</dc:creator>
  <cp:lastModifiedBy>Sue Davis</cp:lastModifiedBy>
  <cp:revision>2</cp:revision>
  <dcterms:created xsi:type="dcterms:W3CDTF">2012-12-03T05:08:00Z</dcterms:created>
  <dcterms:modified xsi:type="dcterms:W3CDTF">2012-12-03T05:08:00Z</dcterms:modified>
</cp:coreProperties>
</file>