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7F32" w:rsidRPr="00B97064" w:rsidRDefault="007C7F32" w:rsidP="007C120F">
      <w:pPr>
        <w:jc w:val="center"/>
        <w:rPr>
          <w:lang w:val="en-GB"/>
        </w:rPr>
      </w:pPr>
    </w:p>
    <w:p w:rsidR="007C7F32" w:rsidRPr="00B97064" w:rsidRDefault="007C7F32" w:rsidP="007C120F">
      <w:pPr>
        <w:jc w:val="center"/>
        <w:rPr>
          <w:lang w:val="en-GB"/>
        </w:rPr>
      </w:pPr>
    </w:p>
    <w:p w:rsidR="007C7F32" w:rsidRPr="00B97064" w:rsidRDefault="007C7F32" w:rsidP="007C120F">
      <w:pPr>
        <w:jc w:val="center"/>
        <w:rPr>
          <w:lang w:val="en-GB"/>
        </w:rPr>
      </w:pPr>
    </w:p>
    <w:p w:rsidR="007C7F32" w:rsidRPr="00B97064" w:rsidRDefault="007C7F32" w:rsidP="007C120F">
      <w:pPr>
        <w:jc w:val="center"/>
        <w:rPr>
          <w:lang w:val="en-GB"/>
        </w:rPr>
      </w:pPr>
    </w:p>
    <w:p w:rsidR="007C7F32" w:rsidRPr="00B97064" w:rsidRDefault="007C7F32" w:rsidP="007C120F">
      <w:pPr>
        <w:jc w:val="center"/>
        <w:rPr>
          <w:lang w:val="en-GB"/>
        </w:rPr>
      </w:pPr>
    </w:p>
    <w:p w:rsidR="007C7F32" w:rsidRPr="00B97064" w:rsidRDefault="007C7F32" w:rsidP="007C120F">
      <w:pPr>
        <w:jc w:val="center"/>
        <w:rPr>
          <w:lang w:val="en-GB"/>
        </w:rPr>
      </w:pPr>
    </w:p>
    <w:p w:rsidR="007C7F32" w:rsidRPr="00B97064" w:rsidRDefault="007C7F32" w:rsidP="007C120F">
      <w:pPr>
        <w:jc w:val="center"/>
        <w:rPr>
          <w:lang w:val="en-GB"/>
        </w:rPr>
      </w:pPr>
    </w:p>
    <w:p w:rsidR="007C7F32" w:rsidRPr="00B97064" w:rsidRDefault="007C7F32" w:rsidP="00706DF3">
      <w:pPr>
        <w:rPr>
          <w:sz w:val="52"/>
          <w:szCs w:val="52"/>
          <w:lang w:val="en-GB"/>
        </w:rPr>
      </w:pPr>
    </w:p>
    <w:p w:rsidR="007C7F32" w:rsidRPr="00B97064" w:rsidRDefault="007C7F32" w:rsidP="00141285">
      <w:pPr>
        <w:pStyle w:val="titel"/>
        <w:rPr>
          <w:rStyle w:val="hps"/>
          <w:rFonts w:cs="Arial"/>
          <w:color w:val="1F497D"/>
          <w:sz w:val="44"/>
          <w:szCs w:val="44"/>
          <w:lang w:val="en-GB"/>
        </w:rPr>
      </w:pPr>
      <w:r w:rsidRPr="00B97064">
        <w:rPr>
          <w:rStyle w:val="hps"/>
          <w:rFonts w:cs="Arial"/>
          <w:color w:val="1F497D"/>
          <w:sz w:val="44"/>
          <w:szCs w:val="44"/>
          <w:lang w:val="en-GB"/>
        </w:rPr>
        <w:t xml:space="preserve">Related Party Transactions, firm value and the effectiveness of the Dutch </w:t>
      </w:r>
      <w:r w:rsidR="00F44576" w:rsidRPr="00B97064">
        <w:rPr>
          <w:rStyle w:val="hps"/>
          <w:rFonts w:cs="Arial"/>
          <w:color w:val="1F497D"/>
          <w:sz w:val="44"/>
          <w:szCs w:val="44"/>
          <w:lang w:val="en-GB"/>
        </w:rPr>
        <w:t>c</w:t>
      </w:r>
      <w:r w:rsidRPr="00B97064">
        <w:rPr>
          <w:rStyle w:val="hps"/>
          <w:rFonts w:cs="Arial"/>
          <w:color w:val="1F497D"/>
          <w:sz w:val="44"/>
          <w:szCs w:val="44"/>
          <w:lang w:val="en-GB"/>
        </w:rPr>
        <w:t xml:space="preserve">orporate </w:t>
      </w:r>
      <w:r w:rsidR="00F44576" w:rsidRPr="00B97064">
        <w:rPr>
          <w:rStyle w:val="hps"/>
          <w:rFonts w:cs="Arial"/>
          <w:color w:val="1F497D"/>
          <w:sz w:val="44"/>
          <w:szCs w:val="44"/>
          <w:lang w:val="en-GB"/>
        </w:rPr>
        <w:t>g</w:t>
      </w:r>
      <w:r w:rsidRPr="00B97064">
        <w:rPr>
          <w:rStyle w:val="hps"/>
          <w:rFonts w:cs="Arial"/>
          <w:color w:val="1F497D"/>
          <w:sz w:val="44"/>
          <w:szCs w:val="44"/>
          <w:lang w:val="en-GB"/>
        </w:rPr>
        <w:t xml:space="preserve">overnance </w:t>
      </w:r>
      <w:r w:rsidR="00F44576" w:rsidRPr="00B97064">
        <w:rPr>
          <w:rStyle w:val="hps"/>
          <w:rFonts w:cs="Arial"/>
          <w:color w:val="1F497D"/>
          <w:sz w:val="44"/>
          <w:szCs w:val="44"/>
          <w:lang w:val="en-GB"/>
        </w:rPr>
        <w:t>c</w:t>
      </w:r>
      <w:r w:rsidRPr="00B97064">
        <w:rPr>
          <w:rStyle w:val="hps"/>
          <w:rFonts w:cs="Arial"/>
          <w:color w:val="1F497D"/>
          <w:sz w:val="44"/>
          <w:szCs w:val="44"/>
          <w:lang w:val="en-GB"/>
        </w:rPr>
        <w:t>ode</w:t>
      </w:r>
    </w:p>
    <w:p w:rsidR="007C7F32" w:rsidRPr="00B97064" w:rsidRDefault="007C7F32" w:rsidP="00141285">
      <w:pPr>
        <w:pStyle w:val="titel"/>
        <w:rPr>
          <w:rStyle w:val="hps"/>
          <w:rFonts w:cs="Arial"/>
          <w:sz w:val="44"/>
          <w:szCs w:val="44"/>
          <w:lang w:val="en-GB"/>
        </w:rPr>
      </w:pPr>
    </w:p>
    <w:p w:rsidR="007C7F32" w:rsidRPr="00B97064" w:rsidRDefault="007C7F32" w:rsidP="003413AC">
      <w:pPr>
        <w:pStyle w:val="ondertitel"/>
        <w:rPr>
          <w:rFonts w:cs="Arial"/>
          <w:color w:val="4F81BD"/>
          <w:szCs w:val="22"/>
          <w:lang w:val="en-GB"/>
        </w:rPr>
      </w:pPr>
      <w:r w:rsidRPr="00B97064">
        <w:rPr>
          <w:rFonts w:cs="Arial"/>
          <w:color w:val="4F81BD"/>
          <w:szCs w:val="22"/>
          <w:lang w:val="en-GB"/>
        </w:rPr>
        <w:t>Master thesis Accounting, Auditing and Control</w:t>
      </w:r>
    </w:p>
    <w:p w:rsidR="007C7F32" w:rsidRPr="007F674E" w:rsidRDefault="007C7F32" w:rsidP="003413AC">
      <w:pPr>
        <w:pStyle w:val="ondertitel"/>
        <w:rPr>
          <w:rFonts w:cs="Arial"/>
          <w:color w:val="4F81BD"/>
          <w:szCs w:val="22"/>
        </w:rPr>
      </w:pPr>
      <w:r w:rsidRPr="007F674E">
        <w:rPr>
          <w:rFonts w:cs="Arial"/>
          <w:color w:val="4F81BD"/>
          <w:szCs w:val="22"/>
        </w:rPr>
        <w:t xml:space="preserve">Erasmus </w:t>
      </w:r>
      <w:proofErr w:type="spellStart"/>
      <w:r w:rsidRPr="007F674E">
        <w:rPr>
          <w:rFonts w:cs="Arial"/>
          <w:color w:val="4F81BD"/>
          <w:szCs w:val="22"/>
        </w:rPr>
        <w:t>University</w:t>
      </w:r>
      <w:proofErr w:type="spellEnd"/>
      <w:r w:rsidRPr="007F674E">
        <w:rPr>
          <w:rFonts w:cs="Arial"/>
          <w:color w:val="4F81BD"/>
          <w:szCs w:val="22"/>
        </w:rPr>
        <w:t xml:space="preserve"> Rotterdam</w:t>
      </w:r>
    </w:p>
    <w:p w:rsidR="007C7F32" w:rsidRPr="007F674E" w:rsidRDefault="007C7F32" w:rsidP="00832488">
      <w:pPr>
        <w:pStyle w:val="ondertitel"/>
        <w:rPr>
          <w:rFonts w:cs="Arial"/>
          <w:color w:val="4F81BD"/>
          <w:szCs w:val="22"/>
        </w:rPr>
      </w:pPr>
    </w:p>
    <w:p w:rsidR="007C7F32" w:rsidRPr="007F674E" w:rsidRDefault="007C7F32" w:rsidP="00832488">
      <w:pPr>
        <w:pStyle w:val="ondertitel"/>
        <w:rPr>
          <w:rFonts w:cs="Arial"/>
          <w:color w:val="4F81BD"/>
          <w:szCs w:val="22"/>
        </w:rPr>
      </w:pPr>
    </w:p>
    <w:p w:rsidR="007C7F32" w:rsidRPr="007F674E" w:rsidRDefault="007C7F32" w:rsidP="00832488">
      <w:pPr>
        <w:pStyle w:val="ondertitel"/>
        <w:rPr>
          <w:rFonts w:cs="Arial"/>
          <w:color w:val="4F81BD"/>
          <w:szCs w:val="22"/>
        </w:rPr>
      </w:pPr>
    </w:p>
    <w:p w:rsidR="007C7F32" w:rsidRPr="007F674E" w:rsidRDefault="007C7F32" w:rsidP="00832488">
      <w:pPr>
        <w:pStyle w:val="ondertitel"/>
        <w:rPr>
          <w:rFonts w:cs="Arial"/>
          <w:color w:val="4F81BD"/>
          <w:szCs w:val="22"/>
        </w:rPr>
      </w:pPr>
    </w:p>
    <w:p w:rsidR="007C7F32" w:rsidRPr="007F674E" w:rsidRDefault="007C7F32" w:rsidP="00832488">
      <w:pPr>
        <w:pStyle w:val="ondertitel"/>
        <w:rPr>
          <w:rFonts w:cs="Arial"/>
          <w:color w:val="4F81BD"/>
          <w:szCs w:val="22"/>
        </w:rPr>
      </w:pPr>
    </w:p>
    <w:p w:rsidR="007C7F32" w:rsidRPr="007F674E" w:rsidRDefault="007C7F32" w:rsidP="00832488">
      <w:pPr>
        <w:pStyle w:val="ondertitel"/>
        <w:rPr>
          <w:rFonts w:cs="Arial"/>
          <w:color w:val="4F81BD"/>
          <w:szCs w:val="22"/>
        </w:rPr>
      </w:pPr>
    </w:p>
    <w:p w:rsidR="007C7F32" w:rsidRPr="007F674E" w:rsidRDefault="007C7F32" w:rsidP="00832488">
      <w:pPr>
        <w:pStyle w:val="ondertitel"/>
        <w:rPr>
          <w:rFonts w:cs="Arial"/>
          <w:color w:val="4F81BD"/>
          <w:szCs w:val="22"/>
        </w:rPr>
      </w:pPr>
    </w:p>
    <w:p w:rsidR="007C7F32" w:rsidRPr="007F674E" w:rsidRDefault="007C7F32" w:rsidP="00832488">
      <w:pPr>
        <w:pStyle w:val="ondertitel"/>
        <w:rPr>
          <w:rFonts w:cs="Arial"/>
          <w:color w:val="4F81BD"/>
          <w:szCs w:val="22"/>
        </w:rPr>
      </w:pPr>
    </w:p>
    <w:p w:rsidR="007C7F32" w:rsidRPr="007F674E" w:rsidRDefault="007C7F32" w:rsidP="00832488">
      <w:pPr>
        <w:pStyle w:val="ondertitel"/>
        <w:jc w:val="left"/>
        <w:rPr>
          <w:rFonts w:cs="Arial"/>
          <w:color w:val="4F81BD"/>
          <w:szCs w:val="22"/>
        </w:rPr>
      </w:pPr>
      <w:r w:rsidRPr="007F674E">
        <w:rPr>
          <w:rFonts w:cs="Arial"/>
          <w:color w:val="4F81BD"/>
          <w:szCs w:val="22"/>
        </w:rPr>
        <w:t>Name</w:t>
      </w:r>
      <w:proofErr w:type="gramStart"/>
      <w:r w:rsidRPr="007F674E">
        <w:rPr>
          <w:rFonts w:cs="Arial"/>
          <w:color w:val="4F81BD"/>
          <w:szCs w:val="22"/>
        </w:rPr>
        <w:t>:</w:t>
      </w:r>
      <w:r w:rsidRPr="007F674E">
        <w:rPr>
          <w:rFonts w:cs="Arial"/>
          <w:color w:val="4F81BD"/>
          <w:szCs w:val="22"/>
        </w:rPr>
        <w:tab/>
      </w:r>
      <w:r w:rsidRPr="007F674E">
        <w:rPr>
          <w:rFonts w:cs="Arial"/>
          <w:color w:val="4F81BD"/>
          <w:szCs w:val="22"/>
        </w:rPr>
        <w:tab/>
      </w:r>
      <w:r w:rsidRPr="007F674E">
        <w:rPr>
          <w:rFonts w:cs="Arial"/>
          <w:color w:val="4F81BD"/>
          <w:szCs w:val="22"/>
        </w:rPr>
        <w:tab/>
        <w:t>S.D.A.</w:t>
      </w:r>
      <w:proofErr w:type="gramEnd"/>
      <w:r w:rsidRPr="007F674E">
        <w:rPr>
          <w:rFonts w:cs="Arial"/>
          <w:color w:val="4F81BD"/>
          <w:szCs w:val="22"/>
        </w:rPr>
        <w:t xml:space="preserve"> (Suzanne) van Rooijen</w:t>
      </w:r>
    </w:p>
    <w:p w:rsidR="007C7F32" w:rsidRPr="00B97064" w:rsidRDefault="007C7F32" w:rsidP="00832488">
      <w:pPr>
        <w:pStyle w:val="ondertitel"/>
        <w:jc w:val="left"/>
        <w:rPr>
          <w:rFonts w:cs="Arial"/>
          <w:color w:val="4F81BD"/>
          <w:szCs w:val="22"/>
          <w:lang w:val="en-GB"/>
        </w:rPr>
      </w:pPr>
      <w:r w:rsidRPr="00B97064">
        <w:rPr>
          <w:rFonts w:cs="Arial"/>
          <w:color w:val="4F81BD"/>
          <w:szCs w:val="22"/>
          <w:lang w:val="en-GB"/>
        </w:rPr>
        <w:t>Student number:</w:t>
      </w:r>
      <w:r w:rsidRPr="00B97064">
        <w:rPr>
          <w:rFonts w:cs="Arial"/>
          <w:color w:val="4F81BD"/>
          <w:szCs w:val="22"/>
          <w:lang w:val="en-GB"/>
        </w:rPr>
        <w:tab/>
        <w:t>304067</w:t>
      </w:r>
    </w:p>
    <w:p w:rsidR="007C7F32" w:rsidRPr="00B97064" w:rsidRDefault="007C7F32" w:rsidP="00832488">
      <w:pPr>
        <w:pStyle w:val="ondertitel"/>
        <w:jc w:val="left"/>
        <w:rPr>
          <w:rFonts w:cs="Arial"/>
          <w:color w:val="4F81BD"/>
          <w:szCs w:val="22"/>
          <w:lang w:val="en-GB"/>
        </w:rPr>
      </w:pPr>
      <w:r w:rsidRPr="00B97064">
        <w:rPr>
          <w:rFonts w:cs="Arial"/>
          <w:color w:val="4F81BD"/>
          <w:szCs w:val="22"/>
          <w:lang w:val="en-GB"/>
        </w:rPr>
        <w:t>Date:</w:t>
      </w:r>
      <w:r w:rsidRPr="00B97064">
        <w:rPr>
          <w:rFonts w:cs="Arial"/>
          <w:color w:val="4F81BD"/>
          <w:szCs w:val="22"/>
          <w:lang w:val="en-GB"/>
        </w:rPr>
        <w:tab/>
      </w:r>
      <w:r w:rsidRPr="00B97064">
        <w:rPr>
          <w:rFonts w:cs="Arial"/>
          <w:color w:val="4F81BD"/>
          <w:szCs w:val="22"/>
          <w:lang w:val="en-GB"/>
        </w:rPr>
        <w:tab/>
      </w:r>
      <w:r w:rsidRPr="00B97064">
        <w:rPr>
          <w:rFonts w:cs="Arial"/>
          <w:color w:val="4F81BD"/>
          <w:szCs w:val="22"/>
          <w:lang w:val="en-GB"/>
        </w:rPr>
        <w:tab/>
        <w:t>February 2013</w:t>
      </w:r>
    </w:p>
    <w:p w:rsidR="007C7F32" w:rsidRPr="00B97064" w:rsidRDefault="007C7F32" w:rsidP="00832488">
      <w:pPr>
        <w:pStyle w:val="ondertitel"/>
        <w:jc w:val="left"/>
        <w:rPr>
          <w:rFonts w:cs="Arial"/>
          <w:color w:val="4F81BD"/>
          <w:szCs w:val="22"/>
          <w:lang w:val="en-GB"/>
        </w:rPr>
      </w:pPr>
      <w:r w:rsidRPr="00B97064">
        <w:rPr>
          <w:rFonts w:cs="Arial"/>
          <w:color w:val="4F81BD"/>
          <w:szCs w:val="22"/>
          <w:lang w:val="en-GB"/>
        </w:rPr>
        <w:t>Supervisor:</w:t>
      </w:r>
      <w:r w:rsidRPr="00B97064">
        <w:rPr>
          <w:rFonts w:cs="Arial"/>
          <w:color w:val="4F81BD"/>
          <w:szCs w:val="22"/>
          <w:lang w:val="en-GB"/>
        </w:rPr>
        <w:tab/>
      </w:r>
      <w:r w:rsidRPr="00B97064">
        <w:rPr>
          <w:rFonts w:cs="Arial"/>
          <w:color w:val="4F81BD"/>
          <w:szCs w:val="22"/>
          <w:lang w:val="en-GB"/>
        </w:rPr>
        <w:tab/>
        <w:t>Dr. C.D. Knoops</w:t>
      </w:r>
    </w:p>
    <w:p w:rsidR="007C7F32" w:rsidRPr="00B97064" w:rsidRDefault="007C7F32" w:rsidP="00832488">
      <w:pPr>
        <w:pStyle w:val="ondertitel"/>
        <w:jc w:val="left"/>
        <w:rPr>
          <w:rFonts w:cs="Arial"/>
          <w:color w:val="4F81BD"/>
          <w:szCs w:val="22"/>
          <w:lang w:val="en-GB"/>
        </w:rPr>
      </w:pPr>
      <w:r w:rsidRPr="00B97064">
        <w:rPr>
          <w:rFonts w:cs="Arial"/>
          <w:color w:val="4F81BD"/>
          <w:szCs w:val="22"/>
          <w:lang w:val="en-GB"/>
        </w:rPr>
        <w:t>Co-reader:</w:t>
      </w:r>
      <w:r w:rsidRPr="00B97064">
        <w:rPr>
          <w:rFonts w:cs="Arial"/>
          <w:color w:val="4F81BD"/>
          <w:szCs w:val="22"/>
          <w:lang w:val="en-GB"/>
        </w:rPr>
        <w:tab/>
      </w:r>
      <w:r w:rsidRPr="00B97064">
        <w:rPr>
          <w:rFonts w:cs="Arial"/>
          <w:color w:val="4F81BD"/>
          <w:szCs w:val="22"/>
          <w:lang w:val="en-GB"/>
        </w:rPr>
        <w:tab/>
        <w:t>Dr. K.E.H. Maas</w:t>
      </w:r>
    </w:p>
    <w:p w:rsidR="007C7F32" w:rsidRPr="00B97064" w:rsidRDefault="007C7F32" w:rsidP="003413AC">
      <w:pPr>
        <w:rPr>
          <w:b/>
          <w:highlight w:val="yellow"/>
          <w:lang w:val="en-GB"/>
        </w:rPr>
      </w:pPr>
    </w:p>
    <w:p w:rsidR="007C7F32" w:rsidRPr="00B97064" w:rsidRDefault="007C7F32" w:rsidP="003413AC">
      <w:pPr>
        <w:rPr>
          <w:b/>
          <w:highlight w:val="yellow"/>
          <w:lang w:val="en-GB"/>
        </w:rPr>
      </w:pPr>
    </w:p>
    <w:p w:rsidR="007C7F32" w:rsidRPr="00B97064" w:rsidRDefault="007C7F32" w:rsidP="003413AC">
      <w:pPr>
        <w:rPr>
          <w:b/>
          <w:lang w:val="en-GB"/>
        </w:rPr>
      </w:pPr>
      <w:r w:rsidRPr="00B97064">
        <w:rPr>
          <w:b/>
          <w:color w:val="4F81BD"/>
          <w:lang w:val="en-GB"/>
        </w:rPr>
        <w:t>Key words:</w:t>
      </w:r>
      <w:r w:rsidRPr="00B97064">
        <w:rPr>
          <w:b/>
          <w:lang w:val="en-GB"/>
        </w:rPr>
        <w:t xml:space="preserve"> </w:t>
      </w:r>
      <w:r w:rsidRPr="00B97064">
        <w:rPr>
          <w:lang w:val="en-GB"/>
        </w:rPr>
        <w:t>Related party transactions, expropriation, firm value, disclosure quality, firm characteristics</w:t>
      </w:r>
      <w:r w:rsidR="009075BC" w:rsidRPr="00B97064">
        <w:rPr>
          <w:lang w:val="en-GB"/>
        </w:rPr>
        <w:t>, corporate governance code</w:t>
      </w:r>
    </w:p>
    <w:p w:rsidR="007C7F32" w:rsidRPr="00B97064" w:rsidRDefault="007C7F32" w:rsidP="00157130">
      <w:pPr>
        <w:pStyle w:val="Heading1"/>
        <w:rPr>
          <w:lang w:val="en-GB"/>
        </w:rPr>
      </w:pPr>
      <w:bookmarkStart w:id="0" w:name="_Toc349585441"/>
      <w:r w:rsidRPr="00B97064">
        <w:rPr>
          <w:lang w:val="en-GB"/>
        </w:rPr>
        <w:lastRenderedPageBreak/>
        <w:t>Abstract</w:t>
      </w:r>
      <w:bookmarkEnd w:id="0"/>
    </w:p>
    <w:p w:rsidR="007C7F32" w:rsidRPr="00B97064" w:rsidRDefault="007C7F32" w:rsidP="00144023">
      <w:pPr>
        <w:rPr>
          <w:lang w:val="en-GB"/>
        </w:rPr>
      </w:pPr>
      <w:r w:rsidRPr="00B97064">
        <w:rPr>
          <w:lang w:val="en-GB"/>
        </w:rPr>
        <w:t xml:space="preserve">The aim of this research is to investigate whether there is a relation between the amount of Related Party Transactions (RPTs), firm value and some firm characteristics. Since RPTs are associated with a risk of expropriation of firms´ resources / fraudulent practising, there may be a negative relation between the amount of RPTs and firm value. This negative relation is already proved by the studies of Cheung et al. (2006), </w:t>
      </w:r>
      <w:proofErr w:type="spellStart"/>
      <w:r w:rsidRPr="00B97064">
        <w:rPr>
          <w:lang w:val="en-GB"/>
        </w:rPr>
        <w:t>Kolbeck</w:t>
      </w:r>
      <w:proofErr w:type="spellEnd"/>
      <w:r w:rsidRPr="00B97064">
        <w:rPr>
          <w:lang w:val="en-GB"/>
        </w:rPr>
        <w:t xml:space="preserve"> and M</w:t>
      </w:r>
      <w:r w:rsidR="00336F27" w:rsidRPr="00B97064">
        <w:rPr>
          <w:lang w:val="en-GB"/>
        </w:rPr>
        <w:t>a</w:t>
      </w:r>
      <w:r w:rsidRPr="00B97064">
        <w:rPr>
          <w:lang w:val="en-GB"/>
        </w:rPr>
        <w:t xml:space="preserve">yhew (2010) and </w:t>
      </w:r>
      <w:proofErr w:type="spellStart"/>
      <w:r w:rsidRPr="00B97064">
        <w:rPr>
          <w:lang w:val="en-GB"/>
        </w:rPr>
        <w:t>Nekhili</w:t>
      </w:r>
      <w:proofErr w:type="spellEnd"/>
      <w:r w:rsidR="007F674E">
        <w:rPr>
          <w:lang w:val="en-GB"/>
        </w:rPr>
        <w:t xml:space="preserve"> and </w:t>
      </w:r>
      <w:proofErr w:type="spellStart"/>
      <w:r w:rsidRPr="00B97064">
        <w:rPr>
          <w:lang w:val="en-GB"/>
        </w:rPr>
        <w:t>Cherif</w:t>
      </w:r>
      <w:proofErr w:type="spellEnd"/>
      <w:r w:rsidRPr="00B97064">
        <w:rPr>
          <w:lang w:val="en-GB"/>
        </w:rPr>
        <w:t xml:space="preserve"> (2011). A high disclosure level might mitigate the negative effect of RPTs on firm value. This study investigated the relation between the amount of RPTs, disclosure level in the field of RPTs and firm value. No significant impact on firm value was found for both the amount of RPTs as disclosure level for the years 2003 as well as 2009. Furthermore, this research investigated which corporate governance and ownership characteristics had a significant impact on the amount of RPTs. A significant positive impact was found for the percentage of ordinary shares of the main shareholder on the amount of RPTs using a </w:t>
      </w:r>
      <w:r w:rsidR="00336F27" w:rsidRPr="00B97064">
        <w:rPr>
          <w:lang w:val="en-GB"/>
        </w:rPr>
        <w:t>‘</w:t>
      </w:r>
      <w:r w:rsidRPr="00B97064">
        <w:rPr>
          <w:lang w:val="en-GB"/>
        </w:rPr>
        <w:t>normal</w:t>
      </w:r>
      <w:r w:rsidR="00336F27" w:rsidRPr="00B97064">
        <w:rPr>
          <w:lang w:val="en-GB"/>
        </w:rPr>
        <w:t>’</w:t>
      </w:r>
      <w:r w:rsidRPr="00B97064">
        <w:rPr>
          <w:lang w:val="en-GB"/>
        </w:rPr>
        <w:t xml:space="preserve"> regression, but only for the year 2009. With the panel regression, a significant positive relation was found between being listed in the USA and the amount of RPTs. This positive relation was the reverse of the expected effect. The final part of this research was devoted to the impact of the Dutch corporate governance code on the protection of minority shareholders. No significant decrease of the amount of RPTs was found between the year 2003 and 2009. Also no significant increase was found of disclosure level. Furthermore, the effect (coefficient) of the amount of RPTs and disclosure level on firm value did not decreased respectively increased significantly over time.</w:t>
      </w:r>
    </w:p>
    <w:p w:rsidR="007C7F32" w:rsidRPr="00B97064" w:rsidRDefault="007C7F32" w:rsidP="00B011E7">
      <w:pPr>
        <w:pStyle w:val="Heading1"/>
        <w:rPr>
          <w:highlight w:val="yellow"/>
          <w:lang w:val="en-GB"/>
        </w:rPr>
      </w:pPr>
      <w:r w:rsidRPr="00B97064">
        <w:rPr>
          <w:highlight w:val="yellow"/>
          <w:lang w:val="en-GB"/>
        </w:rPr>
        <w:br w:type="page"/>
      </w:r>
      <w:bookmarkStart w:id="1" w:name="_Toc349585442"/>
      <w:r w:rsidRPr="00B97064">
        <w:rPr>
          <w:lang w:val="en-GB"/>
        </w:rPr>
        <w:lastRenderedPageBreak/>
        <w:t>Acknowledgment</w:t>
      </w:r>
      <w:bookmarkEnd w:id="1"/>
    </w:p>
    <w:p w:rsidR="007C7F32" w:rsidRPr="00B97064" w:rsidRDefault="007C7F32" w:rsidP="009F79E5">
      <w:pPr>
        <w:rPr>
          <w:lang w:val="en-GB"/>
        </w:rPr>
      </w:pPr>
      <w:r w:rsidRPr="00B97064">
        <w:rPr>
          <w:lang w:val="en-GB"/>
        </w:rPr>
        <w:t>My research and the final version of this thesis would not have been achieved without the support of my roommates, friends and family, so I really want to thank them</w:t>
      </w:r>
      <w:r w:rsidR="00CB2A51" w:rsidRPr="00B97064">
        <w:rPr>
          <w:lang w:val="en-GB"/>
        </w:rPr>
        <w:t xml:space="preserve"> all</w:t>
      </w:r>
      <w:r w:rsidRPr="00B97064">
        <w:rPr>
          <w:lang w:val="en-GB"/>
        </w:rPr>
        <w:t xml:space="preserve"> for the</w:t>
      </w:r>
      <w:r w:rsidR="00336F27" w:rsidRPr="00B97064">
        <w:rPr>
          <w:lang w:val="en-GB"/>
        </w:rPr>
        <w:t>ir</w:t>
      </w:r>
      <w:r w:rsidRPr="00B97064">
        <w:rPr>
          <w:lang w:val="en-GB"/>
        </w:rPr>
        <w:t xml:space="preserve"> (mental) support. They all had a perfect timing in showing interest, but above all, in remaining silent about ´the thesis word’ at the right moments. I also want to thank the </w:t>
      </w:r>
      <w:r w:rsidR="00CB2A51" w:rsidRPr="00B97064">
        <w:rPr>
          <w:lang w:val="en-GB"/>
        </w:rPr>
        <w:t xml:space="preserve">fellow </w:t>
      </w:r>
      <w:r w:rsidRPr="00B97064">
        <w:rPr>
          <w:lang w:val="en-GB"/>
        </w:rPr>
        <w:t>thesis students for the cozy coffee breaks and lunches.</w:t>
      </w:r>
    </w:p>
    <w:p w:rsidR="007C7F32" w:rsidRPr="00B97064" w:rsidRDefault="007C7F32" w:rsidP="009F79E5">
      <w:pPr>
        <w:rPr>
          <w:lang w:val="en-GB"/>
        </w:rPr>
      </w:pPr>
    </w:p>
    <w:p w:rsidR="007C7F32" w:rsidRPr="00B97064" w:rsidRDefault="007C7F32" w:rsidP="009F79E5">
      <w:pPr>
        <w:rPr>
          <w:lang w:val="en-GB"/>
        </w:rPr>
      </w:pPr>
      <w:r w:rsidRPr="00B97064">
        <w:rPr>
          <w:lang w:val="en-GB"/>
        </w:rPr>
        <w:t>Furthermore, special thanks go to my supervisor, Dr. Knoops, who knew how to stimulate me in a positive way to achieve my optimal performance. I greatly appreciate his patience, since the completion of this thesis took more time than planned.</w:t>
      </w:r>
    </w:p>
    <w:p w:rsidR="007C7F32" w:rsidRPr="00B97064" w:rsidRDefault="007C7F32" w:rsidP="009F79E5">
      <w:pPr>
        <w:rPr>
          <w:lang w:val="en-GB"/>
        </w:rPr>
      </w:pPr>
    </w:p>
    <w:p w:rsidR="007C7F32" w:rsidRPr="007F674E" w:rsidRDefault="007C7F32" w:rsidP="009F79E5">
      <w:r w:rsidRPr="007F674E">
        <w:t>Suzanne van Rooijen</w:t>
      </w:r>
    </w:p>
    <w:p w:rsidR="007C7F32" w:rsidRPr="007F674E" w:rsidRDefault="007C7F32" w:rsidP="001D63D3">
      <w:pPr>
        <w:pStyle w:val="Heading1"/>
      </w:pPr>
      <w:r w:rsidRPr="007F674E">
        <w:rPr>
          <w:color w:val="FF0000"/>
          <w:highlight w:val="yellow"/>
        </w:rPr>
        <w:br w:type="page"/>
      </w:r>
      <w:bookmarkStart w:id="2" w:name="_Toc349585443"/>
      <w:r w:rsidRPr="007F674E">
        <w:lastRenderedPageBreak/>
        <w:t xml:space="preserve">List of </w:t>
      </w:r>
      <w:proofErr w:type="spellStart"/>
      <w:r w:rsidRPr="007F674E">
        <w:t>acronyms</w:t>
      </w:r>
      <w:bookmarkEnd w:id="2"/>
      <w:proofErr w:type="spellEnd"/>
    </w:p>
    <w:p w:rsidR="007C7F32" w:rsidRPr="00B97064" w:rsidRDefault="007C7F32" w:rsidP="00A354ED">
      <w:pPr>
        <w:rPr>
          <w:rFonts w:cs="Arial"/>
          <w:szCs w:val="22"/>
          <w:lang w:val="en-GB"/>
        </w:rPr>
      </w:pPr>
      <w:r w:rsidRPr="00B97064">
        <w:rPr>
          <w:szCs w:val="22"/>
          <w:lang w:val="en-GB"/>
        </w:rPr>
        <w:t>ADR</w:t>
      </w:r>
      <w:r w:rsidRPr="00B97064">
        <w:rPr>
          <w:szCs w:val="22"/>
          <w:lang w:val="en-GB"/>
        </w:rPr>
        <w:tab/>
      </w:r>
      <w:r w:rsidRPr="00B97064">
        <w:rPr>
          <w:szCs w:val="22"/>
          <w:lang w:val="en-GB"/>
        </w:rPr>
        <w:tab/>
      </w:r>
      <w:r w:rsidRPr="00B97064">
        <w:rPr>
          <w:szCs w:val="22"/>
          <w:lang w:val="en-GB"/>
        </w:rPr>
        <w:tab/>
        <w:t>American Depositary Receipt</w:t>
      </w:r>
    </w:p>
    <w:p w:rsidR="007C7F32" w:rsidRPr="00B97064" w:rsidRDefault="007C7F32" w:rsidP="00A354ED">
      <w:pPr>
        <w:rPr>
          <w:rFonts w:cs="Arial"/>
          <w:szCs w:val="22"/>
          <w:lang w:val="en-GB"/>
        </w:rPr>
      </w:pPr>
      <w:r w:rsidRPr="00B97064">
        <w:rPr>
          <w:rFonts w:cs="Arial"/>
          <w:szCs w:val="22"/>
          <w:lang w:val="en-GB"/>
        </w:rPr>
        <w:t>AEC</w:t>
      </w:r>
      <w:r w:rsidRPr="00B97064">
        <w:rPr>
          <w:rFonts w:cs="Arial"/>
          <w:szCs w:val="22"/>
          <w:lang w:val="en-GB"/>
        </w:rPr>
        <w:tab/>
      </w:r>
      <w:r w:rsidRPr="00B97064">
        <w:rPr>
          <w:rFonts w:cs="Arial"/>
          <w:szCs w:val="22"/>
          <w:lang w:val="en-GB"/>
        </w:rPr>
        <w:tab/>
      </w:r>
      <w:r w:rsidRPr="00B97064">
        <w:rPr>
          <w:rFonts w:cs="Arial"/>
          <w:szCs w:val="22"/>
          <w:lang w:val="en-GB"/>
        </w:rPr>
        <w:tab/>
        <w:t>Atomic Energy Community</w:t>
      </w:r>
    </w:p>
    <w:p w:rsidR="007C7F32" w:rsidRPr="00B97064" w:rsidRDefault="007C7F32" w:rsidP="00A354ED">
      <w:pPr>
        <w:rPr>
          <w:rFonts w:cs="Arial"/>
          <w:szCs w:val="22"/>
          <w:lang w:val="en-GB"/>
        </w:rPr>
      </w:pPr>
      <w:r w:rsidRPr="00B97064">
        <w:rPr>
          <w:rFonts w:cs="Arial"/>
          <w:szCs w:val="22"/>
          <w:lang w:val="en-GB"/>
        </w:rPr>
        <w:t>AICPA</w:t>
      </w:r>
      <w:r w:rsidRPr="00B97064">
        <w:rPr>
          <w:rFonts w:cs="Arial"/>
          <w:szCs w:val="22"/>
          <w:lang w:val="en-GB"/>
        </w:rPr>
        <w:tab/>
      </w:r>
      <w:r w:rsidRPr="00B97064">
        <w:rPr>
          <w:rFonts w:cs="Arial"/>
          <w:szCs w:val="22"/>
          <w:lang w:val="en-GB"/>
        </w:rPr>
        <w:tab/>
      </w:r>
      <w:r w:rsidRPr="00B97064">
        <w:rPr>
          <w:rFonts w:cs="Arial"/>
          <w:szCs w:val="22"/>
          <w:lang w:val="en-GB"/>
        </w:rPr>
        <w:tab/>
        <w:t>American Institute for Certified Public Accountants</w:t>
      </w:r>
    </w:p>
    <w:p w:rsidR="007C7F32" w:rsidRPr="007F674E" w:rsidRDefault="007C7F32" w:rsidP="00D449AD">
      <w:pPr>
        <w:rPr>
          <w:rFonts w:cs="Arial"/>
          <w:szCs w:val="22"/>
        </w:rPr>
      </w:pPr>
      <w:r w:rsidRPr="007F674E">
        <w:rPr>
          <w:rFonts w:cs="Arial"/>
          <w:szCs w:val="22"/>
        </w:rPr>
        <w:t>AMvB</w:t>
      </w:r>
      <w:r w:rsidRPr="007F674E">
        <w:rPr>
          <w:rFonts w:cs="Arial"/>
          <w:szCs w:val="22"/>
        </w:rPr>
        <w:tab/>
      </w:r>
      <w:r w:rsidRPr="007F674E">
        <w:rPr>
          <w:rFonts w:cs="Arial"/>
          <w:szCs w:val="22"/>
        </w:rPr>
        <w:tab/>
      </w:r>
      <w:r w:rsidRPr="007F674E">
        <w:rPr>
          <w:rFonts w:cs="Arial"/>
          <w:szCs w:val="22"/>
        </w:rPr>
        <w:tab/>
        <w:t xml:space="preserve">Algemene Maatregel van Bestuur (General </w:t>
      </w:r>
      <w:proofErr w:type="spellStart"/>
      <w:r w:rsidRPr="007F674E">
        <w:rPr>
          <w:rFonts w:cs="Arial"/>
          <w:szCs w:val="22"/>
        </w:rPr>
        <w:t>Administrative</w:t>
      </w:r>
      <w:proofErr w:type="spellEnd"/>
      <w:r w:rsidRPr="007F674E">
        <w:rPr>
          <w:rFonts w:cs="Arial"/>
          <w:szCs w:val="22"/>
        </w:rPr>
        <w:t xml:space="preserve"> Order)</w:t>
      </w:r>
    </w:p>
    <w:p w:rsidR="007C7F32" w:rsidRPr="00B97064" w:rsidRDefault="007C7F32" w:rsidP="00A354ED">
      <w:pPr>
        <w:rPr>
          <w:szCs w:val="22"/>
          <w:lang w:val="en-GB"/>
        </w:rPr>
      </w:pPr>
      <w:r w:rsidRPr="00B97064">
        <w:rPr>
          <w:szCs w:val="22"/>
          <w:lang w:val="en-GB"/>
        </w:rPr>
        <w:t>Art.</w:t>
      </w:r>
      <w:r w:rsidRPr="00B97064">
        <w:rPr>
          <w:szCs w:val="22"/>
          <w:lang w:val="en-GB"/>
        </w:rPr>
        <w:tab/>
      </w:r>
      <w:r w:rsidRPr="00B97064">
        <w:rPr>
          <w:szCs w:val="22"/>
          <w:lang w:val="en-GB"/>
        </w:rPr>
        <w:tab/>
      </w:r>
      <w:r w:rsidRPr="00B97064">
        <w:rPr>
          <w:szCs w:val="22"/>
          <w:lang w:val="en-GB"/>
        </w:rPr>
        <w:tab/>
        <w:t>Article</w:t>
      </w:r>
    </w:p>
    <w:p w:rsidR="00F33012" w:rsidRPr="00B97064" w:rsidRDefault="00F33012" w:rsidP="00A354ED">
      <w:pPr>
        <w:rPr>
          <w:szCs w:val="22"/>
          <w:lang w:val="en-GB"/>
        </w:rPr>
      </w:pPr>
      <w:r w:rsidRPr="00B97064">
        <w:rPr>
          <w:szCs w:val="22"/>
          <w:lang w:val="en-GB"/>
        </w:rPr>
        <w:t>BV</w:t>
      </w:r>
      <w:r w:rsidRPr="00B97064">
        <w:rPr>
          <w:szCs w:val="22"/>
          <w:lang w:val="en-GB"/>
        </w:rPr>
        <w:tab/>
      </w:r>
      <w:r w:rsidRPr="00B97064">
        <w:rPr>
          <w:szCs w:val="22"/>
          <w:lang w:val="en-GB"/>
        </w:rPr>
        <w:tab/>
      </w:r>
      <w:r w:rsidRPr="00B97064">
        <w:rPr>
          <w:szCs w:val="22"/>
          <w:lang w:val="en-GB"/>
        </w:rPr>
        <w:tab/>
        <w:t>Besloten Vennootschap (kind of Limited Liability Company)</w:t>
      </w:r>
    </w:p>
    <w:p w:rsidR="007C7F32" w:rsidRPr="00B97064" w:rsidRDefault="00602237" w:rsidP="00A354ED">
      <w:pPr>
        <w:rPr>
          <w:szCs w:val="22"/>
          <w:lang w:val="en-GB"/>
        </w:rPr>
      </w:pPr>
      <w:r w:rsidRPr="00B97064">
        <w:rPr>
          <w:szCs w:val="22"/>
          <w:lang w:val="en-GB"/>
        </w:rPr>
        <w:t>CGOC</w:t>
      </w:r>
      <w:r w:rsidRPr="00B97064">
        <w:rPr>
          <w:szCs w:val="22"/>
          <w:lang w:val="en-GB"/>
        </w:rPr>
        <w:tab/>
      </w:r>
      <w:r w:rsidRPr="00B97064">
        <w:rPr>
          <w:szCs w:val="22"/>
          <w:lang w:val="en-GB"/>
        </w:rPr>
        <w:tab/>
      </w:r>
      <w:r w:rsidR="007C7F32" w:rsidRPr="00B97064">
        <w:rPr>
          <w:szCs w:val="22"/>
          <w:lang w:val="en-GB"/>
        </w:rPr>
        <w:tab/>
        <w:t>Corporate Governance</w:t>
      </w:r>
      <w:r w:rsidR="007D6EA2" w:rsidRPr="00B97064">
        <w:rPr>
          <w:szCs w:val="22"/>
          <w:lang w:val="en-GB"/>
        </w:rPr>
        <w:t>-</w:t>
      </w:r>
      <w:r w:rsidR="007C7F32" w:rsidRPr="00B97064">
        <w:rPr>
          <w:szCs w:val="22"/>
          <w:lang w:val="en-GB"/>
        </w:rPr>
        <w:t xml:space="preserve"> and Ownership Characteristic</w:t>
      </w:r>
    </w:p>
    <w:p w:rsidR="007C7F32" w:rsidRPr="00B97064" w:rsidRDefault="007C7F32" w:rsidP="00A354ED">
      <w:pPr>
        <w:rPr>
          <w:szCs w:val="22"/>
          <w:lang w:val="en-GB"/>
        </w:rPr>
      </w:pPr>
      <w:r w:rsidRPr="00B97064">
        <w:rPr>
          <w:szCs w:val="22"/>
          <w:lang w:val="en-GB"/>
        </w:rPr>
        <w:t>CV</w:t>
      </w:r>
      <w:r w:rsidRPr="00B97064">
        <w:rPr>
          <w:szCs w:val="22"/>
          <w:lang w:val="en-GB"/>
        </w:rPr>
        <w:tab/>
      </w:r>
      <w:r w:rsidRPr="00B97064">
        <w:rPr>
          <w:szCs w:val="22"/>
          <w:lang w:val="en-GB"/>
        </w:rPr>
        <w:tab/>
      </w:r>
      <w:r w:rsidRPr="00B97064">
        <w:rPr>
          <w:szCs w:val="22"/>
          <w:lang w:val="en-GB"/>
        </w:rPr>
        <w:tab/>
        <w:t>Control Variable</w:t>
      </w:r>
    </w:p>
    <w:p w:rsidR="007C7F32" w:rsidRPr="00B97064" w:rsidRDefault="007C7F32" w:rsidP="00A354ED">
      <w:pPr>
        <w:rPr>
          <w:szCs w:val="22"/>
          <w:lang w:val="en-GB"/>
        </w:rPr>
      </w:pPr>
      <w:r w:rsidRPr="00B97064">
        <w:rPr>
          <w:szCs w:val="22"/>
          <w:lang w:val="en-GB"/>
        </w:rPr>
        <w:t>DASB</w:t>
      </w:r>
      <w:r w:rsidRPr="00B97064">
        <w:rPr>
          <w:szCs w:val="22"/>
          <w:lang w:val="en-GB"/>
        </w:rPr>
        <w:tab/>
      </w:r>
      <w:r w:rsidRPr="00B97064">
        <w:rPr>
          <w:szCs w:val="22"/>
          <w:lang w:val="en-GB"/>
        </w:rPr>
        <w:tab/>
      </w:r>
      <w:r w:rsidRPr="00B97064">
        <w:rPr>
          <w:szCs w:val="22"/>
          <w:lang w:val="en-GB"/>
        </w:rPr>
        <w:tab/>
        <w:t>Dutch Accounting Standards Board</w:t>
      </w:r>
    </w:p>
    <w:p w:rsidR="007C7F32" w:rsidRPr="00B97064" w:rsidRDefault="007C7F32" w:rsidP="00A354ED">
      <w:pPr>
        <w:rPr>
          <w:rFonts w:cs="Arial"/>
          <w:szCs w:val="22"/>
          <w:lang w:val="en-GB"/>
        </w:rPr>
      </w:pPr>
      <w:r w:rsidRPr="00B97064">
        <w:rPr>
          <w:rFonts w:cs="Arial"/>
          <w:szCs w:val="22"/>
          <w:lang w:val="en-GB"/>
        </w:rPr>
        <w:t>EC</w:t>
      </w:r>
      <w:r w:rsidRPr="00B97064">
        <w:rPr>
          <w:rFonts w:cs="Arial"/>
          <w:szCs w:val="22"/>
          <w:lang w:val="en-GB"/>
        </w:rPr>
        <w:tab/>
      </w:r>
      <w:r w:rsidRPr="00B97064">
        <w:rPr>
          <w:rFonts w:cs="Arial"/>
          <w:szCs w:val="22"/>
          <w:lang w:val="en-GB"/>
        </w:rPr>
        <w:tab/>
      </w:r>
      <w:r w:rsidRPr="00B97064">
        <w:rPr>
          <w:rFonts w:cs="Arial"/>
          <w:szCs w:val="22"/>
          <w:lang w:val="en-GB"/>
        </w:rPr>
        <w:tab/>
        <w:t>European Communities</w:t>
      </w:r>
    </w:p>
    <w:p w:rsidR="007C7F32" w:rsidRPr="00B97064" w:rsidRDefault="007C7F32" w:rsidP="00A354ED">
      <w:pPr>
        <w:rPr>
          <w:rFonts w:cs="Arial"/>
          <w:szCs w:val="22"/>
          <w:lang w:val="en-GB"/>
        </w:rPr>
      </w:pPr>
      <w:r w:rsidRPr="00B97064">
        <w:rPr>
          <w:rFonts w:cs="Arial"/>
          <w:szCs w:val="22"/>
          <w:lang w:val="en-GB"/>
        </w:rPr>
        <w:t>ECSC</w:t>
      </w:r>
      <w:r w:rsidRPr="00B97064">
        <w:rPr>
          <w:rFonts w:cs="Arial"/>
          <w:szCs w:val="22"/>
          <w:lang w:val="en-GB"/>
        </w:rPr>
        <w:tab/>
      </w:r>
      <w:r w:rsidRPr="00B97064">
        <w:rPr>
          <w:rFonts w:cs="Arial"/>
          <w:szCs w:val="22"/>
          <w:lang w:val="en-GB"/>
        </w:rPr>
        <w:tab/>
      </w:r>
      <w:r w:rsidRPr="00B97064">
        <w:rPr>
          <w:rFonts w:cs="Arial"/>
          <w:szCs w:val="22"/>
          <w:lang w:val="en-GB"/>
        </w:rPr>
        <w:tab/>
        <w:t>European Cole and Steal Community</w:t>
      </w:r>
    </w:p>
    <w:p w:rsidR="007C7F32" w:rsidRPr="00B97064" w:rsidRDefault="007C7F32" w:rsidP="00A354ED">
      <w:pPr>
        <w:rPr>
          <w:rFonts w:cs="Arial"/>
          <w:szCs w:val="22"/>
          <w:lang w:val="en-GB"/>
        </w:rPr>
      </w:pPr>
      <w:r w:rsidRPr="00B97064">
        <w:rPr>
          <w:rFonts w:cs="Arial"/>
          <w:szCs w:val="22"/>
          <w:lang w:val="en-GB"/>
        </w:rPr>
        <w:t>EEC</w:t>
      </w:r>
      <w:r w:rsidRPr="00B97064">
        <w:rPr>
          <w:rFonts w:cs="Arial"/>
          <w:szCs w:val="22"/>
          <w:lang w:val="en-GB"/>
        </w:rPr>
        <w:tab/>
      </w:r>
      <w:r w:rsidRPr="00B97064">
        <w:rPr>
          <w:rFonts w:cs="Arial"/>
          <w:szCs w:val="22"/>
          <w:lang w:val="en-GB"/>
        </w:rPr>
        <w:tab/>
      </w:r>
      <w:r w:rsidRPr="00B97064">
        <w:rPr>
          <w:rFonts w:cs="Arial"/>
          <w:szCs w:val="22"/>
          <w:lang w:val="en-GB"/>
        </w:rPr>
        <w:tab/>
        <w:t>European Economic Community</w:t>
      </w:r>
    </w:p>
    <w:p w:rsidR="007C7F32" w:rsidRPr="00B97064" w:rsidRDefault="007C7F32" w:rsidP="00A354ED">
      <w:pPr>
        <w:rPr>
          <w:rFonts w:cs="Arial"/>
          <w:szCs w:val="22"/>
          <w:lang w:val="en-GB"/>
        </w:rPr>
      </w:pPr>
      <w:r w:rsidRPr="00B97064">
        <w:rPr>
          <w:rFonts w:cs="Arial"/>
          <w:szCs w:val="22"/>
          <w:lang w:val="en-GB"/>
        </w:rPr>
        <w:t>EMH</w:t>
      </w:r>
      <w:r w:rsidRPr="00B97064">
        <w:rPr>
          <w:rFonts w:cs="Arial"/>
          <w:szCs w:val="22"/>
          <w:lang w:val="en-GB"/>
        </w:rPr>
        <w:tab/>
      </w:r>
      <w:r w:rsidRPr="00B97064">
        <w:rPr>
          <w:rFonts w:cs="Arial"/>
          <w:szCs w:val="22"/>
          <w:lang w:val="en-GB"/>
        </w:rPr>
        <w:tab/>
      </w:r>
      <w:r w:rsidRPr="00B97064">
        <w:rPr>
          <w:rFonts w:cs="Arial"/>
          <w:szCs w:val="22"/>
          <w:lang w:val="en-GB"/>
        </w:rPr>
        <w:tab/>
        <w:t>Efficient Market Hypothesis</w:t>
      </w:r>
    </w:p>
    <w:p w:rsidR="007C7F32" w:rsidRPr="00B97064" w:rsidRDefault="007C7F32" w:rsidP="00A354ED">
      <w:pPr>
        <w:rPr>
          <w:szCs w:val="22"/>
          <w:lang w:val="en-GB"/>
        </w:rPr>
      </w:pPr>
      <w:r w:rsidRPr="00B97064">
        <w:rPr>
          <w:szCs w:val="22"/>
          <w:lang w:val="en-GB"/>
        </w:rPr>
        <w:t>EU</w:t>
      </w:r>
      <w:r w:rsidRPr="00B97064">
        <w:rPr>
          <w:szCs w:val="22"/>
          <w:lang w:val="en-GB"/>
        </w:rPr>
        <w:tab/>
      </w:r>
      <w:r w:rsidRPr="00B97064">
        <w:rPr>
          <w:szCs w:val="22"/>
          <w:lang w:val="en-GB"/>
        </w:rPr>
        <w:tab/>
      </w:r>
      <w:r w:rsidRPr="00B97064">
        <w:rPr>
          <w:szCs w:val="22"/>
          <w:lang w:val="en-GB"/>
        </w:rPr>
        <w:tab/>
        <w:t>European Union</w:t>
      </w:r>
    </w:p>
    <w:p w:rsidR="007C7F32" w:rsidRPr="00B97064" w:rsidRDefault="007C7F32" w:rsidP="00A354ED">
      <w:pPr>
        <w:rPr>
          <w:rFonts w:cs="Arial"/>
          <w:szCs w:val="22"/>
          <w:lang w:val="en-GB"/>
        </w:rPr>
      </w:pPr>
      <w:r w:rsidRPr="00B97064">
        <w:rPr>
          <w:rFonts w:cs="Arial"/>
          <w:szCs w:val="22"/>
          <w:lang w:val="en-GB"/>
        </w:rPr>
        <w:t>GAAP</w:t>
      </w:r>
      <w:r w:rsidRPr="00B97064">
        <w:rPr>
          <w:rFonts w:cs="Arial"/>
          <w:szCs w:val="22"/>
          <w:lang w:val="en-GB"/>
        </w:rPr>
        <w:tab/>
      </w:r>
      <w:r w:rsidRPr="00B97064">
        <w:rPr>
          <w:rFonts w:cs="Arial"/>
          <w:szCs w:val="22"/>
          <w:lang w:val="en-GB"/>
        </w:rPr>
        <w:tab/>
      </w:r>
      <w:r w:rsidRPr="00B97064">
        <w:rPr>
          <w:rFonts w:cs="Arial"/>
          <w:szCs w:val="22"/>
          <w:lang w:val="en-GB"/>
        </w:rPr>
        <w:tab/>
        <w:t>General Accepted Accounting Principles</w:t>
      </w:r>
    </w:p>
    <w:p w:rsidR="007C7F32" w:rsidRPr="00B97064" w:rsidRDefault="007C7F32" w:rsidP="00A354ED">
      <w:pPr>
        <w:rPr>
          <w:szCs w:val="22"/>
          <w:lang w:val="en-GB"/>
        </w:rPr>
      </w:pPr>
      <w:r w:rsidRPr="00B97064">
        <w:rPr>
          <w:szCs w:val="22"/>
          <w:lang w:val="en-GB"/>
        </w:rPr>
        <w:t>IAS</w:t>
      </w:r>
      <w:r w:rsidRPr="00B97064">
        <w:rPr>
          <w:szCs w:val="22"/>
          <w:lang w:val="en-GB"/>
        </w:rPr>
        <w:tab/>
      </w:r>
      <w:r w:rsidRPr="00B97064">
        <w:rPr>
          <w:szCs w:val="22"/>
          <w:lang w:val="en-GB"/>
        </w:rPr>
        <w:tab/>
      </w:r>
      <w:r w:rsidRPr="00B97064">
        <w:rPr>
          <w:szCs w:val="22"/>
          <w:lang w:val="en-GB"/>
        </w:rPr>
        <w:tab/>
        <w:t>International Accounting Standards</w:t>
      </w:r>
    </w:p>
    <w:p w:rsidR="007C7F32" w:rsidRPr="00B97064" w:rsidRDefault="007C7F32" w:rsidP="00A354ED">
      <w:pPr>
        <w:rPr>
          <w:szCs w:val="22"/>
          <w:lang w:val="en-GB"/>
        </w:rPr>
      </w:pPr>
      <w:r w:rsidRPr="00B97064">
        <w:rPr>
          <w:szCs w:val="22"/>
          <w:lang w:val="en-GB"/>
        </w:rPr>
        <w:t>IASB</w:t>
      </w:r>
      <w:r w:rsidRPr="00B97064">
        <w:rPr>
          <w:szCs w:val="22"/>
          <w:lang w:val="en-GB"/>
        </w:rPr>
        <w:tab/>
      </w:r>
      <w:r w:rsidRPr="00B97064">
        <w:rPr>
          <w:szCs w:val="22"/>
          <w:lang w:val="en-GB"/>
        </w:rPr>
        <w:tab/>
      </w:r>
      <w:r w:rsidRPr="00B97064">
        <w:rPr>
          <w:szCs w:val="22"/>
          <w:lang w:val="en-GB"/>
        </w:rPr>
        <w:tab/>
        <w:t>International Accounting Standard Board</w:t>
      </w:r>
    </w:p>
    <w:p w:rsidR="007C7F32" w:rsidRPr="00B97064" w:rsidRDefault="007C7F32" w:rsidP="00A354ED">
      <w:pPr>
        <w:rPr>
          <w:szCs w:val="22"/>
          <w:lang w:val="en-GB"/>
        </w:rPr>
      </w:pPr>
      <w:r w:rsidRPr="00B97064">
        <w:rPr>
          <w:szCs w:val="22"/>
          <w:lang w:val="en-GB"/>
        </w:rPr>
        <w:t>IASC</w:t>
      </w:r>
      <w:r w:rsidRPr="00B97064">
        <w:rPr>
          <w:szCs w:val="22"/>
          <w:lang w:val="en-GB"/>
        </w:rPr>
        <w:tab/>
      </w:r>
      <w:r w:rsidRPr="00B97064">
        <w:rPr>
          <w:szCs w:val="22"/>
          <w:lang w:val="en-GB"/>
        </w:rPr>
        <w:tab/>
      </w:r>
      <w:r w:rsidRPr="00B97064">
        <w:rPr>
          <w:szCs w:val="22"/>
          <w:lang w:val="en-GB"/>
        </w:rPr>
        <w:tab/>
        <w:t>International Accounting Standard Committee</w:t>
      </w:r>
    </w:p>
    <w:p w:rsidR="007C7F32" w:rsidRPr="00B97064" w:rsidRDefault="007C7F32" w:rsidP="00A354ED">
      <w:pPr>
        <w:rPr>
          <w:szCs w:val="22"/>
          <w:lang w:val="en-GB"/>
        </w:rPr>
      </w:pPr>
      <w:r w:rsidRPr="00B97064">
        <w:rPr>
          <w:szCs w:val="22"/>
          <w:lang w:val="en-GB"/>
        </w:rPr>
        <w:t>IFRS</w:t>
      </w:r>
      <w:r w:rsidRPr="00B97064">
        <w:rPr>
          <w:szCs w:val="22"/>
          <w:lang w:val="en-GB"/>
        </w:rPr>
        <w:tab/>
      </w:r>
      <w:r w:rsidRPr="00B97064">
        <w:rPr>
          <w:szCs w:val="22"/>
          <w:lang w:val="en-GB"/>
        </w:rPr>
        <w:tab/>
      </w:r>
      <w:r w:rsidRPr="00B97064">
        <w:rPr>
          <w:szCs w:val="22"/>
          <w:lang w:val="en-GB"/>
        </w:rPr>
        <w:tab/>
        <w:t xml:space="preserve">International Financial </w:t>
      </w:r>
      <w:r w:rsidR="00602237" w:rsidRPr="00B97064">
        <w:rPr>
          <w:szCs w:val="22"/>
          <w:lang w:val="en-GB"/>
        </w:rPr>
        <w:t>Reporting</w:t>
      </w:r>
      <w:r w:rsidRPr="00B97064">
        <w:rPr>
          <w:szCs w:val="22"/>
          <w:lang w:val="en-GB"/>
        </w:rPr>
        <w:t xml:space="preserve"> Standards</w:t>
      </w:r>
    </w:p>
    <w:p w:rsidR="007C7F32" w:rsidRPr="00B97064" w:rsidRDefault="007C7F32" w:rsidP="00A354ED">
      <w:pPr>
        <w:rPr>
          <w:szCs w:val="22"/>
          <w:lang w:val="en-GB"/>
        </w:rPr>
      </w:pPr>
      <w:r w:rsidRPr="00B97064">
        <w:rPr>
          <w:szCs w:val="22"/>
          <w:lang w:val="en-GB"/>
        </w:rPr>
        <w:t>IPO</w:t>
      </w:r>
      <w:r w:rsidRPr="00B97064">
        <w:rPr>
          <w:szCs w:val="22"/>
          <w:lang w:val="en-GB"/>
        </w:rPr>
        <w:tab/>
      </w:r>
      <w:r w:rsidRPr="00B97064">
        <w:rPr>
          <w:szCs w:val="22"/>
          <w:lang w:val="en-GB"/>
        </w:rPr>
        <w:tab/>
      </w:r>
      <w:r w:rsidRPr="00B97064">
        <w:rPr>
          <w:szCs w:val="22"/>
          <w:lang w:val="en-GB"/>
        </w:rPr>
        <w:tab/>
        <w:t>Initial Public Offering</w:t>
      </w:r>
    </w:p>
    <w:p w:rsidR="007C7F32" w:rsidRPr="00B97064" w:rsidRDefault="007C7F32" w:rsidP="00A354ED">
      <w:pPr>
        <w:rPr>
          <w:szCs w:val="22"/>
          <w:lang w:val="en-GB"/>
        </w:rPr>
      </w:pPr>
      <w:r w:rsidRPr="00B97064">
        <w:rPr>
          <w:szCs w:val="22"/>
          <w:lang w:val="en-GB"/>
        </w:rPr>
        <w:t>LLC</w:t>
      </w:r>
      <w:r w:rsidRPr="00B97064">
        <w:rPr>
          <w:szCs w:val="22"/>
          <w:lang w:val="en-GB"/>
        </w:rPr>
        <w:tab/>
      </w:r>
      <w:r w:rsidRPr="00B97064">
        <w:rPr>
          <w:szCs w:val="22"/>
          <w:lang w:val="en-GB"/>
        </w:rPr>
        <w:tab/>
      </w:r>
      <w:r w:rsidRPr="00B97064">
        <w:rPr>
          <w:szCs w:val="22"/>
          <w:lang w:val="en-GB"/>
        </w:rPr>
        <w:tab/>
        <w:t>Limited Liability Company</w:t>
      </w:r>
    </w:p>
    <w:p w:rsidR="007C7F32" w:rsidRPr="00B97064" w:rsidRDefault="007C7F32" w:rsidP="00A354ED">
      <w:pPr>
        <w:rPr>
          <w:szCs w:val="22"/>
          <w:lang w:val="en-GB"/>
        </w:rPr>
      </w:pPr>
      <w:r w:rsidRPr="00B97064">
        <w:rPr>
          <w:szCs w:val="22"/>
          <w:lang w:val="en-GB"/>
        </w:rPr>
        <w:t>MAAR</w:t>
      </w:r>
      <w:r w:rsidRPr="00B97064">
        <w:rPr>
          <w:szCs w:val="22"/>
          <w:lang w:val="en-GB"/>
        </w:rPr>
        <w:tab/>
      </w:r>
      <w:r w:rsidRPr="00B97064">
        <w:rPr>
          <w:szCs w:val="22"/>
          <w:lang w:val="en-GB"/>
        </w:rPr>
        <w:tab/>
      </w:r>
      <w:r w:rsidRPr="00B97064">
        <w:rPr>
          <w:szCs w:val="22"/>
          <w:lang w:val="en-GB"/>
        </w:rPr>
        <w:tab/>
        <w:t>Market-Adjusted Abnormal Returns</w:t>
      </w:r>
    </w:p>
    <w:p w:rsidR="007C7F32" w:rsidRPr="00B97064" w:rsidRDefault="007C7F32" w:rsidP="00A354ED">
      <w:pPr>
        <w:rPr>
          <w:rFonts w:cs="Arial"/>
          <w:szCs w:val="22"/>
          <w:lang w:val="en-GB"/>
        </w:rPr>
      </w:pPr>
      <w:r w:rsidRPr="00B97064">
        <w:rPr>
          <w:rFonts w:cs="Arial"/>
          <w:szCs w:val="22"/>
          <w:lang w:val="en-GB"/>
        </w:rPr>
        <w:t>MTC</w:t>
      </w:r>
      <w:r w:rsidRPr="00B97064">
        <w:rPr>
          <w:rFonts w:cs="Arial"/>
          <w:szCs w:val="22"/>
          <w:lang w:val="en-GB"/>
        </w:rPr>
        <w:tab/>
      </w:r>
      <w:r w:rsidRPr="00B97064">
        <w:rPr>
          <w:rFonts w:cs="Arial"/>
          <w:szCs w:val="22"/>
          <w:lang w:val="en-GB"/>
        </w:rPr>
        <w:tab/>
      </w:r>
      <w:r w:rsidRPr="00B97064">
        <w:rPr>
          <w:rFonts w:cs="Arial"/>
          <w:szCs w:val="22"/>
          <w:lang w:val="en-GB"/>
        </w:rPr>
        <w:tab/>
        <w:t>Model Tax Convention</w:t>
      </w:r>
    </w:p>
    <w:p w:rsidR="00F33012" w:rsidRPr="00B97064" w:rsidRDefault="00F33012" w:rsidP="00A354ED">
      <w:pPr>
        <w:rPr>
          <w:rFonts w:cs="Arial"/>
          <w:szCs w:val="22"/>
          <w:lang w:val="en-GB"/>
        </w:rPr>
      </w:pPr>
      <w:r w:rsidRPr="00B97064">
        <w:rPr>
          <w:rFonts w:cs="Arial"/>
          <w:szCs w:val="22"/>
          <w:lang w:val="en-GB"/>
        </w:rPr>
        <w:t>NV</w:t>
      </w:r>
      <w:r w:rsidRPr="00B97064">
        <w:rPr>
          <w:rFonts w:cs="Arial"/>
          <w:szCs w:val="22"/>
          <w:lang w:val="en-GB"/>
        </w:rPr>
        <w:tab/>
      </w:r>
      <w:r w:rsidRPr="00B97064">
        <w:rPr>
          <w:rFonts w:cs="Arial"/>
          <w:szCs w:val="22"/>
          <w:lang w:val="en-GB"/>
        </w:rPr>
        <w:tab/>
      </w:r>
      <w:r w:rsidRPr="00B97064">
        <w:rPr>
          <w:rFonts w:cs="Arial"/>
          <w:szCs w:val="22"/>
          <w:lang w:val="en-GB"/>
        </w:rPr>
        <w:tab/>
        <w:t>Naamloze Vennootschap (kind of Limited Liability Company)</w:t>
      </w:r>
    </w:p>
    <w:p w:rsidR="007C7F32" w:rsidRPr="00B97064" w:rsidRDefault="007C7F32" w:rsidP="001D4728">
      <w:pPr>
        <w:rPr>
          <w:rFonts w:cs="Arial"/>
          <w:szCs w:val="22"/>
          <w:lang w:val="en-GB"/>
        </w:rPr>
      </w:pPr>
      <w:r w:rsidRPr="00B97064">
        <w:rPr>
          <w:szCs w:val="22"/>
          <w:lang w:val="en-GB"/>
        </w:rPr>
        <w:t>OECD</w:t>
      </w:r>
      <w:r w:rsidRPr="00B97064">
        <w:rPr>
          <w:szCs w:val="22"/>
          <w:lang w:val="en-GB"/>
        </w:rPr>
        <w:tab/>
      </w:r>
      <w:r w:rsidRPr="00B97064">
        <w:rPr>
          <w:szCs w:val="22"/>
          <w:lang w:val="en-GB"/>
        </w:rPr>
        <w:tab/>
      </w:r>
      <w:r w:rsidRPr="00B97064">
        <w:rPr>
          <w:szCs w:val="22"/>
          <w:lang w:val="en-GB"/>
        </w:rPr>
        <w:tab/>
      </w:r>
      <w:r w:rsidRPr="00B97064">
        <w:rPr>
          <w:rFonts w:cs="Arial"/>
          <w:szCs w:val="22"/>
          <w:lang w:val="en-GB"/>
        </w:rPr>
        <w:t>Organisation for Economic Co-operation and Development</w:t>
      </w:r>
    </w:p>
    <w:p w:rsidR="007C7F32" w:rsidRPr="00B97064" w:rsidRDefault="007C7F32" w:rsidP="00A354ED">
      <w:pPr>
        <w:rPr>
          <w:szCs w:val="22"/>
          <w:lang w:val="en-GB"/>
        </w:rPr>
      </w:pPr>
      <w:r w:rsidRPr="00B97064">
        <w:rPr>
          <w:szCs w:val="22"/>
          <w:lang w:val="en-GB"/>
        </w:rPr>
        <w:t>RJ</w:t>
      </w:r>
      <w:r w:rsidRPr="00B97064">
        <w:rPr>
          <w:szCs w:val="22"/>
          <w:lang w:val="en-GB"/>
        </w:rPr>
        <w:tab/>
      </w:r>
      <w:r w:rsidRPr="00B97064">
        <w:rPr>
          <w:szCs w:val="22"/>
          <w:lang w:val="en-GB"/>
        </w:rPr>
        <w:tab/>
      </w:r>
      <w:r w:rsidRPr="00B97064">
        <w:rPr>
          <w:szCs w:val="22"/>
          <w:lang w:val="en-GB"/>
        </w:rPr>
        <w:tab/>
        <w:t>Raad voor de Jaarverslaggeving (Dutch council for annual reporting)</w:t>
      </w:r>
    </w:p>
    <w:p w:rsidR="007C7F32" w:rsidRPr="00B97064" w:rsidRDefault="007C7F32" w:rsidP="00A354ED">
      <w:pPr>
        <w:rPr>
          <w:szCs w:val="22"/>
          <w:lang w:val="en-GB"/>
        </w:rPr>
      </w:pPr>
      <w:r w:rsidRPr="00B97064">
        <w:rPr>
          <w:szCs w:val="22"/>
          <w:lang w:val="en-GB"/>
        </w:rPr>
        <w:t>RPT</w:t>
      </w:r>
      <w:r w:rsidRPr="00B97064">
        <w:rPr>
          <w:szCs w:val="22"/>
          <w:lang w:val="en-GB"/>
        </w:rPr>
        <w:tab/>
      </w:r>
      <w:r w:rsidRPr="00B97064">
        <w:rPr>
          <w:szCs w:val="22"/>
          <w:lang w:val="en-GB"/>
        </w:rPr>
        <w:tab/>
      </w:r>
      <w:r w:rsidRPr="00B97064">
        <w:rPr>
          <w:szCs w:val="22"/>
          <w:lang w:val="en-GB"/>
        </w:rPr>
        <w:tab/>
        <w:t>Related Party Transaction</w:t>
      </w:r>
    </w:p>
    <w:p w:rsidR="007C7F32" w:rsidRPr="00B97064" w:rsidRDefault="007C7F32" w:rsidP="00A354ED">
      <w:pPr>
        <w:rPr>
          <w:szCs w:val="22"/>
          <w:lang w:val="en-GB"/>
        </w:rPr>
      </w:pPr>
      <w:r w:rsidRPr="00B97064">
        <w:rPr>
          <w:szCs w:val="22"/>
          <w:lang w:val="en-GB"/>
        </w:rPr>
        <w:t>SE</w:t>
      </w:r>
      <w:r w:rsidRPr="00B97064">
        <w:rPr>
          <w:szCs w:val="22"/>
          <w:lang w:val="en-GB"/>
        </w:rPr>
        <w:tab/>
      </w:r>
      <w:r w:rsidRPr="00B97064">
        <w:rPr>
          <w:szCs w:val="22"/>
          <w:lang w:val="en-GB"/>
        </w:rPr>
        <w:tab/>
      </w:r>
      <w:r w:rsidRPr="00B97064">
        <w:rPr>
          <w:szCs w:val="22"/>
          <w:lang w:val="en-GB"/>
        </w:rPr>
        <w:tab/>
        <w:t>Societas Europaea</w:t>
      </w:r>
    </w:p>
    <w:p w:rsidR="007C7F32" w:rsidRPr="00B97064" w:rsidRDefault="007C7F32" w:rsidP="00A354ED">
      <w:pPr>
        <w:rPr>
          <w:szCs w:val="22"/>
          <w:lang w:val="en-GB"/>
        </w:rPr>
      </w:pPr>
      <w:r w:rsidRPr="00B97064">
        <w:rPr>
          <w:szCs w:val="22"/>
          <w:lang w:val="en-GB"/>
        </w:rPr>
        <w:t>SEC</w:t>
      </w:r>
      <w:r w:rsidRPr="00B97064">
        <w:rPr>
          <w:szCs w:val="22"/>
          <w:lang w:val="en-GB"/>
        </w:rPr>
        <w:tab/>
      </w:r>
      <w:r w:rsidRPr="00B97064">
        <w:rPr>
          <w:szCs w:val="22"/>
          <w:lang w:val="en-GB"/>
        </w:rPr>
        <w:tab/>
      </w:r>
      <w:r w:rsidRPr="00B97064">
        <w:rPr>
          <w:szCs w:val="22"/>
          <w:lang w:val="en-GB"/>
        </w:rPr>
        <w:tab/>
        <w:t>Securities and Exchange Commission</w:t>
      </w:r>
    </w:p>
    <w:p w:rsidR="007C7F32" w:rsidRPr="00B97064" w:rsidRDefault="007C7F32" w:rsidP="00A354ED">
      <w:pPr>
        <w:rPr>
          <w:szCs w:val="22"/>
          <w:lang w:val="en-GB"/>
        </w:rPr>
      </w:pPr>
      <w:r w:rsidRPr="00B97064">
        <w:rPr>
          <w:szCs w:val="22"/>
          <w:lang w:val="en-GB"/>
        </w:rPr>
        <w:t>SOx</w:t>
      </w:r>
      <w:r w:rsidRPr="00B97064">
        <w:rPr>
          <w:szCs w:val="22"/>
          <w:lang w:val="en-GB"/>
        </w:rPr>
        <w:tab/>
      </w:r>
      <w:r w:rsidRPr="00B97064">
        <w:rPr>
          <w:szCs w:val="22"/>
          <w:lang w:val="en-GB"/>
        </w:rPr>
        <w:tab/>
      </w:r>
      <w:r w:rsidRPr="00B97064">
        <w:rPr>
          <w:szCs w:val="22"/>
          <w:lang w:val="en-GB"/>
        </w:rPr>
        <w:tab/>
        <w:t>Sarbanes-Oxley Act</w:t>
      </w:r>
    </w:p>
    <w:p w:rsidR="007C7F32" w:rsidRPr="00B97064" w:rsidRDefault="007C7F32" w:rsidP="00A354ED">
      <w:pPr>
        <w:rPr>
          <w:rFonts w:cs="Arial"/>
          <w:szCs w:val="22"/>
          <w:lang w:val="en-GB"/>
        </w:rPr>
      </w:pPr>
      <w:r w:rsidRPr="00B97064">
        <w:rPr>
          <w:rFonts w:cs="Arial"/>
          <w:szCs w:val="22"/>
          <w:lang w:val="en-GB"/>
        </w:rPr>
        <w:t>SPE</w:t>
      </w:r>
      <w:r w:rsidRPr="00B97064">
        <w:rPr>
          <w:rFonts w:cs="Arial"/>
          <w:szCs w:val="22"/>
          <w:lang w:val="en-GB"/>
        </w:rPr>
        <w:tab/>
      </w:r>
      <w:r w:rsidRPr="00B97064">
        <w:rPr>
          <w:rFonts w:cs="Arial"/>
          <w:szCs w:val="22"/>
          <w:lang w:val="en-GB"/>
        </w:rPr>
        <w:tab/>
      </w:r>
      <w:r w:rsidRPr="00B97064">
        <w:rPr>
          <w:rFonts w:cs="Arial"/>
          <w:szCs w:val="22"/>
          <w:lang w:val="en-GB"/>
        </w:rPr>
        <w:tab/>
        <w:t>Special Purpose Entity</w:t>
      </w:r>
    </w:p>
    <w:p w:rsidR="007C7F32" w:rsidRPr="00B97064" w:rsidRDefault="007C7F32" w:rsidP="00D449AD">
      <w:pPr>
        <w:rPr>
          <w:rFonts w:cs="Arial"/>
          <w:szCs w:val="22"/>
          <w:lang w:val="en-GB"/>
        </w:rPr>
      </w:pPr>
      <w:r w:rsidRPr="00B97064">
        <w:rPr>
          <w:rFonts w:cs="Arial"/>
          <w:szCs w:val="22"/>
          <w:lang w:val="en-GB"/>
        </w:rPr>
        <w:t>TQ</w:t>
      </w:r>
      <w:r w:rsidRPr="00B97064">
        <w:rPr>
          <w:rFonts w:cs="Arial"/>
          <w:szCs w:val="22"/>
          <w:lang w:val="en-GB"/>
        </w:rPr>
        <w:tab/>
      </w:r>
      <w:r w:rsidRPr="00B97064">
        <w:rPr>
          <w:rFonts w:cs="Arial"/>
          <w:szCs w:val="22"/>
          <w:lang w:val="en-GB"/>
        </w:rPr>
        <w:tab/>
      </w:r>
      <w:r w:rsidRPr="00B97064">
        <w:rPr>
          <w:rFonts w:cs="Arial"/>
          <w:szCs w:val="22"/>
          <w:lang w:val="en-GB"/>
        </w:rPr>
        <w:tab/>
        <w:t>Tobin’s Q</w:t>
      </w:r>
    </w:p>
    <w:p w:rsidR="007C7F32" w:rsidRPr="00B97064" w:rsidRDefault="007C7F32" w:rsidP="00D449AD">
      <w:pPr>
        <w:rPr>
          <w:rFonts w:cs="Arial"/>
          <w:szCs w:val="22"/>
          <w:lang w:val="en-GB"/>
        </w:rPr>
      </w:pPr>
      <w:r w:rsidRPr="00B97064">
        <w:rPr>
          <w:rFonts w:cs="Arial"/>
          <w:szCs w:val="22"/>
          <w:lang w:val="en-GB"/>
        </w:rPr>
        <w:t>VEUO</w:t>
      </w:r>
      <w:r w:rsidRPr="00B97064">
        <w:rPr>
          <w:rFonts w:cs="Arial"/>
          <w:szCs w:val="22"/>
          <w:lang w:val="en-GB"/>
        </w:rPr>
        <w:tab/>
      </w:r>
      <w:r w:rsidRPr="00B97064">
        <w:rPr>
          <w:rFonts w:cs="Arial"/>
          <w:szCs w:val="22"/>
          <w:lang w:val="en-GB"/>
        </w:rPr>
        <w:tab/>
      </w:r>
      <w:r w:rsidRPr="00B97064">
        <w:rPr>
          <w:rFonts w:cs="Arial"/>
          <w:szCs w:val="22"/>
          <w:lang w:val="en-GB"/>
        </w:rPr>
        <w:tab/>
        <w:t xml:space="preserve">Vereniging Effecten Uitgevende Ondernemingen (Association of </w:t>
      </w:r>
      <w:r w:rsidRPr="00B97064">
        <w:rPr>
          <w:rFonts w:cs="Arial"/>
          <w:szCs w:val="22"/>
          <w:lang w:val="en-GB"/>
        </w:rPr>
        <w:tab/>
      </w:r>
      <w:r w:rsidRPr="00B97064">
        <w:rPr>
          <w:rFonts w:cs="Arial"/>
          <w:szCs w:val="22"/>
          <w:lang w:val="en-GB"/>
        </w:rPr>
        <w:tab/>
      </w:r>
      <w:r w:rsidRPr="00B97064">
        <w:rPr>
          <w:rFonts w:cs="Arial"/>
          <w:szCs w:val="22"/>
          <w:lang w:val="en-GB"/>
        </w:rPr>
        <w:tab/>
      </w:r>
      <w:r w:rsidRPr="00B97064">
        <w:rPr>
          <w:rFonts w:cs="Arial"/>
          <w:szCs w:val="22"/>
          <w:lang w:val="en-GB"/>
        </w:rPr>
        <w:tab/>
        <w:t>Securities Issuing Companies)</w:t>
      </w:r>
    </w:p>
    <w:p w:rsidR="00921674" w:rsidRPr="00B97064" w:rsidRDefault="007C7F32" w:rsidP="00921674">
      <w:pPr>
        <w:rPr>
          <w:szCs w:val="22"/>
          <w:lang w:val="en-GB"/>
        </w:rPr>
      </w:pPr>
      <w:r w:rsidRPr="00B97064">
        <w:rPr>
          <w:szCs w:val="22"/>
          <w:lang w:val="en-GB"/>
        </w:rPr>
        <w:t>VvdE</w:t>
      </w:r>
      <w:r w:rsidRPr="00B97064">
        <w:rPr>
          <w:szCs w:val="22"/>
          <w:lang w:val="en-GB"/>
        </w:rPr>
        <w:tab/>
      </w:r>
      <w:r w:rsidRPr="00B97064">
        <w:rPr>
          <w:szCs w:val="22"/>
          <w:lang w:val="en-GB"/>
        </w:rPr>
        <w:tab/>
      </w:r>
      <w:r w:rsidRPr="00B97064">
        <w:rPr>
          <w:szCs w:val="22"/>
          <w:lang w:val="en-GB"/>
        </w:rPr>
        <w:tab/>
        <w:t>Vereniging voor de Effectenhandel (Association for Securities Trading)</w:t>
      </w:r>
    </w:p>
    <w:p w:rsidR="007C7F32" w:rsidRPr="00B97064" w:rsidRDefault="007C7F32" w:rsidP="004C5331">
      <w:pPr>
        <w:rPr>
          <w:lang w:val="en-GB"/>
        </w:rPr>
      </w:pPr>
      <w:bookmarkStart w:id="3" w:name="_Toc349585444"/>
      <w:r w:rsidRPr="00B97064">
        <w:rPr>
          <w:rStyle w:val="Heading1Char"/>
          <w:bCs/>
          <w:sz w:val="30"/>
          <w:szCs w:val="32"/>
          <w:lang w:val="en-GB"/>
        </w:rPr>
        <w:lastRenderedPageBreak/>
        <w:t>Table of contents</w:t>
      </w:r>
      <w:bookmarkEnd w:id="3"/>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r w:rsidRPr="00E80C96">
        <w:rPr>
          <w:rFonts w:cs="Arial"/>
          <w:szCs w:val="22"/>
          <w:lang w:val="en-GB"/>
        </w:rPr>
        <w:fldChar w:fldCharType="begin"/>
      </w:r>
      <w:r w:rsidR="007C7F32" w:rsidRPr="00B97064">
        <w:rPr>
          <w:rFonts w:cs="Arial"/>
          <w:szCs w:val="22"/>
          <w:lang w:val="en-GB"/>
        </w:rPr>
        <w:instrText xml:space="preserve"> TOC \o "1-3" \h \z \u </w:instrText>
      </w:r>
      <w:r w:rsidRPr="00E80C96">
        <w:rPr>
          <w:rFonts w:cs="Arial"/>
          <w:szCs w:val="22"/>
          <w:lang w:val="en-GB"/>
        </w:rPr>
        <w:fldChar w:fldCharType="separate"/>
      </w:r>
      <w:hyperlink w:anchor="_Toc349585441" w:history="1">
        <w:r w:rsidR="00B97064" w:rsidRPr="00B97064">
          <w:rPr>
            <w:rStyle w:val="Hyperlink"/>
            <w:noProof/>
            <w:lang w:val="en-GB"/>
          </w:rPr>
          <w:t>Abstract</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_Toc349585441 \h </w:instrText>
        </w:r>
        <w:r w:rsidRPr="00B97064">
          <w:rPr>
            <w:noProof/>
            <w:webHidden/>
            <w:lang w:val="en-GB"/>
          </w:rPr>
        </w:r>
        <w:r w:rsidRPr="00B97064">
          <w:rPr>
            <w:noProof/>
            <w:webHidden/>
            <w:lang w:val="en-GB"/>
          </w:rPr>
          <w:fldChar w:fldCharType="separate"/>
        </w:r>
        <w:r w:rsidR="00B97064" w:rsidRPr="00B97064">
          <w:rPr>
            <w:noProof/>
            <w:webHidden/>
            <w:lang w:val="en-GB"/>
          </w:rPr>
          <w:t>2</w:t>
        </w:r>
        <w:r w:rsidRPr="00B97064">
          <w:rPr>
            <w:noProof/>
            <w:webHidden/>
            <w:lang w:val="en-GB"/>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442" w:history="1">
        <w:r w:rsidR="00B97064" w:rsidRPr="00B97064">
          <w:rPr>
            <w:rStyle w:val="Hyperlink"/>
            <w:noProof/>
            <w:lang w:val="en-GB"/>
          </w:rPr>
          <w:t>Acknowledgment</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_Toc349585442 \h </w:instrText>
        </w:r>
        <w:r w:rsidRPr="00B97064">
          <w:rPr>
            <w:noProof/>
            <w:webHidden/>
            <w:lang w:val="en-GB"/>
          </w:rPr>
        </w:r>
        <w:r w:rsidRPr="00B97064">
          <w:rPr>
            <w:noProof/>
            <w:webHidden/>
            <w:lang w:val="en-GB"/>
          </w:rPr>
          <w:fldChar w:fldCharType="separate"/>
        </w:r>
        <w:r w:rsidR="00B97064" w:rsidRPr="00B97064">
          <w:rPr>
            <w:noProof/>
            <w:webHidden/>
            <w:lang w:val="en-GB"/>
          </w:rPr>
          <w:t>3</w:t>
        </w:r>
        <w:r w:rsidRPr="00B97064">
          <w:rPr>
            <w:noProof/>
            <w:webHidden/>
            <w:lang w:val="en-GB"/>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443" w:history="1">
        <w:r w:rsidR="00B97064" w:rsidRPr="00B97064">
          <w:rPr>
            <w:rStyle w:val="Hyperlink"/>
            <w:noProof/>
            <w:lang w:val="en-GB"/>
          </w:rPr>
          <w:t>List of acronyms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_Toc349585443 \h </w:instrText>
        </w:r>
        <w:r w:rsidRPr="00B97064">
          <w:rPr>
            <w:noProof/>
            <w:webHidden/>
            <w:lang w:val="en-GB"/>
          </w:rPr>
        </w:r>
        <w:r w:rsidRPr="00B97064">
          <w:rPr>
            <w:noProof/>
            <w:webHidden/>
            <w:lang w:val="en-GB"/>
          </w:rPr>
          <w:fldChar w:fldCharType="separate"/>
        </w:r>
        <w:r w:rsidR="00B97064" w:rsidRPr="00B97064">
          <w:rPr>
            <w:noProof/>
            <w:webHidden/>
            <w:lang w:val="en-GB"/>
          </w:rPr>
          <w:t>4</w:t>
        </w:r>
        <w:r w:rsidRPr="00B97064">
          <w:rPr>
            <w:noProof/>
            <w:webHidden/>
            <w:lang w:val="en-GB"/>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444" w:history="1">
        <w:r w:rsidR="00B97064" w:rsidRPr="00B97064">
          <w:rPr>
            <w:rStyle w:val="Hyperlink"/>
            <w:noProof/>
            <w:lang w:val="en-GB"/>
          </w:rPr>
          <w:t>Table of contents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_Toc349585444 \h </w:instrText>
        </w:r>
        <w:r w:rsidRPr="00B97064">
          <w:rPr>
            <w:noProof/>
            <w:webHidden/>
            <w:lang w:val="en-GB"/>
          </w:rPr>
        </w:r>
        <w:r w:rsidRPr="00B97064">
          <w:rPr>
            <w:noProof/>
            <w:webHidden/>
            <w:lang w:val="en-GB"/>
          </w:rPr>
          <w:fldChar w:fldCharType="separate"/>
        </w:r>
        <w:r w:rsidR="00B97064" w:rsidRPr="00B97064">
          <w:rPr>
            <w:noProof/>
            <w:webHidden/>
            <w:lang w:val="en-GB"/>
          </w:rPr>
          <w:t>5</w:t>
        </w:r>
        <w:r w:rsidRPr="00B97064">
          <w:rPr>
            <w:noProof/>
            <w:webHidden/>
            <w:lang w:val="en-GB"/>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445" w:history="1">
        <w:r w:rsidR="00B97064" w:rsidRPr="00B97064">
          <w:rPr>
            <w:rStyle w:val="Hyperlink"/>
            <w:noProof/>
            <w:lang w:val="en-GB"/>
          </w:rPr>
          <w:t>List of figures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_Toc349585445 \h </w:instrText>
        </w:r>
        <w:r w:rsidRPr="00B97064">
          <w:rPr>
            <w:noProof/>
            <w:webHidden/>
            <w:lang w:val="en-GB"/>
          </w:rPr>
        </w:r>
        <w:r w:rsidRPr="00B97064">
          <w:rPr>
            <w:noProof/>
            <w:webHidden/>
            <w:lang w:val="en-GB"/>
          </w:rPr>
          <w:fldChar w:fldCharType="separate"/>
        </w:r>
        <w:r w:rsidR="00B97064" w:rsidRPr="00B97064">
          <w:rPr>
            <w:noProof/>
            <w:webHidden/>
            <w:lang w:val="en-GB"/>
          </w:rPr>
          <w:t>8</w:t>
        </w:r>
        <w:r w:rsidRPr="00B97064">
          <w:rPr>
            <w:noProof/>
            <w:webHidden/>
            <w:lang w:val="en-GB"/>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446" w:history="1">
        <w:r w:rsidR="00B97064" w:rsidRPr="00B97064">
          <w:rPr>
            <w:rStyle w:val="Hyperlink"/>
            <w:noProof/>
            <w:lang w:val="en-GB"/>
          </w:rPr>
          <w:t>1. Introduction</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_Toc349585446 \h </w:instrText>
        </w:r>
        <w:r w:rsidRPr="00B97064">
          <w:rPr>
            <w:noProof/>
            <w:webHidden/>
            <w:lang w:val="en-GB"/>
          </w:rPr>
        </w:r>
        <w:r w:rsidRPr="00B97064">
          <w:rPr>
            <w:noProof/>
            <w:webHidden/>
            <w:lang w:val="en-GB"/>
          </w:rPr>
          <w:fldChar w:fldCharType="separate"/>
        </w:r>
        <w:r w:rsidR="00B97064" w:rsidRPr="00B97064">
          <w:rPr>
            <w:noProof/>
            <w:webHidden/>
            <w:lang w:val="en-GB"/>
          </w:rPr>
          <w:t>9</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47" w:history="1">
        <w:r w:rsidR="00B97064" w:rsidRPr="00B97064">
          <w:rPr>
            <w:rStyle w:val="Hyperlink"/>
          </w:rPr>
          <w:t>1.1 Background</w:t>
        </w:r>
        <w:r w:rsidR="00B97064" w:rsidRPr="00B97064">
          <w:rPr>
            <w:webHidden/>
          </w:rPr>
          <w:tab/>
        </w:r>
        <w:r w:rsidRPr="00B97064">
          <w:rPr>
            <w:webHidden/>
          </w:rPr>
          <w:fldChar w:fldCharType="begin"/>
        </w:r>
        <w:r w:rsidR="00B97064" w:rsidRPr="00B97064">
          <w:rPr>
            <w:webHidden/>
          </w:rPr>
          <w:instrText xml:space="preserve"> PAGEREF _Toc349585447 \h </w:instrText>
        </w:r>
        <w:r w:rsidRPr="00B97064">
          <w:rPr>
            <w:webHidden/>
          </w:rPr>
        </w:r>
        <w:r w:rsidRPr="00B97064">
          <w:rPr>
            <w:webHidden/>
          </w:rPr>
          <w:fldChar w:fldCharType="separate"/>
        </w:r>
        <w:r w:rsidR="00B97064" w:rsidRPr="00B97064">
          <w:rPr>
            <w:webHidden/>
          </w:rPr>
          <w:t>9</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48" w:history="1">
        <w:r w:rsidR="00B97064" w:rsidRPr="00B97064">
          <w:rPr>
            <w:rStyle w:val="Hyperlink"/>
          </w:rPr>
          <w:t>1.2 Problem definition</w:t>
        </w:r>
        <w:r w:rsidR="00B97064" w:rsidRPr="00B97064">
          <w:rPr>
            <w:webHidden/>
          </w:rPr>
          <w:tab/>
        </w:r>
        <w:r w:rsidRPr="00B97064">
          <w:rPr>
            <w:webHidden/>
          </w:rPr>
          <w:fldChar w:fldCharType="begin"/>
        </w:r>
        <w:r w:rsidR="00B97064" w:rsidRPr="00B97064">
          <w:rPr>
            <w:webHidden/>
          </w:rPr>
          <w:instrText xml:space="preserve"> PAGEREF _Toc349585448 \h </w:instrText>
        </w:r>
        <w:r w:rsidRPr="00B97064">
          <w:rPr>
            <w:webHidden/>
          </w:rPr>
        </w:r>
        <w:r w:rsidRPr="00B97064">
          <w:rPr>
            <w:webHidden/>
          </w:rPr>
          <w:fldChar w:fldCharType="separate"/>
        </w:r>
        <w:r w:rsidR="00B97064" w:rsidRPr="00B97064">
          <w:rPr>
            <w:webHidden/>
          </w:rPr>
          <w:t>12</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49" w:history="1">
        <w:r w:rsidR="00B97064" w:rsidRPr="00B97064">
          <w:rPr>
            <w:rStyle w:val="Hyperlink"/>
          </w:rPr>
          <w:t>1.3 Methodology</w:t>
        </w:r>
        <w:r w:rsidR="00B97064" w:rsidRPr="00B97064">
          <w:rPr>
            <w:webHidden/>
          </w:rPr>
          <w:tab/>
        </w:r>
        <w:r w:rsidRPr="00B97064">
          <w:rPr>
            <w:webHidden/>
          </w:rPr>
          <w:fldChar w:fldCharType="begin"/>
        </w:r>
        <w:r w:rsidR="00B97064" w:rsidRPr="00B97064">
          <w:rPr>
            <w:webHidden/>
          </w:rPr>
          <w:instrText xml:space="preserve"> PAGEREF _Toc349585449 \h </w:instrText>
        </w:r>
        <w:r w:rsidRPr="00B97064">
          <w:rPr>
            <w:webHidden/>
          </w:rPr>
        </w:r>
        <w:r w:rsidRPr="00B97064">
          <w:rPr>
            <w:webHidden/>
          </w:rPr>
          <w:fldChar w:fldCharType="separate"/>
        </w:r>
        <w:r w:rsidR="00B97064" w:rsidRPr="00B97064">
          <w:rPr>
            <w:webHidden/>
          </w:rPr>
          <w:t>12</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50" w:history="1">
        <w:r w:rsidR="00B97064" w:rsidRPr="00B97064">
          <w:rPr>
            <w:rStyle w:val="Hyperlink"/>
          </w:rPr>
          <w:t>1.4 Sample</w:t>
        </w:r>
        <w:r w:rsidR="00B97064" w:rsidRPr="00B97064">
          <w:rPr>
            <w:webHidden/>
          </w:rPr>
          <w:tab/>
        </w:r>
        <w:r w:rsidRPr="00B97064">
          <w:rPr>
            <w:webHidden/>
          </w:rPr>
          <w:fldChar w:fldCharType="begin"/>
        </w:r>
        <w:r w:rsidR="00B97064" w:rsidRPr="00B97064">
          <w:rPr>
            <w:webHidden/>
          </w:rPr>
          <w:instrText xml:space="preserve"> PAGEREF _Toc349585450 \h </w:instrText>
        </w:r>
        <w:r w:rsidRPr="00B97064">
          <w:rPr>
            <w:webHidden/>
          </w:rPr>
        </w:r>
        <w:r w:rsidRPr="00B97064">
          <w:rPr>
            <w:webHidden/>
          </w:rPr>
          <w:fldChar w:fldCharType="separate"/>
        </w:r>
        <w:r w:rsidR="00B97064" w:rsidRPr="00B97064">
          <w:rPr>
            <w:webHidden/>
          </w:rPr>
          <w:t>14</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51" w:history="1">
        <w:r w:rsidR="00B97064" w:rsidRPr="00B97064">
          <w:rPr>
            <w:rStyle w:val="Hyperlink"/>
          </w:rPr>
          <w:t>1.5 Contribution</w:t>
        </w:r>
        <w:r w:rsidR="00B97064" w:rsidRPr="00B97064">
          <w:rPr>
            <w:webHidden/>
          </w:rPr>
          <w:tab/>
        </w:r>
        <w:r w:rsidRPr="00B97064">
          <w:rPr>
            <w:webHidden/>
          </w:rPr>
          <w:fldChar w:fldCharType="begin"/>
        </w:r>
        <w:r w:rsidR="00B97064" w:rsidRPr="00B97064">
          <w:rPr>
            <w:webHidden/>
          </w:rPr>
          <w:instrText xml:space="preserve"> PAGEREF _Toc349585451 \h </w:instrText>
        </w:r>
        <w:r w:rsidRPr="00B97064">
          <w:rPr>
            <w:webHidden/>
          </w:rPr>
        </w:r>
        <w:r w:rsidRPr="00B97064">
          <w:rPr>
            <w:webHidden/>
          </w:rPr>
          <w:fldChar w:fldCharType="separate"/>
        </w:r>
        <w:r w:rsidR="00B97064" w:rsidRPr="00B97064">
          <w:rPr>
            <w:webHidden/>
          </w:rPr>
          <w:t>14</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52" w:history="1">
        <w:r w:rsidR="00B97064" w:rsidRPr="00B97064">
          <w:rPr>
            <w:rStyle w:val="Hyperlink"/>
          </w:rPr>
          <w:t>1.6 Structure</w:t>
        </w:r>
        <w:r w:rsidR="00B97064" w:rsidRPr="00B97064">
          <w:rPr>
            <w:webHidden/>
          </w:rPr>
          <w:tab/>
        </w:r>
        <w:r w:rsidRPr="00B97064">
          <w:rPr>
            <w:webHidden/>
          </w:rPr>
          <w:fldChar w:fldCharType="begin"/>
        </w:r>
        <w:r w:rsidR="00B97064" w:rsidRPr="00B97064">
          <w:rPr>
            <w:webHidden/>
          </w:rPr>
          <w:instrText xml:space="preserve"> PAGEREF _Toc349585452 \h </w:instrText>
        </w:r>
        <w:r w:rsidRPr="00B97064">
          <w:rPr>
            <w:webHidden/>
          </w:rPr>
        </w:r>
        <w:r w:rsidRPr="00B97064">
          <w:rPr>
            <w:webHidden/>
          </w:rPr>
          <w:fldChar w:fldCharType="separate"/>
        </w:r>
        <w:r w:rsidR="00B97064" w:rsidRPr="00B97064">
          <w:rPr>
            <w:webHidden/>
          </w:rPr>
          <w:t>14</w:t>
        </w:r>
        <w:r w:rsidRPr="00B97064">
          <w:rPr>
            <w:webHidden/>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453" w:history="1">
        <w:r w:rsidR="00B97064" w:rsidRPr="00B97064">
          <w:rPr>
            <w:rStyle w:val="Hyperlink"/>
            <w:noProof/>
            <w:lang w:val="en-GB"/>
          </w:rPr>
          <w:t>2. Concepts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_Toc349585453 \h </w:instrText>
        </w:r>
        <w:r w:rsidRPr="00B97064">
          <w:rPr>
            <w:noProof/>
            <w:webHidden/>
            <w:lang w:val="en-GB"/>
          </w:rPr>
        </w:r>
        <w:r w:rsidRPr="00B97064">
          <w:rPr>
            <w:noProof/>
            <w:webHidden/>
            <w:lang w:val="en-GB"/>
          </w:rPr>
          <w:fldChar w:fldCharType="separate"/>
        </w:r>
        <w:r w:rsidR="00B97064" w:rsidRPr="00B97064">
          <w:rPr>
            <w:noProof/>
            <w:webHidden/>
            <w:lang w:val="en-GB"/>
          </w:rPr>
          <w:t>16</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54" w:history="1">
        <w:r w:rsidR="00B97064" w:rsidRPr="00B97064">
          <w:rPr>
            <w:rStyle w:val="Hyperlink"/>
          </w:rPr>
          <w:t>2.1 Introduction</w:t>
        </w:r>
        <w:r w:rsidR="00B97064" w:rsidRPr="00B97064">
          <w:rPr>
            <w:webHidden/>
          </w:rPr>
          <w:tab/>
        </w:r>
        <w:r w:rsidRPr="00B97064">
          <w:rPr>
            <w:webHidden/>
          </w:rPr>
          <w:fldChar w:fldCharType="begin"/>
        </w:r>
        <w:r w:rsidR="00B97064" w:rsidRPr="00B97064">
          <w:rPr>
            <w:webHidden/>
          </w:rPr>
          <w:instrText xml:space="preserve"> PAGEREF _Toc349585454 \h </w:instrText>
        </w:r>
        <w:r w:rsidRPr="00B97064">
          <w:rPr>
            <w:webHidden/>
          </w:rPr>
        </w:r>
        <w:r w:rsidRPr="00B97064">
          <w:rPr>
            <w:webHidden/>
          </w:rPr>
          <w:fldChar w:fldCharType="separate"/>
        </w:r>
        <w:r w:rsidR="00B97064" w:rsidRPr="00B97064">
          <w:rPr>
            <w:webHidden/>
          </w:rPr>
          <w:t>16</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55" w:history="1">
        <w:r w:rsidR="00B97064" w:rsidRPr="00B97064">
          <w:rPr>
            <w:rStyle w:val="Hyperlink"/>
          </w:rPr>
          <w:t>2.2 Institutional setting</w:t>
        </w:r>
        <w:r w:rsidR="00B97064" w:rsidRPr="00B97064">
          <w:rPr>
            <w:webHidden/>
          </w:rPr>
          <w:tab/>
        </w:r>
        <w:r w:rsidRPr="00B97064">
          <w:rPr>
            <w:webHidden/>
          </w:rPr>
          <w:fldChar w:fldCharType="begin"/>
        </w:r>
        <w:r w:rsidR="00B97064" w:rsidRPr="00B97064">
          <w:rPr>
            <w:webHidden/>
          </w:rPr>
          <w:instrText xml:space="preserve"> PAGEREF _Toc349585455 \h </w:instrText>
        </w:r>
        <w:r w:rsidRPr="00B97064">
          <w:rPr>
            <w:webHidden/>
          </w:rPr>
        </w:r>
        <w:r w:rsidRPr="00B97064">
          <w:rPr>
            <w:webHidden/>
          </w:rPr>
          <w:fldChar w:fldCharType="separate"/>
        </w:r>
        <w:r w:rsidR="00B97064" w:rsidRPr="00B97064">
          <w:rPr>
            <w:webHidden/>
          </w:rPr>
          <w:t>16</w:t>
        </w:r>
        <w:r w:rsidRPr="00B97064">
          <w:rPr>
            <w:webHidden/>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56" w:history="1">
        <w:r w:rsidR="00B97064" w:rsidRPr="00B97064">
          <w:rPr>
            <w:rStyle w:val="Hyperlink"/>
            <w:noProof/>
            <w:lang w:val="en-GB"/>
          </w:rPr>
          <w:t>2.2.1 European Union</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_Toc349585456 \h </w:instrText>
        </w:r>
        <w:r w:rsidRPr="00B97064">
          <w:rPr>
            <w:noProof/>
            <w:webHidden/>
            <w:lang w:val="en-GB"/>
          </w:rPr>
        </w:r>
        <w:r w:rsidRPr="00B97064">
          <w:rPr>
            <w:noProof/>
            <w:webHidden/>
            <w:lang w:val="en-GB"/>
          </w:rPr>
          <w:fldChar w:fldCharType="separate"/>
        </w:r>
        <w:r w:rsidR="00B97064" w:rsidRPr="00B97064">
          <w:rPr>
            <w:noProof/>
            <w:webHidden/>
            <w:lang w:val="en-GB"/>
          </w:rPr>
          <w:t>16</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57" w:history="1">
        <w:r w:rsidR="00B97064" w:rsidRPr="00B97064">
          <w:rPr>
            <w:rStyle w:val="Hyperlink"/>
            <w:noProof/>
            <w:lang w:val="en-GB"/>
          </w:rPr>
          <w:t>2.2.2 IFRS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_Toc349585457 \h </w:instrText>
        </w:r>
        <w:r w:rsidRPr="00B97064">
          <w:rPr>
            <w:noProof/>
            <w:webHidden/>
            <w:lang w:val="en-GB"/>
          </w:rPr>
        </w:r>
        <w:r w:rsidRPr="00B97064">
          <w:rPr>
            <w:noProof/>
            <w:webHidden/>
            <w:lang w:val="en-GB"/>
          </w:rPr>
          <w:fldChar w:fldCharType="separate"/>
        </w:r>
        <w:r w:rsidR="00B97064" w:rsidRPr="00B97064">
          <w:rPr>
            <w:noProof/>
            <w:webHidden/>
            <w:lang w:val="en-GB"/>
          </w:rPr>
          <w:t>17</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58" w:history="1">
        <w:r w:rsidR="00B97064" w:rsidRPr="00B97064">
          <w:rPr>
            <w:rStyle w:val="Hyperlink"/>
            <w:noProof/>
            <w:lang w:val="en-GB"/>
          </w:rPr>
          <w:t>2.2.3 Reporting requirements EU listed companies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_Toc349585458 \h </w:instrText>
        </w:r>
        <w:r w:rsidRPr="00B97064">
          <w:rPr>
            <w:noProof/>
            <w:webHidden/>
            <w:lang w:val="en-GB"/>
          </w:rPr>
        </w:r>
        <w:r w:rsidRPr="00B97064">
          <w:rPr>
            <w:noProof/>
            <w:webHidden/>
            <w:lang w:val="en-GB"/>
          </w:rPr>
          <w:fldChar w:fldCharType="separate"/>
        </w:r>
        <w:r w:rsidR="00B97064" w:rsidRPr="00B97064">
          <w:rPr>
            <w:noProof/>
            <w:webHidden/>
            <w:lang w:val="en-GB"/>
          </w:rPr>
          <w:t>17</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59" w:history="1">
        <w:r w:rsidR="00B97064" w:rsidRPr="00B97064">
          <w:rPr>
            <w:rStyle w:val="Hyperlink"/>
            <w:noProof/>
            <w:lang w:val="en-GB"/>
          </w:rPr>
          <w:t>2.2.4 Board systems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_Toc349585459 \h </w:instrText>
        </w:r>
        <w:r w:rsidRPr="00B97064">
          <w:rPr>
            <w:noProof/>
            <w:webHidden/>
            <w:lang w:val="en-GB"/>
          </w:rPr>
        </w:r>
        <w:r w:rsidRPr="00B97064">
          <w:rPr>
            <w:noProof/>
            <w:webHidden/>
            <w:lang w:val="en-GB"/>
          </w:rPr>
          <w:fldChar w:fldCharType="separate"/>
        </w:r>
        <w:r w:rsidR="00B97064" w:rsidRPr="00B97064">
          <w:rPr>
            <w:noProof/>
            <w:webHidden/>
            <w:lang w:val="en-GB"/>
          </w:rPr>
          <w:t>18</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60" w:history="1">
        <w:r w:rsidR="00B97064" w:rsidRPr="00B97064">
          <w:rPr>
            <w:rStyle w:val="Hyperlink"/>
            <w:noProof/>
            <w:lang w:val="en-GB"/>
          </w:rPr>
          <w:t>2.2.5 Dutch civil code</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_Toc349585460 \h </w:instrText>
        </w:r>
        <w:r w:rsidRPr="00B97064">
          <w:rPr>
            <w:noProof/>
            <w:webHidden/>
            <w:lang w:val="en-GB"/>
          </w:rPr>
        </w:r>
        <w:r w:rsidRPr="00B97064">
          <w:rPr>
            <w:noProof/>
            <w:webHidden/>
            <w:lang w:val="en-GB"/>
          </w:rPr>
          <w:fldChar w:fldCharType="separate"/>
        </w:r>
        <w:r w:rsidR="00B97064" w:rsidRPr="00B97064">
          <w:rPr>
            <w:noProof/>
            <w:webHidden/>
            <w:lang w:val="en-GB"/>
          </w:rPr>
          <w:t>20</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61" w:history="1">
        <w:r w:rsidR="00B97064" w:rsidRPr="00B97064">
          <w:rPr>
            <w:rStyle w:val="Hyperlink"/>
            <w:noProof/>
            <w:lang w:val="en-GB"/>
          </w:rPr>
          <w:t>2.2.6 Dutch corporate governance code</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_Toc349585461 \h </w:instrText>
        </w:r>
        <w:r w:rsidRPr="00B97064">
          <w:rPr>
            <w:noProof/>
            <w:webHidden/>
            <w:lang w:val="en-GB"/>
          </w:rPr>
        </w:r>
        <w:r w:rsidRPr="00B97064">
          <w:rPr>
            <w:noProof/>
            <w:webHidden/>
            <w:lang w:val="en-GB"/>
          </w:rPr>
          <w:fldChar w:fldCharType="separate"/>
        </w:r>
        <w:r w:rsidR="00B97064" w:rsidRPr="00B97064">
          <w:rPr>
            <w:noProof/>
            <w:webHidden/>
            <w:lang w:val="en-GB"/>
          </w:rPr>
          <w:t>21</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62" w:history="1">
        <w:r w:rsidR="00B97064" w:rsidRPr="00B97064">
          <w:rPr>
            <w:rStyle w:val="Hyperlink"/>
            <w:noProof/>
            <w:lang w:val="en-GB"/>
          </w:rPr>
          <w:t>2.2.7 Additional regulations for companies with second listing in the USA</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_Toc349585462 \h </w:instrText>
        </w:r>
        <w:r w:rsidRPr="00B97064">
          <w:rPr>
            <w:noProof/>
            <w:webHidden/>
            <w:lang w:val="en-GB"/>
          </w:rPr>
        </w:r>
        <w:r w:rsidRPr="00B97064">
          <w:rPr>
            <w:noProof/>
            <w:webHidden/>
            <w:lang w:val="en-GB"/>
          </w:rPr>
          <w:fldChar w:fldCharType="separate"/>
        </w:r>
        <w:r w:rsidR="00B97064" w:rsidRPr="00B97064">
          <w:rPr>
            <w:noProof/>
            <w:webHidden/>
            <w:lang w:val="en-GB"/>
          </w:rPr>
          <w:t>22</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63" w:history="1">
        <w:r w:rsidR="00B97064" w:rsidRPr="00B97064">
          <w:rPr>
            <w:rStyle w:val="Hyperlink"/>
          </w:rPr>
          <w:t>2.3 Related Party Transactions</w:t>
        </w:r>
        <w:r w:rsidR="00B97064" w:rsidRPr="00B97064">
          <w:rPr>
            <w:webHidden/>
          </w:rPr>
          <w:tab/>
        </w:r>
        <w:r w:rsidRPr="00B97064">
          <w:rPr>
            <w:webHidden/>
          </w:rPr>
          <w:fldChar w:fldCharType="begin"/>
        </w:r>
        <w:r w:rsidR="00B97064" w:rsidRPr="00B97064">
          <w:rPr>
            <w:webHidden/>
          </w:rPr>
          <w:instrText xml:space="preserve"> PAGEREF _Toc349585463 \h </w:instrText>
        </w:r>
        <w:r w:rsidRPr="00B97064">
          <w:rPr>
            <w:webHidden/>
          </w:rPr>
        </w:r>
        <w:r w:rsidRPr="00B97064">
          <w:rPr>
            <w:webHidden/>
          </w:rPr>
          <w:fldChar w:fldCharType="separate"/>
        </w:r>
        <w:r w:rsidR="00B97064" w:rsidRPr="00B97064">
          <w:rPr>
            <w:webHidden/>
          </w:rPr>
          <w:t>23</w:t>
        </w:r>
        <w:r w:rsidRPr="00B97064">
          <w:rPr>
            <w:webHidden/>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64" w:history="1">
        <w:r w:rsidR="00B97064" w:rsidRPr="00B97064">
          <w:rPr>
            <w:rStyle w:val="Hyperlink"/>
            <w:noProof/>
            <w:lang w:val="en-GB"/>
          </w:rPr>
          <w:t>2.3.1 IAS 24 and RJ 300</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_Toc349585464 \h </w:instrText>
        </w:r>
        <w:r w:rsidRPr="00B97064">
          <w:rPr>
            <w:noProof/>
            <w:webHidden/>
            <w:lang w:val="en-GB"/>
          </w:rPr>
        </w:r>
        <w:r w:rsidRPr="00B97064">
          <w:rPr>
            <w:noProof/>
            <w:webHidden/>
            <w:lang w:val="en-GB"/>
          </w:rPr>
          <w:fldChar w:fldCharType="separate"/>
        </w:r>
        <w:r w:rsidR="00B97064" w:rsidRPr="00B97064">
          <w:rPr>
            <w:noProof/>
            <w:webHidden/>
            <w:lang w:val="en-GB"/>
          </w:rPr>
          <w:t>24</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65" w:history="1">
        <w:r w:rsidR="00B97064" w:rsidRPr="00B97064">
          <w:rPr>
            <w:rStyle w:val="Hyperlink"/>
            <w:noProof/>
            <w:lang w:val="en-GB"/>
          </w:rPr>
          <w:t>2.3.2 Corporate governance code and RPTs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_Toc349585465 \h </w:instrText>
        </w:r>
        <w:r w:rsidRPr="00B97064">
          <w:rPr>
            <w:noProof/>
            <w:webHidden/>
            <w:lang w:val="en-GB"/>
          </w:rPr>
        </w:r>
        <w:r w:rsidRPr="00B97064">
          <w:rPr>
            <w:noProof/>
            <w:webHidden/>
            <w:lang w:val="en-GB"/>
          </w:rPr>
          <w:fldChar w:fldCharType="separate"/>
        </w:r>
        <w:r w:rsidR="00B97064" w:rsidRPr="00B97064">
          <w:rPr>
            <w:noProof/>
            <w:webHidden/>
            <w:lang w:val="en-GB"/>
          </w:rPr>
          <w:t>27</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66" w:history="1">
        <w:r w:rsidR="00B97064" w:rsidRPr="00B97064">
          <w:rPr>
            <w:rStyle w:val="Hyperlink"/>
            <w:noProof/>
            <w:lang w:val="en-GB"/>
          </w:rPr>
          <w:t>2.3.3 Sarbanes-Oxley Act and RPTs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_Toc349585466 \h </w:instrText>
        </w:r>
        <w:r w:rsidRPr="00B97064">
          <w:rPr>
            <w:noProof/>
            <w:webHidden/>
            <w:lang w:val="en-GB"/>
          </w:rPr>
        </w:r>
        <w:r w:rsidRPr="00B97064">
          <w:rPr>
            <w:noProof/>
            <w:webHidden/>
            <w:lang w:val="en-GB"/>
          </w:rPr>
          <w:fldChar w:fldCharType="separate"/>
        </w:r>
        <w:r w:rsidR="00B97064" w:rsidRPr="00B97064">
          <w:rPr>
            <w:noProof/>
            <w:webHidden/>
            <w:lang w:val="en-GB"/>
          </w:rPr>
          <w:t>27</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67" w:history="1">
        <w:r w:rsidR="00B97064" w:rsidRPr="00B97064">
          <w:rPr>
            <w:rStyle w:val="Hyperlink"/>
            <w:noProof/>
            <w:lang w:val="en-GB"/>
          </w:rPr>
          <w:t>2.3.4 Art. 9 OECD MTC</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_Toc349585467 \h </w:instrText>
        </w:r>
        <w:r w:rsidRPr="00B97064">
          <w:rPr>
            <w:noProof/>
            <w:webHidden/>
            <w:lang w:val="en-GB"/>
          </w:rPr>
        </w:r>
        <w:r w:rsidRPr="00B97064">
          <w:rPr>
            <w:noProof/>
            <w:webHidden/>
            <w:lang w:val="en-GB"/>
          </w:rPr>
          <w:fldChar w:fldCharType="separate"/>
        </w:r>
        <w:r w:rsidR="00B97064" w:rsidRPr="00B97064">
          <w:rPr>
            <w:noProof/>
            <w:webHidden/>
            <w:lang w:val="en-GB"/>
          </w:rPr>
          <w:t>27</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68" w:history="1">
        <w:r w:rsidR="00B97064" w:rsidRPr="00B97064">
          <w:rPr>
            <w:rStyle w:val="Hyperlink"/>
          </w:rPr>
          <w:t>2.4 Voluntary disclosure</w:t>
        </w:r>
        <w:r w:rsidR="00B97064" w:rsidRPr="00B97064">
          <w:rPr>
            <w:webHidden/>
          </w:rPr>
          <w:tab/>
        </w:r>
        <w:r w:rsidRPr="00B97064">
          <w:rPr>
            <w:webHidden/>
          </w:rPr>
          <w:fldChar w:fldCharType="begin"/>
        </w:r>
        <w:r w:rsidR="00B97064" w:rsidRPr="00B97064">
          <w:rPr>
            <w:webHidden/>
          </w:rPr>
          <w:instrText xml:space="preserve"> PAGEREF _Toc349585468 \h </w:instrText>
        </w:r>
        <w:r w:rsidRPr="00B97064">
          <w:rPr>
            <w:webHidden/>
          </w:rPr>
        </w:r>
        <w:r w:rsidRPr="00B97064">
          <w:rPr>
            <w:webHidden/>
          </w:rPr>
          <w:fldChar w:fldCharType="separate"/>
        </w:r>
        <w:r w:rsidR="00B97064" w:rsidRPr="00B97064">
          <w:rPr>
            <w:webHidden/>
          </w:rPr>
          <w:t>28</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69" w:history="1">
        <w:r w:rsidR="00B97064" w:rsidRPr="00B97064">
          <w:rPr>
            <w:rStyle w:val="Hyperlink"/>
          </w:rPr>
          <w:t>2.5 Summary</w:t>
        </w:r>
        <w:r w:rsidR="00B97064" w:rsidRPr="00B97064">
          <w:rPr>
            <w:webHidden/>
          </w:rPr>
          <w:tab/>
        </w:r>
        <w:r w:rsidRPr="00B97064">
          <w:rPr>
            <w:webHidden/>
          </w:rPr>
          <w:fldChar w:fldCharType="begin"/>
        </w:r>
        <w:r w:rsidR="00B97064" w:rsidRPr="00B97064">
          <w:rPr>
            <w:webHidden/>
          </w:rPr>
          <w:instrText xml:space="preserve"> PAGEREF _Toc349585469 \h </w:instrText>
        </w:r>
        <w:r w:rsidRPr="00B97064">
          <w:rPr>
            <w:webHidden/>
          </w:rPr>
        </w:r>
        <w:r w:rsidRPr="00B97064">
          <w:rPr>
            <w:webHidden/>
          </w:rPr>
          <w:fldChar w:fldCharType="separate"/>
        </w:r>
        <w:r w:rsidR="00B97064" w:rsidRPr="00B97064">
          <w:rPr>
            <w:webHidden/>
          </w:rPr>
          <w:t>30</w:t>
        </w:r>
        <w:r w:rsidRPr="00B97064">
          <w:rPr>
            <w:webHidden/>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470" w:history="1">
        <w:r w:rsidR="00B97064" w:rsidRPr="00B97064">
          <w:rPr>
            <w:rStyle w:val="Hyperlink"/>
            <w:noProof/>
            <w:lang w:val="en-GB"/>
          </w:rPr>
          <w:t>3. Empirical research</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_Toc349585470 \h </w:instrText>
        </w:r>
        <w:r w:rsidRPr="00B97064">
          <w:rPr>
            <w:noProof/>
            <w:webHidden/>
            <w:lang w:val="en-GB"/>
          </w:rPr>
        </w:r>
        <w:r w:rsidRPr="00B97064">
          <w:rPr>
            <w:noProof/>
            <w:webHidden/>
            <w:lang w:val="en-GB"/>
          </w:rPr>
          <w:fldChar w:fldCharType="separate"/>
        </w:r>
        <w:r w:rsidR="00B97064" w:rsidRPr="00B97064">
          <w:rPr>
            <w:noProof/>
            <w:webHidden/>
            <w:lang w:val="en-GB"/>
          </w:rPr>
          <w:t>32</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71" w:history="1">
        <w:r w:rsidR="00B97064" w:rsidRPr="00B97064">
          <w:rPr>
            <w:rStyle w:val="Hyperlink"/>
          </w:rPr>
          <w:t>3.1 Introduction</w:t>
        </w:r>
        <w:r w:rsidR="00B97064" w:rsidRPr="00B97064">
          <w:rPr>
            <w:webHidden/>
          </w:rPr>
          <w:tab/>
        </w:r>
        <w:r w:rsidRPr="00B97064">
          <w:rPr>
            <w:webHidden/>
          </w:rPr>
          <w:fldChar w:fldCharType="begin"/>
        </w:r>
        <w:r w:rsidR="00B97064" w:rsidRPr="00B97064">
          <w:rPr>
            <w:webHidden/>
          </w:rPr>
          <w:instrText xml:space="preserve"> PAGEREF _Toc349585471 \h </w:instrText>
        </w:r>
        <w:r w:rsidRPr="00B97064">
          <w:rPr>
            <w:webHidden/>
          </w:rPr>
        </w:r>
        <w:r w:rsidRPr="00B97064">
          <w:rPr>
            <w:webHidden/>
          </w:rPr>
          <w:fldChar w:fldCharType="separate"/>
        </w:r>
        <w:r w:rsidR="00B97064" w:rsidRPr="00B97064">
          <w:rPr>
            <w:webHidden/>
          </w:rPr>
          <w:t>32</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72" w:history="1">
        <w:r w:rsidR="00B97064" w:rsidRPr="00B97064">
          <w:rPr>
            <w:rStyle w:val="Hyperlink"/>
          </w:rPr>
          <w:t>3.2 Agency problem</w:t>
        </w:r>
        <w:r w:rsidR="00B97064" w:rsidRPr="00B97064">
          <w:rPr>
            <w:webHidden/>
          </w:rPr>
          <w:tab/>
        </w:r>
        <w:r w:rsidRPr="00B97064">
          <w:rPr>
            <w:webHidden/>
          </w:rPr>
          <w:fldChar w:fldCharType="begin"/>
        </w:r>
        <w:r w:rsidR="00B97064" w:rsidRPr="00B97064">
          <w:rPr>
            <w:webHidden/>
          </w:rPr>
          <w:instrText xml:space="preserve"> PAGEREF _Toc349585472 \h </w:instrText>
        </w:r>
        <w:r w:rsidRPr="00B97064">
          <w:rPr>
            <w:webHidden/>
          </w:rPr>
        </w:r>
        <w:r w:rsidRPr="00B97064">
          <w:rPr>
            <w:webHidden/>
          </w:rPr>
          <w:fldChar w:fldCharType="separate"/>
        </w:r>
        <w:r w:rsidR="00B97064" w:rsidRPr="00B97064">
          <w:rPr>
            <w:webHidden/>
          </w:rPr>
          <w:t>32</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73" w:history="1">
        <w:r w:rsidR="00B97064" w:rsidRPr="00B97064">
          <w:rPr>
            <w:rStyle w:val="Hyperlink"/>
          </w:rPr>
          <w:t>3.3 RPTs and earnings management</w:t>
        </w:r>
        <w:r w:rsidR="00B97064" w:rsidRPr="00B97064">
          <w:rPr>
            <w:webHidden/>
          </w:rPr>
          <w:tab/>
        </w:r>
        <w:r w:rsidRPr="00B97064">
          <w:rPr>
            <w:webHidden/>
          </w:rPr>
          <w:fldChar w:fldCharType="begin"/>
        </w:r>
        <w:r w:rsidR="00B97064" w:rsidRPr="00B97064">
          <w:rPr>
            <w:webHidden/>
          </w:rPr>
          <w:instrText xml:space="preserve"> PAGEREF _Toc349585473 \h </w:instrText>
        </w:r>
        <w:r w:rsidRPr="00B97064">
          <w:rPr>
            <w:webHidden/>
          </w:rPr>
        </w:r>
        <w:r w:rsidRPr="00B97064">
          <w:rPr>
            <w:webHidden/>
          </w:rPr>
          <w:fldChar w:fldCharType="separate"/>
        </w:r>
        <w:r w:rsidR="00B97064" w:rsidRPr="00B97064">
          <w:rPr>
            <w:webHidden/>
          </w:rPr>
          <w:t>33</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74" w:history="1">
        <w:r w:rsidR="00B97064" w:rsidRPr="00B97064">
          <w:rPr>
            <w:rStyle w:val="Hyperlink"/>
          </w:rPr>
          <w:t>3.4 RPTs and firm value</w:t>
        </w:r>
        <w:r w:rsidR="00B97064" w:rsidRPr="00B97064">
          <w:rPr>
            <w:webHidden/>
          </w:rPr>
          <w:tab/>
        </w:r>
        <w:r w:rsidRPr="00B97064">
          <w:rPr>
            <w:webHidden/>
          </w:rPr>
          <w:fldChar w:fldCharType="begin"/>
        </w:r>
        <w:r w:rsidR="00B97064" w:rsidRPr="00B97064">
          <w:rPr>
            <w:webHidden/>
          </w:rPr>
          <w:instrText xml:space="preserve"> PAGEREF _Toc349585474 \h </w:instrText>
        </w:r>
        <w:r w:rsidRPr="00B97064">
          <w:rPr>
            <w:webHidden/>
          </w:rPr>
        </w:r>
        <w:r w:rsidRPr="00B97064">
          <w:rPr>
            <w:webHidden/>
          </w:rPr>
          <w:fldChar w:fldCharType="separate"/>
        </w:r>
        <w:r w:rsidR="00B97064" w:rsidRPr="00B97064">
          <w:rPr>
            <w:webHidden/>
          </w:rPr>
          <w:t>34</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75" w:history="1">
        <w:r w:rsidR="00B97064" w:rsidRPr="00B97064">
          <w:rPr>
            <w:rStyle w:val="Hyperlink"/>
          </w:rPr>
          <w:t>3.5 Investor protection and legal system</w:t>
        </w:r>
        <w:r w:rsidR="00B97064" w:rsidRPr="00B97064">
          <w:rPr>
            <w:webHidden/>
          </w:rPr>
          <w:tab/>
        </w:r>
        <w:r w:rsidRPr="00B97064">
          <w:rPr>
            <w:webHidden/>
          </w:rPr>
          <w:fldChar w:fldCharType="begin"/>
        </w:r>
        <w:r w:rsidR="00B97064" w:rsidRPr="00B97064">
          <w:rPr>
            <w:webHidden/>
          </w:rPr>
          <w:instrText xml:space="preserve"> PAGEREF _Toc349585475 \h </w:instrText>
        </w:r>
        <w:r w:rsidRPr="00B97064">
          <w:rPr>
            <w:webHidden/>
          </w:rPr>
        </w:r>
        <w:r w:rsidRPr="00B97064">
          <w:rPr>
            <w:webHidden/>
          </w:rPr>
          <w:fldChar w:fldCharType="separate"/>
        </w:r>
        <w:r w:rsidR="00B97064" w:rsidRPr="00B97064">
          <w:rPr>
            <w:webHidden/>
          </w:rPr>
          <w:t>37</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76" w:history="1">
        <w:r w:rsidR="00B97064" w:rsidRPr="00B97064">
          <w:rPr>
            <w:rStyle w:val="Hyperlink"/>
          </w:rPr>
          <w:t>3.6 Cross-listing</w:t>
        </w:r>
        <w:r w:rsidR="00B97064" w:rsidRPr="00B97064">
          <w:rPr>
            <w:webHidden/>
          </w:rPr>
          <w:tab/>
        </w:r>
        <w:r w:rsidRPr="00B97064">
          <w:rPr>
            <w:webHidden/>
          </w:rPr>
          <w:fldChar w:fldCharType="begin"/>
        </w:r>
        <w:r w:rsidR="00B97064" w:rsidRPr="00B97064">
          <w:rPr>
            <w:webHidden/>
          </w:rPr>
          <w:instrText xml:space="preserve"> PAGEREF _Toc349585476 \h </w:instrText>
        </w:r>
        <w:r w:rsidRPr="00B97064">
          <w:rPr>
            <w:webHidden/>
          </w:rPr>
        </w:r>
        <w:r w:rsidRPr="00B97064">
          <w:rPr>
            <w:webHidden/>
          </w:rPr>
          <w:fldChar w:fldCharType="separate"/>
        </w:r>
        <w:r w:rsidR="00B97064" w:rsidRPr="00B97064">
          <w:rPr>
            <w:webHidden/>
          </w:rPr>
          <w:t>39</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77" w:history="1">
        <w:r w:rsidR="00B97064" w:rsidRPr="00B97064">
          <w:rPr>
            <w:rStyle w:val="Hyperlink"/>
          </w:rPr>
          <w:t>3.7 Disclosure level</w:t>
        </w:r>
        <w:r w:rsidR="00B97064" w:rsidRPr="00B97064">
          <w:rPr>
            <w:webHidden/>
          </w:rPr>
          <w:tab/>
        </w:r>
        <w:r w:rsidRPr="00B97064">
          <w:rPr>
            <w:webHidden/>
          </w:rPr>
          <w:fldChar w:fldCharType="begin"/>
        </w:r>
        <w:r w:rsidR="00B97064" w:rsidRPr="00B97064">
          <w:rPr>
            <w:webHidden/>
          </w:rPr>
          <w:instrText xml:space="preserve"> PAGEREF _Toc349585477 \h </w:instrText>
        </w:r>
        <w:r w:rsidRPr="00B97064">
          <w:rPr>
            <w:webHidden/>
          </w:rPr>
        </w:r>
        <w:r w:rsidRPr="00B97064">
          <w:rPr>
            <w:webHidden/>
          </w:rPr>
          <w:fldChar w:fldCharType="separate"/>
        </w:r>
        <w:r w:rsidR="00B97064" w:rsidRPr="00B97064">
          <w:rPr>
            <w:webHidden/>
          </w:rPr>
          <w:t>40</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78" w:history="1">
        <w:r w:rsidR="00B97064" w:rsidRPr="00B97064">
          <w:rPr>
            <w:rStyle w:val="Hyperlink"/>
          </w:rPr>
          <w:t>3.8 Firm characteristics</w:t>
        </w:r>
        <w:r w:rsidR="00B97064" w:rsidRPr="00B97064">
          <w:rPr>
            <w:webHidden/>
          </w:rPr>
          <w:tab/>
        </w:r>
        <w:r w:rsidRPr="00B97064">
          <w:rPr>
            <w:webHidden/>
          </w:rPr>
          <w:fldChar w:fldCharType="begin"/>
        </w:r>
        <w:r w:rsidR="00B97064" w:rsidRPr="00B97064">
          <w:rPr>
            <w:webHidden/>
          </w:rPr>
          <w:instrText xml:space="preserve"> PAGEREF _Toc349585478 \h </w:instrText>
        </w:r>
        <w:r w:rsidRPr="00B97064">
          <w:rPr>
            <w:webHidden/>
          </w:rPr>
        </w:r>
        <w:r w:rsidRPr="00B97064">
          <w:rPr>
            <w:webHidden/>
          </w:rPr>
          <w:fldChar w:fldCharType="separate"/>
        </w:r>
        <w:r w:rsidR="00B97064" w:rsidRPr="00B97064">
          <w:rPr>
            <w:webHidden/>
          </w:rPr>
          <w:t>41</w:t>
        </w:r>
        <w:r w:rsidRPr="00B97064">
          <w:rPr>
            <w:webHidden/>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79" w:history="1">
        <w:r w:rsidR="00B97064" w:rsidRPr="00B97064">
          <w:rPr>
            <w:rStyle w:val="Hyperlink"/>
            <w:noProof/>
            <w:lang w:val="en-GB"/>
          </w:rPr>
          <w:t>3.8.1 General</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_Toc349585479 \h </w:instrText>
        </w:r>
        <w:r w:rsidRPr="00B97064">
          <w:rPr>
            <w:noProof/>
            <w:webHidden/>
            <w:lang w:val="en-GB"/>
          </w:rPr>
        </w:r>
        <w:r w:rsidRPr="00B97064">
          <w:rPr>
            <w:noProof/>
            <w:webHidden/>
            <w:lang w:val="en-GB"/>
          </w:rPr>
          <w:fldChar w:fldCharType="separate"/>
        </w:r>
        <w:r w:rsidR="00B97064" w:rsidRPr="00B97064">
          <w:rPr>
            <w:noProof/>
            <w:webHidden/>
            <w:lang w:val="en-GB"/>
          </w:rPr>
          <w:t>41</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80" w:history="1">
        <w:r w:rsidR="00B97064" w:rsidRPr="00B97064">
          <w:rPr>
            <w:rStyle w:val="Hyperlink"/>
            <w:noProof/>
            <w:lang w:val="en-GB"/>
          </w:rPr>
          <w:t>3.8.2 Audit committee financial experts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_Toc349585480 \h </w:instrText>
        </w:r>
        <w:r w:rsidRPr="00B97064">
          <w:rPr>
            <w:noProof/>
            <w:webHidden/>
            <w:lang w:val="en-GB"/>
          </w:rPr>
        </w:r>
        <w:r w:rsidRPr="00B97064">
          <w:rPr>
            <w:noProof/>
            <w:webHidden/>
            <w:lang w:val="en-GB"/>
          </w:rPr>
          <w:fldChar w:fldCharType="separate"/>
        </w:r>
        <w:r w:rsidR="00B97064" w:rsidRPr="00B97064">
          <w:rPr>
            <w:noProof/>
            <w:webHidden/>
            <w:lang w:val="en-GB"/>
          </w:rPr>
          <w:t>42</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81" w:history="1">
        <w:r w:rsidR="00B97064" w:rsidRPr="00B97064">
          <w:rPr>
            <w:rStyle w:val="Hyperlink"/>
            <w:noProof/>
            <w:lang w:val="en-GB"/>
          </w:rPr>
          <w:t>3.8.3 Board(s) composition</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_Toc349585481 \h </w:instrText>
        </w:r>
        <w:r w:rsidRPr="00B97064">
          <w:rPr>
            <w:noProof/>
            <w:webHidden/>
            <w:lang w:val="en-GB"/>
          </w:rPr>
        </w:r>
        <w:r w:rsidRPr="00B97064">
          <w:rPr>
            <w:noProof/>
            <w:webHidden/>
            <w:lang w:val="en-GB"/>
          </w:rPr>
          <w:fldChar w:fldCharType="separate"/>
        </w:r>
        <w:r w:rsidR="00B97064" w:rsidRPr="00B97064">
          <w:rPr>
            <w:noProof/>
            <w:webHidden/>
            <w:lang w:val="en-GB"/>
          </w:rPr>
          <w:t>43</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82" w:history="1">
        <w:r w:rsidR="00B97064" w:rsidRPr="00B97064">
          <w:rPr>
            <w:rStyle w:val="Hyperlink"/>
            <w:noProof/>
            <w:lang w:val="en-GB"/>
          </w:rPr>
          <w:t>3.8.4 Auditor type</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_Toc349585482 \h </w:instrText>
        </w:r>
        <w:r w:rsidRPr="00B97064">
          <w:rPr>
            <w:noProof/>
            <w:webHidden/>
            <w:lang w:val="en-GB"/>
          </w:rPr>
        </w:r>
        <w:r w:rsidRPr="00B97064">
          <w:rPr>
            <w:noProof/>
            <w:webHidden/>
            <w:lang w:val="en-GB"/>
          </w:rPr>
          <w:fldChar w:fldCharType="separate"/>
        </w:r>
        <w:r w:rsidR="00B97064" w:rsidRPr="00B97064">
          <w:rPr>
            <w:noProof/>
            <w:webHidden/>
            <w:lang w:val="en-GB"/>
          </w:rPr>
          <w:t>44</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483" w:history="1">
        <w:r w:rsidR="00B97064" w:rsidRPr="00B97064">
          <w:rPr>
            <w:rStyle w:val="Hyperlink"/>
            <w:noProof/>
            <w:lang w:val="en-GB"/>
          </w:rPr>
          <w:t>3.8.5 Ownership</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_Toc349585483 \h </w:instrText>
        </w:r>
        <w:r w:rsidRPr="00B97064">
          <w:rPr>
            <w:noProof/>
            <w:webHidden/>
            <w:lang w:val="en-GB"/>
          </w:rPr>
        </w:r>
        <w:r w:rsidRPr="00B97064">
          <w:rPr>
            <w:noProof/>
            <w:webHidden/>
            <w:lang w:val="en-GB"/>
          </w:rPr>
          <w:fldChar w:fldCharType="separate"/>
        </w:r>
        <w:r w:rsidR="00B97064" w:rsidRPr="00B97064">
          <w:rPr>
            <w:noProof/>
            <w:webHidden/>
            <w:lang w:val="en-GB"/>
          </w:rPr>
          <w:t>45</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84" w:history="1">
        <w:r w:rsidR="00B97064" w:rsidRPr="00B97064">
          <w:rPr>
            <w:rStyle w:val="Hyperlink"/>
          </w:rPr>
          <w:t>3.9 Summarizing tables empirical research</w:t>
        </w:r>
        <w:r w:rsidR="00B97064" w:rsidRPr="00B97064">
          <w:rPr>
            <w:webHidden/>
          </w:rPr>
          <w:tab/>
        </w:r>
        <w:r w:rsidRPr="00B97064">
          <w:rPr>
            <w:webHidden/>
          </w:rPr>
          <w:fldChar w:fldCharType="begin"/>
        </w:r>
        <w:r w:rsidR="00B97064" w:rsidRPr="00B97064">
          <w:rPr>
            <w:webHidden/>
          </w:rPr>
          <w:instrText xml:space="preserve"> PAGEREF _Toc349585484 \h </w:instrText>
        </w:r>
        <w:r w:rsidRPr="00B97064">
          <w:rPr>
            <w:webHidden/>
          </w:rPr>
        </w:r>
        <w:r w:rsidRPr="00B97064">
          <w:rPr>
            <w:webHidden/>
          </w:rPr>
          <w:fldChar w:fldCharType="separate"/>
        </w:r>
        <w:r w:rsidR="00B97064" w:rsidRPr="00B97064">
          <w:rPr>
            <w:webHidden/>
          </w:rPr>
          <w:t>46</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85" w:history="1">
        <w:r w:rsidR="00B97064" w:rsidRPr="00B97064">
          <w:rPr>
            <w:rStyle w:val="Hyperlink"/>
          </w:rPr>
          <w:t>3.10 Summary</w:t>
        </w:r>
        <w:r w:rsidR="00B97064" w:rsidRPr="00B97064">
          <w:rPr>
            <w:webHidden/>
          </w:rPr>
          <w:tab/>
        </w:r>
        <w:r w:rsidRPr="00B97064">
          <w:rPr>
            <w:webHidden/>
          </w:rPr>
          <w:fldChar w:fldCharType="begin"/>
        </w:r>
        <w:r w:rsidR="00B97064" w:rsidRPr="00B97064">
          <w:rPr>
            <w:webHidden/>
          </w:rPr>
          <w:instrText xml:space="preserve"> PAGEREF _Toc349585485 \h </w:instrText>
        </w:r>
        <w:r w:rsidRPr="00B97064">
          <w:rPr>
            <w:webHidden/>
          </w:rPr>
        </w:r>
        <w:r w:rsidRPr="00B97064">
          <w:rPr>
            <w:webHidden/>
          </w:rPr>
          <w:fldChar w:fldCharType="separate"/>
        </w:r>
        <w:r w:rsidR="00B97064" w:rsidRPr="00B97064">
          <w:rPr>
            <w:webHidden/>
          </w:rPr>
          <w:t>53</w:t>
        </w:r>
        <w:r w:rsidRPr="00B97064">
          <w:rPr>
            <w:webHidden/>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486" w:history="1">
        <w:r w:rsidR="00B97064" w:rsidRPr="00B97064">
          <w:rPr>
            <w:rStyle w:val="Hyperlink"/>
            <w:noProof/>
            <w:lang w:val="en-GB"/>
          </w:rPr>
          <w:t>4. Methodology</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_Toc349585486 \h </w:instrText>
        </w:r>
        <w:r w:rsidRPr="00B97064">
          <w:rPr>
            <w:noProof/>
            <w:webHidden/>
            <w:lang w:val="en-GB"/>
          </w:rPr>
        </w:r>
        <w:r w:rsidRPr="00B97064">
          <w:rPr>
            <w:noProof/>
            <w:webHidden/>
            <w:lang w:val="en-GB"/>
          </w:rPr>
          <w:fldChar w:fldCharType="separate"/>
        </w:r>
        <w:r w:rsidR="00B97064" w:rsidRPr="00B97064">
          <w:rPr>
            <w:noProof/>
            <w:webHidden/>
            <w:lang w:val="en-GB"/>
          </w:rPr>
          <w:t>56</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87" w:history="1">
        <w:r w:rsidR="00B97064" w:rsidRPr="00B97064">
          <w:rPr>
            <w:rStyle w:val="Hyperlink"/>
          </w:rPr>
          <w:t>4.1 Introduction</w:t>
        </w:r>
        <w:r w:rsidR="00B97064" w:rsidRPr="00B97064">
          <w:rPr>
            <w:webHidden/>
          </w:rPr>
          <w:tab/>
        </w:r>
        <w:r w:rsidRPr="00B97064">
          <w:rPr>
            <w:webHidden/>
          </w:rPr>
          <w:fldChar w:fldCharType="begin"/>
        </w:r>
        <w:r w:rsidR="00B97064" w:rsidRPr="00B97064">
          <w:rPr>
            <w:webHidden/>
          </w:rPr>
          <w:instrText xml:space="preserve"> PAGEREF _Toc349585487 \h </w:instrText>
        </w:r>
        <w:r w:rsidRPr="00B97064">
          <w:rPr>
            <w:webHidden/>
          </w:rPr>
        </w:r>
        <w:r w:rsidRPr="00B97064">
          <w:rPr>
            <w:webHidden/>
          </w:rPr>
          <w:fldChar w:fldCharType="separate"/>
        </w:r>
        <w:r w:rsidR="00B97064" w:rsidRPr="00B97064">
          <w:rPr>
            <w:webHidden/>
          </w:rPr>
          <w:t>56</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88" w:history="1">
        <w:r w:rsidR="00B97064" w:rsidRPr="00B97064">
          <w:rPr>
            <w:rStyle w:val="Hyperlink"/>
          </w:rPr>
          <w:t>4.2 Problem definition</w:t>
        </w:r>
        <w:r w:rsidR="00B97064" w:rsidRPr="00B97064">
          <w:rPr>
            <w:webHidden/>
          </w:rPr>
          <w:tab/>
        </w:r>
        <w:r w:rsidRPr="00B97064">
          <w:rPr>
            <w:webHidden/>
          </w:rPr>
          <w:fldChar w:fldCharType="begin"/>
        </w:r>
        <w:r w:rsidR="00B97064" w:rsidRPr="00B97064">
          <w:rPr>
            <w:webHidden/>
          </w:rPr>
          <w:instrText xml:space="preserve"> PAGEREF _Toc349585488 \h </w:instrText>
        </w:r>
        <w:r w:rsidRPr="00B97064">
          <w:rPr>
            <w:webHidden/>
          </w:rPr>
        </w:r>
        <w:r w:rsidRPr="00B97064">
          <w:rPr>
            <w:webHidden/>
          </w:rPr>
          <w:fldChar w:fldCharType="separate"/>
        </w:r>
        <w:r w:rsidR="00B97064" w:rsidRPr="00B97064">
          <w:rPr>
            <w:webHidden/>
          </w:rPr>
          <w:t>56</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89" w:history="1">
        <w:r w:rsidR="00B97064" w:rsidRPr="00B97064">
          <w:rPr>
            <w:rStyle w:val="Hyperlink"/>
          </w:rPr>
          <w:t>4.3 Sample</w:t>
        </w:r>
        <w:r w:rsidR="00B97064" w:rsidRPr="00B97064">
          <w:rPr>
            <w:webHidden/>
          </w:rPr>
          <w:tab/>
        </w:r>
        <w:r w:rsidRPr="00B97064">
          <w:rPr>
            <w:webHidden/>
          </w:rPr>
          <w:fldChar w:fldCharType="begin"/>
        </w:r>
        <w:r w:rsidR="00B97064" w:rsidRPr="00B97064">
          <w:rPr>
            <w:webHidden/>
          </w:rPr>
          <w:instrText xml:space="preserve"> PAGEREF _Toc349585489 \h </w:instrText>
        </w:r>
        <w:r w:rsidRPr="00B97064">
          <w:rPr>
            <w:webHidden/>
          </w:rPr>
        </w:r>
        <w:r w:rsidRPr="00B97064">
          <w:rPr>
            <w:webHidden/>
          </w:rPr>
          <w:fldChar w:fldCharType="separate"/>
        </w:r>
        <w:r w:rsidR="00B97064" w:rsidRPr="00B97064">
          <w:rPr>
            <w:webHidden/>
          </w:rPr>
          <w:t>57</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90" w:history="1">
        <w:r w:rsidR="00B97064" w:rsidRPr="00B97064">
          <w:rPr>
            <w:rStyle w:val="Hyperlink"/>
          </w:rPr>
          <w:t>4.4 Research part I: Relation RPTs, disclosure quality and firm value</w:t>
        </w:r>
        <w:r w:rsidR="00B97064" w:rsidRPr="00B97064">
          <w:rPr>
            <w:webHidden/>
          </w:rPr>
          <w:tab/>
        </w:r>
        <w:r w:rsidRPr="00B97064">
          <w:rPr>
            <w:webHidden/>
          </w:rPr>
          <w:fldChar w:fldCharType="begin"/>
        </w:r>
        <w:r w:rsidR="00B97064" w:rsidRPr="00B97064">
          <w:rPr>
            <w:webHidden/>
          </w:rPr>
          <w:instrText xml:space="preserve"> PAGEREF _Toc349585490 \h </w:instrText>
        </w:r>
        <w:r w:rsidRPr="00B97064">
          <w:rPr>
            <w:webHidden/>
          </w:rPr>
        </w:r>
        <w:r w:rsidRPr="00B97064">
          <w:rPr>
            <w:webHidden/>
          </w:rPr>
          <w:fldChar w:fldCharType="separate"/>
        </w:r>
        <w:r w:rsidR="00B97064" w:rsidRPr="00B97064">
          <w:rPr>
            <w:webHidden/>
          </w:rPr>
          <w:t>57</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91" w:history="1">
        <w:r w:rsidR="00B97064" w:rsidRPr="00B97064">
          <w:rPr>
            <w:rStyle w:val="Hyperlink"/>
          </w:rPr>
          <w:t>4.5 Research part II: Relation CGOCs and PRTs</w:t>
        </w:r>
        <w:r w:rsidR="00B97064" w:rsidRPr="00B97064">
          <w:rPr>
            <w:webHidden/>
          </w:rPr>
          <w:tab/>
        </w:r>
        <w:r w:rsidRPr="00B97064">
          <w:rPr>
            <w:webHidden/>
          </w:rPr>
          <w:fldChar w:fldCharType="begin"/>
        </w:r>
        <w:r w:rsidR="00B97064" w:rsidRPr="00B97064">
          <w:rPr>
            <w:webHidden/>
          </w:rPr>
          <w:instrText xml:space="preserve"> PAGEREF _Toc349585491 \h </w:instrText>
        </w:r>
        <w:r w:rsidRPr="00B97064">
          <w:rPr>
            <w:webHidden/>
          </w:rPr>
        </w:r>
        <w:r w:rsidRPr="00B97064">
          <w:rPr>
            <w:webHidden/>
          </w:rPr>
          <w:fldChar w:fldCharType="separate"/>
        </w:r>
        <w:r w:rsidR="00B97064" w:rsidRPr="00B97064">
          <w:rPr>
            <w:webHidden/>
          </w:rPr>
          <w:t>60</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92" w:history="1">
        <w:r w:rsidR="00B97064" w:rsidRPr="00B97064">
          <w:rPr>
            <w:rStyle w:val="Hyperlink"/>
          </w:rPr>
          <w:t>4.6 Panel data analysis research part I &amp; II</w:t>
        </w:r>
        <w:r w:rsidR="00B97064" w:rsidRPr="00B97064">
          <w:rPr>
            <w:webHidden/>
          </w:rPr>
          <w:tab/>
        </w:r>
        <w:r w:rsidRPr="00B97064">
          <w:rPr>
            <w:webHidden/>
          </w:rPr>
          <w:fldChar w:fldCharType="begin"/>
        </w:r>
        <w:r w:rsidR="00B97064" w:rsidRPr="00B97064">
          <w:rPr>
            <w:webHidden/>
          </w:rPr>
          <w:instrText xml:space="preserve"> PAGEREF _Toc349585492 \h </w:instrText>
        </w:r>
        <w:r w:rsidRPr="00B97064">
          <w:rPr>
            <w:webHidden/>
          </w:rPr>
        </w:r>
        <w:r w:rsidRPr="00B97064">
          <w:rPr>
            <w:webHidden/>
          </w:rPr>
          <w:fldChar w:fldCharType="separate"/>
        </w:r>
        <w:r w:rsidR="00B97064" w:rsidRPr="00B97064">
          <w:rPr>
            <w:webHidden/>
          </w:rPr>
          <w:t>63</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93" w:history="1">
        <w:r w:rsidR="00B97064" w:rsidRPr="00B97064">
          <w:rPr>
            <w:rStyle w:val="Hyperlink"/>
          </w:rPr>
          <w:t>4.7 Research part III: effectiveness Dutch corporate governance code</w:t>
        </w:r>
        <w:r w:rsidR="00B97064" w:rsidRPr="00B97064">
          <w:rPr>
            <w:webHidden/>
          </w:rPr>
          <w:tab/>
        </w:r>
        <w:r w:rsidRPr="00B97064">
          <w:rPr>
            <w:webHidden/>
          </w:rPr>
          <w:fldChar w:fldCharType="begin"/>
        </w:r>
        <w:r w:rsidR="00B97064" w:rsidRPr="00B97064">
          <w:rPr>
            <w:webHidden/>
          </w:rPr>
          <w:instrText xml:space="preserve"> PAGEREF _Toc349585493 \h </w:instrText>
        </w:r>
        <w:r w:rsidRPr="00B97064">
          <w:rPr>
            <w:webHidden/>
          </w:rPr>
        </w:r>
        <w:r w:rsidRPr="00B97064">
          <w:rPr>
            <w:webHidden/>
          </w:rPr>
          <w:fldChar w:fldCharType="separate"/>
        </w:r>
        <w:r w:rsidR="00B97064" w:rsidRPr="00B97064">
          <w:rPr>
            <w:webHidden/>
          </w:rPr>
          <w:t>64</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94" w:history="1">
        <w:r w:rsidR="00B97064" w:rsidRPr="00B97064">
          <w:rPr>
            <w:rStyle w:val="Hyperlink"/>
          </w:rPr>
          <w:t>4.8 Hypotheses</w:t>
        </w:r>
        <w:r w:rsidR="00B97064" w:rsidRPr="00B97064">
          <w:rPr>
            <w:webHidden/>
          </w:rPr>
          <w:tab/>
        </w:r>
        <w:r w:rsidRPr="00B97064">
          <w:rPr>
            <w:webHidden/>
          </w:rPr>
          <w:fldChar w:fldCharType="begin"/>
        </w:r>
        <w:r w:rsidR="00B97064" w:rsidRPr="00B97064">
          <w:rPr>
            <w:webHidden/>
          </w:rPr>
          <w:instrText xml:space="preserve"> PAGEREF _Toc349585494 \h </w:instrText>
        </w:r>
        <w:r w:rsidRPr="00B97064">
          <w:rPr>
            <w:webHidden/>
          </w:rPr>
        </w:r>
        <w:r w:rsidRPr="00B97064">
          <w:rPr>
            <w:webHidden/>
          </w:rPr>
          <w:fldChar w:fldCharType="separate"/>
        </w:r>
        <w:r w:rsidR="00B97064" w:rsidRPr="00B97064">
          <w:rPr>
            <w:webHidden/>
          </w:rPr>
          <w:t>65</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95" w:history="1">
        <w:r w:rsidR="00B97064" w:rsidRPr="00B97064">
          <w:rPr>
            <w:rStyle w:val="Hyperlink"/>
          </w:rPr>
          <w:t>4.9 Summary</w:t>
        </w:r>
        <w:r w:rsidR="00B97064" w:rsidRPr="00B97064">
          <w:rPr>
            <w:webHidden/>
          </w:rPr>
          <w:tab/>
        </w:r>
        <w:r w:rsidRPr="00B97064">
          <w:rPr>
            <w:webHidden/>
          </w:rPr>
          <w:fldChar w:fldCharType="begin"/>
        </w:r>
        <w:r w:rsidR="00B97064" w:rsidRPr="00B97064">
          <w:rPr>
            <w:webHidden/>
          </w:rPr>
          <w:instrText xml:space="preserve"> PAGEREF _Toc349585495 \h </w:instrText>
        </w:r>
        <w:r w:rsidRPr="00B97064">
          <w:rPr>
            <w:webHidden/>
          </w:rPr>
        </w:r>
        <w:r w:rsidRPr="00B97064">
          <w:rPr>
            <w:webHidden/>
          </w:rPr>
          <w:fldChar w:fldCharType="separate"/>
        </w:r>
        <w:r w:rsidR="00B97064" w:rsidRPr="00B97064">
          <w:rPr>
            <w:webHidden/>
          </w:rPr>
          <w:t>66</w:t>
        </w:r>
        <w:r w:rsidRPr="00B97064">
          <w:rPr>
            <w:webHidden/>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496" w:history="1">
        <w:r w:rsidR="00B97064" w:rsidRPr="00B97064">
          <w:rPr>
            <w:rStyle w:val="Hyperlink"/>
            <w:noProof/>
            <w:lang w:val="en-GB"/>
          </w:rPr>
          <w:t>5. Data collection and data transformation</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_Toc349585496 \h </w:instrText>
        </w:r>
        <w:r w:rsidRPr="00B97064">
          <w:rPr>
            <w:noProof/>
            <w:webHidden/>
            <w:lang w:val="en-GB"/>
          </w:rPr>
        </w:r>
        <w:r w:rsidRPr="00B97064">
          <w:rPr>
            <w:noProof/>
            <w:webHidden/>
            <w:lang w:val="en-GB"/>
          </w:rPr>
          <w:fldChar w:fldCharType="separate"/>
        </w:r>
        <w:r w:rsidR="00B97064" w:rsidRPr="00B97064">
          <w:rPr>
            <w:noProof/>
            <w:webHidden/>
            <w:lang w:val="en-GB"/>
          </w:rPr>
          <w:t>67</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97" w:history="1">
        <w:r w:rsidR="00B97064" w:rsidRPr="00B97064">
          <w:rPr>
            <w:rStyle w:val="Hyperlink"/>
          </w:rPr>
          <w:t>5.1 Introduction</w:t>
        </w:r>
        <w:r w:rsidR="00B97064" w:rsidRPr="00B97064">
          <w:rPr>
            <w:webHidden/>
          </w:rPr>
          <w:tab/>
        </w:r>
        <w:r w:rsidRPr="00B97064">
          <w:rPr>
            <w:webHidden/>
          </w:rPr>
          <w:fldChar w:fldCharType="begin"/>
        </w:r>
        <w:r w:rsidR="00B97064" w:rsidRPr="00B97064">
          <w:rPr>
            <w:webHidden/>
          </w:rPr>
          <w:instrText xml:space="preserve"> PAGEREF _Toc349585497 \h </w:instrText>
        </w:r>
        <w:r w:rsidRPr="00B97064">
          <w:rPr>
            <w:webHidden/>
          </w:rPr>
        </w:r>
        <w:r w:rsidRPr="00B97064">
          <w:rPr>
            <w:webHidden/>
          </w:rPr>
          <w:fldChar w:fldCharType="separate"/>
        </w:r>
        <w:r w:rsidR="00B97064" w:rsidRPr="00B97064">
          <w:rPr>
            <w:webHidden/>
          </w:rPr>
          <w:t>67</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98" w:history="1">
        <w:r w:rsidR="00B97064" w:rsidRPr="00B97064">
          <w:rPr>
            <w:rStyle w:val="Hyperlink"/>
          </w:rPr>
          <w:t>5.2 Data collection and final sample composition</w:t>
        </w:r>
        <w:r w:rsidR="00B97064" w:rsidRPr="00B97064">
          <w:rPr>
            <w:webHidden/>
          </w:rPr>
          <w:tab/>
        </w:r>
        <w:r w:rsidRPr="00B97064">
          <w:rPr>
            <w:webHidden/>
          </w:rPr>
          <w:fldChar w:fldCharType="begin"/>
        </w:r>
        <w:r w:rsidR="00B97064" w:rsidRPr="00B97064">
          <w:rPr>
            <w:webHidden/>
          </w:rPr>
          <w:instrText xml:space="preserve"> PAGEREF _Toc349585498 \h </w:instrText>
        </w:r>
        <w:r w:rsidRPr="00B97064">
          <w:rPr>
            <w:webHidden/>
          </w:rPr>
        </w:r>
        <w:r w:rsidRPr="00B97064">
          <w:rPr>
            <w:webHidden/>
          </w:rPr>
          <w:fldChar w:fldCharType="separate"/>
        </w:r>
        <w:r w:rsidR="00B97064" w:rsidRPr="00B97064">
          <w:rPr>
            <w:webHidden/>
          </w:rPr>
          <w:t>67</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499" w:history="1">
        <w:r w:rsidR="00B97064" w:rsidRPr="00B97064">
          <w:rPr>
            <w:rStyle w:val="Hyperlink"/>
          </w:rPr>
          <w:t>5.3 Data transformation</w:t>
        </w:r>
        <w:r w:rsidR="00B97064" w:rsidRPr="00B97064">
          <w:rPr>
            <w:webHidden/>
          </w:rPr>
          <w:tab/>
        </w:r>
        <w:r w:rsidRPr="00B97064">
          <w:rPr>
            <w:webHidden/>
          </w:rPr>
          <w:fldChar w:fldCharType="begin"/>
        </w:r>
        <w:r w:rsidR="00B97064" w:rsidRPr="00B97064">
          <w:rPr>
            <w:webHidden/>
          </w:rPr>
          <w:instrText xml:space="preserve"> PAGEREF _Toc349585499 \h </w:instrText>
        </w:r>
        <w:r w:rsidRPr="00B97064">
          <w:rPr>
            <w:webHidden/>
          </w:rPr>
        </w:r>
        <w:r w:rsidRPr="00B97064">
          <w:rPr>
            <w:webHidden/>
          </w:rPr>
          <w:fldChar w:fldCharType="separate"/>
        </w:r>
        <w:r w:rsidR="00B97064" w:rsidRPr="00B97064">
          <w:rPr>
            <w:webHidden/>
          </w:rPr>
          <w:t>67</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00" w:history="1">
        <w:r w:rsidR="00B97064" w:rsidRPr="00B97064">
          <w:rPr>
            <w:rStyle w:val="Hyperlink"/>
          </w:rPr>
          <w:t>5.4 Summary</w:t>
        </w:r>
        <w:r w:rsidR="00B97064" w:rsidRPr="00B97064">
          <w:rPr>
            <w:webHidden/>
          </w:rPr>
          <w:tab/>
        </w:r>
        <w:r w:rsidRPr="00B97064">
          <w:rPr>
            <w:webHidden/>
          </w:rPr>
          <w:fldChar w:fldCharType="begin"/>
        </w:r>
        <w:r w:rsidR="00B97064" w:rsidRPr="00B97064">
          <w:rPr>
            <w:webHidden/>
          </w:rPr>
          <w:instrText xml:space="preserve"> PAGEREF _Toc349585500 \h </w:instrText>
        </w:r>
        <w:r w:rsidRPr="00B97064">
          <w:rPr>
            <w:webHidden/>
          </w:rPr>
        </w:r>
        <w:r w:rsidRPr="00B97064">
          <w:rPr>
            <w:webHidden/>
          </w:rPr>
          <w:fldChar w:fldCharType="separate"/>
        </w:r>
        <w:r w:rsidR="00B97064" w:rsidRPr="00B97064">
          <w:rPr>
            <w:webHidden/>
          </w:rPr>
          <w:t>69</w:t>
        </w:r>
        <w:r w:rsidRPr="00B97064">
          <w:rPr>
            <w:webHidden/>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501" w:history="1">
        <w:r w:rsidR="00B97064" w:rsidRPr="00B97064">
          <w:rPr>
            <w:rStyle w:val="Hyperlink"/>
            <w:noProof/>
            <w:lang w:val="en-GB"/>
          </w:rPr>
          <w:t>6. Empirical results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_Toc349585501 \h </w:instrText>
        </w:r>
        <w:r w:rsidRPr="00B97064">
          <w:rPr>
            <w:noProof/>
            <w:webHidden/>
            <w:lang w:val="en-GB"/>
          </w:rPr>
        </w:r>
        <w:r w:rsidRPr="00B97064">
          <w:rPr>
            <w:noProof/>
            <w:webHidden/>
            <w:lang w:val="en-GB"/>
          </w:rPr>
          <w:fldChar w:fldCharType="separate"/>
        </w:r>
        <w:r w:rsidR="00B97064" w:rsidRPr="00B97064">
          <w:rPr>
            <w:noProof/>
            <w:webHidden/>
            <w:lang w:val="en-GB"/>
          </w:rPr>
          <w:t>70</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02" w:history="1">
        <w:r w:rsidR="00B97064" w:rsidRPr="00B97064">
          <w:rPr>
            <w:rStyle w:val="Hyperlink"/>
          </w:rPr>
          <w:t>6.1 Introduction</w:t>
        </w:r>
        <w:r w:rsidR="00B97064" w:rsidRPr="00B97064">
          <w:rPr>
            <w:webHidden/>
          </w:rPr>
          <w:tab/>
        </w:r>
        <w:r w:rsidRPr="00B97064">
          <w:rPr>
            <w:webHidden/>
          </w:rPr>
          <w:fldChar w:fldCharType="begin"/>
        </w:r>
        <w:r w:rsidR="00B97064" w:rsidRPr="00B97064">
          <w:rPr>
            <w:webHidden/>
          </w:rPr>
          <w:instrText xml:space="preserve"> PAGEREF _Toc349585502 \h </w:instrText>
        </w:r>
        <w:r w:rsidRPr="00B97064">
          <w:rPr>
            <w:webHidden/>
          </w:rPr>
        </w:r>
        <w:r w:rsidRPr="00B97064">
          <w:rPr>
            <w:webHidden/>
          </w:rPr>
          <w:fldChar w:fldCharType="separate"/>
        </w:r>
        <w:r w:rsidR="00B97064" w:rsidRPr="00B97064">
          <w:rPr>
            <w:webHidden/>
          </w:rPr>
          <w:t>70</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03" w:history="1">
        <w:r w:rsidR="00B97064" w:rsidRPr="00B97064">
          <w:rPr>
            <w:rStyle w:val="Hyperlink"/>
          </w:rPr>
          <w:t>6.2 Summary of variables</w:t>
        </w:r>
        <w:r w:rsidR="00B97064" w:rsidRPr="00B97064">
          <w:rPr>
            <w:webHidden/>
          </w:rPr>
          <w:tab/>
        </w:r>
        <w:r w:rsidRPr="00B97064">
          <w:rPr>
            <w:webHidden/>
          </w:rPr>
          <w:fldChar w:fldCharType="begin"/>
        </w:r>
        <w:r w:rsidR="00B97064" w:rsidRPr="00B97064">
          <w:rPr>
            <w:webHidden/>
          </w:rPr>
          <w:instrText xml:space="preserve"> PAGEREF _Toc349585503 \h </w:instrText>
        </w:r>
        <w:r w:rsidRPr="00B97064">
          <w:rPr>
            <w:webHidden/>
          </w:rPr>
        </w:r>
        <w:r w:rsidRPr="00B97064">
          <w:rPr>
            <w:webHidden/>
          </w:rPr>
          <w:fldChar w:fldCharType="separate"/>
        </w:r>
        <w:r w:rsidR="00B97064" w:rsidRPr="00B97064">
          <w:rPr>
            <w:webHidden/>
          </w:rPr>
          <w:t>70</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04" w:history="1">
        <w:r w:rsidR="00B97064" w:rsidRPr="00B97064">
          <w:rPr>
            <w:rStyle w:val="Hyperlink"/>
          </w:rPr>
          <w:t>6.3 Descriptive statistics</w:t>
        </w:r>
        <w:r w:rsidR="00B97064" w:rsidRPr="00B97064">
          <w:rPr>
            <w:webHidden/>
          </w:rPr>
          <w:tab/>
        </w:r>
        <w:r w:rsidRPr="00B97064">
          <w:rPr>
            <w:webHidden/>
          </w:rPr>
          <w:fldChar w:fldCharType="begin"/>
        </w:r>
        <w:r w:rsidR="00B97064" w:rsidRPr="00B97064">
          <w:rPr>
            <w:webHidden/>
          </w:rPr>
          <w:instrText xml:space="preserve"> PAGEREF _Toc349585504 \h </w:instrText>
        </w:r>
        <w:r w:rsidRPr="00B97064">
          <w:rPr>
            <w:webHidden/>
          </w:rPr>
        </w:r>
        <w:r w:rsidRPr="00B97064">
          <w:rPr>
            <w:webHidden/>
          </w:rPr>
          <w:fldChar w:fldCharType="separate"/>
        </w:r>
        <w:r w:rsidR="00B97064" w:rsidRPr="00B97064">
          <w:rPr>
            <w:webHidden/>
          </w:rPr>
          <w:t>71</w:t>
        </w:r>
        <w:r w:rsidRPr="00B97064">
          <w:rPr>
            <w:webHidden/>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505" w:history="1">
        <w:r w:rsidR="00B97064" w:rsidRPr="00B97064">
          <w:rPr>
            <w:rStyle w:val="Hyperlink"/>
            <w:noProof/>
            <w:lang w:val="en-GB"/>
          </w:rPr>
          <w:t>6.3.1 Disclosure study</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_Toc349585505 \h </w:instrText>
        </w:r>
        <w:r w:rsidRPr="00B97064">
          <w:rPr>
            <w:noProof/>
            <w:webHidden/>
            <w:lang w:val="en-GB"/>
          </w:rPr>
        </w:r>
        <w:r w:rsidRPr="00B97064">
          <w:rPr>
            <w:noProof/>
            <w:webHidden/>
            <w:lang w:val="en-GB"/>
          </w:rPr>
          <w:fldChar w:fldCharType="separate"/>
        </w:r>
        <w:r w:rsidR="00B97064" w:rsidRPr="00B97064">
          <w:rPr>
            <w:noProof/>
            <w:webHidden/>
            <w:lang w:val="en-GB"/>
          </w:rPr>
          <w:t>71</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506" w:history="1">
        <w:r w:rsidR="00B97064" w:rsidRPr="00B97064">
          <w:rPr>
            <w:rStyle w:val="Hyperlink"/>
            <w:noProof/>
            <w:lang w:val="en-GB" w:eastAsia="en-US"/>
          </w:rPr>
          <w:t>6.3.2 Descriptive statistics 2003</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_Toc349585506 \h </w:instrText>
        </w:r>
        <w:r w:rsidRPr="00B97064">
          <w:rPr>
            <w:noProof/>
            <w:webHidden/>
            <w:lang w:val="en-GB"/>
          </w:rPr>
        </w:r>
        <w:r w:rsidRPr="00B97064">
          <w:rPr>
            <w:noProof/>
            <w:webHidden/>
            <w:lang w:val="en-GB"/>
          </w:rPr>
          <w:fldChar w:fldCharType="separate"/>
        </w:r>
        <w:r w:rsidR="00B97064" w:rsidRPr="00B97064">
          <w:rPr>
            <w:noProof/>
            <w:webHidden/>
            <w:lang w:val="en-GB"/>
          </w:rPr>
          <w:t>72</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507" w:history="1">
        <w:r w:rsidR="00B97064" w:rsidRPr="00B97064">
          <w:rPr>
            <w:rStyle w:val="Hyperlink"/>
            <w:noProof/>
            <w:lang w:val="en-GB" w:eastAsia="en-US"/>
          </w:rPr>
          <w:t>6.3.3 Descriptive statistics 2009</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_Toc349585507 \h </w:instrText>
        </w:r>
        <w:r w:rsidRPr="00B97064">
          <w:rPr>
            <w:noProof/>
            <w:webHidden/>
            <w:lang w:val="en-GB"/>
          </w:rPr>
        </w:r>
        <w:r w:rsidRPr="00B97064">
          <w:rPr>
            <w:noProof/>
            <w:webHidden/>
            <w:lang w:val="en-GB"/>
          </w:rPr>
          <w:fldChar w:fldCharType="separate"/>
        </w:r>
        <w:r w:rsidR="00B97064" w:rsidRPr="00B97064">
          <w:rPr>
            <w:noProof/>
            <w:webHidden/>
            <w:lang w:val="en-GB"/>
          </w:rPr>
          <w:t>74</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508" w:history="1">
        <w:r w:rsidR="00B97064" w:rsidRPr="00B97064">
          <w:rPr>
            <w:rStyle w:val="Hyperlink"/>
            <w:noProof/>
            <w:lang w:val="en-GB"/>
          </w:rPr>
          <w:t>6.3.4 Dummy variables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_Toc349585508 \h </w:instrText>
        </w:r>
        <w:r w:rsidRPr="00B97064">
          <w:rPr>
            <w:noProof/>
            <w:webHidden/>
            <w:lang w:val="en-GB"/>
          </w:rPr>
        </w:r>
        <w:r w:rsidRPr="00B97064">
          <w:rPr>
            <w:noProof/>
            <w:webHidden/>
            <w:lang w:val="en-GB"/>
          </w:rPr>
          <w:fldChar w:fldCharType="separate"/>
        </w:r>
        <w:r w:rsidR="00B97064" w:rsidRPr="00B97064">
          <w:rPr>
            <w:noProof/>
            <w:webHidden/>
            <w:lang w:val="en-GB"/>
          </w:rPr>
          <w:t>76</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09" w:history="1">
        <w:r w:rsidR="00B97064" w:rsidRPr="00B97064">
          <w:rPr>
            <w:rStyle w:val="Hyperlink"/>
          </w:rPr>
          <w:t>6.4 Research part I: RPTs, disclosure quality and firm value</w:t>
        </w:r>
        <w:r w:rsidR="00B97064" w:rsidRPr="00B97064">
          <w:rPr>
            <w:webHidden/>
          </w:rPr>
          <w:tab/>
        </w:r>
        <w:r w:rsidRPr="00B97064">
          <w:rPr>
            <w:webHidden/>
          </w:rPr>
          <w:fldChar w:fldCharType="begin"/>
        </w:r>
        <w:r w:rsidR="00B97064" w:rsidRPr="00B97064">
          <w:rPr>
            <w:webHidden/>
          </w:rPr>
          <w:instrText xml:space="preserve"> PAGEREF _Toc349585509 \h </w:instrText>
        </w:r>
        <w:r w:rsidRPr="00B97064">
          <w:rPr>
            <w:webHidden/>
          </w:rPr>
        </w:r>
        <w:r w:rsidRPr="00B97064">
          <w:rPr>
            <w:webHidden/>
          </w:rPr>
          <w:fldChar w:fldCharType="separate"/>
        </w:r>
        <w:r w:rsidR="00B97064" w:rsidRPr="00B97064">
          <w:rPr>
            <w:webHidden/>
          </w:rPr>
          <w:t>76</w:t>
        </w:r>
        <w:r w:rsidRPr="00B97064">
          <w:rPr>
            <w:webHidden/>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510" w:history="1">
        <w:r w:rsidR="00B97064" w:rsidRPr="00B97064">
          <w:rPr>
            <w:rStyle w:val="Hyperlink"/>
            <w:noProof/>
            <w:lang w:val="en-GB"/>
          </w:rPr>
          <w:t>6.4.1 Research part I 2003</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_Toc349585510 \h </w:instrText>
        </w:r>
        <w:r w:rsidRPr="00B97064">
          <w:rPr>
            <w:noProof/>
            <w:webHidden/>
            <w:lang w:val="en-GB"/>
          </w:rPr>
        </w:r>
        <w:r w:rsidRPr="00B97064">
          <w:rPr>
            <w:noProof/>
            <w:webHidden/>
            <w:lang w:val="en-GB"/>
          </w:rPr>
          <w:fldChar w:fldCharType="separate"/>
        </w:r>
        <w:r w:rsidR="00B97064" w:rsidRPr="00B97064">
          <w:rPr>
            <w:noProof/>
            <w:webHidden/>
            <w:lang w:val="en-GB"/>
          </w:rPr>
          <w:t>77</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511" w:history="1">
        <w:r w:rsidR="00B97064" w:rsidRPr="00B97064">
          <w:rPr>
            <w:rStyle w:val="Hyperlink"/>
            <w:noProof/>
            <w:lang w:val="en-GB"/>
          </w:rPr>
          <w:t>6.4.2 Research part I 2009</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_Toc349585511 \h </w:instrText>
        </w:r>
        <w:r w:rsidRPr="00B97064">
          <w:rPr>
            <w:noProof/>
            <w:webHidden/>
            <w:lang w:val="en-GB"/>
          </w:rPr>
        </w:r>
        <w:r w:rsidRPr="00B97064">
          <w:rPr>
            <w:noProof/>
            <w:webHidden/>
            <w:lang w:val="en-GB"/>
          </w:rPr>
          <w:fldChar w:fldCharType="separate"/>
        </w:r>
        <w:r w:rsidR="00B97064" w:rsidRPr="00B97064">
          <w:rPr>
            <w:noProof/>
            <w:webHidden/>
            <w:lang w:val="en-GB"/>
          </w:rPr>
          <w:t>77</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12" w:history="1">
        <w:r w:rsidR="00B97064" w:rsidRPr="00B97064">
          <w:rPr>
            <w:rStyle w:val="Hyperlink"/>
          </w:rPr>
          <w:t>6.5 Research part II: CGOCs and RPTs</w:t>
        </w:r>
        <w:r w:rsidR="00B97064" w:rsidRPr="00B97064">
          <w:rPr>
            <w:webHidden/>
          </w:rPr>
          <w:tab/>
        </w:r>
        <w:r w:rsidRPr="00B97064">
          <w:rPr>
            <w:webHidden/>
          </w:rPr>
          <w:fldChar w:fldCharType="begin"/>
        </w:r>
        <w:r w:rsidR="00B97064" w:rsidRPr="00B97064">
          <w:rPr>
            <w:webHidden/>
          </w:rPr>
          <w:instrText xml:space="preserve"> PAGEREF _Toc349585512 \h </w:instrText>
        </w:r>
        <w:r w:rsidRPr="00B97064">
          <w:rPr>
            <w:webHidden/>
          </w:rPr>
        </w:r>
        <w:r w:rsidRPr="00B97064">
          <w:rPr>
            <w:webHidden/>
          </w:rPr>
          <w:fldChar w:fldCharType="separate"/>
        </w:r>
        <w:r w:rsidR="00B97064" w:rsidRPr="00B97064">
          <w:rPr>
            <w:webHidden/>
          </w:rPr>
          <w:t>78</w:t>
        </w:r>
        <w:r w:rsidRPr="00B97064">
          <w:rPr>
            <w:webHidden/>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513" w:history="1">
        <w:r w:rsidR="00B97064" w:rsidRPr="00B97064">
          <w:rPr>
            <w:rStyle w:val="Hyperlink"/>
            <w:noProof/>
            <w:lang w:val="en-GB"/>
          </w:rPr>
          <w:t>6.5.1 Research part II 2003</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_Toc349585513 \h </w:instrText>
        </w:r>
        <w:r w:rsidRPr="00B97064">
          <w:rPr>
            <w:noProof/>
            <w:webHidden/>
            <w:lang w:val="en-GB"/>
          </w:rPr>
        </w:r>
        <w:r w:rsidRPr="00B97064">
          <w:rPr>
            <w:noProof/>
            <w:webHidden/>
            <w:lang w:val="en-GB"/>
          </w:rPr>
          <w:fldChar w:fldCharType="separate"/>
        </w:r>
        <w:r w:rsidR="00B97064" w:rsidRPr="00B97064">
          <w:rPr>
            <w:noProof/>
            <w:webHidden/>
            <w:lang w:val="en-GB"/>
          </w:rPr>
          <w:t>79</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514" w:history="1">
        <w:r w:rsidR="00B97064" w:rsidRPr="00B97064">
          <w:rPr>
            <w:rStyle w:val="Hyperlink"/>
            <w:noProof/>
            <w:lang w:val="en-GB"/>
          </w:rPr>
          <w:t>6.5.2 Research part II 2009</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_Toc349585514 \h </w:instrText>
        </w:r>
        <w:r w:rsidRPr="00B97064">
          <w:rPr>
            <w:noProof/>
            <w:webHidden/>
            <w:lang w:val="en-GB"/>
          </w:rPr>
        </w:r>
        <w:r w:rsidRPr="00B97064">
          <w:rPr>
            <w:noProof/>
            <w:webHidden/>
            <w:lang w:val="en-GB"/>
          </w:rPr>
          <w:fldChar w:fldCharType="separate"/>
        </w:r>
        <w:r w:rsidR="00B97064" w:rsidRPr="00B97064">
          <w:rPr>
            <w:noProof/>
            <w:webHidden/>
            <w:lang w:val="en-GB"/>
          </w:rPr>
          <w:t>80</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15" w:history="1">
        <w:r w:rsidR="00B97064" w:rsidRPr="00B97064">
          <w:rPr>
            <w:rStyle w:val="Hyperlink"/>
          </w:rPr>
          <w:t>6.6 Panel analysis research part I &amp; II</w:t>
        </w:r>
        <w:r w:rsidR="00B97064" w:rsidRPr="00B97064">
          <w:rPr>
            <w:webHidden/>
          </w:rPr>
          <w:tab/>
        </w:r>
        <w:r w:rsidRPr="00B97064">
          <w:rPr>
            <w:webHidden/>
          </w:rPr>
          <w:fldChar w:fldCharType="begin"/>
        </w:r>
        <w:r w:rsidR="00B97064" w:rsidRPr="00B97064">
          <w:rPr>
            <w:webHidden/>
          </w:rPr>
          <w:instrText xml:space="preserve"> PAGEREF _Toc349585515 \h </w:instrText>
        </w:r>
        <w:r w:rsidRPr="00B97064">
          <w:rPr>
            <w:webHidden/>
          </w:rPr>
        </w:r>
        <w:r w:rsidRPr="00B97064">
          <w:rPr>
            <w:webHidden/>
          </w:rPr>
          <w:fldChar w:fldCharType="separate"/>
        </w:r>
        <w:r w:rsidR="00B97064" w:rsidRPr="00B97064">
          <w:rPr>
            <w:webHidden/>
          </w:rPr>
          <w:t>81</w:t>
        </w:r>
        <w:r w:rsidRPr="00B97064">
          <w:rPr>
            <w:webHidden/>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516" w:history="1">
        <w:r w:rsidR="00B97064" w:rsidRPr="00B97064">
          <w:rPr>
            <w:rStyle w:val="Hyperlink"/>
            <w:noProof/>
            <w:lang w:val="en-GB"/>
          </w:rPr>
          <w:t>6.6.1 Hausman tests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_Toc349585516 \h </w:instrText>
        </w:r>
        <w:r w:rsidRPr="00B97064">
          <w:rPr>
            <w:noProof/>
            <w:webHidden/>
            <w:lang w:val="en-GB"/>
          </w:rPr>
        </w:r>
        <w:r w:rsidRPr="00B97064">
          <w:rPr>
            <w:noProof/>
            <w:webHidden/>
            <w:lang w:val="en-GB"/>
          </w:rPr>
          <w:fldChar w:fldCharType="separate"/>
        </w:r>
        <w:r w:rsidR="00B97064" w:rsidRPr="00B97064">
          <w:rPr>
            <w:noProof/>
            <w:webHidden/>
            <w:lang w:val="en-GB"/>
          </w:rPr>
          <w:t>81</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517" w:history="1">
        <w:r w:rsidR="00B97064" w:rsidRPr="00B97064">
          <w:rPr>
            <w:rStyle w:val="Hyperlink"/>
            <w:noProof/>
            <w:lang w:val="en-GB"/>
          </w:rPr>
          <w:t>6.6.2 Panel data analysis research part I</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_Toc349585517 \h </w:instrText>
        </w:r>
        <w:r w:rsidRPr="00B97064">
          <w:rPr>
            <w:noProof/>
            <w:webHidden/>
            <w:lang w:val="en-GB"/>
          </w:rPr>
        </w:r>
        <w:r w:rsidRPr="00B97064">
          <w:rPr>
            <w:noProof/>
            <w:webHidden/>
            <w:lang w:val="en-GB"/>
          </w:rPr>
          <w:fldChar w:fldCharType="separate"/>
        </w:r>
        <w:r w:rsidR="00B97064" w:rsidRPr="00B97064">
          <w:rPr>
            <w:noProof/>
            <w:webHidden/>
            <w:lang w:val="en-GB"/>
          </w:rPr>
          <w:t>81</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518" w:history="1">
        <w:r w:rsidR="00B97064" w:rsidRPr="00B97064">
          <w:rPr>
            <w:rStyle w:val="Hyperlink"/>
            <w:noProof/>
            <w:lang w:val="en-GB"/>
          </w:rPr>
          <w:t>6.6.3 Panel data analysis research part II</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_Toc349585518 \h </w:instrText>
        </w:r>
        <w:r w:rsidRPr="00B97064">
          <w:rPr>
            <w:noProof/>
            <w:webHidden/>
            <w:lang w:val="en-GB"/>
          </w:rPr>
        </w:r>
        <w:r w:rsidRPr="00B97064">
          <w:rPr>
            <w:noProof/>
            <w:webHidden/>
            <w:lang w:val="en-GB"/>
          </w:rPr>
          <w:fldChar w:fldCharType="separate"/>
        </w:r>
        <w:r w:rsidR="00B97064" w:rsidRPr="00B97064">
          <w:rPr>
            <w:noProof/>
            <w:webHidden/>
            <w:lang w:val="en-GB"/>
          </w:rPr>
          <w:t>82</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19" w:history="1">
        <w:r w:rsidR="00B97064" w:rsidRPr="00B97064">
          <w:rPr>
            <w:rStyle w:val="Hyperlink"/>
          </w:rPr>
          <w:t>6.7 Research part III: effectiveness Dutch corporate governance code</w:t>
        </w:r>
        <w:r w:rsidR="00B97064" w:rsidRPr="00B97064">
          <w:rPr>
            <w:webHidden/>
          </w:rPr>
          <w:tab/>
        </w:r>
        <w:r w:rsidRPr="00B97064">
          <w:rPr>
            <w:webHidden/>
          </w:rPr>
          <w:fldChar w:fldCharType="begin"/>
        </w:r>
        <w:r w:rsidR="00B97064" w:rsidRPr="00B97064">
          <w:rPr>
            <w:webHidden/>
          </w:rPr>
          <w:instrText xml:space="preserve"> PAGEREF _Toc349585519 \h </w:instrText>
        </w:r>
        <w:r w:rsidRPr="00B97064">
          <w:rPr>
            <w:webHidden/>
          </w:rPr>
        </w:r>
        <w:r w:rsidRPr="00B97064">
          <w:rPr>
            <w:webHidden/>
          </w:rPr>
          <w:fldChar w:fldCharType="separate"/>
        </w:r>
        <w:r w:rsidR="00B97064" w:rsidRPr="00B97064">
          <w:rPr>
            <w:webHidden/>
          </w:rPr>
          <w:t>84</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20" w:history="1">
        <w:r w:rsidR="00B97064" w:rsidRPr="00B97064">
          <w:rPr>
            <w:rStyle w:val="Hyperlink"/>
          </w:rPr>
          <w:t>6.8 Limitations</w:t>
        </w:r>
        <w:r w:rsidR="00B97064" w:rsidRPr="00B97064">
          <w:rPr>
            <w:webHidden/>
          </w:rPr>
          <w:tab/>
        </w:r>
        <w:r w:rsidRPr="00B97064">
          <w:rPr>
            <w:webHidden/>
          </w:rPr>
          <w:fldChar w:fldCharType="begin"/>
        </w:r>
        <w:r w:rsidR="00B97064" w:rsidRPr="00B97064">
          <w:rPr>
            <w:webHidden/>
          </w:rPr>
          <w:instrText xml:space="preserve"> PAGEREF _Toc349585520 \h </w:instrText>
        </w:r>
        <w:r w:rsidRPr="00B97064">
          <w:rPr>
            <w:webHidden/>
          </w:rPr>
        </w:r>
        <w:r w:rsidRPr="00B97064">
          <w:rPr>
            <w:webHidden/>
          </w:rPr>
          <w:fldChar w:fldCharType="separate"/>
        </w:r>
        <w:r w:rsidR="00B97064" w:rsidRPr="00B97064">
          <w:rPr>
            <w:webHidden/>
          </w:rPr>
          <w:t>86</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21" w:history="1">
        <w:r w:rsidR="00B97064" w:rsidRPr="00B97064">
          <w:rPr>
            <w:rStyle w:val="Hyperlink"/>
          </w:rPr>
          <w:t>6.9 Summary</w:t>
        </w:r>
        <w:r w:rsidR="00B97064" w:rsidRPr="00B97064">
          <w:rPr>
            <w:webHidden/>
          </w:rPr>
          <w:tab/>
        </w:r>
        <w:r w:rsidRPr="00B97064">
          <w:rPr>
            <w:webHidden/>
          </w:rPr>
          <w:fldChar w:fldCharType="begin"/>
        </w:r>
        <w:r w:rsidR="00B97064" w:rsidRPr="00B97064">
          <w:rPr>
            <w:webHidden/>
          </w:rPr>
          <w:instrText xml:space="preserve"> PAGEREF _Toc349585521 \h </w:instrText>
        </w:r>
        <w:r w:rsidRPr="00B97064">
          <w:rPr>
            <w:webHidden/>
          </w:rPr>
        </w:r>
        <w:r w:rsidRPr="00B97064">
          <w:rPr>
            <w:webHidden/>
          </w:rPr>
          <w:fldChar w:fldCharType="separate"/>
        </w:r>
        <w:r w:rsidR="00B97064" w:rsidRPr="00B97064">
          <w:rPr>
            <w:webHidden/>
          </w:rPr>
          <w:t>87</w:t>
        </w:r>
        <w:r w:rsidRPr="00B97064">
          <w:rPr>
            <w:webHidden/>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522" w:history="1">
        <w:r w:rsidR="00B97064" w:rsidRPr="00B97064">
          <w:rPr>
            <w:rStyle w:val="Hyperlink"/>
            <w:noProof/>
            <w:lang w:val="en-GB"/>
          </w:rPr>
          <w:t>7. Conclusion</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_Toc349585522 \h </w:instrText>
        </w:r>
        <w:r w:rsidRPr="00B97064">
          <w:rPr>
            <w:noProof/>
            <w:webHidden/>
            <w:lang w:val="en-GB"/>
          </w:rPr>
        </w:r>
        <w:r w:rsidRPr="00B97064">
          <w:rPr>
            <w:noProof/>
            <w:webHidden/>
            <w:lang w:val="en-GB"/>
          </w:rPr>
          <w:fldChar w:fldCharType="separate"/>
        </w:r>
        <w:r w:rsidR="00B97064" w:rsidRPr="00B97064">
          <w:rPr>
            <w:noProof/>
            <w:webHidden/>
            <w:lang w:val="en-GB"/>
          </w:rPr>
          <w:t>89</w:t>
        </w:r>
        <w:r w:rsidRPr="00B97064">
          <w:rPr>
            <w:noProof/>
            <w:webHidden/>
            <w:lang w:val="en-GB"/>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523" w:history="1">
        <w:r w:rsidR="00B97064" w:rsidRPr="00B97064">
          <w:rPr>
            <w:rStyle w:val="Hyperlink"/>
            <w:noProof/>
            <w:lang w:val="en-GB"/>
          </w:rPr>
          <w:t>8. Further research</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_Toc349585523 \h </w:instrText>
        </w:r>
        <w:r w:rsidRPr="00B97064">
          <w:rPr>
            <w:noProof/>
            <w:webHidden/>
            <w:lang w:val="en-GB"/>
          </w:rPr>
        </w:r>
        <w:r w:rsidRPr="00B97064">
          <w:rPr>
            <w:noProof/>
            <w:webHidden/>
            <w:lang w:val="en-GB"/>
          </w:rPr>
          <w:fldChar w:fldCharType="separate"/>
        </w:r>
        <w:r w:rsidR="00B97064" w:rsidRPr="00B97064">
          <w:rPr>
            <w:noProof/>
            <w:webHidden/>
            <w:lang w:val="en-GB"/>
          </w:rPr>
          <w:t>92</w:t>
        </w:r>
        <w:r w:rsidRPr="00B97064">
          <w:rPr>
            <w:noProof/>
            <w:webHidden/>
            <w:lang w:val="en-GB"/>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524" w:history="1">
        <w:r w:rsidR="00B97064" w:rsidRPr="00B97064">
          <w:rPr>
            <w:rStyle w:val="Hyperlink"/>
            <w:noProof/>
            <w:lang w:val="en-GB"/>
          </w:rPr>
          <w:t>9. References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_Toc349585524 \h </w:instrText>
        </w:r>
        <w:r w:rsidRPr="00B97064">
          <w:rPr>
            <w:noProof/>
            <w:webHidden/>
            <w:lang w:val="en-GB"/>
          </w:rPr>
        </w:r>
        <w:r w:rsidRPr="00B97064">
          <w:rPr>
            <w:noProof/>
            <w:webHidden/>
            <w:lang w:val="en-GB"/>
          </w:rPr>
          <w:fldChar w:fldCharType="separate"/>
        </w:r>
        <w:r w:rsidR="00B97064" w:rsidRPr="00B97064">
          <w:rPr>
            <w:noProof/>
            <w:webHidden/>
            <w:lang w:val="en-GB"/>
          </w:rPr>
          <w:t>94</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25" w:history="1">
        <w:r w:rsidR="00B97064" w:rsidRPr="00B97064">
          <w:rPr>
            <w:rStyle w:val="Hyperlink"/>
          </w:rPr>
          <w:t>9.1 Articles &amp; books</w:t>
        </w:r>
        <w:r w:rsidR="00B97064" w:rsidRPr="00B97064">
          <w:rPr>
            <w:webHidden/>
          </w:rPr>
          <w:tab/>
        </w:r>
        <w:r w:rsidRPr="00B97064">
          <w:rPr>
            <w:webHidden/>
          </w:rPr>
          <w:fldChar w:fldCharType="begin"/>
        </w:r>
        <w:r w:rsidR="00B97064" w:rsidRPr="00B97064">
          <w:rPr>
            <w:webHidden/>
          </w:rPr>
          <w:instrText xml:space="preserve"> PAGEREF _Toc349585525 \h </w:instrText>
        </w:r>
        <w:r w:rsidRPr="00B97064">
          <w:rPr>
            <w:webHidden/>
          </w:rPr>
        </w:r>
        <w:r w:rsidRPr="00B97064">
          <w:rPr>
            <w:webHidden/>
          </w:rPr>
          <w:fldChar w:fldCharType="separate"/>
        </w:r>
        <w:r w:rsidR="00B97064" w:rsidRPr="00B97064">
          <w:rPr>
            <w:webHidden/>
          </w:rPr>
          <w:t>94</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26" w:history="1">
        <w:r w:rsidR="00B97064" w:rsidRPr="00B97064">
          <w:rPr>
            <w:rStyle w:val="Hyperlink"/>
          </w:rPr>
          <w:t>9.2 Websites</w:t>
        </w:r>
        <w:r w:rsidR="00B97064" w:rsidRPr="00B97064">
          <w:rPr>
            <w:webHidden/>
          </w:rPr>
          <w:tab/>
        </w:r>
        <w:r w:rsidRPr="00B97064">
          <w:rPr>
            <w:webHidden/>
          </w:rPr>
          <w:fldChar w:fldCharType="begin"/>
        </w:r>
        <w:r w:rsidR="00B97064" w:rsidRPr="00B97064">
          <w:rPr>
            <w:webHidden/>
          </w:rPr>
          <w:instrText xml:space="preserve"> PAGEREF _Toc349585526 \h </w:instrText>
        </w:r>
        <w:r w:rsidRPr="00B97064">
          <w:rPr>
            <w:webHidden/>
          </w:rPr>
        </w:r>
        <w:r w:rsidRPr="00B97064">
          <w:rPr>
            <w:webHidden/>
          </w:rPr>
          <w:fldChar w:fldCharType="separate"/>
        </w:r>
        <w:r w:rsidR="00B97064" w:rsidRPr="00B97064">
          <w:rPr>
            <w:webHidden/>
          </w:rPr>
          <w:t>97</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27" w:history="1">
        <w:r w:rsidR="00B97064" w:rsidRPr="00B97064">
          <w:rPr>
            <w:rStyle w:val="Hyperlink"/>
          </w:rPr>
          <w:t>9.3 Regulation</w:t>
        </w:r>
        <w:r w:rsidR="00B97064" w:rsidRPr="00B97064">
          <w:rPr>
            <w:webHidden/>
          </w:rPr>
          <w:tab/>
        </w:r>
        <w:r w:rsidRPr="00B97064">
          <w:rPr>
            <w:webHidden/>
          </w:rPr>
          <w:fldChar w:fldCharType="begin"/>
        </w:r>
        <w:r w:rsidR="00B97064" w:rsidRPr="00B97064">
          <w:rPr>
            <w:webHidden/>
          </w:rPr>
          <w:instrText xml:space="preserve"> PAGEREF _Toc349585527 \h </w:instrText>
        </w:r>
        <w:r w:rsidRPr="00B97064">
          <w:rPr>
            <w:webHidden/>
          </w:rPr>
        </w:r>
        <w:r w:rsidRPr="00B97064">
          <w:rPr>
            <w:webHidden/>
          </w:rPr>
          <w:fldChar w:fldCharType="separate"/>
        </w:r>
        <w:r w:rsidR="00B97064" w:rsidRPr="00B97064">
          <w:rPr>
            <w:webHidden/>
          </w:rPr>
          <w:t>97</w:t>
        </w:r>
        <w:r w:rsidRPr="00B97064">
          <w:rPr>
            <w:webHidden/>
          </w:rPr>
          <w:fldChar w:fldCharType="end"/>
        </w:r>
      </w:hyperlink>
    </w:p>
    <w:p w:rsidR="00B97064" w:rsidRPr="00B97064" w:rsidRDefault="00E80C96">
      <w:pPr>
        <w:pStyle w:val="TOC1"/>
        <w:tabs>
          <w:tab w:val="right" w:leader="dot" w:pos="9059"/>
        </w:tabs>
        <w:rPr>
          <w:rFonts w:asciiTheme="minorHAnsi" w:eastAsiaTheme="minorEastAsia" w:hAnsiTheme="minorHAnsi" w:cstheme="minorBidi"/>
          <w:noProof/>
          <w:szCs w:val="22"/>
          <w:lang w:val="en-GB" w:eastAsia="en-US"/>
        </w:rPr>
      </w:pPr>
      <w:hyperlink w:anchor="_Toc349585528" w:history="1">
        <w:r w:rsidR="00B97064" w:rsidRPr="00B97064">
          <w:rPr>
            <w:rStyle w:val="Hyperlink"/>
            <w:noProof/>
            <w:lang w:val="en-GB"/>
          </w:rPr>
          <w:t>10. Appendices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_Toc349585528 \h </w:instrText>
        </w:r>
        <w:r w:rsidRPr="00B97064">
          <w:rPr>
            <w:noProof/>
            <w:webHidden/>
            <w:lang w:val="en-GB"/>
          </w:rPr>
        </w:r>
        <w:r w:rsidRPr="00B97064">
          <w:rPr>
            <w:noProof/>
            <w:webHidden/>
            <w:lang w:val="en-GB"/>
          </w:rPr>
          <w:fldChar w:fldCharType="separate"/>
        </w:r>
        <w:r w:rsidR="00B97064" w:rsidRPr="00B97064">
          <w:rPr>
            <w:noProof/>
            <w:webHidden/>
            <w:lang w:val="en-GB"/>
          </w:rPr>
          <w:t>99</w:t>
        </w:r>
        <w:r w:rsidRPr="00B97064">
          <w:rPr>
            <w:noProof/>
            <w:webHidden/>
            <w:lang w:val="en-GB"/>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29" w:history="1">
        <w:r w:rsidR="00B97064" w:rsidRPr="00B97064">
          <w:rPr>
            <w:rStyle w:val="Hyperlink"/>
          </w:rPr>
          <w:t>10.1 Search terms</w:t>
        </w:r>
        <w:r w:rsidR="00B97064" w:rsidRPr="00B97064">
          <w:rPr>
            <w:webHidden/>
          </w:rPr>
          <w:tab/>
        </w:r>
        <w:r w:rsidRPr="00B97064">
          <w:rPr>
            <w:webHidden/>
          </w:rPr>
          <w:fldChar w:fldCharType="begin"/>
        </w:r>
        <w:r w:rsidR="00B97064" w:rsidRPr="00B97064">
          <w:rPr>
            <w:webHidden/>
          </w:rPr>
          <w:instrText xml:space="preserve"> PAGEREF _Toc349585529 \h </w:instrText>
        </w:r>
        <w:r w:rsidRPr="00B97064">
          <w:rPr>
            <w:webHidden/>
          </w:rPr>
        </w:r>
        <w:r w:rsidRPr="00B97064">
          <w:rPr>
            <w:webHidden/>
          </w:rPr>
          <w:fldChar w:fldCharType="separate"/>
        </w:r>
        <w:r w:rsidR="00B97064" w:rsidRPr="00B97064">
          <w:rPr>
            <w:webHidden/>
          </w:rPr>
          <w:t>99</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30" w:history="1">
        <w:r w:rsidR="00B97064" w:rsidRPr="00B97064">
          <w:rPr>
            <w:rStyle w:val="Hyperlink"/>
          </w:rPr>
          <w:t>10.2 Composition of final sample</w:t>
        </w:r>
        <w:r w:rsidR="00B97064" w:rsidRPr="00B97064">
          <w:rPr>
            <w:webHidden/>
          </w:rPr>
          <w:tab/>
        </w:r>
        <w:r w:rsidRPr="00B97064">
          <w:rPr>
            <w:webHidden/>
          </w:rPr>
          <w:fldChar w:fldCharType="begin"/>
        </w:r>
        <w:r w:rsidR="00B97064" w:rsidRPr="00B97064">
          <w:rPr>
            <w:webHidden/>
          </w:rPr>
          <w:instrText xml:space="preserve"> PAGEREF _Toc349585530 \h </w:instrText>
        </w:r>
        <w:r w:rsidRPr="00B97064">
          <w:rPr>
            <w:webHidden/>
          </w:rPr>
        </w:r>
        <w:r w:rsidRPr="00B97064">
          <w:rPr>
            <w:webHidden/>
          </w:rPr>
          <w:fldChar w:fldCharType="separate"/>
        </w:r>
        <w:r w:rsidR="00B97064" w:rsidRPr="00B97064">
          <w:rPr>
            <w:webHidden/>
          </w:rPr>
          <w:t>100</w:t>
        </w:r>
        <w:r w:rsidRPr="00B97064">
          <w:rPr>
            <w:webHidden/>
          </w:rPr>
          <w:fldChar w:fldCharType="end"/>
        </w:r>
      </w:hyperlink>
    </w:p>
    <w:p w:rsidR="00B97064" w:rsidRPr="00B97064" w:rsidRDefault="00E80C96">
      <w:pPr>
        <w:pStyle w:val="TOC2"/>
        <w:rPr>
          <w:rFonts w:asciiTheme="minorHAnsi" w:eastAsiaTheme="minorEastAsia" w:hAnsiTheme="minorHAnsi" w:cstheme="minorBidi"/>
          <w:szCs w:val="22"/>
          <w:lang w:eastAsia="en-US"/>
        </w:rPr>
      </w:pPr>
      <w:hyperlink w:anchor="_Toc349585531" w:history="1">
        <w:r w:rsidR="00B97064" w:rsidRPr="00B97064">
          <w:rPr>
            <w:rStyle w:val="Hyperlink"/>
          </w:rPr>
          <w:t>10.3 Results Hausman test</w:t>
        </w:r>
        <w:r w:rsidR="00B97064" w:rsidRPr="00B97064">
          <w:rPr>
            <w:webHidden/>
          </w:rPr>
          <w:tab/>
        </w:r>
        <w:r w:rsidRPr="00B97064">
          <w:rPr>
            <w:webHidden/>
          </w:rPr>
          <w:fldChar w:fldCharType="begin"/>
        </w:r>
        <w:r w:rsidR="00B97064" w:rsidRPr="00B97064">
          <w:rPr>
            <w:webHidden/>
          </w:rPr>
          <w:instrText xml:space="preserve"> PAGEREF _Toc349585531 \h </w:instrText>
        </w:r>
        <w:r w:rsidRPr="00B97064">
          <w:rPr>
            <w:webHidden/>
          </w:rPr>
        </w:r>
        <w:r w:rsidRPr="00B97064">
          <w:rPr>
            <w:webHidden/>
          </w:rPr>
          <w:fldChar w:fldCharType="separate"/>
        </w:r>
        <w:r w:rsidR="00B97064" w:rsidRPr="00B97064">
          <w:rPr>
            <w:webHidden/>
          </w:rPr>
          <w:t>103</w:t>
        </w:r>
        <w:r w:rsidRPr="00B97064">
          <w:rPr>
            <w:webHidden/>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532" w:history="1">
        <w:r w:rsidR="00B97064" w:rsidRPr="00B97064">
          <w:rPr>
            <w:rStyle w:val="Hyperlink"/>
            <w:noProof/>
            <w:lang w:val="en-GB"/>
          </w:rPr>
          <w:t>10.3.1 Hausman test panel data analysis research part I</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_Toc349585532 \h </w:instrText>
        </w:r>
        <w:r w:rsidRPr="00B97064">
          <w:rPr>
            <w:noProof/>
            <w:webHidden/>
            <w:lang w:val="en-GB"/>
          </w:rPr>
        </w:r>
        <w:r w:rsidRPr="00B97064">
          <w:rPr>
            <w:noProof/>
            <w:webHidden/>
            <w:lang w:val="en-GB"/>
          </w:rPr>
          <w:fldChar w:fldCharType="separate"/>
        </w:r>
        <w:r w:rsidR="00B97064" w:rsidRPr="00B97064">
          <w:rPr>
            <w:noProof/>
            <w:webHidden/>
            <w:lang w:val="en-GB"/>
          </w:rPr>
          <w:t>103</w:t>
        </w:r>
        <w:r w:rsidRPr="00B97064">
          <w:rPr>
            <w:noProof/>
            <w:webHidden/>
            <w:lang w:val="en-GB"/>
          </w:rPr>
          <w:fldChar w:fldCharType="end"/>
        </w:r>
      </w:hyperlink>
    </w:p>
    <w:p w:rsidR="00B97064" w:rsidRPr="00B97064" w:rsidRDefault="00E80C96">
      <w:pPr>
        <w:pStyle w:val="TOC3"/>
        <w:tabs>
          <w:tab w:val="right" w:leader="dot" w:pos="9059"/>
        </w:tabs>
        <w:rPr>
          <w:rFonts w:asciiTheme="minorHAnsi" w:eastAsiaTheme="minorEastAsia" w:hAnsiTheme="minorHAnsi" w:cstheme="minorBidi"/>
          <w:noProof/>
          <w:szCs w:val="22"/>
          <w:lang w:val="en-GB" w:eastAsia="en-US"/>
        </w:rPr>
      </w:pPr>
      <w:hyperlink w:anchor="_Toc349585533" w:history="1">
        <w:r w:rsidR="00B97064" w:rsidRPr="00B97064">
          <w:rPr>
            <w:rStyle w:val="Hyperlink"/>
            <w:noProof/>
            <w:lang w:val="en-GB"/>
          </w:rPr>
          <w:t>10.3.2 Hausman test panel data analysis research part II</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_Toc349585533 \h </w:instrText>
        </w:r>
        <w:r w:rsidRPr="00B97064">
          <w:rPr>
            <w:noProof/>
            <w:webHidden/>
            <w:lang w:val="en-GB"/>
          </w:rPr>
        </w:r>
        <w:r w:rsidRPr="00B97064">
          <w:rPr>
            <w:noProof/>
            <w:webHidden/>
            <w:lang w:val="en-GB"/>
          </w:rPr>
          <w:fldChar w:fldCharType="separate"/>
        </w:r>
        <w:r w:rsidR="00B97064" w:rsidRPr="00B97064">
          <w:rPr>
            <w:noProof/>
            <w:webHidden/>
            <w:lang w:val="en-GB"/>
          </w:rPr>
          <w:t>103</w:t>
        </w:r>
        <w:r w:rsidRPr="00B97064">
          <w:rPr>
            <w:noProof/>
            <w:webHidden/>
            <w:lang w:val="en-GB"/>
          </w:rPr>
          <w:fldChar w:fldCharType="end"/>
        </w:r>
      </w:hyperlink>
    </w:p>
    <w:p w:rsidR="007C7F32" w:rsidRPr="00B97064" w:rsidRDefault="00E80C96" w:rsidP="00813A4B">
      <w:pPr>
        <w:pStyle w:val="Heading1"/>
        <w:rPr>
          <w:lang w:val="en-GB"/>
        </w:rPr>
      </w:pPr>
      <w:r w:rsidRPr="00B97064">
        <w:rPr>
          <w:rFonts w:cs="Arial"/>
          <w:szCs w:val="22"/>
          <w:lang w:val="en-GB"/>
        </w:rPr>
        <w:fldChar w:fldCharType="end"/>
      </w:r>
      <w:r w:rsidR="007C7F32" w:rsidRPr="00B97064">
        <w:rPr>
          <w:lang w:val="en-GB"/>
        </w:rPr>
        <w:br w:type="page"/>
      </w:r>
      <w:bookmarkStart w:id="4" w:name="_Toc349585445"/>
      <w:r w:rsidR="007C7F32" w:rsidRPr="00B97064">
        <w:rPr>
          <w:lang w:val="en-GB"/>
        </w:rPr>
        <w:lastRenderedPageBreak/>
        <w:t>List of figures</w:t>
      </w:r>
      <w:bookmarkEnd w:id="4"/>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r w:rsidRPr="00E80C96">
        <w:rPr>
          <w:lang w:val="en-GB"/>
        </w:rPr>
        <w:fldChar w:fldCharType="begin"/>
      </w:r>
      <w:r w:rsidR="007C7F32" w:rsidRPr="00B97064">
        <w:rPr>
          <w:lang w:val="en-GB"/>
        </w:rPr>
        <w:instrText xml:space="preserve"> TOC \h \z \c "Figure" </w:instrText>
      </w:r>
      <w:r w:rsidRPr="00E80C96">
        <w:rPr>
          <w:lang w:val="en-GB"/>
        </w:rPr>
        <w:fldChar w:fldCharType="separate"/>
      </w:r>
      <w:hyperlink w:anchor="_Toc349585534" w:history="1">
        <w:r w:rsidR="00B97064" w:rsidRPr="00B97064">
          <w:rPr>
            <w:rStyle w:val="Hyperlink"/>
            <w:noProof/>
            <w:lang w:val="en-GB"/>
          </w:rPr>
          <w:t>Figure 1: Summarizing table empirical research RPTs and earnings management</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_Toc349585534 \h </w:instrText>
        </w:r>
        <w:r w:rsidRPr="00B97064">
          <w:rPr>
            <w:noProof/>
            <w:webHidden/>
            <w:lang w:val="en-GB"/>
          </w:rPr>
        </w:r>
        <w:r w:rsidRPr="00B97064">
          <w:rPr>
            <w:noProof/>
            <w:webHidden/>
            <w:lang w:val="en-GB"/>
          </w:rPr>
          <w:fldChar w:fldCharType="separate"/>
        </w:r>
        <w:r w:rsidR="00B97064" w:rsidRPr="00B97064">
          <w:rPr>
            <w:noProof/>
            <w:webHidden/>
            <w:lang w:val="en-GB"/>
          </w:rPr>
          <w:t>46</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35" w:history="1">
        <w:r w:rsidR="00B97064" w:rsidRPr="00B97064">
          <w:rPr>
            <w:rStyle w:val="Hyperlink"/>
            <w:noProof/>
            <w:lang w:val="en-GB"/>
          </w:rPr>
          <w:t>Figure 2: Summarizing table empirical research RPTs and firm value</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_Toc349585535 \h </w:instrText>
        </w:r>
        <w:r w:rsidRPr="00B97064">
          <w:rPr>
            <w:noProof/>
            <w:webHidden/>
            <w:lang w:val="en-GB"/>
          </w:rPr>
        </w:r>
        <w:r w:rsidRPr="00B97064">
          <w:rPr>
            <w:noProof/>
            <w:webHidden/>
            <w:lang w:val="en-GB"/>
          </w:rPr>
          <w:fldChar w:fldCharType="separate"/>
        </w:r>
        <w:r w:rsidR="00B97064" w:rsidRPr="00B97064">
          <w:rPr>
            <w:noProof/>
            <w:webHidden/>
            <w:lang w:val="en-GB"/>
          </w:rPr>
          <w:t>47</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36" w:history="1">
        <w:r w:rsidR="00B97064" w:rsidRPr="00B97064">
          <w:rPr>
            <w:rStyle w:val="Hyperlink"/>
            <w:noProof/>
            <w:lang w:val="en-GB"/>
          </w:rPr>
          <w:t>Figure 3: Summarizing table empirical research investor protection</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_Toc349585536 \h </w:instrText>
        </w:r>
        <w:r w:rsidRPr="00B97064">
          <w:rPr>
            <w:noProof/>
            <w:webHidden/>
            <w:lang w:val="en-GB"/>
          </w:rPr>
        </w:r>
        <w:r w:rsidRPr="00B97064">
          <w:rPr>
            <w:noProof/>
            <w:webHidden/>
            <w:lang w:val="en-GB"/>
          </w:rPr>
          <w:fldChar w:fldCharType="separate"/>
        </w:r>
        <w:r w:rsidR="00B97064" w:rsidRPr="00B97064">
          <w:rPr>
            <w:noProof/>
            <w:webHidden/>
            <w:lang w:val="en-GB"/>
          </w:rPr>
          <w:t>48</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37" w:history="1">
        <w:r w:rsidR="00B97064" w:rsidRPr="00B97064">
          <w:rPr>
            <w:rStyle w:val="Hyperlink"/>
            <w:noProof/>
            <w:lang w:val="en-GB"/>
          </w:rPr>
          <w:t>Figure 4: Summarizing table empirical research second listing</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_Toc349585537 \h </w:instrText>
        </w:r>
        <w:r w:rsidRPr="00B97064">
          <w:rPr>
            <w:noProof/>
            <w:webHidden/>
            <w:lang w:val="en-GB"/>
          </w:rPr>
        </w:r>
        <w:r w:rsidRPr="00B97064">
          <w:rPr>
            <w:noProof/>
            <w:webHidden/>
            <w:lang w:val="en-GB"/>
          </w:rPr>
          <w:fldChar w:fldCharType="separate"/>
        </w:r>
        <w:r w:rsidR="00B97064" w:rsidRPr="00B97064">
          <w:rPr>
            <w:noProof/>
            <w:webHidden/>
            <w:lang w:val="en-GB"/>
          </w:rPr>
          <w:t>49</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38" w:history="1">
        <w:r w:rsidR="00B97064" w:rsidRPr="00B97064">
          <w:rPr>
            <w:rStyle w:val="Hyperlink"/>
            <w:noProof/>
            <w:lang w:val="en-GB"/>
          </w:rPr>
          <w:t>Figure 5: Summarizing table compliance/disclosure studies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_Toc349585538 \h </w:instrText>
        </w:r>
        <w:r w:rsidRPr="00B97064">
          <w:rPr>
            <w:noProof/>
            <w:webHidden/>
            <w:lang w:val="en-GB"/>
          </w:rPr>
        </w:r>
        <w:r w:rsidRPr="00B97064">
          <w:rPr>
            <w:noProof/>
            <w:webHidden/>
            <w:lang w:val="en-GB"/>
          </w:rPr>
          <w:fldChar w:fldCharType="separate"/>
        </w:r>
        <w:r w:rsidR="00B97064" w:rsidRPr="00B97064">
          <w:rPr>
            <w:noProof/>
            <w:webHidden/>
            <w:lang w:val="en-GB"/>
          </w:rPr>
          <w:t>50</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39" w:history="1">
        <w:r w:rsidR="00B97064" w:rsidRPr="00B97064">
          <w:rPr>
            <w:rStyle w:val="Hyperlink"/>
            <w:noProof/>
            <w:lang w:val="en-GB"/>
          </w:rPr>
          <w:t>Figure 6: Summarizing table empirical research firm characteristics and RPTs / firm value</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_Toc349585539 \h </w:instrText>
        </w:r>
        <w:r w:rsidRPr="00B97064">
          <w:rPr>
            <w:noProof/>
            <w:webHidden/>
            <w:lang w:val="en-GB"/>
          </w:rPr>
        </w:r>
        <w:r w:rsidRPr="00B97064">
          <w:rPr>
            <w:noProof/>
            <w:webHidden/>
            <w:lang w:val="en-GB"/>
          </w:rPr>
          <w:fldChar w:fldCharType="separate"/>
        </w:r>
        <w:r w:rsidR="00B97064" w:rsidRPr="00B97064">
          <w:rPr>
            <w:noProof/>
            <w:webHidden/>
            <w:lang w:val="en-GB"/>
          </w:rPr>
          <w:t>51</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40" w:history="1">
        <w:r w:rsidR="00B97064" w:rsidRPr="00B97064">
          <w:rPr>
            <w:rStyle w:val="Hyperlink"/>
            <w:noProof/>
            <w:lang w:val="en-GB"/>
          </w:rPr>
          <w:t>Figure 7: Sample composition</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_Toc349585540 \h </w:instrText>
        </w:r>
        <w:r w:rsidRPr="00B97064">
          <w:rPr>
            <w:noProof/>
            <w:webHidden/>
            <w:lang w:val="en-GB"/>
          </w:rPr>
        </w:r>
        <w:r w:rsidRPr="00B97064">
          <w:rPr>
            <w:noProof/>
            <w:webHidden/>
            <w:lang w:val="en-GB"/>
          </w:rPr>
          <w:fldChar w:fldCharType="separate"/>
        </w:r>
        <w:r w:rsidR="00B97064" w:rsidRPr="00B97064">
          <w:rPr>
            <w:noProof/>
            <w:webHidden/>
            <w:lang w:val="en-GB"/>
          </w:rPr>
          <w:t>67</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41" w:history="1">
        <w:r w:rsidR="00B97064" w:rsidRPr="00B97064">
          <w:rPr>
            <w:rStyle w:val="Hyperlink"/>
            <w:noProof/>
            <w:lang w:val="en-GB"/>
          </w:rPr>
          <w:t>Figure 8: Overview of variables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_Toc349585541 \h </w:instrText>
        </w:r>
        <w:r w:rsidRPr="00B97064">
          <w:rPr>
            <w:noProof/>
            <w:webHidden/>
            <w:lang w:val="en-GB"/>
          </w:rPr>
        </w:r>
        <w:r w:rsidRPr="00B97064">
          <w:rPr>
            <w:noProof/>
            <w:webHidden/>
            <w:lang w:val="en-GB"/>
          </w:rPr>
          <w:fldChar w:fldCharType="separate"/>
        </w:r>
        <w:r w:rsidR="00B97064" w:rsidRPr="00B97064">
          <w:rPr>
            <w:noProof/>
            <w:webHidden/>
            <w:lang w:val="en-GB"/>
          </w:rPr>
          <w:t>71</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42" w:history="1">
        <w:r w:rsidR="00B97064" w:rsidRPr="00B97064">
          <w:rPr>
            <w:rStyle w:val="Hyperlink"/>
            <w:noProof/>
            <w:lang w:val="en-GB"/>
          </w:rPr>
          <w:t>Figure 9: Results disclosure study 2003 and 2009</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_Toc349585542 \h </w:instrText>
        </w:r>
        <w:r w:rsidRPr="00B97064">
          <w:rPr>
            <w:noProof/>
            <w:webHidden/>
            <w:lang w:val="en-GB"/>
          </w:rPr>
        </w:r>
        <w:r w:rsidRPr="00B97064">
          <w:rPr>
            <w:noProof/>
            <w:webHidden/>
            <w:lang w:val="en-GB"/>
          </w:rPr>
          <w:fldChar w:fldCharType="separate"/>
        </w:r>
        <w:r w:rsidR="00B97064" w:rsidRPr="00B97064">
          <w:rPr>
            <w:noProof/>
            <w:webHidden/>
            <w:lang w:val="en-GB"/>
          </w:rPr>
          <w:t>72</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43" w:history="1">
        <w:r w:rsidR="00B97064" w:rsidRPr="00B97064">
          <w:rPr>
            <w:rStyle w:val="Hyperlink"/>
            <w:noProof/>
            <w:lang w:val="en-GB"/>
          </w:rPr>
          <w:t>Figure 10: Correlation matrix variables year 2003.</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_Toc349585543 \h </w:instrText>
        </w:r>
        <w:r w:rsidRPr="00B97064">
          <w:rPr>
            <w:noProof/>
            <w:webHidden/>
            <w:lang w:val="en-GB"/>
          </w:rPr>
        </w:r>
        <w:r w:rsidRPr="00B97064">
          <w:rPr>
            <w:noProof/>
            <w:webHidden/>
            <w:lang w:val="en-GB"/>
          </w:rPr>
          <w:fldChar w:fldCharType="separate"/>
        </w:r>
        <w:r w:rsidR="00B97064" w:rsidRPr="00B97064">
          <w:rPr>
            <w:noProof/>
            <w:webHidden/>
            <w:lang w:val="en-GB"/>
          </w:rPr>
          <w:t>73</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44" w:history="1">
        <w:r w:rsidR="00B97064" w:rsidRPr="00B97064">
          <w:rPr>
            <w:rStyle w:val="Hyperlink"/>
            <w:noProof/>
            <w:lang w:val="en-GB"/>
          </w:rPr>
          <w:t>Figure 11: Descriptive statistics research part I year 2003</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_Toc349585544 \h </w:instrText>
        </w:r>
        <w:r w:rsidRPr="00B97064">
          <w:rPr>
            <w:noProof/>
            <w:webHidden/>
            <w:lang w:val="en-GB"/>
          </w:rPr>
        </w:r>
        <w:r w:rsidRPr="00B97064">
          <w:rPr>
            <w:noProof/>
            <w:webHidden/>
            <w:lang w:val="en-GB"/>
          </w:rPr>
          <w:fldChar w:fldCharType="separate"/>
        </w:r>
        <w:r w:rsidR="00B97064" w:rsidRPr="00B97064">
          <w:rPr>
            <w:noProof/>
            <w:webHidden/>
            <w:lang w:val="en-GB"/>
          </w:rPr>
          <w:t>73</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45" w:history="1">
        <w:r w:rsidR="00B97064" w:rsidRPr="00B97064">
          <w:rPr>
            <w:rStyle w:val="Hyperlink"/>
            <w:noProof/>
            <w:lang w:val="en-GB"/>
          </w:rPr>
          <w:t>Figure 12: Descriptive statistics research part II year 2003</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_Toc349585545 \h </w:instrText>
        </w:r>
        <w:r w:rsidRPr="00B97064">
          <w:rPr>
            <w:noProof/>
            <w:webHidden/>
            <w:lang w:val="en-GB"/>
          </w:rPr>
        </w:r>
        <w:r w:rsidRPr="00B97064">
          <w:rPr>
            <w:noProof/>
            <w:webHidden/>
            <w:lang w:val="en-GB"/>
          </w:rPr>
          <w:fldChar w:fldCharType="separate"/>
        </w:r>
        <w:r w:rsidR="00B97064" w:rsidRPr="00B97064">
          <w:rPr>
            <w:noProof/>
            <w:webHidden/>
            <w:lang w:val="en-GB"/>
          </w:rPr>
          <w:t>74</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46" w:history="1">
        <w:r w:rsidR="00B97064" w:rsidRPr="00B97064">
          <w:rPr>
            <w:rStyle w:val="Hyperlink"/>
            <w:noProof/>
            <w:lang w:val="en-GB"/>
          </w:rPr>
          <w:t>Figure 13: Correlation matrix variables year 2009.</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_Toc349585546 \h </w:instrText>
        </w:r>
        <w:r w:rsidRPr="00B97064">
          <w:rPr>
            <w:noProof/>
            <w:webHidden/>
            <w:lang w:val="en-GB"/>
          </w:rPr>
        </w:r>
        <w:r w:rsidRPr="00B97064">
          <w:rPr>
            <w:noProof/>
            <w:webHidden/>
            <w:lang w:val="en-GB"/>
          </w:rPr>
          <w:fldChar w:fldCharType="separate"/>
        </w:r>
        <w:r w:rsidR="00B97064" w:rsidRPr="00B97064">
          <w:rPr>
            <w:noProof/>
            <w:webHidden/>
            <w:lang w:val="en-GB"/>
          </w:rPr>
          <w:t>74</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47" w:history="1">
        <w:r w:rsidR="00B97064" w:rsidRPr="00B97064">
          <w:rPr>
            <w:rStyle w:val="Hyperlink"/>
            <w:noProof/>
            <w:lang w:val="en-GB"/>
          </w:rPr>
          <w:t>Figure 14: Descriptive statistics research part I year 2009</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_Toc349585547 \h </w:instrText>
        </w:r>
        <w:r w:rsidRPr="00B97064">
          <w:rPr>
            <w:noProof/>
            <w:webHidden/>
            <w:lang w:val="en-GB"/>
          </w:rPr>
        </w:r>
        <w:r w:rsidRPr="00B97064">
          <w:rPr>
            <w:noProof/>
            <w:webHidden/>
            <w:lang w:val="en-GB"/>
          </w:rPr>
          <w:fldChar w:fldCharType="separate"/>
        </w:r>
        <w:r w:rsidR="00B97064" w:rsidRPr="00B97064">
          <w:rPr>
            <w:noProof/>
            <w:webHidden/>
            <w:lang w:val="en-GB"/>
          </w:rPr>
          <w:t>75</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48" w:history="1">
        <w:r w:rsidR="00B97064" w:rsidRPr="00B97064">
          <w:rPr>
            <w:rStyle w:val="Hyperlink"/>
            <w:noProof/>
            <w:lang w:val="en-GB"/>
          </w:rPr>
          <w:t>Figure 15: Descriptive statistics research part II year 2009</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_Toc349585548 \h </w:instrText>
        </w:r>
        <w:r w:rsidRPr="00B97064">
          <w:rPr>
            <w:noProof/>
            <w:webHidden/>
            <w:lang w:val="en-GB"/>
          </w:rPr>
        </w:r>
        <w:r w:rsidRPr="00B97064">
          <w:rPr>
            <w:noProof/>
            <w:webHidden/>
            <w:lang w:val="en-GB"/>
          </w:rPr>
          <w:fldChar w:fldCharType="separate"/>
        </w:r>
        <w:r w:rsidR="00B97064" w:rsidRPr="00B97064">
          <w:rPr>
            <w:noProof/>
            <w:webHidden/>
            <w:lang w:val="en-GB"/>
          </w:rPr>
          <w:t>75</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49" w:history="1">
        <w:r w:rsidR="00B97064" w:rsidRPr="00B97064">
          <w:rPr>
            <w:rStyle w:val="Hyperlink"/>
            <w:noProof/>
            <w:lang w:val="en-GB"/>
          </w:rPr>
          <w:t>Figure 16: Second listing</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_Toc349585549 \h </w:instrText>
        </w:r>
        <w:r w:rsidRPr="00B97064">
          <w:rPr>
            <w:noProof/>
            <w:webHidden/>
            <w:lang w:val="en-GB"/>
          </w:rPr>
        </w:r>
        <w:r w:rsidRPr="00B97064">
          <w:rPr>
            <w:noProof/>
            <w:webHidden/>
            <w:lang w:val="en-GB"/>
          </w:rPr>
          <w:fldChar w:fldCharType="separate"/>
        </w:r>
        <w:r w:rsidR="00B97064" w:rsidRPr="00B97064">
          <w:rPr>
            <w:noProof/>
            <w:webHidden/>
            <w:lang w:val="en-GB"/>
          </w:rPr>
          <w:t>76</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50" w:history="1">
        <w:r w:rsidR="00B97064" w:rsidRPr="00B97064">
          <w:rPr>
            <w:rStyle w:val="Hyperlink"/>
            <w:noProof/>
            <w:lang w:val="en-GB"/>
          </w:rPr>
          <w:t>Figure 17: Auditor type</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_Toc349585550 \h </w:instrText>
        </w:r>
        <w:r w:rsidRPr="00B97064">
          <w:rPr>
            <w:noProof/>
            <w:webHidden/>
            <w:lang w:val="en-GB"/>
          </w:rPr>
        </w:r>
        <w:r w:rsidRPr="00B97064">
          <w:rPr>
            <w:noProof/>
            <w:webHidden/>
            <w:lang w:val="en-GB"/>
          </w:rPr>
          <w:fldChar w:fldCharType="separate"/>
        </w:r>
        <w:r w:rsidR="00B97064" w:rsidRPr="00B97064">
          <w:rPr>
            <w:noProof/>
            <w:webHidden/>
            <w:lang w:val="en-GB"/>
          </w:rPr>
          <w:t>76</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51" w:history="1">
        <w:r w:rsidR="00B97064" w:rsidRPr="00B97064">
          <w:rPr>
            <w:rStyle w:val="Hyperlink"/>
            <w:noProof/>
            <w:lang w:val="en-GB"/>
          </w:rPr>
          <w:t>Figure 18: Distribution big 4 auditor</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_Toc349585551 \h </w:instrText>
        </w:r>
        <w:r w:rsidRPr="00B97064">
          <w:rPr>
            <w:noProof/>
            <w:webHidden/>
            <w:lang w:val="en-GB"/>
          </w:rPr>
        </w:r>
        <w:r w:rsidRPr="00B97064">
          <w:rPr>
            <w:noProof/>
            <w:webHidden/>
            <w:lang w:val="en-GB"/>
          </w:rPr>
          <w:fldChar w:fldCharType="separate"/>
        </w:r>
        <w:r w:rsidR="00B97064" w:rsidRPr="00B97064">
          <w:rPr>
            <w:noProof/>
            <w:webHidden/>
            <w:lang w:val="en-GB"/>
          </w:rPr>
          <w:t>76</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52" w:history="1">
        <w:r w:rsidR="00B97064" w:rsidRPr="00B97064">
          <w:rPr>
            <w:rStyle w:val="Hyperlink"/>
            <w:noProof/>
            <w:lang w:val="en-GB"/>
          </w:rPr>
          <w:t>Figure 19: Multiple regression Part I output 2003</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_Toc349585552 \h </w:instrText>
        </w:r>
        <w:r w:rsidRPr="00B97064">
          <w:rPr>
            <w:noProof/>
            <w:webHidden/>
            <w:lang w:val="en-GB"/>
          </w:rPr>
        </w:r>
        <w:r w:rsidRPr="00B97064">
          <w:rPr>
            <w:noProof/>
            <w:webHidden/>
            <w:lang w:val="en-GB"/>
          </w:rPr>
          <w:fldChar w:fldCharType="separate"/>
        </w:r>
        <w:r w:rsidR="00B97064" w:rsidRPr="00B97064">
          <w:rPr>
            <w:noProof/>
            <w:webHidden/>
            <w:lang w:val="en-GB"/>
          </w:rPr>
          <w:t>77</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53" w:history="1">
        <w:r w:rsidR="00B97064" w:rsidRPr="00B97064">
          <w:rPr>
            <w:rStyle w:val="Hyperlink"/>
            <w:noProof/>
            <w:lang w:val="en-GB"/>
          </w:rPr>
          <w:t>Figure 20: Multiple regression Part I output 2009</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_Toc349585553 \h </w:instrText>
        </w:r>
        <w:r w:rsidRPr="00B97064">
          <w:rPr>
            <w:noProof/>
            <w:webHidden/>
            <w:lang w:val="en-GB"/>
          </w:rPr>
        </w:r>
        <w:r w:rsidRPr="00B97064">
          <w:rPr>
            <w:noProof/>
            <w:webHidden/>
            <w:lang w:val="en-GB"/>
          </w:rPr>
          <w:fldChar w:fldCharType="separate"/>
        </w:r>
        <w:r w:rsidR="00B97064" w:rsidRPr="00B97064">
          <w:rPr>
            <w:noProof/>
            <w:webHidden/>
            <w:lang w:val="en-GB"/>
          </w:rPr>
          <w:t>78</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54" w:history="1">
        <w:r w:rsidR="00B97064" w:rsidRPr="00B97064">
          <w:rPr>
            <w:rStyle w:val="Hyperlink"/>
            <w:noProof/>
            <w:lang w:val="en-GB"/>
          </w:rPr>
          <w:t>Figure 21: Multiple regression Part II output 2003</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_Toc349585554 \h </w:instrText>
        </w:r>
        <w:r w:rsidRPr="00B97064">
          <w:rPr>
            <w:noProof/>
            <w:webHidden/>
            <w:lang w:val="en-GB"/>
          </w:rPr>
        </w:r>
        <w:r w:rsidRPr="00B97064">
          <w:rPr>
            <w:noProof/>
            <w:webHidden/>
            <w:lang w:val="en-GB"/>
          </w:rPr>
          <w:fldChar w:fldCharType="separate"/>
        </w:r>
        <w:r w:rsidR="00B97064" w:rsidRPr="00B97064">
          <w:rPr>
            <w:noProof/>
            <w:webHidden/>
            <w:lang w:val="en-GB"/>
          </w:rPr>
          <w:t>79</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55" w:history="1">
        <w:r w:rsidR="00B97064" w:rsidRPr="00B97064">
          <w:rPr>
            <w:rStyle w:val="Hyperlink"/>
            <w:noProof/>
            <w:lang w:val="en-GB"/>
          </w:rPr>
          <w:t>Figure 22: Multiple regression Part II output 2009</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_Toc349585555 \h </w:instrText>
        </w:r>
        <w:r w:rsidRPr="00B97064">
          <w:rPr>
            <w:noProof/>
            <w:webHidden/>
            <w:lang w:val="en-GB"/>
          </w:rPr>
        </w:r>
        <w:r w:rsidRPr="00B97064">
          <w:rPr>
            <w:noProof/>
            <w:webHidden/>
            <w:lang w:val="en-GB"/>
          </w:rPr>
          <w:fldChar w:fldCharType="separate"/>
        </w:r>
        <w:r w:rsidR="00B97064" w:rsidRPr="00B97064">
          <w:rPr>
            <w:noProof/>
            <w:webHidden/>
            <w:lang w:val="en-GB"/>
          </w:rPr>
          <w:t>80</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56" w:history="1">
        <w:r w:rsidR="00B97064" w:rsidRPr="00B97064">
          <w:rPr>
            <w:rStyle w:val="Hyperlink"/>
            <w:noProof/>
            <w:lang w:val="en-GB"/>
          </w:rPr>
          <w:t>Figure 23: Multiple regression panel data, random effects model, research part I</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_Toc349585556 \h </w:instrText>
        </w:r>
        <w:r w:rsidRPr="00B97064">
          <w:rPr>
            <w:noProof/>
            <w:webHidden/>
            <w:lang w:val="en-GB"/>
          </w:rPr>
        </w:r>
        <w:r w:rsidRPr="00B97064">
          <w:rPr>
            <w:noProof/>
            <w:webHidden/>
            <w:lang w:val="en-GB"/>
          </w:rPr>
          <w:fldChar w:fldCharType="separate"/>
        </w:r>
        <w:r w:rsidR="00B97064" w:rsidRPr="00B97064">
          <w:rPr>
            <w:noProof/>
            <w:webHidden/>
            <w:lang w:val="en-GB"/>
          </w:rPr>
          <w:t>82</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57" w:history="1">
        <w:r w:rsidR="00B97064" w:rsidRPr="00B97064">
          <w:rPr>
            <w:rStyle w:val="Hyperlink"/>
            <w:noProof/>
            <w:lang w:val="en-GB"/>
          </w:rPr>
          <w:t>Figure 24: Multiple regression panel data, random effects model, research part II</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_Toc349585557 \h </w:instrText>
        </w:r>
        <w:r w:rsidRPr="00B97064">
          <w:rPr>
            <w:noProof/>
            <w:webHidden/>
            <w:lang w:val="en-GB"/>
          </w:rPr>
        </w:r>
        <w:r w:rsidRPr="00B97064">
          <w:rPr>
            <w:noProof/>
            <w:webHidden/>
            <w:lang w:val="en-GB"/>
          </w:rPr>
          <w:fldChar w:fldCharType="separate"/>
        </w:r>
        <w:r w:rsidR="00B97064" w:rsidRPr="00B97064">
          <w:rPr>
            <w:noProof/>
            <w:webHidden/>
            <w:lang w:val="en-GB"/>
          </w:rPr>
          <w:t>83</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58" w:history="1">
        <w:r w:rsidR="00B97064" w:rsidRPr="00B97064">
          <w:rPr>
            <w:rStyle w:val="Hyperlink"/>
            <w:noProof/>
            <w:lang w:val="en-GB"/>
          </w:rPr>
          <w:t>Figure 25: Paired samples statistics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_Toc349585558 \h </w:instrText>
        </w:r>
        <w:r w:rsidRPr="00B97064">
          <w:rPr>
            <w:noProof/>
            <w:webHidden/>
            <w:lang w:val="en-GB"/>
          </w:rPr>
        </w:r>
        <w:r w:rsidRPr="00B97064">
          <w:rPr>
            <w:noProof/>
            <w:webHidden/>
            <w:lang w:val="en-GB"/>
          </w:rPr>
          <w:fldChar w:fldCharType="separate"/>
        </w:r>
        <w:r w:rsidR="00B97064" w:rsidRPr="00B97064">
          <w:rPr>
            <w:noProof/>
            <w:webHidden/>
            <w:lang w:val="en-GB"/>
          </w:rPr>
          <w:t>84</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59" w:history="1">
        <w:r w:rsidR="00B97064" w:rsidRPr="00B97064">
          <w:rPr>
            <w:rStyle w:val="Hyperlink"/>
            <w:noProof/>
            <w:lang w:val="en-GB"/>
          </w:rPr>
          <w:t>Figure 26: Paired samples correlations</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_Toc349585559 \h </w:instrText>
        </w:r>
        <w:r w:rsidRPr="00B97064">
          <w:rPr>
            <w:noProof/>
            <w:webHidden/>
            <w:lang w:val="en-GB"/>
          </w:rPr>
        </w:r>
        <w:r w:rsidRPr="00B97064">
          <w:rPr>
            <w:noProof/>
            <w:webHidden/>
            <w:lang w:val="en-GB"/>
          </w:rPr>
          <w:fldChar w:fldCharType="separate"/>
        </w:r>
        <w:r w:rsidR="00B97064" w:rsidRPr="00B97064">
          <w:rPr>
            <w:noProof/>
            <w:webHidden/>
            <w:lang w:val="en-GB"/>
          </w:rPr>
          <w:t>84</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60" w:history="1">
        <w:r w:rsidR="00B97064" w:rsidRPr="00B97064">
          <w:rPr>
            <w:rStyle w:val="Hyperlink"/>
            <w:noProof/>
            <w:lang w:val="en-GB"/>
          </w:rPr>
          <w:t>Figure 27: Paired samples t-test</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_Toc349585560 \h </w:instrText>
        </w:r>
        <w:r w:rsidRPr="00B97064">
          <w:rPr>
            <w:noProof/>
            <w:webHidden/>
            <w:lang w:val="en-GB"/>
          </w:rPr>
        </w:r>
        <w:r w:rsidRPr="00B97064">
          <w:rPr>
            <w:noProof/>
            <w:webHidden/>
            <w:lang w:val="en-GB"/>
          </w:rPr>
          <w:fldChar w:fldCharType="separate"/>
        </w:r>
        <w:r w:rsidR="00B97064" w:rsidRPr="00B97064">
          <w:rPr>
            <w:noProof/>
            <w:webHidden/>
            <w:lang w:val="en-GB"/>
          </w:rPr>
          <w:t>84</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61" w:history="1">
        <w:r w:rsidR="00B97064" w:rsidRPr="00B97064">
          <w:rPr>
            <w:rStyle w:val="Hyperlink"/>
            <w:noProof/>
            <w:lang w:val="en-GB"/>
          </w:rPr>
          <w:t>Figure 28: List of all firms included in the sample</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_Toc349585561 \h </w:instrText>
        </w:r>
        <w:r w:rsidRPr="00B97064">
          <w:rPr>
            <w:noProof/>
            <w:webHidden/>
            <w:lang w:val="en-GB"/>
          </w:rPr>
        </w:r>
        <w:r w:rsidRPr="00B97064">
          <w:rPr>
            <w:noProof/>
            <w:webHidden/>
            <w:lang w:val="en-GB"/>
          </w:rPr>
          <w:fldChar w:fldCharType="separate"/>
        </w:r>
        <w:r w:rsidR="00B97064" w:rsidRPr="00B97064">
          <w:rPr>
            <w:noProof/>
            <w:webHidden/>
            <w:lang w:val="en-GB"/>
          </w:rPr>
          <w:t>100</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62" w:history="1">
        <w:r w:rsidR="00B97064" w:rsidRPr="00B97064">
          <w:rPr>
            <w:rStyle w:val="Hyperlink"/>
            <w:noProof/>
            <w:lang w:val="en-GB"/>
          </w:rPr>
          <w:t>Figure 29: Hausman test research part I</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_Toc349585562 \h </w:instrText>
        </w:r>
        <w:r w:rsidRPr="00B97064">
          <w:rPr>
            <w:noProof/>
            <w:webHidden/>
            <w:lang w:val="en-GB"/>
          </w:rPr>
        </w:r>
        <w:r w:rsidRPr="00B97064">
          <w:rPr>
            <w:noProof/>
            <w:webHidden/>
            <w:lang w:val="en-GB"/>
          </w:rPr>
          <w:fldChar w:fldCharType="separate"/>
        </w:r>
        <w:r w:rsidR="00B97064" w:rsidRPr="00B97064">
          <w:rPr>
            <w:noProof/>
            <w:webHidden/>
            <w:lang w:val="en-GB"/>
          </w:rPr>
          <w:t>103</w:t>
        </w:r>
        <w:r w:rsidRPr="00B97064">
          <w:rPr>
            <w:noProof/>
            <w:webHidden/>
            <w:lang w:val="en-GB"/>
          </w:rPr>
          <w:fldChar w:fldCharType="end"/>
        </w:r>
      </w:hyperlink>
    </w:p>
    <w:p w:rsidR="00B97064" w:rsidRPr="00B97064" w:rsidRDefault="00E80C96">
      <w:pPr>
        <w:pStyle w:val="TableofFigures"/>
        <w:tabs>
          <w:tab w:val="right" w:leader="dot" w:pos="9059"/>
        </w:tabs>
        <w:rPr>
          <w:rFonts w:asciiTheme="minorHAnsi" w:eastAsiaTheme="minorEastAsia" w:hAnsiTheme="minorHAnsi" w:cstheme="minorBidi"/>
          <w:noProof/>
          <w:szCs w:val="22"/>
          <w:lang w:val="en-GB" w:eastAsia="en-US"/>
        </w:rPr>
      </w:pPr>
      <w:hyperlink w:anchor="_Toc349585563" w:history="1">
        <w:r w:rsidR="00B97064" w:rsidRPr="00B97064">
          <w:rPr>
            <w:rStyle w:val="Hyperlink"/>
            <w:noProof/>
            <w:lang w:val="en-GB"/>
          </w:rPr>
          <w:t>Figure 30: Hausman test research part II</w:t>
        </w:r>
        <w:r w:rsidR="00B97064" w:rsidRPr="00B97064">
          <w:rPr>
            <w:noProof/>
            <w:webHidden/>
            <w:lang w:val="en-GB"/>
          </w:rPr>
          <w:tab/>
        </w:r>
        <w:r w:rsidRPr="00B97064">
          <w:rPr>
            <w:noProof/>
            <w:webHidden/>
            <w:lang w:val="en-GB"/>
          </w:rPr>
          <w:fldChar w:fldCharType="begin"/>
        </w:r>
        <w:r w:rsidR="00B97064" w:rsidRPr="00B97064">
          <w:rPr>
            <w:noProof/>
            <w:webHidden/>
            <w:lang w:val="en-GB"/>
          </w:rPr>
          <w:instrText xml:space="preserve"> PAGEREF _Toc349585563 \h </w:instrText>
        </w:r>
        <w:r w:rsidRPr="00B97064">
          <w:rPr>
            <w:noProof/>
            <w:webHidden/>
            <w:lang w:val="en-GB"/>
          </w:rPr>
        </w:r>
        <w:r w:rsidRPr="00B97064">
          <w:rPr>
            <w:noProof/>
            <w:webHidden/>
            <w:lang w:val="en-GB"/>
          </w:rPr>
          <w:fldChar w:fldCharType="separate"/>
        </w:r>
        <w:r w:rsidR="00B97064" w:rsidRPr="00B97064">
          <w:rPr>
            <w:noProof/>
            <w:webHidden/>
            <w:lang w:val="en-GB"/>
          </w:rPr>
          <w:t>103</w:t>
        </w:r>
        <w:r w:rsidRPr="00B97064">
          <w:rPr>
            <w:noProof/>
            <w:webHidden/>
            <w:lang w:val="en-GB"/>
          </w:rPr>
          <w:fldChar w:fldCharType="end"/>
        </w:r>
      </w:hyperlink>
    </w:p>
    <w:p w:rsidR="007C7F32" w:rsidRPr="00B97064" w:rsidRDefault="00E80C96" w:rsidP="001D1870">
      <w:pPr>
        <w:pStyle w:val="Heading1"/>
        <w:rPr>
          <w:lang w:val="en-GB"/>
        </w:rPr>
      </w:pPr>
      <w:r w:rsidRPr="00B97064">
        <w:rPr>
          <w:lang w:val="en-GB"/>
        </w:rPr>
        <w:fldChar w:fldCharType="end"/>
      </w:r>
      <w:r w:rsidR="007C7F32" w:rsidRPr="00B97064">
        <w:rPr>
          <w:lang w:val="en-GB"/>
        </w:rPr>
        <w:br w:type="page"/>
      </w:r>
      <w:bookmarkStart w:id="5" w:name="_Toc349585446"/>
      <w:r w:rsidR="007C7F32" w:rsidRPr="00B97064">
        <w:rPr>
          <w:lang w:val="en-GB"/>
        </w:rPr>
        <w:lastRenderedPageBreak/>
        <w:t>1. Introduction</w:t>
      </w:r>
      <w:bookmarkEnd w:id="5"/>
    </w:p>
    <w:p w:rsidR="007C7F32" w:rsidRPr="00B97064" w:rsidRDefault="007C7F32" w:rsidP="00065360">
      <w:pPr>
        <w:pStyle w:val="Heading2"/>
        <w:rPr>
          <w:lang w:val="en-GB"/>
        </w:rPr>
      </w:pPr>
      <w:bookmarkStart w:id="6" w:name="_Toc349585447"/>
      <w:r w:rsidRPr="00B97064">
        <w:rPr>
          <w:lang w:val="en-GB"/>
        </w:rPr>
        <w:t>1.1 Background</w:t>
      </w:r>
      <w:bookmarkEnd w:id="6"/>
    </w:p>
    <w:p w:rsidR="007C7F32" w:rsidRPr="00B97064" w:rsidRDefault="007C7F32" w:rsidP="00141285">
      <w:pPr>
        <w:rPr>
          <w:rFonts w:cs="Arial"/>
          <w:szCs w:val="22"/>
          <w:lang w:val="en-GB"/>
        </w:rPr>
      </w:pPr>
      <w:r w:rsidRPr="00B97064">
        <w:rPr>
          <w:rFonts w:cs="Arial"/>
          <w:szCs w:val="22"/>
          <w:lang w:val="en-GB"/>
        </w:rPr>
        <w:t>In the beginning of the 21</w:t>
      </w:r>
      <w:r w:rsidRPr="00B97064">
        <w:rPr>
          <w:rFonts w:cs="Arial"/>
          <w:szCs w:val="22"/>
          <w:vertAlign w:val="superscript"/>
          <w:lang w:val="en-GB"/>
        </w:rPr>
        <w:t>st</w:t>
      </w:r>
      <w:r w:rsidRPr="00B97064">
        <w:rPr>
          <w:rFonts w:cs="Arial"/>
          <w:szCs w:val="22"/>
          <w:lang w:val="en-GB"/>
        </w:rPr>
        <w:t xml:space="preserve"> century, some frauds dominated the news, like the Enron scandal. Enron was an American energy and commodities company. The company went bankrupt in 2001 after a big accounting fraud was revealed. In this case, Related Party Transactions (RPTs) with Special Purpose Entities</w:t>
      </w:r>
      <w:r w:rsidRPr="00B97064">
        <w:rPr>
          <w:rStyle w:val="FootnoteReference"/>
          <w:rFonts w:cs="Arial"/>
          <w:szCs w:val="22"/>
          <w:lang w:val="en-GB"/>
        </w:rPr>
        <w:footnoteReference w:id="1"/>
      </w:r>
      <w:r w:rsidRPr="00B97064">
        <w:rPr>
          <w:rFonts w:cs="Arial"/>
          <w:szCs w:val="22"/>
          <w:lang w:val="en-GB"/>
        </w:rPr>
        <w:t xml:space="preserve"> (SPEs) play a major role. A Related Party Transaction is a transfer of resources or obligations between related parties, regardless of whether or not a price is charged (IAS 24.9). Examples of those kinds of transactions are the sales or purchases of assets, direct or contract services and loans. These transactions should take place between related parties; this is the case if one party has the ability to control the other party or exercise significant influence over the other party in making financial/operating decisions. Enron used RPTs to accommodate certain assets and liabilities at SPEs. Subsequently, those SPEs were not included in the consolidation, even though Enron bore the risk of those assets and liabilities. After the bankruptcy, the legislation concerning RPTs and corporate governance was tightened up for example by the Sarbanes-Oxley Act (SOx) of 2002.</w:t>
      </w:r>
    </w:p>
    <w:p w:rsidR="007C7F32" w:rsidRPr="00B97064" w:rsidRDefault="007C7F32" w:rsidP="00BD7D81">
      <w:pPr>
        <w:rPr>
          <w:rFonts w:cs="Arial"/>
          <w:szCs w:val="22"/>
          <w:lang w:val="en-GB"/>
        </w:rPr>
      </w:pPr>
    </w:p>
    <w:p w:rsidR="007C7F32" w:rsidRPr="00B97064" w:rsidRDefault="007C7F32" w:rsidP="00BD7D81">
      <w:pPr>
        <w:rPr>
          <w:rFonts w:cs="Arial"/>
          <w:szCs w:val="22"/>
          <w:lang w:val="en-GB"/>
        </w:rPr>
      </w:pPr>
      <w:r w:rsidRPr="00B97064">
        <w:rPr>
          <w:rFonts w:cs="Arial"/>
          <w:szCs w:val="22"/>
          <w:lang w:val="en-GB"/>
        </w:rPr>
        <w:t xml:space="preserve">In my opinion, the Enron case could be considered as a confirmation of the </w:t>
      </w:r>
      <w:r w:rsidRPr="00B97064">
        <w:rPr>
          <w:rFonts w:cs="Arial"/>
          <w:i/>
          <w:szCs w:val="22"/>
          <w:lang w:val="en-GB"/>
        </w:rPr>
        <w:t>positive accounting theory</w:t>
      </w:r>
      <w:r w:rsidRPr="00B97064">
        <w:rPr>
          <w:rFonts w:cs="Arial"/>
          <w:szCs w:val="22"/>
          <w:lang w:val="en-GB"/>
        </w:rPr>
        <w:t>; this theory is based on the assumption that individuals are driven by self interest and act in an opportunistic way. They try to maximise their wealth, whether or not at the expense of others. Opportunistic behaviour may emerge when a firm enters into RPTs. A RPT should take place under normal conditions; the price should be at arm’s length. The arm’s length rule is a general accepted accounting principle, which is given in for example IAS 18 (revenue). However, a related party who acts opportunistically will try to maximise his/her wealth and will try to get a more favourable price, since this insider could influence the agreed conditions. This results in a price which is not at arm’s length anymore; this leads to exprop</w:t>
      </w:r>
      <w:r w:rsidR="00816F16" w:rsidRPr="00B97064">
        <w:rPr>
          <w:rFonts w:cs="Arial"/>
          <w:szCs w:val="22"/>
          <w:lang w:val="en-GB"/>
        </w:rPr>
        <w:t>riation of the firms resources.</w:t>
      </w:r>
    </w:p>
    <w:p w:rsidR="007C7F32" w:rsidRPr="00B97064" w:rsidRDefault="007C7F32" w:rsidP="00BD7D81">
      <w:pPr>
        <w:rPr>
          <w:rFonts w:cs="Arial"/>
          <w:szCs w:val="22"/>
          <w:lang w:val="en-GB"/>
        </w:rPr>
      </w:pPr>
    </w:p>
    <w:p w:rsidR="007C7F32" w:rsidRPr="00B97064" w:rsidRDefault="007C7F32" w:rsidP="00BD7D81">
      <w:pPr>
        <w:rPr>
          <w:rFonts w:cs="Arial"/>
          <w:szCs w:val="22"/>
          <w:lang w:val="en-GB"/>
        </w:rPr>
      </w:pPr>
      <w:r w:rsidRPr="00B97064">
        <w:rPr>
          <w:rFonts w:cs="Arial"/>
          <w:szCs w:val="22"/>
          <w:lang w:val="en-GB"/>
        </w:rPr>
        <w:t xml:space="preserve">One example of a related party is the main shareholder. If the main shareholder enters into a transaction with the firm based on more favourable terms (for this main shareholder), this deal could not be characterised as an arm’s length transaction. This leads to the enrichment of the main shareholder at the expense of the firm and ultimately at the expense of the minority shareholders, since these transactions affect the assets of the firm. So, this </w:t>
      </w:r>
      <w:r w:rsidRPr="00B97064">
        <w:rPr>
          <w:rFonts w:cs="Arial"/>
          <w:szCs w:val="22"/>
          <w:lang w:val="en-GB"/>
        </w:rPr>
        <w:lastRenderedPageBreak/>
        <w:t>opportunistic behaviour of the main shareholder leads to expropriation of minority shareholders. The risk of expropriation has a negative effect on the marketability of the securities. So, the risk of expropriation results in a reduction of the value of the securities, which has a negative effect on a firm’s market value. La Porta et al. (2002) confirmed this negative relation between the risk of expropriation (weak minority sharehol</w:t>
      </w:r>
      <w:r w:rsidR="007D6EA2" w:rsidRPr="00B97064">
        <w:rPr>
          <w:rFonts w:cs="Arial"/>
          <w:szCs w:val="22"/>
          <w:lang w:val="en-GB"/>
        </w:rPr>
        <w:t>der protection) and firm value.</w:t>
      </w:r>
    </w:p>
    <w:p w:rsidR="007C7F32" w:rsidRPr="00B97064" w:rsidRDefault="007C7F32" w:rsidP="00C206F1">
      <w:pPr>
        <w:rPr>
          <w:rFonts w:cs="Arial"/>
          <w:szCs w:val="22"/>
          <w:lang w:val="en-GB"/>
        </w:rPr>
      </w:pPr>
    </w:p>
    <w:p w:rsidR="007C7F32" w:rsidRPr="00B97064" w:rsidRDefault="007C7F32" w:rsidP="008C6445">
      <w:pPr>
        <w:rPr>
          <w:rFonts w:cs="Arial"/>
          <w:szCs w:val="22"/>
          <w:lang w:val="en-GB"/>
        </w:rPr>
      </w:pPr>
      <w:r w:rsidRPr="00B97064">
        <w:rPr>
          <w:rFonts w:cs="Arial"/>
          <w:szCs w:val="22"/>
          <w:lang w:val="en-GB"/>
        </w:rPr>
        <w:t xml:space="preserve">Besides the assumption that main shareholders act in an opportunistic way, also firms’ management could behave opportunistically. This opportunistic behaviour of management can be explained by the </w:t>
      </w:r>
      <w:r w:rsidRPr="00B97064">
        <w:rPr>
          <w:rFonts w:cs="Arial"/>
          <w:i/>
          <w:szCs w:val="22"/>
          <w:lang w:val="en-GB"/>
        </w:rPr>
        <w:t xml:space="preserve">agency theory; </w:t>
      </w:r>
      <w:r w:rsidRPr="00B97064">
        <w:rPr>
          <w:rFonts w:cs="Arial"/>
          <w:szCs w:val="22"/>
          <w:lang w:val="en-GB"/>
        </w:rPr>
        <w:t>due to the separation of management (board of directors, the agents) and ownership (shareholders, the principals) in listed firms, the managers act opportunistically and could enrich themselves, at the expense of all shareholders. Management could do so, by directly or indirectly entering in</w:t>
      </w:r>
      <w:r w:rsidR="00F742F9" w:rsidRPr="00B97064">
        <w:rPr>
          <w:rFonts w:cs="Arial"/>
          <w:szCs w:val="22"/>
          <w:lang w:val="en-GB"/>
        </w:rPr>
        <w:t>to</w:t>
      </w:r>
      <w:r w:rsidRPr="00B97064">
        <w:rPr>
          <w:rFonts w:cs="Arial"/>
          <w:szCs w:val="22"/>
          <w:lang w:val="en-GB"/>
        </w:rPr>
        <w:t xml:space="preserve"> RPTs with the firm, or by using RPTs to manipulate earnings, for example in order to gain a (higher) bonus.</w:t>
      </w:r>
    </w:p>
    <w:p w:rsidR="007C7F32" w:rsidRPr="00B97064" w:rsidRDefault="007C7F32" w:rsidP="008C6445">
      <w:pPr>
        <w:rPr>
          <w:rFonts w:cs="Arial"/>
          <w:szCs w:val="22"/>
          <w:lang w:val="en-GB"/>
        </w:rPr>
      </w:pPr>
    </w:p>
    <w:p w:rsidR="007C7F32" w:rsidRPr="00B97064" w:rsidRDefault="007C7F32" w:rsidP="008C6445">
      <w:pPr>
        <w:rPr>
          <w:rFonts w:cs="Arial"/>
          <w:szCs w:val="22"/>
          <w:lang w:val="en-GB"/>
        </w:rPr>
      </w:pPr>
      <w:r w:rsidRPr="00B97064">
        <w:rPr>
          <w:rFonts w:cs="Arial"/>
          <w:szCs w:val="22"/>
          <w:lang w:val="en-GB"/>
        </w:rPr>
        <w:t>Above mentioned examples put RPTs in a bad light. However, RPTs may also be used on legitimate commercial grounds; those transactions could fulfil a firms’ need. So, RPTs are used for the ordinary course of business. Though, RPTs are often associated with fraudulent practicing and auditors indicate that they associate these transactions with a high audit risk, since those transactions are difficult to audit (Gordon and Henry, 2005). Also, the investigations of Cheu</w:t>
      </w:r>
      <w:r w:rsidR="005F09BE" w:rsidRPr="00B97064">
        <w:rPr>
          <w:rFonts w:cs="Arial"/>
          <w:szCs w:val="22"/>
          <w:lang w:val="en-GB"/>
        </w:rPr>
        <w:t xml:space="preserve">ng et al. (2006), </w:t>
      </w:r>
      <w:proofErr w:type="spellStart"/>
      <w:r w:rsidR="005F09BE" w:rsidRPr="00B97064">
        <w:rPr>
          <w:rFonts w:cs="Arial"/>
          <w:szCs w:val="22"/>
          <w:lang w:val="en-GB"/>
        </w:rPr>
        <w:t>Ko</w:t>
      </w:r>
      <w:r w:rsidR="00370E41">
        <w:rPr>
          <w:rFonts w:cs="Arial"/>
          <w:szCs w:val="22"/>
          <w:lang w:val="en-GB"/>
        </w:rPr>
        <w:t>h</w:t>
      </w:r>
      <w:r w:rsidR="005F09BE" w:rsidRPr="00B97064">
        <w:rPr>
          <w:rFonts w:cs="Arial"/>
          <w:szCs w:val="22"/>
          <w:lang w:val="en-GB"/>
        </w:rPr>
        <w:t>lbeck</w:t>
      </w:r>
      <w:proofErr w:type="spellEnd"/>
      <w:r w:rsidR="005F09BE" w:rsidRPr="00B97064">
        <w:rPr>
          <w:rFonts w:cs="Arial"/>
          <w:szCs w:val="22"/>
          <w:lang w:val="en-GB"/>
        </w:rPr>
        <w:t xml:space="preserve"> and Ma</w:t>
      </w:r>
      <w:r w:rsidRPr="00B97064">
        <w:rPr>
          <w:rFonts w:cs="Arial"/>
          <w:szCs w:val="22"/>
          <w:lang w:val="en-GB"/>
        </w:rPr>
        <w:t xml:space="preserve">yhew (2010) and </w:t>
      </w: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(2011) are based on the negative assumption that RPTs are used to expropriate firms’ resources. </w:t>
      </w:r>
      <w:r w:rsidRPr="00B97064">
        <w:rPr>
          <w:rFonts w:cs="Arial"/>
          <w:b/>
          <w:szCs w:val="22"/>
          <w:lang w:val="en-GB"/>
        </w:rPr>
        <w:t>Based on this, the assumption that RPTs are used to expropriate firms’ resources is the foundation of this thesis.</w:t>
      </w:r>
    </w:p>
    <w:p w:rsidR="007C7F32" w:rsidRPr="00B97064" w:rsidRDefault="007C7F32" w:rsidP="008C6445">
      <w:pPr>
        <w:rPr>
          <w:rFonts w:cs="Arial"/>
          <w:szCs w:val="22"/>
          <w:lang w:val="en-GB"/>
        </w:rPr>
      </w:pPr>
    </w:p>
    <w:p w:rsidR="007C7F32" w:rsidRPr="00B97064" w:rsidRDefault="007C7F32" w:rsidP="00ED40FF">
      <w:pPr>
        <w:rPr>
          <w:rFonts w:cs="Arial"/>
          <w:szCs w:val="22"/>
          <w:lang w:val="en-GB"/>
        </w:rPr>
      </w:pPr>
      <w:r w:rsidRPr="00B97064">
        <w:rPr>
          <w:rFonts w:cs="Arial"/>
          <w:szCs w:val="22"/>
          <w:lang w:val="en-GB"/>
        </w:rPr>
        <w:t>To protect all shareholders against opportunistic behaviour of insiders (managers and main shareholders), regulation is prepared, for example IAS 24 and corporate governance codes in several countries. IAS 24 consists of regulation on RPTs. It sets requirements for RPT disclosures in annual reports. Firms are obliged to disclose information about related parties, management compensation and RPTs. The objective of this standard is to increase the information provision on RPTs to give users of the financial statement enough information to find out whether or not the results of the firm may be affected by RPTs.</w:t>
      </w:r>
    </w:p>
    <w:p w:rsidR="007C7F32" w:rsidRPr="00B97064" w:rsidRDefault="007C7F32" w:rsidP="008C6445">
      <w:pPr>
        <w:rPr>
          <w:rFonts w:cs="Arial"/>
          <w:szCs w:val="22"/>
          <w:lang w:val="en-GB"/>
        </w:rPr>
      </w:pPr>
    </w:p>
    <w:p w:rsidR="007C7F32" w:rsidRPr="00B97064" w:rsidRDefault="007C7F32" w:rsidP="0038317F">
      <w:pPr>
        <w:rPr>
          <w:lang w:val="en-GB"/>
        </w:rPr>
      </w:pPr>
      <w:r w:rsidRPr="00B97064">
        <w:rPr>
          <w:lang w:val="en-GB"/>
        </w:rPr>
        <w:t>The Dutch corporate governance code (Code Tabaksblat</w:t>
      </w:r>
      <w:r w:rsidR="00816F16" w:rsidRPr="00B97064">
        <w:rPr>
          <w:lang w:val="en-GB"/>
        </w:rPr>
        <w:t xml:space="preserve"> </w:t>
      </w:r>
      <w:r w:rsidRPr="00B97064">
        <w:rPr>
          <w:lang w:val="en-GB"/>
        </w:rPr>
        <w:t>/ Code Frijns) contains articles about conflicts of interests between the company and executive board members as well as between the company and supervisory board members. The code of 2003 and 2009 creates more power to investors; they can enforce compliance with the code. In case of non-</w:t>
      </w:r>
      <w:r w:rsidRPr="00B97064">
        <w:rPr>
          <w:lang w:val="en-GB"/>
        </w:rPr>
        <w:lastRenderedPageBreak/>
        <w:t xml:space="preserve">compliance, investors can exert pressure by not granting discharge or by dismissing the board of directors or supervisory board. In 2004, the Code Tabaksblat came into force. In </w:t>
      </w:r>
      <w:r w:rsidR="00816F16" w:rsidRPr="00B97064">
        <w:rPr>
          <w:lang w:val="en-GB"/>
        </w:rPr>
        <w:t>art.</w:t>
      </w:r>
      <w:r w:rsidR="00370E41">
        <w:rPr>
          <w:lang w:val="en-GB"/>
        </w:rPr>
        <w:t xml:space="preserve"> </w:t>
      </w:r>
      <w:r w:rsidR="00816F16" w:rsidRPr="00B97064">
        <w:rPr>
          <w:lang w:val="en-GB"/>
        </w:rPr>
        <w:t xml:space="preserve"> </w:t>
      </w:r>
      <w:r w:rsidRPr="00B97064">
        <w:rPr>
          <w:lang w:val="en-GB"/>
        </w:rPr>
        <w:t>2:391 paragraph 5 of the Dutch civil code, the Dutch corporate governance code is determined as a general code of conduct. The general rule of the code is: apply or explain; the code should be applied, deviations should be explained in the annual report of the firm. The main critical point on the code Tabaksblat was that it leads to a tick in the box attitude. In 2009, an updated version of the code came into effect (Code Frijns). According to Wielaard (2009), this code is less extensive than the Code Tabaksblat, it is more principles-based. This means that the code consists of a conceptual framework, so there is no need of extensive and detailed regulation.</w:t>
      </w:r>
      <w:r w:rsidRPr="00B97064">
        <w:rPr>
          <w:rStyle w:val="FootnoteReference"/>
          <w:lang w:val="en-GB"/>
        </w:rPr>
        <w:footnoteReference w:id="2"/>
      </w:r>
    </w:p>
    <w:p w:rsidR="007C7F32" w:rsidRPr="00B97064" w:rsidRDefault="007C7F32" w:rsidP="0038317F">
      <w:pPr>
        <w:rPr>
          <w:lang w:val="en-GB"/>
        </w:rPr>
      </w:pPr>
    </w:p>
    <w:p w:rsidR="007C7F32" w:rsidRPr="00B97064" w:rsidRDefault="007C7F32" w:rsidP="00ED40FF">
      <w:pPr>
        <w:rPr>
          <w:rFonts w:cs="Arial"/>
          <w:szCs w:val="22"/>
          <w:lang w:val="en-GB"/>
        </w:rPr>
      </w:pPr>
      <w:r w:rsidRPr="00B97064">
        <w:rPr>
          <w:rFonts w:cs="Arial"/>
          <w:szCs w:val="22"/>
          <w:lang w:val="en-GB"/>
        </w:rPr>
        <w:t>IAS 24 and the Dutch corporate governance code aim to prevent opportunistic behaviour of the main shareholders respectively the management of a firm, because more information on RPTs should be disclosed. Higher transparency should lead to less opportunistic behaviour.</w:t>
      </w:r>
    </w:p>
    <w:p w:rsidR="007C7F32" w:rsidRPr="00B97064" w:rsidRDefault="007C7F32" w:rsidP="00C206F1">
      <w:pPr>
        <w:rPr>
          <w:lang w:val="en-GB"/>
        </w:rPr>
      </w:pPr>
      <w:r w:rsidRPr="00B97064">
        <w:rPr>
          <w:lang w:val="en-GB"/>
        </w:rPr>
        <w:t xml:space="preserve"> </w:t>
      </w:r>
    </w:p>
    <w:p w:rsidR="007C7F32" w:rsidRPr="00B97064" w:rsidRDefault="007C7F32" w:rsidP="00C206F1">
      <w:pPr>
        <w:rPr>
          <w:rFonts w:cs="Arial"/>
          <w:szCs w:val="22"/>
          <w:lang w:val="en-GB"/>
        </w:rPr>
      </w:pPr>
      <w:r w:rsidRPr="00B97064">
        <w:rPr>
          <w:rFonts w:cs="Arial"/>
          <w:szCs w:val="22"/>
          <w:lang w:val="en-GB"/>
        </w:rPr>
        <w:t xml:space="preserve">Another theory is the </w:t>
      </w:r>
      <w:r w:rsidRPr="00B97064">
        <w:rPr>
          <w:rFonts w:cs="Arial"/>
          <w:i/>
          <w:szCs w:val="22"/>
          <w:lang w:val="en-GB"/>
        </w:rPr>
        <w:t>Efficient Market Hypothesis (EMH),</w:t>
      </w:r>
      <w:r w:rsidRPr="00B97064">
        <w:rPr>
          <w:rFonts w:cs="Arial"/>
          <w:szCs w:val="22"/>
          <w:lang w:val="en-GB"/>
        </w:rPr>
        <w:t xml:space="preserve"> which is based on the idea that the capital market reacts in an efficient way on provided information. New (unexpected) information about earnings leads to a share price reaction. Various resources of information are used to determine share prices. The EMH assumes that managers </w:t>
      </w:r>
      <w:r w:rsidR="00D62F16" w:rsidRPr="00B97064">
        <w:rPr>
          <w:rFonts w:cs="Arial"/>
          <w:szCs w:val="22"/>
          <w:lang w:val="en-GB"/>
        </w:rPr>
        <w:t>cannot</w:t>
      </w:r>
      <w:r w:rsidRPr="00B97064">
        <w:rPr>
          <w:rFonts w:cs="Arial"/>
          <w:szCs w:val="22"/>
          <w:lang w:val="en-GB"/>
        </w:rPr>
        <w:t xml:space="preserve"> manipulate share prices. Opportunistic behaviour of managers will be noticed and penalized by the market. Advocates of the EMH are opponents of extensive accounting regulation. With IAS 24, the standard setter tries to increase the information provision of RPTs. This regulation indicates that the standard setter does not (totally) support the EMH, so (extensive) accounting regulation is necessary. Also the Dutch corporate governance code is an example of more extensive regulat</w:t>
      </w:r>
      <w:r w:rsidR="00816F16" w:rsidRPr="00B97064">
        <w:rPr>
          <w:rFonts w:cs="Arial"/>
          <w:szCs w:val="22"/>
          <w:lang w:val="en-GB"/>
        </w:rPr>
        <w:t>ion.</w:t>
      </w:r>
    </w:p>
    <w:p w:rsidR="007C7F32" w:rsidRPr="00B97064" w:rsidRDefault="007C7F32" w:rsidP="00C206F1">
      <w:pPr>
        <w:rPr>
          <w:rFonts w:cs="Arial"/>
          <w:szCs w:val="22"/>
          <w:lang w:val="en-GB"/>
        </w:rPr>
      </w:pPr>
    </w:p>
    <w:p w:rsidR="007C7F32" w:rsidRPr="00B97064" w:rsidRDefault="007C7F32" w:rsidP="009667BA">
      <w:pPr>
        <w:rPr>
          <w:lang w:val="en-GB"/>
        </w:rPr>
      </w:pPr>
      <w:r w:rsidRPr="00B97064">
        <w:rPr>
          <w:lang w:val="en-GB"/>
        </w:rPr>
        <w:t>La Porta et al (2000) mentioned the Netherlands as a country which has a low level of (minority) shareholders protection, like France</w:t>
      </w:r>
      <w:r w:rsidRPr="00B97064">
        <w:rPr>
          <w:rStyle w:val="FootnoteReference"/>
          <w:rFonts w:cs="Arial"/>
          <w:szCs w:val="22"/>
          <w:lang w:val="en-GB"/>
        </w:rPr>
        <w:footnoteReference w:id="3"/>
      </w:r>
      <w:r w:rsidRPr="00B97064">
        <w:rPr>
          <w:lang w:val="en-GB"/>
        </w:rPr>
        <w:t xml:space="preserve">. The Dutch corporate governance code should increase the shareholders protection in the Netherlands by creating more powers to shareholders. The question is whether the Code Tabaksblat and the Code Frijns have a positive effect on the protection of (minority) shareholders. A better protection of (minority) </w:t>
      </w:r>
      <w:r w:rsidRPr="00B97064">
        <w:rPr>
          <w:lang w:val="en-GB"/>
        </w:rPr>
        <w:lastRenderedPageBreak/>
        <w:t>shareholders results in a well-functioning capital market, since good protection of minority shareholders reduces the risk of expropriation of the firms’ resources. Due to this reduced risk, potential shareholders are more likely to make their funds available. So, better protection of shareholders makes it easier for firms to raise capital and results in a more efficient allocation of capital among firms. Better protection of shareholders is therefore desirable. When there is no evidence of a positive effect of the Code Frijns on firm value (and thus shareholder protection), the code may need to be revised to increase the shareholder protection.</w:t>
      </w:r>
    </w:p>
    <w:p w:rsidR="007C7F32" w:rsidRPr="00B97064" w:rsidRDefault="007C7F32" w:rsidP="003413AC">
      <w:pPr>
        <w:pStyle w:val="Heading2"/>
        <w:rPr>
          <w:lang w:val="en-GB"/>
        </w:rPr>
      </w:pPr>
      <w:bookmarkStart w:id="7" w:name="_Toc349585448"/>
      <w:r w:rsidRPr="00B97064">
        <w:rPr>
          <w:lang w:val="en-GB"/>
        </w:rPr>
        <w:t>1.2 Problem definition</w:t>
      </w:r>
      <w:bookmarkEnd w:id="7"/>
    </w:p>
    <w:p w:rsidR="007C7F32" w:rsidRPr="00B97064" w:rsidRDefault="007C7F32" w:rsidP="009667BA">
      <w:pPr>
        <w:rPr>
          <w:i/>
          <w:lang w:val="en-GB"/>
        </w:rPr>
      </w:pPr>
      <w:r w:rsidRPr="00B97064">
        <w:rPr>
          <w:lang w:val="en-GB"/>
        </w:rPr>
        <w:t xml:space="preserve">In this thesis, I will investigate the relation between firm value, RPTs, disclosure level and corporate governance- and ownership characteristics. The central question in my thesis is: </w:t>
      </w:r>
      <w:r w:rsidRPr="00B97064">
        <w:rPr>
          <w:i/>
          <w:lang w:val="en-GB"/>
        </w:rPr>
        <w:t>“Is there a relation between the amount of RPTs and firm value and which firm characteristics affect the amount of RPTs?”</w:t>
      </w:r>
    </w:p>
    <w:p w:rsidR="007C7F32" w:rsidRPr="00B97064" w:rsidRDefault="007C7F32" w:rsidP="003413AC">
      <w:pPr>
        <w:pStyle w:val="Heading2"/>
        <w:rPr>
          <w:lang w:val="en-GB"/>
        </w:rPr>
      </w:pPr>
      <w:bookmarkStart w:id="8" w:name="_Toc349585449"/>
      <w:r w:rsidRPr="00B97064">
        <w:rPr>
          <w:lang w:val="en-GB"/>
        </w:rPr>
        <w:t>1.3 Methodology</w:t>
      </w:r>
      <w:bookmarkEnd w:id="8"/>
    </w:p>
    <w:p w:rsidR="007C7F32" w:rsidRPr="00B97064" w:rsidRDefault="007C7F32" w:rsidP="009667BA">
      <w:pPr>
        <w:rPr>
          <w:rFonts w:cs="Arial"/>
          <w:szCs w:val="22"/>
          <w:lang w:val="en-GB"/>
        </w:rPr>
      </w:pPr>
      <w:r w:rsidRPr="00B97064">
        <w:rPr>
          <w:lang w:val="en-GB"/>
        </w:rPr>
        <w:t xml:space="preserve">My research will consist of three parts. In the first part, I will investigate the effect of RPTs as well as disclosure quality concerning RPTs on firm value. I want to find out whether the amount of RPTs has a negative effect on a firm’s market value and whether this negative effect could be mitigated by a high disclosure level. </w:t>
      </w:r>
      <w:r w:rsidRPr="00B97064">
        <w:rPr>
          <w:rFonts w:cs="Arial"/>
          <w:szCs w:val="22"/>
          <w:lang w:val="en-GB"/>
        </w:rPr>
        <w:t xml:space="preserve">Since RPTs could be used by management/ the main shareholder to expropriate the firm’s resources, I will use the amount of RPTs as a proxy for the risk of expropriation. The risk of expropriation is considered to have a negative effect on firm value, since shareholders bear the risk that resources of the firm does not benefit all shareholders, but only the main shareholder and / or the firms’ management. A high disclosure level implies a high level of transparency which, in turn, indicates less risk of expropriation. I will make use of a disclosure study to determine the disclosure level on RPTs. I expect a high disclosure quality (measured by the amount of disclosure) mitigates the negative effect of the amount of RPTs on firm value; a high disclosure quality increases firms’ transparency, which (partially) recovers the trust of (minority) shareholders. High transparency is expected to indicate less risk of expropriation, which can be achieved by increasing disclosure quality. Tobin’s Q will be used as a measure of firm value, since this measure is generally accepted in literature (La Porta et al. 2002, </w:t>
      </w: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2</w:t>
      </w:r>
      <w:r w:rsidR="007D6EA2" w:rsidRPr="00B97064">
        <w:rPr>
          <w:rFonts w:cs="Arial"/>
          <w:szCs w:val="22"/>
          <w:lang w:val="en-GB"/>
        </w:rPr>
        <w:t xml:space="preserve">011, </w:t>
      </w:r>
      <w:proofErr w:type="spellStart"/>
      <w:r w:rsidR="007D6EA2" w:rsidRPr="00B97064">
        <w:rPr>
          <w:rFonts w:cs="Arial"/>
          <w:szCs w:val="22"/>
          <w:lang w:val="en-GB"/>
        </w:rPr>
        <w:t>Kohlbeck</w:t>
      </w:r>
      <w:proofErr w:type="spellEnd"/>
      <w:r w:rsidR="007D6EA2" w:rsidRPr="00B97064">
        <w:rPr>
          <w:rFonts w:cs="Arial"/>
          <w:szCs w:val="22"/>
          <w:lang w:val="en-GB"/>
        </w:rPr>
        <w:t xml:space="preserve"> and Mayhew 2010).</w:t>
      </w:r>
    </w:p>
    <w:p w:rsidR="007C7F32" w:rsidRPr="00B97064" w:rsidRDefault="007C7F32" w:rsidP="009667BA">
      <w:pPr>
        <w:rPr>
          <w:rFonts w:cs="Arial"/>
          <w:szCs w:val="22"/>
          <w:lang w:val="en-GB"/>
        </w:rPr>
      </w:pPr>
    </w:p>
    <w:p w:rsidR="007C7F32" w:rsidRPr="00B97064" w:rsidRDefault="007C7F32" w:rsidP="00FC588F">
      <w:pPr>
        <w:rPr>
          <w:lang w:val="en-GB"/>
        </w:rPr>
      </w:pPr>
      <w:r w:rsidRPr="00B97064">
        <w:rPr>
          <w:lang w:val="en-GB"/>
        </w:rPr>
        <w:t>In the second part of my research, I want to find out which corporate governance and ownership characteristics affect the amount of RPTs. Some characteristics are expected to have an inhibitory effect on the amount of RPTs. Those characteristics are:</w:t>
      </w:r>
    </w:p>
    <w:p w:rsidR="007C7F32" w:rsidRPr="00B97064" w:rsidRDefault="007C7F32" w:rsidP="00C140CF">
      <w:pPr>
        <w:numPr>
          <w:ilvl w:val="0"/>
          <w:numId w:val="9"/>
        </w:numPr>
        <w:rPr>
          <w:lang w:val="en-GB"/>
        </w:rPr>
      </w:pPr>
      <w:bookmarkStart w:id="9" w:name="OLE_LINK3"/>
      <w:bookmarkStart w:id="10" w:name="OLE_LINK4"/>
      <w:r w:rsidRPr="00B97064">
        <w:rPr>
          <w:lang w:val="en-GB"/>
        </w:rPr>
        <w:lastRenderedPageBreak/>
        <w:t>Size of supervisory board;</w:t>
      </w:r>
    </w:p>
    <w:p w:rsidR="007C7F32" w:rsidRPr="00B97064" w:rsidRDefault="007C7F32" w:rsidP="00C140CF">
      <w:pPr>
        <w:numPr>
          <w:ilvl w:val="0"/>
          <w:numId w:val="10"/>
        </w:numPr>
        <w:rPr>
          <w:lang w:val="en-GB"/>
        </w:rPr>
      </w:pPr>
      <w:r w:rsidRPr="00B97064">
        <w:rPr>
          <w:lang w:val="en-GB"/>
        </w:rPr>
        <w:t xml:space="preserve">Ratio </w:t>
      </w:r>
      <w:r w:rsidRPr="00B97064">
        <w:rPr>
          <w:rFonts w:cs="Arial"/>
          <w:szCs w:val="22"/>
          <w:lang w:val="en-GB"/>
        </w:rPr>
        <w:t>supervisory board members and total executive + supervisory board members;</w:t>
      </w:r>
    </w:p>
    <w:p w:rsidR="007C7F32" w:rsidRPr="00B97064" w:rsidRDefault="007C7F32" w:rsidP="00C140CF">
      <w:pPr>
        <w:numPr>
          <w:ilvl w:val="0"/>
          <w:numId w:val="11"/>
        </w:numPr>
        <w:rPr>
          <w:lang w:val="en-GB"/>
        </w:rPr>
      </w:pPr>
      <w:r w:rsidRPr="00B97064">
        <w:rPr>
          <w:lang w:val="en-GB"/>
        </w:rPr>
        <w:t>Level of expertise of the audit committee;</w:t>
      </w:r>
    </w:p>
    <w:p w:rsidR="007C7F32" w:rsidRPr="00B97064" w:rsidRDefault="00D62F16" w:rsidP="00C140CF">
      <w:pPr>
        <w:numPr>
          <w:ilvl w:val="0"/>
          <w:numId w:val="12"/>
        </w:numPr>
        <w:rPr>
          <w:lang w:val="en-GB"/>
        </w:rPr>
      </w:pPr>
      <w:r w:rsidRPr="00B97064">
        <w:rPr>
          <w:lang w:val="en-GB"/>
        </w:rPr>
        <w:t>Cross-l</w:t>
      </w:r>
      <w:r w:rsidR="007C7F32" w:rsidRPr="00B97064">
        <w:rPr>
          <w:lang w:val="en-GB"/>
        </w:rPr>
        <w:t>isted in the USA;</w:t>
      </w:r>
    </w:p>
    <w:p w:rsidR="007C7F32" w:rsidRPr="00B97064" w:rsidRDefault="007C7F32" w:rsidP="00C140CF">
      <w:pPr>
        <w:numPr>
          <w:ilvl w:val="0"/>
          <w:numId w:val="13"/>
        </w:numPr>
        <w:rPr>
          <w:lang w:val="en-GB"/>
        </w:rPr>
      </w:pPr>
      <w:r w:rsidRPr="00B97064">
        <w:rPr>
          <w:lang w:val="en-GB"/>
        </w:rPr>
        <w:t xml:space="preserve">Audited by one of the big </w:t>
      </w:r>
      <w:r w:rsidR="002D10C8" w:rsidRPr="00B97064">
        <w:rPr>
          <w:lang w:val="en-GB"/>
        </w:rPr>
        <w:t>4</w:t>
      </w:r>
      <w:r w:rsidRPr="00B97064">
        <w:rPr>
          <w:lang w:val="en-GB"/>
        </w:rPr>
        <w:t xml:space="preserve"> audit firms.</w:t>
      </w:r>
    </w:p>
    <w:bookmarkEnd w:id="9"/>
    <w:bookmarkEnd w:id="10"/>
    <w:p w:rsidR="007C7F32" w:rsidRPr="00B97064" w:rsidRDefault="007C7F32" w:rsidP="00F667F3">
      <w:pPr>
        <w:rPr>
          <w:lang w:val="en-GB"/>
        </w:rPr>
      </w:pPr>
      <w:r w:rsidRPr="00B97064">
        <w:rPr>
          <w:lang w:val="en-GB"/>
        </w:rPr>
        <w:t xml:space="preserve">I expect that a large supervisory board, an audit committee with more financial experts and a high number of supervisory members compared to total number of executive plus supervisory members lead to better supervision. Better supervision should lead to less risk of expropriation, since this expropriation could be noticed by the supervisory board / audit committee. Being also listed (second listing) in the USA indicates a higher level of shareholder protection, because US-listed firms are subjected to more and extensive regulation, which better ensure the protection of shareholders. Being audited by one of the big </w:t>
      </w:r>
      <w:r w:rsidR="002D10C8" w:rsidRPr="00B97064">
        <w:rPr>
          <w:lang w:val="en-GB"/>
        </w:rPr>
        <w:t>4</w:t>
      </w:r>
      <w:r w:rsidRPr="00B97064">
        <w:rPr>
          <w:lang w:val="en-GB"/>
        </w:rPr>
        <w:t xml:space="preserve"> audit firms indicates higher audit quality. This should lead to less expropriation, since this is (earlier) noticed. So, above mentioned characteristics are expected to have an inhibitory effect on the amount of RPTs, since those characteristics</w:t>
      </w:r>
      <w:r w:rsidR="007D6EA2" w:rsidRPr="00B97064">
        <w:rPr>
          <w:lang w:val="en-GB"/>
        </w:rPr>
        <w:t xml:space="preserve"> should</w:t>
      </w:r>
      <w:r w:rsidRPr="00B97064">
        <w:rPr>
          <w:lang w:val="en-GB"/>
        </w:rPr>
        <w:t xml:space="preserve"> reduce the risk of expropriation. I want to find out whether or not those characteristics have a significant negativ</w:t>
      </w:r>
      <w:r w:rsidR="007D6EA2" w:rsidRPr="00B97064">
        <w:rPr>
          <w:lang w:val="en-GB"/>
        </w:rPr>
        <w:t>e effect on the amount of RPTs.</w:t>
      </w:r>
    </w:p>
    <w:p w:rsidR="007C7F32" w:rsidRPr="00B97064" w:rsidRDefault="007C7F32" w:rsidP="00FC588F">
      <w:pPr>
        <w:rPr>
          <w:lang w:val="en-GB"/>
        </w:rPr>
      </w:pPr>
    </w:p>
    <w:p w:rsidR="007C7F32" w:rsidRPr="00B97064" w:rsidRDefault="007C7F32" w:rsidP="00831ACF">
      <w:pPr>
        <w:rPr>
          <w:lang w:val="en-GB"/>
        </w:rPr>
      </w:pPr>
      <w:r w:rsidRPr="00B97064">
        <w:rPr>
          <w:lang w:val="en-GB"/>
        </w:rPr>
        <w:t>Some characteristics are expected to have a stimulatory effect on the amount of RPTs. Those characteristics are:</w:t>
      </w:r>
    </w:p>
    <w:p w:rsidR="007C7F32" w:rsidRPr="00B97064" w:rsidRDefault="007C7F32" w:rsidP="00C140CF">
      <w:pPr>
        <w:numPr>
          <w:ilvl w:val="0"/>
          <w:numId w:val="14"/>
        </w:numPr>
        <w:rPr>
          <w:lang w:val="en-GB"/>
        </w:rPr>
      </w:pPr>
      <w:r w:rsidRPr="00B97064">
        <w:rPr>
          <w:lang w:val="en-GB"/>
        </w:rPr>
        <w:t>Size of the executive board;</w:t>
      </w:r>
    </w:p>
    <w:p w:rsidR="007C7F32" w:rsidRPr="00B97064" w:rsidRDefault="007C7F32" w:rsidP="00C140CF">
      <w:pPr>
        <w:numPr>
          <w:ilvl w:val="0"/>
          <w:numId w:val="15"/>
        </w:numPr>
        <w:rPr>
          <w:lang w:val="en-GB"/>
        </w:rPr>
      </w:pPr>
      <w:r w:rsidRPr="00B97064">
        <w:rPr>
          <w:lang w:val="en-GB"/>
        </w:rPr>
        <w:t>Voting rights of the main shareholder;</w:t>
      </w:r>
    </w:p>
    <w:p w:rsidR="007C7F32" w:rsidRPr="00B97064" w:rsidRDefault="007C7F32" w:rsidP="009667BA">
      <w:pPr>
        <w:rPr>
          <w:lang w:val="en-GB"/>
        </w:rPr>
      </w:pPr>
      <w:r w:rsidRPr="00B97064">
        <w:rPr>
          <w:lang w:val="en-GB"/>
        </w:rPr>
        <w:t>I expect a large executive board bears a risk of collusion, which has a stimulatory effect on the amount of RPTs. Due to a separation of duties within the board of directors as a result of a large board, some directors could collude together, or not all directors are aware of all affairs. This may result in the expropriation of firms’ resources. Finally, voting power of the main shareholder (measured by ordinary share percentage) leads to higher risk of expropriation of the minority shareholder; the main shareholder might try to increase his yield by entering in</w:t>
      </w:r>
      <w:r w:rsidR="00730E55" w:rsidRPr="00B97064">
        <w:rPr>
          <w:lang w:val="en-GB"/>
        </w:rPr>
        <w:t>to</w:t>
      </w:r>
      <w:r w:rsidRPr="00B97064">
        <w:rPr>
          <w:lang w:val="en-GB"/>
        </w:rPr>
        <w:t xml:space="preserve"> RPTs with the firm. As a result, he gathered more than his fair share (based on his cash flow rights) at the co</w:t>
      </w:r>
      <w:r w:rsidR="004931E5" w:rsidRPr="00B97064">
        <w:rPr>
          <w:lang w:val="en-GB"/>
        </w:rPr>
        <w:t>st of the minority shareholder.</w:t>
      </w:r>
      <w:r w:rsidRPr="00B97064">
        <w:rPr>
          <w:lang w:val="en-GB"/>
        </w:rPr>
        <w:t xml:space="preserve"> In conclusion, the characteristics as mentioned in this paragraph are expected to have a stimulatory effect on the amount of RPTs, since those characteristics increase the risk of expropriation. I want to find out whether or not those characteristics have a significant positive effect on the amount of RPTs.</w:t>
      </w:r>
    </w:p>
    <w:p w:rsidR="007C7F32" w:rsidRPr="00B97064" w:rsidRDefault="007C7F32" w:rsidP="009667BA">
      <w:pPr>
        <w:rPr>
          <w:lang w:val="en-GB"/>
        </w:rPr>
      </w:pPr>
    </w:p>
    <w:p w:rsidR="007C7F32" w:rsidRPr="00B97064" w:rsidRDefault="007C7F32" w:rsidP="00FC588F">
      <w:pPr>
        <w:rPr>
          <w:rFonts w:cs="Arial"/>
          <w:szCs w:val="22"/>
          <w:lang w:val="en-GB"/>
        </w:rPr>
      </w:pPr>
      <w:r w:rsidRPr="00B97064">
        <w:rPr>
          <w:lang w:val="en-GB"/>
        </w:rPr>
        <w:t xml:space="preserve">In the final part of this research, I want to find out whether the Code Tabaksblat and the </w:t>
      </w:r>
      <w:r w:rsidRPr="00B97064">
        <w:rPr>
          <w:lang w:val="en-GB"/>
        </w:rPr>
        <w:lastRenderedPageBreak/>
        <w:t>Code Frijns have a positive effect on the protection of (minority) shareholders. So, t</w:t>
      </w:r>
      <w:r w:rsidRPr="00B97064">
        <w:rPr>
          <w:rFonts w:cs="Arial"/>
          <w:szCs w:val="22"/>
          <w:lang w:val="en-GB"/>
        </w:rPr>
        <w:t>his research should prove whether or not corporate governance regulation improves the protection of shareholders against opportunistic behaviour. I will investigate this by splitting up the data into 2 years. I will compare the amount of RPTs as well as the level of disclosure in the year 2003 and 2009. I have chosen for these years, because in 2003, no corporate governance code was introduced yet and in 2009, the code Frijns had just entered into force. I expect the amount of RPTs has been decreased after the introduction of code Tabaksblat and Code Frijns (2009), since the amount of RPTs is a proxy for the risk of expropriation, and I expect the risk has been reduced by the codes. I expect the level of disclosure has been increased after the introduction of the Dutch codes, because I expect the transparency and thus the level of disclosure of firms has been increased by the codes, due to the additional disclosure requirements which are set by the Dutch corporate governance code.</w:t>
      </w:r>
    </w:p>
    <w:p w:rsidR="007C7F32" w:rsidRPr="00B97064" w:rsidRDefault="007C7F32" w:rsidP="003413AC">
      <w:pPr>
        <w:pStyle w:val="Heading2"/>
        <w:rPr>
          <w:lang w:val="en-GB"/>
        </w:rPr>
      </w:pPr>
      <w:bookmarkStart w:id="11" w:name="_Toc349585450"/>
      <w:r w:rsidRPr="00B97064">
        <w:rPr>
          <w:lang w:val="en-GB"/>
        </w:rPr>
        <w:t>1.4 Sample</w:t>
      </w:r>
      <w:bookmarkEnd w:id="11"/>
    </w:p>
    <w:p w:rsidR="007C7F32" w:rsidRPr="00B97064" w:rsidRDefault="007C7F32" w:rsidP="00840944">
      <w:pPr>
        <w:rPr>
          <w:lang w:val="en-GB"/>
        </w:rPr>
      </w:pPr>
      <w:r w:rsidRPr="00B97064">
        <w:rPr>
          <w:lang w:val="en-GB"/>
        </w:rPr>
        <w:t>The sample of my research will consist of the 118 largest Dutch listed firms in 2003 and 2009, because these listed firms are required to report in accordance with</w:t>
      </w:r>
      <w:r w:rsidR="00602237" w:rsidRPr="00B97064">
        <w:rPr>
          <w:lang w:val="en-GB"/>
        </w:rPr>
        <w:t xml:space="preserve"> the International Financial Reporting Standards</w:t>
      </w:r>
      <w:r w:rsidRPr="00B97064">
        <w:rPr>
          <w:lang w:val="en-GB"/>
        </w:rPr>
        <w:t xml:space="preserve"> </w:t>
      </w:r>
      <w:r w:rsidR="00602237" w:rsidRPr="00B97064">
        <w:rPr>
          <w:lang w:val="en-GB"/>
        </w:rPr>
        <w:t>(</w:t>
      </w:r>
      <w:r w:rsidRPr="00B97064">
        <w:rPr>
          <w:lang w:val="en-GB"/>
        </w:rPr>
        <w:t>IFRS</w:t>
      </w:r>
      <w:r w:rsidR="00602237" w:rsidRPr="00B97064">
        <w:rPr>
          <w:lang w:val="en-GB"/>
        </w:rPr>
        <w:t>)</w:t>
      </w:r>
      <w:r w:rsidRPr="00B97064">
        <w:rPr>
          <w:lang w:val="en-GB"/>
        </w:rPr>
        <w:t xml:space="preserve"> since 2005 and are obliged to comply with the Dutch corporate governance code since 2004. The selected years cover the pre corporate governance code period as well as the period after the latest version of the corporate governance code came into force (Code Frijns, applicable since January 2009). This ensures that a comparison could be made between </w:t>
      </w:r>
      <w:r w:rsidR="004931E5" w:rsidRPr="00B97064">
        <w:rPr>
          <w:lang w:val="en-GB"/>
        </w:rPr>
        <w:t>a pre-code year and a post-code year</w:t>
      </w:r>
      <w:r w:rsidRPr="00B97064">
        <w:rPr>
          <w:lang w:val="en-GB"/>
        </w:rPr>
        <w:t>.</w:t>
      </w:r>
    </w:p>
    <w:p w:rsidR="007C7F32" w:rsidRPr="00B97064" w:rsidRDefault="007C7F32" w:rsidP="003413AC">
      <w:pPr>
        <w:pStyle w:val="Heading2"/>
        <w:rPr>
          <w:lang w:val="en-GB"/>
        </w:rPr>
      </w:pPr>
      <w:bookmarkStart w:id="12" w:name="_Toc349585451"/>
      <w:r w:rsidRPr="00B97064">
        <w:rPr>
          <w:lang w:val="en-GB"/>
        </w:rPr>
        <w:t>1.5 Contribution</w:t>
      </w:r>
      <w:bookmarkEnd w:id="12"/>
    </w:p>
    <w:p w:rsidR="007C7F32" w:rsidRPr="00B97064" w:rsidRDefault="007C7F32" w:rsidP="00FC588F">
      <w:pPr>
        <w:rPr>
          <w:lang w:val="en-GB"/>
        </w:rPr>
      </w:pPr>
      <w:r w:rsidRPr="00B97064">
        <w:rPr>
          <w:lang w:val="en-GB"/>
        </w:rPr>
        <w:t>This study will contribute to a better understanding of the relationship between the amount of RPTs and firm value. Furthermore, this research will lead to a better understanding of the possible mitigating effect of a high disclosure level, as well as a greater understanding of which corporate governance and ownership characteristics are related with RPTs. Besides this, it will lead to a deeper understanding of whether or not the Dutch corporate governance code increased the (minority) shareholder</w:t>
      </w:r>
      <w:r w:rsidR="004931E5" w:rsidRPr="00B97064">
        <w:rPr>
          <w:lang w:val="en-GB"/>
        </w:rPr>
        <w:t xml:space="preserve"> protection in the Netherlands.</w:t>
      </w:r>
    </w:p>
    <w:p w:rsidR="007C7F32" w:rsidRPr="00B97064" w:rsidRDefault="007C7F32" w:rsidP="003413AC">
      <w:pPr>
        <w:pStyle w:val="Heading2"/>
        <w:rPr>
          <w:lang w:val="en-GB"/>
        </w:rPr>
      </w:pPr>
      <w:bookmarkStart w:id="13" w:name="_Toc349585452"/>
      <w:r w:rsidRPr="00B97064">
        <w:rPr>
          <w:lang w:val="en-GB"/>
        </w:rPr>
        <w:t>1.6 Structure</w:t>
      </w:r>
      <w:bookmarkEnd w:id="13"/>
    </w:p>
    <w:p w:rsidR="007C7F32" w:rsidRPr="00B97064" w:rsidRDefault="007C7F32" w:rsidP="00CB16B5">
      <w:pPr>
        <w:rPr>
          <w:lang w:val="en-GB"/>
        </w:rPr>
      </w:pPr>
      <w:r w:rsidRPr="00B97064">
        <w:rPr>
          <w:lang w:val="en-GB"/>
        </w:rPr>
        <w:t>This thesis is organised as follows. Chapter two contains a theoretical overview; this chapter discusses the institutional setting in the Netherlands. The E</w:t>
      </w:r>
      <w:r w:rsidR="008D2C22" w:rsidRPr="00B97064">
        <w:rPr>
          <w:lang w:val="en-GB"/>
        </w:rPr>
        <w:t xml:space="preserve">uropean </w:t>
      </w:r>
      <w:r w:rsidRPr="00B97064">
        <w:rPr>
          <w:lang w:val="en-GB"/>
        </w:rPr>
        <w:t>U</w:t>
      </w:r>
      <w:r w:rsidR="008D2C22" w:rsidRPr="00B97064">
        <w:rPr>
          <w:lang w:val="en-GB"/>
        </w:rPr>
        <w:t>nion (EU)</w:t>
      </w:r>
      <w:r w:rsidRPr="00B97064">
        <w:rPr>
          <w:lang w:val="en-GB"/>
        </w:rPr>
        <w:t xml:space="preserve"> legislation, Dutch corporate legislation in the civil code and board systems are explained. Besides this, the history and content of the Dutch corporate governance code are illustrated. Also the additional requirements for Dutch listed companies with a second listing in the USA are discussed, since Dutch companies with a second listing in the USA are subjected to </w:t>
      </w:r>
      <w:r w:rsidRPr="00B97064">
        <w:rPr>
          <w:lang w:val="en-GB"/>
        </w:rPr>
        <w:lastRenderedPageBreak/>
        <w:t xml:space="preserve">extensive regulations. Those USA regulations should better ensure the protection of the interests of shareholders. After the institutional setting, the legislation around RPTs is discussed. In this context, the IFRS on RPTs (IAS 24) and the Dutch accounting standard on RPTs (RJ 330) are </w:t>
      </w:r>
      <w:r w:rsidR="005A16AC" w:rsidRPr="00B97064">
        <w:rPr>
          <w:lang w:val="en-GB"/>
        </w:rPr>
        <w:t>outlined;</w:t>
      </w:r>
      <w:r w:rsidRPr="00B97064">
        <w:rPr>
          <w:lang w:val="en-GB"/>
        </w:rPr>
        <w:t xml:space="preserve"> this legislation contains disclosure requirements in the area of RPTs. </w:t>
      </w:r>
      <w:r w:rsidR="004931E5" w:rsidRPr="00B97064">
        <w:rPr>
          <w:lang w:val="en-GB"/>
        </w:rPr>
        <w:t>Thereafter f</w:t>
      </w:r>
      <w:r w:rsidR="00C61CCD" w:rsidRPr="00B97064">
        <w:rPr>
          <w:lang w:val="en-GB"/>
        </w:rPr>
        <w:t xml:space="preserve">ollows a section on voluntary disclosure; this section contains reasoning to voluntary disclose more information than mandatory under accounting standards. This section also contains </w:t>
      </w:r>
      <w:r w:rsidR="00CB2A51" w:rsidRPr="00B97064">
        <w:rPr>
          <w:lang w:val="en-GB"/>
        </w:rPr>
        <w:t>a study</w:t>
      </w:r>
      <w:r w:rsidR="00C61CCD" w:rsidRPr="00B97064">
        <w:rPr>
          <w:lang w:val="en-GB"/>
        </w:rPr>
        <w:t xml:space="preserve"> in the field of the measurement of disclosure quality. </w:t>
      </w:r>
      <w:r w:rsidRPr="00B97064">
        <w:rPr>
          <w:lang w:val="en-GB"/>
        </w:rPr>
        <w:t>Chapter three contains an overview of the main previous studies about related party transactions. In this context, the relation between RPTs and earnings management is explained as well as the connexion between RPTs and firm value. Apart from this, prior studies on the relation between RPTs and corporate governance</w:t>
      </w:r>
      <w:r w:rsidR="001B0E3D" w:rsidRPr="00B97064">
        <w:rPr>
          <w:lang w:val="en-GB"/>
        </w:rPr>
        <w:t>-</w:t>
      </w:r>
      <w:r w:rsidRPr="00B97064">
        <w:rPr>
          <w:lang w:val="en-GB"/>
        </w:rPr>
        <w:t xml:space="preserve"> and ownership characteristics are discussed, as well as prior studies in the field of </w:t>
      </w:r>
      <w:r w:rsidR="00CB2A51" w:rsidRPr="00B97064">
        <w:rPr>
          <w:lang w:val="en-GB"/>
        </w:rPr>
        <w:t>investor protection and cross listing</w:t>
      </w:r>
      <w:r w:rsidR="00C61CCD" w:rsidRPr="00B97064">
        <w:rPr>
          <w:lang w:val="en-GB"/>
        </w:rPr>
        <w:t xml:space="preserve"> </w:t>
      </w:r>
      <w:r w:rsidR="001B0E3D" w:rsidRPr="00B97064">
        <w:rPr>
          <w:lang w:val="en-GB"/>
        </w:rPr>
        <w:t>and</w:t>
      </w:r>
      <w:r w:rsidR="00C61CCD" w:rsidRPr="00B97064">
        <w:rPr>
          <w:lang w:val="en-GB"/>
        </w:rPr>
        <w:t xml:space="preserve"> </w:t>
      </w:r>
      <w:r w:rsidR="00CB2A51" w:rsidRPr="00B97064">
        <w:rPr>
          <w:lang w:val="en-GB"/>
        </w:rPr>
        <w:t>a</w:t>
      </w:r>
      <w:r w:rsidR="00C61CCD" w:rsidRPr="00B97064">
        <w:rPr>
          <w:lang w:val="en-GB"/>
        </w:rPr>
        <w:t xml:space="preserve"> disclosure/compliance stud</w:t>
      </w:r>
      <w:r w:rsidR="00CB2A51" w:rsidRPr="00B97064">
        <w:rPr>
          <w:lang w:val="en-GB"/>
        </w:rPr>
        <w:t>y</w:t>
      </w:r>
      <w:r w:rsidRPr="00B97064">
        <w:rPr>
          <w:lang w:val="en-GB"/>
        </w:rPr>
        <w:t>. Chapter four discusses the methodology of the research. This chapter contains a description of the sample, the hypotheses and the variables. Chapter five continues with</w:t>
      </w:r>
      <w:r w:rsidR="00CB2A51" w:rsidRPr="00B97064">
        <w:rPr>
          <w:lang w:val="en-GB"/>
        </w:rPr>
        <w:t xml:space="preserve"> the description of the data collection, final sample composition as well as the data transformation. Chapter six contains</w:t>
      </w:r>
      <w:r w:rsidRPr="00B97064">
        <w:rPr>
          <w:lang w:val="en-GB"/>
        </w:rPr>
        <w:t xml:space="preserve"> the results of the conducted research</w:t>
      </w:r>
      <w:r w:rsidR="005F09BE" w:rsidRPr="00B97064">
        <w:rPr>
          <w:lang w:val="en-GB"/>
        </w:rPr>
        <w:t xml:space="preserve"> as well as the analysis of those results</w:t>
      </w:r>
      <w:r w:rsidRPr="00B97064">
        <w:rPr>
          <w:lang w:val="en-GB"/>
        </w:rPr>
        <w:t xml:space="preserve">. </w:t>
      </w:r>
      <w:r w:rsidR="001B0E3D" w:rsidRPr="00B97064">
        <w:rPr>
          <w:lang w:val="en-GB"/>
        </w:rPr>
        <w:t xml:space="preserve">This chapter also gives some limitations of my research. </w:t>
      </w:r>
      <w:r w:rsidR="005F09BE" w:rsidRPr="00B97064">
        <w:rPr>
          <w:lang w:val="en-GB"/>
        </w:rPr>
        <w:t>Subsequently, c</w:t>
      </w:r>
      <w:r w:rsidRPr="00B97064">
        <w:rPr>
          <w:lang w:val="en-GB"/>
        </w:rPr>
        <w:t xml:space="preserve">hapter </w:t>
      </w:r>
      <w:r w:rsidR="00CB2A51" w:rsidRPr="00B97064">
        <w:rPr>
          <w:lang w:val="en-GB"/>
        </w:rPr>
        <w:t>seven</w:t>
      </w:r>
      <w:r w:rsidRPr="00B97064">
        <w:rPr>
          <w:lang w:val="en-GB"/>
        </w:rPr>
        <w:t xml:space="preserve"> gives the conclusion</w:t>
      </w:r>
      <w:r w:rsidR="005F09BE" w:rsidRPr="00B97064">
        <w:rPr>
          <w:lang w:val="en-GB"/>
        </w:rPr>
        <w:t>.</w:t>
      </w:r>
      <w:r w:rsidR="00CB2A51" w:rsidRPr="00B97064">
        <w:rPr>
          <w:lang w:val="en-GB"/>
        </w:rPr>
        <w:t xml:space="preserve"> </w:t>
      </w:r>
      <w:r w:rsidRPr="00B97064">
        <w:rPr>
          <w:lang w:val="en-GB"/>
        </w:rPr>
        <w:t xml:space="preserve">Finally, chapter </w:t>
      </w:r>
      <w:r w:rsidR="00380193" w:rsidRPr="00B97064">
        <w:rPr>
          <w:lang w:val="en-GB"/>
        </w:rPr>
        <w:t>eight</w:t>
      </w:r>
      <w:r w:rsidRPr="00B97064">
        <w:rPr>
          <w:lang w:val="en-GB"/>
        </w:rPr>
        <w:t xml:space="preserve"> gives some suggestions for further research.</w:t>
      </w:r>
    </w:p>
    <w:p w:rsidR="007C7F32" w:rsidRPr="00B97064" w:rsidRDefault="007C7F32" w:rsidP="00B00C52">
      <w:pPr>
        <w:pStyle w:val="Heading1"/>
        <w:rPr>
          <w:lang w:val="en-GB"/>
        </w:rPr>
      </w:pPr>
      <w:r w:rsidRPr="00B97064">
        <w:rPr>
          <w:lang w:val="en-GB"/>
        </w:rPr>
        <w:br w:type="page"/>
      </w:r>
      <w:bookmarkStart w:id="14" w:name="_Toc349585453"/>
      <w:r w:rsidRPr="00B97064">
        <w:rPr>
          <w:lang w:val="en-GB"/>
        </w:rPr>
        <w:lastRenderedPageBreak/>
        <w:t>2. Concepts</w:t>
      </w:r>
      <w:bookmarkEnd w:id="14"/>
    </w:p>
    <w:p w:rsidR="007C7F32" w:rsidRPr="00B97064" w:rsidRDefault="007C7F32" w:rsidP="00B00C52">
      <w:pPr>
        <w:pStyle w:val="Heading2"/>
        <w:rPr>
          <w:lang w:val="en-GB"/>
        </w:rPr>
      </w:pPr>
      <w:bookmarkStart w:id="15" w:name="_Toc349585454"/>
      <w:r w:rsidRPr="00B97064">
        <w:rPr>
          <w:lang w:val="en-GB"/>
        </w:rPr>
        <w:t>2.1 Introduction</w:t>
      </w:r>
      <w:bookmarkEnd w:id="15"/>
    </w:p>
    <w:p w:rsidR="007C7F32" w:rsidRPr="00B97064" w:rsidRDefault="007C7F32" w:rsidP="0030616F">
      <w:pPr>
        <w:rPr>
          <w:lang w:val="en-GB"/>
        </w:rPr>
      </w:pPr>
      <w:r w:rsidRPr="00B97064">
        <w:rPr>
          <w:lang w:val="en-GB"/>
        </w:rPr>
        <w:t>In this thesis, the relation between the amount of RPTs, disclosure quality and firm value will be investigated for the 118</w:t>
      </w:r>
      <w:r w:rsidRPr="00B97064">
        <w:rPr>
          <w:rStyle w:val="FootnoteReference"/>
          <w:lang w:val="en-GB"/>
        </w:rPr>
        <w:footnoteReference w:id="4"/>
      </w:r>
      <w:r w:rsidRPr="00B97064">
        <w:rPr>
          <w:lang w:val="en-GB"/>
        </w:rPr>
        <w:t xml:space="preserve"> largest Dutch listed companies, as well as the relation between some firm and ownership characteristics of those firms and the amount of RPTs. To get a better understanding of the current structure of Dutch listed firms as well as laws and regulation in the field of RPTs for listed companies, a conceptual overview will be given in this chapter. First of all, the institutional setting of the Netherlands will be explained. Thereby, the EU, IFRS, the Dutch Civil Code, the Dutch </w:t>
      </w:r>
      <w:r w:rsidR="00F44576" w:rsidRPr="00B97064">
        <w:rPr>
          <w:lang w:val="en-GB"/>
        </w:rPr>
        <w:t>c</w:t>
      </w:r>
      <w:r w:rsidRPr="00B97064">
        <w:rPr>
          <w:lang w:val="en-GB"/>
        </w:rPr>
        <w:t xml:space="preserve">orporate </w:t>
      </w:r>
      <w:r w:rsidR="00F44576" w:rsidRPr="00B97064">
        <w:rPr>
          <w:lang w:val="en-GB"/>
        </w:rPr>
        <w:t>g</w:t>
      </w:r>
      <w:r w:rsidRPr="00B97064">
        <w:rPr>
          <w:lang w:val="en-GB"/>
        </w:rPr>
        <w:t xml:space="preserve">overnance </w:t>
      </w:r>
      <w:r w:rsidR="00F44576" w:rsidRPr="00B97064">
        <w:rPr>
          <w:lang w:val="en-GB"/>
        </w:rPr>
        <w:t>c</w:t>
      </w:r>
      <w:r w:rsidRPr="00B97064">
        <w:rPr>
          <w:lang w:val="en-GB"/>
        </w:rPr>
        <w:t xml:space="preserve">ode and different types of board systems will be discussed. Also additional regulations for companies with </w:t>
      </w:r>
      <w:r w:rsidR="00812C33" w:rsidRPr="00B97064">
        <w:rPr>
          <w:lang w:val="en-GB"/>
        </w:rPr>
        <w:t xml:space="preserve">a </w:t>
      </w:r>
      <w:r w:rsidRPr="00B97064">
        <w:rPr>
          <w:lang w:val="en-GB"/>
        </w:rPr>
        <w:t>second listing in the USA will be explained. Those US regulations are more extensive compared to Dutch regulations, in order to better ensure</w:t>
      </w:r>
      <w:r w:rsidR="00812C33" w:rsidRPr="00B97064">
        <w:rPr>
          <w:lang w:val="en-GB"/>
        </w:rPr>
        <w:t xml:space="preserve"> </w:t>
      </w:r>
      <w:r w:rsidRPr="00B97064">
        <w:rPr>
          <w:lang w:val="en-GB"/>
        </w:rPr>
        <w:t>/</w:t>
      </w:r>
      <w:r w:rsidR="00812C33" w:rsidRPr="00B97064">
        <w:rPr>
          <w:lang w:val="en-GB"/>
        </w:rPr>
        <w:t xml:space="preserve"> </w:t>
      </w:r>
      <w:r w:rsidRPr="00B97064">
        <w:rPr>
          <w:lang w:val="en-GB"/>
        </w:rPr>
        <w:t xml:space="preserve">increase shareholder protection. Besides this, an elaboration will be given on </w:t>
      </w:r>
      <w:r w:rsidR="00602237" w:rsidRPr="00B97064">
        <w:rPr>
          <w:lang w:val="en-GB"/>
        </w:rPr>
        <w:t>RPTs</w:t>
      </w:r>
      <w:r w:rsidRPr="00B97064">
        <w:rPr>
          <w:lang w:val="en-GB"/>
        </w:rPr>
        <w:t xml:space="preserve"> with the corresponding legislation on this point, like IAS 24, Raad voor de Jaarverslaggeving 330 (RJ 330), </w:t>
      </w:r>
      <w:r w:rsidR="00812C33" w:rsidRPr="00B97064">
        <w:rPr>
          <w:lang w:val="en-GB"/>
        </w:rPr>
        <w:t xml:space="preserve">the </w:t>
      </w:r>
      <w:r w:rsidRPr="00B97064">
        <w:rPr>
          <w:lang w:val="en-GB"/>
        </w:rPr>
        <w:t xml:space="preserve">Sarbanes Oxley act (SOx) and tax legislation in the </w:t>
      </w:r>
      <w:r w:rsidRPr="00B97064">
        <w:rPr>
          <w:rFonts w:cs="Arial"/>
          <w:lang w:val="en-GB"/>
        </w:rPr>
        <w:t>Organisation for Economic Co-operation and Development</w:t>
      </w:r>
      <w:r w:rsidRPr="00B97064">
        <w:rPr>
          <w:lang w:val="en-GB"/>
        </w:rPr>
        <w:t xml:space="preserve"> Mo</w:t>
      </w:r>
      <w:r w:rsidR="00602237" w:rsidRPr="00B97064">
        <w:rPr>
          <w:lang w:val="en-GB"/>
        </w:rPr>
        <w:t>del Tax Convention (OECD MTC).</w:t>
      </w:r>
      <w:r w:rsidR="004428FB" w:rsidRPr="00B97064">
        <w:rPr>
          <w:lang w:val="en-GB"/>
        </w:rPr>
        <w:t xml:space="preserve"> After that, a section is devoted to voluntary disclosure.</w:t>
      </w:r>
      <w:r w:rsidR="00602237" w:rsidRPr="00B97064">
        <w:rPr>
          <w:lang w:val="en-GB"/>
        </w:rPr>
        <w:t xml:space="preserve"> </w:t>
      </w:r>
      <w:r w:rsidR="004428FB" w:rsidRPr="00B97064">
        <w:rPr>
          <w:lang w:val="en-GB"/>
        </w:rPr>
        <w:t>In this section, the relation between voluntary disclosure and the cost of capital will be explained.</w:t>
      </w:r>
      <w:r w:rsidR="000B2008" w:rsidRPr="00B97064">
        <w:rPr>
          <w:lang w:val="en-GB"/>
        </w:rPr>
        <w:t xml:space="preserve"> Furthermore, different ways to measure disclosure quality are discussed.</w:t>
      </w:r>
      <w:r w:rsidR="004428FB" w:rsidRPr="00B97064">
        <w:rPr>
          <w:lang w:val="en-GB"/>
        </w:rPr>
        <w:t xml:space="preserve"> </w:t>
      </w:r>
      <w:r w:rsidRPr="00B97064">
        <w:rPr>
          <w:lang w:val="en-GB"/>
        </w:rPr>
        <w:t>I will conclude with a short summary.</w:t>
      </w:r>
    </w:p>
    <w:p w:rsidR="007C7F32" w:rsidRPr="00B97064" w:rsidRDefault="007C7F32" w:rsidP="005E10CF">
      <w:pPr>
        <w:pStyle w:val="Heading2"/>
        <w:rPr>
          <w:lang w:val="en-GB"/>
        </w:rPr>
      </w:pPr>
      <w:bookmarkStart w:id="16" w:name="_Toc349585455"/>
      <w:r w:rsidRPr="00B97064">
        <w:rPr>
          <w:lang w:val="en-GB"/>
        </w:rPr>
        <w:t>2.2 Institutional setting</w:t>
      </w:r>
      <w:bookmarkEnd w:id="16"/>
    </w:p>
    <w:p w:rsidR="007C7F32" w:rsidRPr="00B97064" w:rsidRDefault="007C7F32" w:rsidP="00077CFF">
      <w:pPr>
        <w:pStyle w:val="Heading3"/>
        <w:rPr>
          <w:lang w:val="en-GB"/>
        </w:rPr>
      </w:pPr>
      <w:bookmarkStart w:id="17" w:name="_Toc349585456"/>
      <w:r w:rsidRPr="00B97064">
        <w:rPr>
          <w:lang w:val="en-GB"/>
        </w:rPr>
        <w:t>2.2.1 European Union</w:t>
      </w:r>
      <w:bookmarkEnd w:id="17"/>
    </w:p>
    <w:p w:rsidR="007C7F32" w:rsidRPr="00B97064" w:rsidRDefault="007C7F32" w:rsidP="00F5190D">
      <w:pPr>
        <w:rPr>
          <w:rFonts w:cs="Arial"/>
          <w:szCs w:val="22"/>
          <w:lang w:val="en-GB"/>
        </w:rPr>
      </w:pPr>
      <w:r w:rsidRPr="00B97064">
        <w:rPr>
          <w:rFonts w:cs="Arial"/>
          <w:szCs w:val="22"/>
          <w:lang w:val="en-GB"/>
        </w:rPr>
        <w:t>In 1951, the European Coal and Steal Community (ECSC) united six Western European countries, including the Netherlands, in the economic field. World War II just ended. The goal of this established community was to avoid new wars, which was also the start of a more and more intensified cooperation in Europe. An increasing number of countries joined the ECSC. After the success of this community was proved, more communities were established; the European Atomic Energy Community (AEC) and the European Economic Community (EEC) were founded. The objective of the EEC was to create an internal market with free movement of goods, services, capital and persons. Those three communities later merged to the European Communities (EC), followed by the European Community (again EC). This EC represented the first pillar of the European Union</w:t>
      </w:r>
      <w:r w:rsidR="008D2C22" w:rsidRPr="00B97064">
        <w:rPr>
          <w:rFonts w:cs="Arial"/>
          <w:szCs w:val="22"/>
          <w:lang w:val="en-GB"/>
        </w:rPr>
        <w:t xml:space="preserve"> (EU)</w:t>
      </w:r>
      <w:r w:rsidRPr="00B97064">
        <w:rPr>
          <w:rFonts w:cs="Arial"/>
          <w:szCs w:val="22"/>
          <w:lang w:val="en-GB"/>
        </w:rPr>
        <w:t xml:space="preserve">, which included economic, social and environmental policies. The second pillar was the common foreign and security policy, which </w:t>
      </w:r>
      <w:r w:rsidRPr="00B97064">
        <w:rPr>
          <w:rFonts w:cs="Arial"/>
          <w:szCs w:val="22"/>
          <w:lang w:val="en-GB"/>
        </w:rPr>
        <w:lastRenderedPageBreak/>
        <w:t>consisted of foreign policy and military matters. The third and last pillar of the EU included police and judicial cooperation in criminal affairs. In 2009, the treaty of Lisbon was signed; this treaty simplified the EU. The pillars were abolished an</w:t>
      </w:r>
      <w:r w:rsidR="004428FB" w:rsidRPr="00B97064">
        <w:rPr>
          <w:rFonts w:cs="Arial"/>
          <w:szCs w:val="22"/>
          <w:lang w:val="en-GB"/>
        </w:rPr>
        <w:t>d the EU received legal status.</w:t>
      </w:r>
    </w:p>
    <w:p w:rsidR="004428FB" w:rsidRPr="00B97064" w:rsidRDefault="004428FB" w:rsidP="00F5190D">
      <w:pPr>
        <w:rPr>
          <w:rFonts w:cs="Arial"/>
          <w:szCs w:val="22"/>
          <w:lang w:val="en-GB"/>
        </w:rPr>
      </w:pPr>
    </w:p>
    <w:p w:rsidR="007C7F32" w:rsidRPr="00B97064" w:rsidRDefault="007C7F32" w:rsidP="00F5190D">
      <w:pPr>
        <w:rPr>
          <w:rFonts w:cs="Arial"/>
          <w:szCs w:val="22"/>
          <w:lang w:val="en-GB"/>
        </w:rPr>
      </w:pPr>
      <w:r w:rsidRPr="00B97064">
        <w:rPr>
          <w:rFonts w:cs="Arial"/>
          <w:szCs w:val="22"/>
          <w:lang w:val="en-GB"/>
        </w:rPr>
        <w:t>The main institutions of the EU are the European Parliament, the European Commission and European Council. The European Parliament consists of 754 members which are elected every 5 years directly by the citizens of the EU</w:t>
      </w:r>
      <w:r w:rsidR="00C642A1" w:rsidRPr="00B97064">
        <w:rPr>
          <w:rFonts w:cs="Arial"/>
          <w:szCs w:val="22"/>
          <w:lang w:val="en-GB"/>
        </w:rPr>
        <w:t xml:space="preserve"> member states</w:t>
      </w:r>
      <w:r w:rsidRPr="00B97064">
        <w:rPr>
          <w:rFonts w:cs="Arial"/>
          <w:szCs w:val="22"/>
          <w:lang w:val="en-GB"/>
        </w:rPr>
        <w:t>. The European Council consists of its president, the heads of state or government of all the EU member states and the president of the European Commission. The Commission consists of 26 commissioners and a commission president. The latest is nominated by the European Council and approved by the Parliament. After this approval, the president chooses the other 26 commissioners. Above mentioned three institutions are charged with the legislative function of the EU. The Commission initiates new legislation, which should be approved by the other two institutions.</w:t>
      </w:r>
      <w:r w:rsidRPr="00B97064">
        <w:rPr>
          <w:rStyle w:val="FootnoteReference"/>
          <w:rFonts w:cs="Arial"/>
          <w:szCs w:val="22"/>
          <w:lang w:val="en-GB"/>
        </w:rPr>
        <w:footnoteReference w:id="5"/>
      </w:r>
      <w:r w:rsidRPr="00B97064">
        <w:rPr>
          <w:rFonts w:cs="Arial"/>
          <w:szCs w:val="22"/>
          <w:lang w:val="en-GB"/>
        </w:rPr>
        <w:t xml:space="preserve"> One example of such legislation of the Commission was the proposal which stated that all EU listed companies should report in accordance with IFRS. This proposal will be discussed in more detail in section </w:t>
      </w:r>
      <w:fldSimple w:instr=" REF _Ref339467082 \h  \* MERGEFORMAT ">
        <w:r w:rsidR="00706F7F" w:rsidRPr="00B97064">
          <w:rPr>
            <w:lang w:val="en-GB"/>
          </w:rPr>
          <w:t>2.2.3 Reporting requirements EU listed companies</w:t>
        </w:r>
      </w:fldSimple>
      <w:r w:rsidRPr="00B97064">
        <w:rPr>
          <w:rFonts w:cs="Arial"/>
          <w:szCs w:val="22"/>
          <w:lang w:val="en-GB"/>
        </w:rPr>
        <w:t>.</w:t>
      </w:r>
    </w:p>
    <w:p w:rsidR="007C7F32" w:rsidRPr="00B97064" w:rsidRDefault="007C7F32" w:rsidP="00895CF7">
      <w:pPr>
        <w:pStyle w:val="Heading3"/>
        <w:rPr>
          <w:lang w:val="en-GB"/>
        </w:rPr>
      </w:pPr>
      <w:bookmarkStart w:id="18" w:name="_Toc349585457"/>
      <w:r w:rsidRPr="00B97064">
        <w:rPr>
          <w:lang w:val="en-GB"/>
        </w:rPr>
        <w:t>2.2.2 IFRS</w:t>
      </w:r>
      <w:bookmarkEnd w:id="18"/>
    </w:p>
    <w:p w:rsidR="007C7F32" w:rsidRPr="00B97064" w:rsidRDefault="007C7F32" w:rsidP="00583FB9">
      <w:pPr>
        <w:rPr>
          <w:lang w:val="en-GB"/>
        </w:rPr>
      </w:pPr>
      <w:r w:rsidRPr="00B97064">
        <w:rPr>
          <w:lang w:val="en-GB"/>
        </w:rPr>
        <w:t>In 1973, the International Accounting Standard Committee (IASC) was founded as a result of an agreement of accounting bodies of some different countries: Canada, USA (AICPA), Mexico, France, Germany, the Netherlands, UK, Japan and Australia. Over years, accounting bodies of other countries joined the IASC. The IASC developed International Accounting Standards (IAS). In 2001, the IASC was succeeded by the International Accounting Standard Board (IASB). The IASB is an independent standard setting body of the IFRS foundation. All the members of the former IASC are trustees of the IFRS foundation. The IASB is responsible for the development of international accounting standards, called the International Financial Reporting Standards (IFRS). IFRS should meet the highest quality standards; the standards must contribute to a true and fair view of the annual report. The IAS are incorporated by the IASB; these standards</w:t>
      </w:r>
      <w:r w:rsidR="00967FE2" w:rsidRPr="00B97064">
        <w:rPr>
          <w:lang w:val="en-GB"/>
        </w:rPr>
        <w:t xml:space="preserve"> are extended and supplemented.</w:t>
      </w:r>
    </w:p>
    <w:p w:rsidR="007C7F32" w:rsidRPr="00B97064" w:rsidRDefault="007C7F32" w:rsidP="00895CF7">
      <w:pPr>
        <w:pStyle w:val="Heading3"/>
        <w:rPr>
          <w:lang w:val="en-GB"/>
        </w:rPr>
      </w:pPr>
      <w:bookmarkStart w:id="19" w:name="_Ref339467082"/>
      <w:bookmarkStart w:id="20" w:name="_Toc349585458"/>
      <w:r w:rsidRPr="00B97064">
        <w:rPr>
          <w:lang w:val="en-GB"/>
        </w:rPr>
        <w:t>2.2.3 Reporting requirements EU listed companies</w:t>
      </w:r>
      <w:bookmarkEnd w:id="19"/>
      <w:bookmarkEnd w:id="20"/>
    </w:p>
    <w:p w:rsidR="007C7F32" w:rsidRPr="00B97064" w:rsidRDefault="007C7F32" w:rsidP="00F5190D">
      <w:pPr>
        <w:rPr>
          <w:rFonts w:cs="Arial"/>
          <w:szCs w:val="22"/>
          <w:lang w:val="en-GB"/>
        </w:rPr>
      </w:pPr>
      <w:r w:rsidRPr="00B97064">
        <w:rPr>
          <w:rFonts w:cs="Arial"/>
          <w:szCs w:val="22"/>
          <w:lang w:val="en-GB"/>
        </w:rPr>
        <w:t>In 2002, the European Parliament and the European Council agreed to a proposal of the European Commission stating that all listed companies, subjected to the law of a member state, should report in accordance with IFRS for accounting periods starting on or after 1 January 2005. The objective of this legislation was to increase the comparability of the financial statements of</w:t>
      </w:r>
      <w:r w:rsidR="00B1699F" w:rsidRPr="00B97064">
        <w:rPr>
          <w:rFonts w:cs="Arial"/>
          <w:szCs w:val="22"/>
          <w:lang w:val="en-GB"/>
        </w:rPr>
        <w:t xml:space="preserve"> EU</w:t>
      </w:r>
      <w:r w:rsidRPr="00B97064">
        <w:rPr>
          <w:rFonts w:cs="Arial"/>
          <w:szCs w:val="22"/>
          <w:lang w:val="en-GB"/>
        </w:rPr>
        <w:t xml:space="preserve"> listed companies in order to accelerate the completion of the </w:t>
      </w:r>
      <w:r w:rsidRPr="00B97064">
        <w:rPr>
          <w:rFonts w:cs="Arial"/>
          <w:szCs w:val="22"/>
          <w:lang w:val="en-GB"/>
        </w:rPr>
        <w:lastRenderedPageBreak/>
        <w:t xml:space="preserve">internal market. Before this regulation came into effect, listed companies reported in accordance with local GAAP. One system of financial reporting was needed which is adjusted to international reporting standards. The Commission assigned the current </w:t>
      </w:r>
      <w:r w:rsidR="00B1699F" w:rsidRPr="00B97064">
        <w:rPr>
          <w:rFonts w:cs="Arial"/>
          <w:szCs w:val="22"/>
          <w:lang w:val="en-GB"/>
        </w:rPr>
        <w:t>IFRS</w:t>
      </w:r>
      <w:r w:rsidRPr="00B97064">
        <w:rPr>
          <w:rFonts w:cs="Arial"/>
          <w:szCs w:val="22"/>
          <w:lang w:val="en-GB"/>
        </w:rPr>
        <w:t xml:space="preserve"> as the reporting standards which should be applied. New regulations from the IASB should be approved by the European Commission. After that, the new regulation should be published using a commission regulation before it enters into force. Member states are free to require others than listed companies to report in accordance with IFRS (</w:t>
      </w:r>
      <w:r w:rsidRPr="00B97064">
        <w:rPr>
          <w:rFonts w:cs="Arial"/>
          <w:lang w:val="en-GB"/>
        </w:rPr>
        <w:t>Regulation (EC) No 1606/2002)</w:t>
      </w:r>
      <w:r w:rsidRPr="00B97064">
        <w:rPr>
          <w:rFonts w:cs="Arial"/>
          <w:szCs w:val="22"/>
          <w:lang w:val="en-GB"/>
        </w:rPr>
        <w:t>.</w:t>
      </w:r>
    </w:p>
    <w:p w:rsidR="007C7F32" w:rsidRPr="00B97064" w:rsidRDefault="007C7F32" w:rsidP="007840B6">
      <w:pPr>
        <w:pStyle w:val="Heading3"/>
        <w:rPr>
          <w:lang w:val="en-GB"/>
        </w:rPr>
      </w:pPr>
      <w:bookmarkStart w:id="21" w:name="_Ref340589320"/>
      <w:bookmarkStart w:id="22" w:name="_Toc349585459"/>
      <w:r w:rsidRPr="00B97064">
        <w:rPr>
          <w:lang w:val="en-GB"/>
        </w:rPr>
        <w:t>2.2.4 Board systems</w:t>
      </w:r>
      <w:bookmarkEnd w:id="21"/>
      <w:bookmarkEnd w:id="22"/>
    </w:p>
    <w:p w:rsidR="007C7F32" w:rsidRPr="00B97064" w:rsidRDefault="007C7F32" w:rsidP="00732AB3">
      <w:pPr>
        <w:rPr>
          <w:lang w:val="en-GB"/>
        </w:rPr>
      </w:pPr>
      <w:r w:rsidRPr="00B97064">
        <w:rPr>
          <w:lang w:val="en-GB"/>
        </w:rPr>
        <w:t>In the Netherlands, a corporation</w:t>
      </w:r>
      <w:r w:rsidRPr="00B97064">
        <w:rPr>
          <w:rStyle w:val="FootnoteReference"/>
          <w:lang w:val="en-GB"/>
        </w:rPr>
        <w:footnoteReference w:id="6"/>
      </w:r>
      <w:r w:rsidRPr="00B97064">
        <w:rPr>
          <w:lang w:val="en-GB"/>
        </w:rPr>
        <w:t xml:space="preserve"> consists of two bodies; a board of directors and a General Meeting of Shareholders. A company can voluntary</w:t>
      </w:r>
      <w:r w:rsidRPr="00B97064">
        <w:rPr>
          <w:rStyle w:val="FootnoteReference"/>
          <w:lang w:val="en-GB"/>
        </w:rPr>
        <w:footnoteReference w:id="7"/>
      </w:r>
      <w:r w:rsidRPr="00B97064">
        <w:rPr>
          <w:lang w:val="en-GB"/>
        </w:rPr>
        <w:t xml:space="preserve"> choose to add a supervisory board. This supervisory board is responsible for monitoring the board of directors. This way of supervising corporate management is called ‘the two tier board system’. The two tier system is also called a dualistic system and can also be found in some other western European countries, like Germany, Denmark and Austria.</w:t>
      </w:r>
    </w:p>
    <w:p w:rsidR="007C7F32" w:rsidRPr="00B97064" w:rsidRDefault="007C7F32" w:rsidP="003F42CC">
      <w:pPr>
        <w:rPr>
          <w:lang w:val="en-GB"/>
        </w:rPr>
      </w:pPr>
    </w:p>
    <w:p w:rsidR="007C7F32" w:rsidRPr="00B97064" w:rsidRDefault="007C7F32" w:rsidP="003F42CC">
      <w:pPr>
        <w:rPr>
          <w:lang w:val="en-GB"/>
        </w:rPr>
      </w:pPr>
      <w:r w:rsidRPr="00B97064">
        <w:rPr>
          <w:lang w:val="en-GB"/>
        </w:rPr>
        <w:t>For large Dutch companies</w:t>
      </w:r>
      <w:r w:rsidRPr="00B97064">
        <w:rPr>
          <w:rStyle w:val="FootnoteReference"/>
          <w:lang w:val="en-GB"/>
        </w:rPr>
        <w:footnoteReference w:id="8"/>
      </w:r>
      <w:r w:rsidRPr="00B97064">
        <w:rPr>
          <w:lang w:val="en-GB"/>
        </w:rPr>
        <w:t>, it is obliged to have a supervisory board, since those companies are subjected to special rules, called ‘het structuurregime’. Due to a disturbed balance between the board of directors and the shareholders as a result of increased spread of share ownership, the ‘structuurregime’ rules are set up to increase the competences of the works council as well as the competences of the supervisory board. The increased competences of those organs were gained at the cost of the General Meeting of Shareholders. Under the special rules, the supervisory board has the authority to appoint and dismiss members of the board of directors. The works council as well as the General Meeting of Shareholders are able to suggest new supervisory board members. However, the supervisory board has the right to appoint their members by themselves. The works council and General Meeting of Shareholders may object to this appointment. Besides the appointment of new board members, the supervisory board has the competence to approve the annual report (Moerland, 2001). The ‘structuurregime’ is obliged in case of fulfilment of the following conditions:</w:t>
      </w:r>
    </w:p>
    <w:p w:rsidR="007C7F32" w:rsidRPr="00B97064" w:rsidRDefault="007C7F32" w:rsidP="00C140CF">
      <w:pPr>
        <w:numPr>
          <w:ilvl w:val="0"/>
          <w:numId w:val="24"/>
        </w:numPr>
        <w:rPr>
          <w:lang w:val="en-GB"/>
        </w:rPr>
      </w:pPr>
      <w:r w:rsidRPr="00B97064">
        <w:rPr>
          <w:lang w:val="en-GB"/>
        </w:rPr>
        <w:t>The firm has an issued capital plus reserve which exceeds 16 million Euros;</w:t>
      </w:r>
    </w:p>
    <w:p w:rsidR="007C7F32" w:rsidRPr="00B97064" w:rsidRDefault="007C7F32" w:rsidP="00C140CF">
      <w:pPr>
        <w:numPr>
          <w:ilvl w:val="0"/>
          <w:numId w:val="25"/>
        </w:numPr>
        <w:rPr>
          <w:lang w:val="en-GB"/>
        </w:rPr>
      </w:pPr>
      <w:r w:rsidRPr="00B97064">
        <w:rPr>
          <w:lang w:val="en-GB"/>
        </w:rPr>
        <w:lastRenderedPageBreak/>
        <w:t>The firm has a works council which is mandatory established by law;</w:t>
      </w:r>
    </w:p>
    <w:p w:rsidR="007C7F32" w:rsidRPr="00B97064" w:rsidRDefault="007C7F32" w:rsidP="00C140CF">
      <w:pPr>
        <w:numPr>
          <w:ilvl w:val="0"/>
          <w:numId w:val="26"/>
        </w:numPr>
        <w:rPr>
          <w:lang w:val="en-GB"/>
        </w:rPr>
      </w:pPr>
      <w:r w:rsidRPr="00B97064">
        <w:rPr>
          <w:lang w:val="en-GB"/>
        </w:rPr>
        <w:t>The firm has more than 100 employees in the Netherlands (Ar</w:t>
      </w:r>
      <w:r w:rsidR="009A416E" w:rsidRPr="00B97064">
        <w:rPr>
          <w:lang w:val="en-GB"/>
        </w:rPr>
        <w:t>t.</w:t>
      </w:r>
      <w:r w:rsidRPr="00B97064">
        <w:rPr>
          <w:lang w:val="en-GB"/>
        </w:rPr>
        <w:t xml:space="preserve"> 2:263 paragraph 2 Dutch Civil Code).</w:t>
      </w:r>
    </w:p>
    <w:p w:rsidR="00892B9B" w:rsidRPr="00B97064" w:rsidRDefault="00892B9B" w:rsidP="00892B9B">
      <w:pPr>
        <w:rPr>
          <w:lang w:val="en-GB"/>
        </w:rPr>
      </w:pPr>
    </w:p>
    <w:p w:rsidR="007C7F32" w:rsidRPr="00B97064" w:rsidRDefault="007C7F32" w:rsidP="00F5190D">
      <w:pPr>
        <w:rPr>
          <w:lang w:val="en-GB"/>
        </w:rPr>
      </w:pPr>
      <w:r w:rsidRPr="00B97064">
        <w:rPr>
          <w:lang w:val="en-GB"/>
        </w:rPr>
        <w:t xml:space="preserve">Supervision of corporate management is structured in different ways all over the world. Besides the two tier board system, there is another board system in use called ‘the one tier board system’. The one tier board system consists of one board of directors, which comprises executive and non-executive board members. The separation of duties is less stringent within this board type, but executive officers are mainly responsible for daily management, whereas non-executive officers are particularly responsible for supervising (and strategy development). Both types of board members are elected by the General Meeting of Shareholders. In extreme cases, the shareholders are also qualified to dismiss the </w:t>
      </w:r>
      <w:r w:rsidR="00CE7580" w:rsidRPr="00B97064">
        <w:rPr>
          <w:lang w:val="en-GB"/>
        </w:rPr>
        <w:t>board members</w:t>
      </w:r>
      <w:r w:rsidRPr="00B97064">
        <w:rPr>
          <w:lang w:val="en-GB"/>
        </w:rPr>
        <w:t>. Under normal conditions, this authority has been assigned to the board. This system is also called a monistic system and is found in most countries over the world, like the USA and the UK. There are also countries which have regulation which allows both types of board systems. Examples of those countries are Spain, Portugal and Belgium. Besides those countries, the EU allows both systems; founders of a ‘Societas Europaea’ (SE), the cross-border European legal entity, are able to choose between the two systems (Jungmann, 2007). In the Netherlands, the one tier system is permitted since January 1</w:t>
      </w:r>
      <w:r w:rsidRPr="00B97064">
        <w:rPr>
          <w:vertAlign w:val="superscript"/>
          <w:lang w:val="en-GB"/>
        </w:rPr>
        <w:t>st</w:t>
      </w:r>
      <w:r w:rsidRPr="00B97064">
        <w:rPr>
          <w:lang w:val="en-GB"/>
        </w:rPr>
        <w:t xml:space="preserve"> 2013. I will return on this point later in this section.</w:t>
      </w:r>
    </w:p>
    <w:p w:rsidR="007C7F32" w:rsidRPr="00B97064" w:rsidRDefault="007C7F32" w:rsidP="00F5190D">
      <w:pPr>
        <w:rPr>
          <w:lang w:val="en-GB"/>
        </w:rPr>
      </w:pPr>
    </w:p>
    <w:p w:rsidR="007C7F32" w:rsidRPr="00B97064" w:rsidRDefault="007C7F32" w:rsidP="00F5190D">
      <w:pPr>
        <w:rPr>
          <w:lang w:val="en-GB"/>
        </w:rPr>
      </w:pPr>
      <w:r w:rsidRPr="00B97064">
        <w:rPr>
          <w:lang w:val="en-GB"/>
        </w:rPr>
        <w:t xml:space="preserve">Both board systems have strengths and weaknesses. The main advantage of the two tier model is the separation of management and control. This (should) lead to better shareholder protection, based on the agency theory. This theory assumes that </w:t>
      </w:r>
      <w:r w:rsidRPr="00B97064">
        <w:rPr>
          <w:rFonts w:cs="Arial"/>
          <w:lang w:val="en-GB"/>
        </w:rPr>
        <w:t>agents (board members) try to maximize their wealth at the cost of the principals (shareholders). To protect the principals, some control mechanisms were deployed, such as the creation of a supervisory board</w:t>
      </w:r>
      <w:r w:rsidRPr="00B97064">
        <w:rPr>
          <w:lang w:val="en-GB"/>
        </w:rPr>
        <w:t>. Another theory is the stewardship theory, which assumes</w:t>
      </w:r>
      <w:r w:rsidRPr="00B97064">
        <w:rPr>
          <w:rFonts w:cs="Arial"/>
          <w:lang w:val="en-GB"/>
        </w:rPr>
        <w:t xml:space="preserve"> a steward (board member), who again tries to maximize their wealth. This model believes in a board member who tries to satisfy the shareholders in order to maximise his own wealth. Maximum wealth of the shareholders results in maximum wealth of the board member.</w:t>
      </w:r>
      <w:r w:rsidRPr="00B97064">
        <w:rPr>
          <w:lang w:val="en-GB"/>
        </w:rPr>
        <w:t xml:space="preserve"> Advocates of the last theory prefer a small supervisory board</w:t>
      </w:r>
      <w:r w:rsidR="00CC1048" w:rsidRPr="00B97064">
        <w:rPr>
          <w:lang w:val="en-GB"/>
        </w:rPr>
        <w:t xml:space="preserve">, since a large supervisory board leads to less efficient decision making; </w:t>
      </w:r>
      <w:r w:rsidR="00BC2331" w:rsidRPr="00B97064">
        <w:rPr>
          <w:lang w:val="en-GB"/>
        </w:rPr>
        <w:t xml:space="preserve">they believe that </w:t>
      </w:r>
      <w:r w:rsidR="00CC1048" w:rsidRPr="00B97064">
        <w:rPr>
          <w:lang w:val="en-GB"/>
        </w:rPr>
        <w:t>supervisory board members have less access to required information, so they will affect the efficient decision making negatively. The advocates of the stewardship theory do not recognize the importance of a supervisory board, since they do not recognize the risk of</w:t>
      </w:r>
      <w:r w:rsidR="00BC2331" w:rsidRPr="00B97064">
        <w:rPr>
          <w:lang w:val="en-GB"/>
        </w:rPr>
        <w:t xml:space="preserve"> opportunistic behaviour of board members</w:t>
      </w:r>
      <w:r w:rsidR="00CC1048" w:rsidRPr="00B97064">
        <w:rPr>
          <w:lang w:val="en-GB"/>
        </w:rPr>
        <w:t xml:space="preserve"> </w:t>
      </w:r>
      <w:r w:rsidRPr="00B97064">
        <w:rPr>
          <w:lang w:val="en-GB"/>
        </w:rPr>
        <w:t>(De Bos et al. 2008).</w:t>
      </w:r>
    </w:p>
    <w:p w:rsidR="007C7F32" w:rsidRPr="00B97064" w:rsidRDefault="007C7F32" w:rsidP="00F5190D">
      <w:pPr>
        <w:rPr>
          <w:lang w:val="en-GB"/>
        </w:rPr>
      </w:pPr>
    </w:p>
    <w:p w:rsidR="007C7F32" w:rsidRPr="00B97064" w:rsidRDefault="007C7F32" w:rsidP="00F5190D">
      <w:pPr>
        <w:rPr>
          <w:lang w:val="en-GB"/>
        </w:rPr>
      </w:pPr>
      <w:r w:rsidRPr="00B97064">
        <w:rPr>
          <w:lang w:val="en-GB"/>
        </w:rPr>
        <w:t xml:space="preserve">The theoretical separation of management and control behind the two tier model appears not </w:t>
      </w:r>
      <w:r w:rsidRPr="00B97064">
        <w:rPr>
          <w:lang w:val="en-GB"/>
        </w:rPr>
        <w:lastRenderedPageBreak/>
        <w:t>to be totally visible in reality. One of the weaknesses of the dualistic system is the fact that supervisors fulfil both the monitoring and the advising role (strategy development). So, responsibilities are not clear (Schoenmakers, 2007). However, this is also a weak point of the one tier model, since separation of duties is not stringent within this board. Besides this, the supervisory board in a two tier model depends on the information provision by the board of directors. This dependency on information provision has a negative effect on the performance and independence of the supervisory board. Moreover, the supervision in a two tier system is ex post, while the supervision of the non-executive officers in a one tier board is during the decision-making process. The last two points can be considered as advantages of the one tier model; there is no information and time gap between executive and non-executive officers, since both types of board members are in the same board. Furthermore, an increasing number of shareholders of Dutch listed firms are non-Dutch. Also more and more members of the board of directors as well as supervisory board members are non-Dutch. Those non-Dutch members are more familiar with the one tier system. So, the one tier model seems to be more attractive, since this model is generally accepted almost over the entire world. In this regard, the two tier model has competitive disadvantages; in this respect, the Netherlands had a less attractive investment climate (Peij, 2010).</w:t>
      </w:r>
      <w:r w:rsidR="00E36760" w:rsidRPr="00B97064">
        <w:rPr>
          <w:lang w:val="en-GB"/>
        </w:rPr>
        <w:t xml:space="preserve"> This </w:t>
      </w:r>
      <w:r w:rsidR="008D2C22" w:rsidRPr="00B97064">
        <w:rPr>
          <w:lang w:val="en-GB"/>
        </w:rPr>
        <w:t>disadvantage has been solved by the introduction of new legislation, which will be elaborated in the next paragraph.</w:t>
      </w:r>
    </w:p>
    <w:p w:rsidR="007C7F32" w:rsidRPr="00B97064" w:rsidRDefault="007C7F32" w:rsidP="00F5190D">
      <w:pPr>
        <w:rPr>
          <w:lang w:val="en-GB"/>
        </w:rPr>
      </w:pPr>
    </w:p>
    <w:p w:rsidR="007C7F32" w:rsidRPr="00B97064" w:rsidRDefault="007C7F32" w:rsidP="00F5190D">
      <w:pPr>
        <w:rPr>
          <w:lang w:val="en-GB"/>
        </w:rPr>
      </w:pPr>
      <w:r w:rsidRPr="00B97064">
        <w:rPr>
          <w:lang w:val="en-GB"/>
        </w:rPr>
        <w:t>In 2008, the Dutch government came up with a legislative proposal concerning the flexibility of the Dutch corporate law. Before this proposal, the two tier board system was the only permitted board system for large firms in The Netherlands, since large firms are subjected to the ‘structuurregime’, which requires a mandatory supervisory board. This proposal of 2008 comprises regulation with allows a one tier board. This proposal is submitted in order to compete with other EU countries on the field of legal forms. Due to decisions of the European Court of Justice, based on the freedom of establishment, it is now possible to import foreign European legal forms. To counteract this import, the Dutch government came up with flexibility of the corporate law legislation. The new legislation came into force by January first 2013</w:t>
      </w:r>
      <w:r w:rsidRPr="00B97064">
        <w:rPr>
          <w:rStyle w:val="FootnoteReference"/>
          <w:lang w:val="en-GB"/>
        </w:rPr>
        <w:footnoteReference w:id="9"/>
      </w:r>
      <w:r w:rsidRPr="00B97064">
        <w:rPr>
          <w:lang w:val="en-GB"/>
        </w:rPr>
        <w:t xml:space="preserve"> and legally defines the responsibilities and related liabilities of board members in case of the monistic system (TK 2008-2009, 31 763 nr. 3).</w:t>
      </w:r>
    </w:p>
    <w:p w:rsidR="007C7F32" w:rsidRPr="00B97064" w:rsidRDefault="007C7F32" w:rsidP="00C0068A">
      <w:pPr>
        <w:pStyle w:val="Heading3"/>
        <w:rPr>
          <w:lang w:val="en-GB"/>
        </w:rPr>
      </w:pPr>
      <w:bookmarkStart w:id="23" w:name="_Ref328492862"/>
      <w:bookmarkStart w:id="24" w:name="_Ref328492869"/>
      <w:bookmarkStart w:id="25" w:name="_Toc349585460"/>
      <w:r w:rsidRPr="00B97064">
        <w:rPr>
          <w:lang w:val="en-GB"/>
        </w:rPr>
        <w:t>2.2.5 Dutch civil code</w:t>
      </w:r>
      <w:bookmarkEnd w:id="23"/>
      <w:bookmarkEnd w:id="24"/>
      <w:bookmarkEnd w:id="25"/>
    </w:p>
    <w:p w:rsidR="007C7F32" w:rsidRPr="00B97064" w:rsidRDefault="007C7F32" w:rsidP="00C0068A">
      <w:pPr>
        <w:rPr>
          <w:lang w:val="en-GB"/>
        </w:rPr>
      </w:pPr>
      <w:r w:rsidRPr="00B97064">
        <w:rPr>
          <w:lang w:val="en-GB"/>
        </w:rPr>
        <w:t xml:space="preserve">The Dutch civil code, Book 2 contains legislation for Dutch legal entities. Title 9 of book 2 comprises requirements for the financial statements and the annual report. Legal entities </w:t>
      </w:r>
      <w:r w:rsidRPr="00B97064">
        <w:rPr>
          <w:lang w:val="en-GB"/>
        </w:rPr>
        <w:lastRenderedPageBreak/>
        <w:t>which are subjected to Dutch law (including the limited liability company (LLC), the Dutch ‘Besloten Vennootschap’</w:t>
      </w:r>
      <w:r w:rsidR="00B9757D" w:rsidRPr="00B97064">
        <w:rPr>
          <w:lang w:val="en-GB"/>
        </w:rPr>
        <w:t xml:space="preserve"> (BV)</w:t>
      </w:r>
      <w:r w:rsidRPr="00B97064">
        <w:rPr>
          <w:lang w:val="en-GB"/>
        </w:rPr>
        <w:t xml:space="preserve"> or ‘Naamloze Vennootschap’</w:t>
      </w:r>
      <w:r w:rsidR="00B9757D" w:rsidRPr="00B97064">
        <w:rPr>
          <w:lang w:val="en-GB"/>
        </w:rPr>
        <w:t xml:space="preserve"> (NV)</w:t>
      </w:r>
      <w:r w:rsidRPr="00B97064">
        <w:rPr>
          <w:lang w:val="en-GB"/>
        </w:rPr>
        <w:t xml:space="preserve">) are also subjected to this regulation, so Title 9 is also applicable to Dutch listed companies. Besides the LLC, all banks, irrespective of their legal status, are subjected to book 2 title 9. The scope of this regulation is that </w:t>
      </w:r>
      <w:r w:rsidRPr="00B97064">
        <w:rPr>
          <w:i/>
          <w:lang w:val="en-GB"/>
        </w:rPr>
        <w:t xml:space="preserve">“The annual accounts shall provide, on the basis of generally accepted accounting principles, such an insight that an informed assessment can be made about the legal person’s property (assets and liabilities) and result and, insofar as the nature of annual accounts permits so, about its solvency and liquidity.” </w:t>
      </w:r>
      <w:r w:rsidRPr="00B97064">
        <w:rPr>
          <w:lang w:val="en-GB"/>
        </w:rPr>
        <w:t>(</w:t>
      </w:r>
      <w:r w:rsidRPr="00B97064">
        <w:rPr>
          <w:rFonts w:cs="Arial"/>
          <w:lang w:val="en-GB"/>
        </w:rPr>
        <w:t>2:362 paragraph 1 Dutch civil code</w:t>
      </w:r>
      <w:r w:rsidRPr="00B97064">
        <w:rPr>
          <w:lang w:val="en-GB"/>
        </w:rPr>
        <w:t xml:space="preserve">). Article 2:362 paragraph 8 of the Dutch civil code allows non-listed entities to voluntary report in accordance with IFRS. Besides this, section 5, title 9, book 2 of the Dutch civil code contains specific requirements for the disclosures of the financial statement. This section contains the obligation to give information about the remuneration of directors and deposits, guarantees and loans granted to directors (article 2:383 Dutch civil code). For NV’s additional rules are applicable, in case the stocks are freely tradable. In that case, the remuneration should be specified by director and type of reward, information on issued stock options to directors should be specified, as well as a the granted loans, deposits and guarantees by directors (art. </w:t>
      </w:r>
      <w:r w:rsidRPr="00B97064">
        <w:rPr>
          <w:rFonts w:cs="Arial"/>
          <w:lang w:val="en-GB"/>
        </w:rPr>
        <w:t>2:383b – 2:383e Dutch civil code)</w:t>
      </w:r>
      <w:r w:rsidRPr="00B97064">
        <w:rPr>
          <w:lang w:val="en-GB"/>
        </w:rPr>
        <w:t>.</w:t>
      </w:r>
    </w:p>
    <w:p w:rsidR="007C7F32" w:rsidRPr="00B97064" w:rsidRDefault="007C7F32" w:rsidP="00133DBE">
      <w:pPr>
        <w:pStyle w:val="Heading3"/>
        <w:rPr>
          <w:lang w:val="en-GB"/>
        </w:rPr>
      </w:pPr>
      <w:bookmarkStart w:id="26" w:name="_Toc349585461"/>
      <w:r w:rsidRPr="00B97064">
        <w:rPr>
          <w:lang w:val="en-GB"/>
        </w:rPr>
        <w:t>2.2.6 Dutch corporate governance code</w:t>
      </w:r>
      <w:bookmarkEnd w:id="26"/>
    </w:p>
    <w:p w:rsidR="007C7F32" w:rsidRPr="00B97064" w:rsidRDefault="007C7F32" w:rsidP="00CA0CDF">
      <w:pPr>
        <w:rPr>
          <w:lang w:val="en-GB"/>
        </w:rPr>
      </w:pPr>
      <w:r w:rsidRPr="00B97064">
        <w:rPr>
          <w:lang w:val="en-GB"/>
        </w:rPr>
        <w:t>For years, corporate governance is a major point of discussion. In the eighties, the discussion point was anti-takeover constructions</w:t>
      </w:r>
      <w:r w:rsidRPr="00B97064">
        <w:rPr>
          <w:rStyle w:val="FootnoteReference"/>
          <w:lang w:val="en-GB"/>
        </w:rPr>
        <w:footnoteReference w:id="10"/>
      </w:r>
      <w:r w:rsidRPr="00B97064">
        <w:rPr>
          <w:lang w:val="en-GB"/>
        </w:rPr>
        <w:t>. The committee Van der Grinten was established in 1986 to indentify the pros and cons of the existing constructions. In 1987, this committee concluded that the existing constructions should be maintained. However, the VvdE (Association for Securities Trading) was an advocate of a limitation of anti-takeover constructions. The VEUO (Association of Securities Issuing Companies) was established and joined forces with VvdE. Those associations constitute the ‘Committee for Corporate Governance’ (Committee Peters) in April 1996. After half a year, the comm</w:t>
      </w:r>
      <w:r w:rsidR="00705091" w:rsidRPr="00B97064">
        <w:rPr>
          <w:lang w:val="en-GB"/>
        </w:rPr>
        <w:t>ittee</w:t>
      </w:r>
      <w:r w:rsidRPr="00B97064">
        <w:rPr>
          <w:lang w:val="en-GB"/>
        </w:rPr>
        <w:t xml:space="preserve"> issued an interim report, called </w:t>
      </w:r>
      <w:r w:rsidRPr="00B97064">
        <w:rPr>
          <w:i/>
          <w:lang w:val="en-GB"/>
        </w:rPr>
        <w:t>‘Corporate governance in Nederland: een aanzet tot verandering en een uitnodiging tot discussie’</w:t>
      </w:r>
      <w:r w:rsidRPr="00B97064">
        <w:rPr>
          <w:lang w:val="en-GB"/>
        </w:rPr>
        <w:t xml:space="preserve">. In 1997, the final version of this report was released: </w:t>
      </w:r>
      <w:r w:rsidRPr="00B97064">
        <w:rPr>
          <w:i/>
          <w:lang w:val="en-GB"/>
        </w:rPr>
        <w:t>‘Corporate governance in Nederland: de veertig aanbevelingen’</w:t>
      </w:r>
      <w:r w:rsidRPr="00B97064">
        <w:rPr>
          <w:lang w:val="en-GB"/>
        </w:rPr>
        <w:t xml:space="preserve">. This report consists of forty recommendations in the field of corporate governance in general (not only anti-takeover constructions). Generally speaking, the committee was in favour of increasing shareholders’ individual impact. Firms are invited to consider improvements based on the forty recommendations and report this in their annual report. To monitor the compliance with the forty recommendations, a new committee was constituted; the Committee Peters II. This </w:t>
      </w:r>
      <w:r w:rsidRPr="00B97064">
        <w:rPr>
          <w:lang w:val="en-GB"/>
        </w:rPr>
        <w:lastRenderedPageBreak/>
        <w:t>committee concludes that only 14 of the total 159 Dutch listed companies had modified their corporate governance (DeJong et al. 2001).</w:t>
      </w:r>
    </w:p>
    <w:p w:rsidR="007C7F32" w:rsidRPr="00B97064" w:rsidRDefault="007C7F32" w:rsidP="00CA0CDF">
      <w:pPr>
        <w:rPr>
          <w:lang w:val="en-GB"/>
        </w:rPr>
      </w:pPr>
    </w:p>
    <w:p w:rsidR="007C7F32" w:rsidRPr="00B97064" w:rsidRDefault="007C7F32" w:rsidP="00CA0CDF">
      <w:pPr>
        <w:rPr>
          <w:rFonts w:cs="Arial"/>
          <w:szCs w:val="22"/>
          <w:lang w:val="en-GB"/>
        </w:rPr>
      </w:pPr>
      <w:r w:rsidRPr="00B97064">
        <w:rPr>
          <w:lang w:val="en-GB"/>
        </w:rPr>
        <w:t>In 2003, the report of 1997 was replaced by a new code, called ‘De Nederlandse Corporate Governance Code’. The Dutch corporate governance code has been established to recover the confidence in corporate governance. After a number of frauds, like Enron, the checks and balances within a company were needed to be reconsidered. This code was developed by a new committee under the guidance of Morris Tabaksblat (chairman) and is therefore also known as ‘Code Tabaksblat’. The two pillars of this code are: integrity and transparency of the board as well as proper supervision on the board. The code consists of both rules and principles. Listed companies are obliged to apply the code. The legal basis of this obligation can be found in art. 2:391 paragraph 5 of the Dutch Civil Code, which stated that additional requirements regarding the annual report can be set by AMvB (General Administrative Order). The Code Tabaksblat was identified as code of conduct by General Administrative Order in December 2004, so the code needed to be applied for accounting periods starting on or after January 2004. Deviations are allowed, provided that these should be illustrated in the annual report. This is known as the ‘comply or explain’ rule. Shareholders could enforce compliance with the code by making use of their powers, like through not granting discharge or dismissing the board and</w:t>
      </w:r>
      <w:r w:rsidR="00705091" w:rsidRPr="00B97064">
        <w:rPr>
          <w:lang w:val="en-GB"/>
        </w:rPr>
        <w:t xml:space="preserve"> </w:t>
      </w:r>
      <w:r w:rsidRPr="00B97064">
        <w:rPr>
          <w:lang w:val="en-GB"/>
        </w:rPr>
        <w:t>/ or supervisory board. The Dutch corporate governance code is applicable to one tier boards as well as two tier boards.</w:t>
      </w:r>
      <w:r w:rsidRPr="00B97064">
        <w:rPr>
          <w:rFonts w:cs="Arial"/>
          <w:szCs w:val="22"/>
          <w:lang w:val="en-GB"/>
        </w:rPr>
        <w:t xml:space="preserve"> There was also constituted a new comm</w:t>
      </w:r>
      <w:r w:rsidR="00705091" w:rsidRPr="00B97064">
        <w:rPr>
          <w:rFonts w:cs="Arial"/>
          <w:szCs w:val="22"/>
          <w:lang w:val="en-GB"/>
        </w:rPr>
        <w:t>ittee</w:t>
      </w:r>
      <w:r w:rsidRPr="00B97064">
        <w:rPr>
          <w:rFonts w:cs="Arial"/>
          <w:szCs w:val="22"/>
          <w:lang w:val="en-GB"/>
        </w:rPr>
        <w:t xml:space="preserve"> which should monitor the compliance with the code, under the guidance of Jean Frijns.</w:t>
      </w:r>
    </w:p>
    <w:p w:rsidR="007C7F32" w:rsidRPr="00B97064" w:rsidRDefault="007C7F32" w:rsidP="00CA0CDF">
      <w:pPr>
        <w:rPr>
          <w:rFonts w:cs="Arial"/>
          <w:szCs w:val="22"/>
          <w:lang w:val="en-GB"/>
        </w:rPr>
      </w:pPr>
    </w:p>
    <w:p w:rsidR="007C7F32" w:rsidRPr="00B97064" w:rsidRDefault="007C7F32" w:rsidP="0060723E">
      <w:pPr>
        <w:rPr>
          <w:lang w:val="en-GB"/>
        </w:rPr>
      </w:pPr>
      <w:r w:rsidRPr="00B97064">
        <w:rPr>
          <w:lang w:val="en-GB"/>
        </w:rPr>
        <w:t>In 2009, the Code Tabaksblat was replaced by a modified code. This code was adjusted by the earlier mentioned monitoring commi</w:t>
      </w:r>
      <w:r w:rsidR="00705091" w:rsidRPr="00B97064">
        <w:rPr>
          <w:lang w:val="en-GB"/>
        </w:rPr>
        <w:t>ttee</w:t>
      </w:r>
      <w:r w:rsidRPr="00B97064">
        <w:rPr>
          <w:lang w:val="en-GB"/>
        </w:rPr>
        <w:t xml:space="preserve"> under the guidance of Jean Frijns, and therefore, also known as ‘Code Frijns’. The main critical point on the code of 2003 was the fact that it leads to a tick in the box attitude. The newest code is less extensive than the Code Tabaksblat, it is more principles-based. This should avoid the tick in the box attitude. Besides this, the supervisory board members get more responsibilities, for example in the field of remuneration policy. Furthermore, the need of an internal auditor should be evaluated every year in case there is not an internal auditor appointed yet. In addition, the code contains specific regulation for one tier boards (Wielaard, 2009). The code Frijns came into force for accounting periods starting on or after January 1</w:t>
      </w:r>
      <w:r w:rsidRPr="00B97064">
        <w:rPr>
          <w:vertAlign w:val="superscript"/>
          <w:lang w:val="en-GB"/>
        </w:rPr>
        <w:t>st</w:t>
      </w:r>
      <w:r w:rsidRPr="00B97064">
        <w:rPr>
          <w:lang w:val="en-GB"/>
        </w:rPr>
        <w:t xml:space="preserve"> 2009.</w:t>
      </w:r>
    </w:p>
    <w:p w:rsidR="007C7F32" w:rsidRPr="00B97064" w:rsidRDefault="007C7F32" w:rsidP="00540B05">
      <w:pPr>
        <w:pStyle w:val="Heading3"/>
        <w:rPr>
          <w:lang w:val="en-GB"/>
        </w:rPr>
      </w:pPr>
      <w:bookmarkStart w:id="27" w:name="_Ref349218701"/>
      <w:bookmarkStart w:id="28" w:name="_Toc349585462"/>
      <w:r w:rsidRPr="00B97064">
        <w:rPr>
          <w:lang w:val="en-GB"/>
        </w:rPr>
        <w:t>2.2.7 Additional regulations for companies with second listing in the USA</w:t>
      </w:r>
      <w:bookmarkEnd w:id="27"/>
      <w:bookmarkEnd w:id="28"/>
    </w:p>
    <w:p w:rsidR="007C7F32" w:rsidRPr="00B97064" w:rsidRDefault="007C7F32" w:rsidP="00D103A8">
      <w:pPr>
        <w:rPr>
          <w:lang w:val="en-GB"/>
        </w:rPr>
      </w:pPr>
      <w:r w:rsidRPr="00B97064">
        <w:rPr>
          <w:lang w:val="en-GB"/>
        </w:rPr>
        <w:t xml:space="preserve">The USA have their own financial reporting standards, US GAAP, which are developed by the Financial Accounting Standards Boards (FASB). Those standards are more rules-based </w:t>
      </w:r>
      <w:r w:rsidRPr="00B97064">
        <w:rPr>
          <w:lang w:val="en-GB"/>
        </w:rPr>
        <w:lastRenderedPageBreak/>
        <w:t>compared to IFRS and therefore more extensive. US GAAP have no legal basis, but compliance with the standards is enforced by the Securities and Exchange Commission (SEC). The SEC performs a supervisory role; it enforces different kinds of legislation, like the Securities Act of 1933, the Securities Exchange Act of 1934 and the Sarbanes-Oxley Act</w:t>
      </w:r>
      <w:r w:rsidR="00705091" w:rsidRPr="00B97064">
        <w:rPr>
          <w:lang w:val="en-GB"/>
        </w:rPr>
        <w:t xml:space="preserve"> </w:t>
      </w:r>
      <w:r w:rsidRPr="00B97064">
        <w:rPr>
          <w:lang w:val="en-GB"/>
        </w:rPr>
        <w:t>of 2002.</w:t>
      </w:r>
    </w:p>
    <w:p w:rsidR="007C7F32" w:rsidRPr="00B97064" w:rsidRDefault="007C7F32" w:rsidP="00D103A8">
      <w:pPr>
        <w:rPr>
          <w:lang w:val="en-GB"/>
        </w:rPr>
      </w:pPr>
    </w:p>
    <w:p w:rsidR="007C7F32" w:rsidRPr="00B97064" w:rsidRDefault="007C7F32" w:rsidP="000D51F4">
      <w:pPr>
        <w:rPr>
          <w:lang w:val="en-GB"/>
        </w:rPr>
      </w:pPr>
      <w:r w:rsidRPr="00B97064">
        <w:rPr>
          <w:lang w:val="en-GB"/>
        </w:rPr>
        <w:t>In 2002, after some big scandals in the USA, the senators Paul Sarbanes and Michael Oxley came up with a legislation proposal to avoid new scandals and to recover investors’ confidence. This act is well known as the Sarbanes Oxley Act or SOx. This act contains legislation for public companies boards and public companies’ accountants firms. Important sections of SOx are section 203 and 401; the first section requires audit firms to rotate the lead audit partner of an issuer every 5 year and section 401 prohibits the provision of loans to executive officers.</w:t>
      </w:r>
    </w:p>
    <w:p w:rsidR="007C7F32" w:rsidRPr="00B97064" w:rsidRDefault="007C7F32" w:rsidP="000D51F4">
      <w:pPr>
        <w:rPr>
          <w:lang w:val="en-GB"/>
        </w:rPr>
      </w:pPr>
    </w:p>
    <w:p w:rsidR="007C7F32" w:rsidRPr="00B97064" w:rsidRDefault="007C7F32" w:rsidP="00434A47">
      <w:pPr>
        <w:rPr>
          <w:lang w:val="en-GB"/>
        </w:rPr>
      </w:pPr>
      <w:r w:rsidRPr="00B97064">
        <w:rPr>
          <w:lang w:val="en-GB"/>
        </w:rPr>
        <w:t>Dutch listed companies have the abili</w:t>
      </w:r>
      <w:r w:rsidR="008B2F8B" w:rsidRPr="00B97064">
        <w:rPr>
          <w:lang w:val="en-GB"/>
        </w:rPr>
        <w:t>ty to trade their shares on a U</w:t>
      </w:r>
      <w:r w:rsidRPr="00B97064">
        <w:rPr>
          <w:lang w:val="en-GB"/>
        </w:rPr>
        <w:t>S stock exchange. The shares of those foreign companies are represented by American Depositary Rece</w:t>
      </w:r>
      <w:r w:rsidR="008B2F8B" w:rsidRPr="00B97064">
        <w:rPr>
          <w:lang w:val="en-GB"/>
        </w:rPr>
        <w:t>ipts (ADRs). Those ADRs allow U</w:t>
      </w:r>
      <w:r w:rsidRPr="00B97064">
        <w:rPr>
          <w:lang w:val="en-GB"/>
        </w:rPr>
        <w:t>S investors to buy for example securities of Dutch listed companies, without bearing currency risk. There are different types of ADRs; level I ADRs (which allows foreign firms to trade their shares over the counter</w:t>
      </w:r>
      <w:r w:rsidRPr="00B97064">
        <w:rPr>
          <w:rStyle w:val="FootnoteReference"/>
          <w:lang w:val="en-GB"/>
        </w:rPr>
        <w:footnoteReference w:id="11"/>
      </w:r>
      <w:r w:rsidRPr="00B97064">
        <w:rPr>
          <w:lang w:val="en-GB"/>
        </w:rPr>
        <w:t>), level II ADRs (which allo</w:t>
      </w:r>
      <w:r w:rsidR="008B2F8B" w:rsidRPr="00B97064">
        <w:rPr>
          <w:lang w:val="en-GB"/>
        </w:rPr>
        <w:t>ws foreign firms to list on a U</w:t>
      </w:r>
      <w:r w:rsidRPr="00B97064">
        <w:rPr>
          <w:lang w:val="en-GB"/>
        </w:rPr>
        <w:t>S stock exchange) and level III ADRs (which allows foreign f</w:t>
      </w:r>
      <w:r w:rsidR="008B2F8B" w:rsidRPr="00B97064">
        <w:rPr>
          <w:lang w:val="en-GB"/>
        </w:rPr>
        <w:t>irms to issue shares in the US</w:t>
      </w:r>
      <w:r w:rsidRPr="00B97064">
        <w:rPr>
          <w:lang w:val="en-GB"/>
        </w:rPr>
        <w:t>). The higher the ADR level, the more SEC requirements the firm must meet.</w:t>
      </w:r>
    </w:p>
    <w:p w:rsidR="007C7F32" w:rsidRPr="00B97064" w:rsidRDefault="007C7F32" w:rsidP="000D51F4">
      <w:pPr>
        <w:rPr>
          <w:lang w:val="en-GB"/>
        </w:rPr>
      </w:pPr>
    </w:p>
    <w:p w:rsidR="007C7F32" w:rsidRPr="00B97064" w:rsidRDefault="007C7F32" w:rsidP="00540B05">
      <w:pPr>
        <w:rPr>
          <w:rFonts w:cs="Arial"/>
          <w:lang w:val="en-GB"/>
        </w:rPr>
      </w:pPr>
      <w:r w:rsidRPr="00B97064">
        <w:rPr>
          <w:lang w:val="en-GB"/>
        </w:rPr>
        <w:t>Level I ADRs need not to be registered at the SEC or report in according to US GAAP. Level II &amp; III ADRs must file a SEC registration form and must comply with SEC regulation, including SOx. In addition, t</w:t>
      </w:r>
      <w:r w:rsidR="008B2F8B" w:rsidRPr="00B97064">
        <w:rPr>
          <w:lang w:val="en-GB"/>
        </w:rPr>
        <w:t>he SEC requires those foreign U</w:t>
      </w:r>
      <w:r w:rsidRPr="00B97064">
        <w:rPr>
          <w:lang w:val="en-GB"/>
        </w:rPr>
        <w:t>S listed companies to file an annual report in Form 20-F (foreign company form) (Fitzgerald et al., 2009). So, Dutch listed firms with a second listing in the USA are required to file their annual report this way. In principle, firm’s which are listed in the USA should file an annual report in accordance with US GAAP. However, foreign firms may also file an annual report based on IFRS, but those firms should add a reconciliation statement, which highlights the material differences with US GAAP and its impact on equity en profit (</w:t>
      </w:r>
      <w:r w:rsidRPr="00B97064">
        <w:rPr>
          <w:rFonts w:cs="Arial"/>
          <w:lang w:val="en-GB"/>
        </w:rPr>
        <w:t>Bakker &amp; Vergoossen, 2004).</w:t>
      </w:r>
    </w:p>
    <w:p w:rsidR="007C7F32" w:rsidRPr="00B97064" w:rsidRDefault="007C7F32" w:rsidP="0060723E">
      <w:pPr>
        <w:pStyle w:val="Heading2"/>
        <w:rPr>
          <w:lang w:val="en-GB"/>
        </w:rPr>
      </w:pPr>
      <w:bookmarkStart w:id="29" w:name="_Toc349585463"/>
      <w:r w:rsidRPr="00B97064">
        <w:rPr>
          <w:lang w:val="en-GB"/>
        </w:rPr>
        <w:t>2.3 Related Party Transactions</w:t>
      </w:r>
      <w:bookmarkEnd w:id="29"/>
    </w:p>
    <w:p w:rsidR="007C7F32" w:rsidRPr="00B97064" w:rsidRDefault="007C7F32" w:rsidP="00A36CD7">
      <w:pPr>
        <w:rPr>
          <w:lang w:val="en-GB"/>
        </w:rPr>
      </w:pPr>
      <w:r w:rsidRPr="00B97064">
        <w:rPr>
          <w:lang w:val="en-GB"/>
        </w:rPr>
        <w:t xml:space="preserve">In this section, the specific legislation in the field of RPTs is discussed. IAS 24 is explained, </w:t>
      </w:r>
      <w:r w:rsidRPr="00B97064">
        <w:rPr>
          <w:lang w:val="en-GB"/>
        </w:rPr>
        <w:lastRenderedPageBreak/>
        <w:t xml:space="preserve">as well as RJ 330, the standard regarding RPTs of the Dutch Accounting Standard Board (DASB, in Dutch ‘ Raad voor de Jaarverslaggeving’ (RJ)). Besides this, the principles concerning RPTs of the Dutch </w:t>
      </w:r>
      <w:r w:rsidR="00F44576" w:rsidRPr="00B97064">
        <w:rPr>
          <w:lang w:val="en-GB"/>
        </w:rPr>
        <w:t>c</w:t>
      </w:r>
      <w:r w:rsidRPr="00B97064">
        <w:rPr>
          <w:lang w:val="en-GB"/>
        </w:rPr>
        <w:t xml:space="preserve">orporate </w:t>
      </w:r>
      <w:r w:rsidR="00F44576" w:rsidRPr="00B97064">
        <w:rPr>
          <w:lang w:val="en-GB"/>
        </w:rPr>
        <w:t>g</w:t>
      </w:r>
      <w:r w:rsidRPr="00B97064">
        <w:rPr>
          <w:lang w:val="en-GB"/>
        </w:rPr>
        <w:t xml:space="preserve">overnance </w:t>
      </w:r>
      <w:r w:rsidR="00F44576" w:rsidRPr="00B97064">
        <w:rPr>
          <w:lang w:val="en-GB"/>
        </w:rPr>
        <w:t>c</w:t>
      </w:r>
      <w:r w:rsidRPr="00B97064">
        <w:rPr>
          <w:lang w:val="en-GB"/>
        </w:rPr>
        <w:t>ode are discussed. Finally, some international tax regulations regarding RPTs are explained.</w:t>
      </w:r>
    </w:p>
    <w:p w:rsidR="007C7F32" w:rsidRPr="00B97064" w:rsidRDefault="007C7F32" w:rsidP="00A36CD7">
      <w:pPr>
        <w:rPr>
          <w:lang w:val="en-GB"/>
        </w:rPr>
      </w:pPr>
    </w:p>
    <w:p w:rsidR="007C7F32" w:rsidRPr="00B97064" w:rsidRDefault="007C7F32" w:rsidP="00F60366">
      <w:pPr>
        <w:rPr>
          <w:rFonts w:cs="Arial"/>
          <w:szCs w:val="22"/>
          <w:lang w:val="en-GB"/>
        </w:rPr>
      </w:pPr>
      <w:r w:rsidRPr="00B97064">
        <w:rPr>
          <w:rFonts w:cs="Arial"/>
          <w:i/>
          <w:szCs w:val="22"/>
          <w:lang w:val="en-GB"/>
        </w:rPr>
        <w:t>“A Related Party Transaction is a transfer of resources or obligations between related parties, regardless of whether a price is charged”</w:t>
      </w:r>
      <w:r w:rsidRPr="00B97064">
        <w:rPr>
          <w:rFonts w:cs="Arial"/>
          <w:szCs w:val="22"/>
          <w:lang w:val="en-GB"/>
        </w:rPr>
        <w:t xml:space="preserve"> (IAS 24.9). Examples of those kinds of transactions are the sales or purchases of assets, direct or contract services and the provisions of loans. The essential point of these transactions is the fact that they should take place between related parties. Related parties are for example the main shareholder, a member of the board of directors or an affiliated company. The difference between a ‘normal’ transaction and a RPT is the connection between the two parties which are involved; because the parties are related, the determined price</w:t>
      </w:r>
      <w:r w:rsidR="00F44576" w:rsidRPr="00B97064">
        <w:rPr>
          <w:rFonts w:cs="Arial"/>
          <w:szCs w:val="22"/>
          <w:lang w:val="en-GB"/>
        </w:rPr>
        <w:t xml:space="preserve"> or other conditions may not be at arm’s length.</w:t>
      </w:r>
    </w:p>
    <w:p w:rsidR="007C7F32" w:rsidRPr="00B97064" w:rsidRDefault="007C7F32" w:rsidP="00F60366">
      <w:pPr>
        <w:rPr>
          <w:rFonts w:cs="Arial"/>
          <w:szCs w:val="22"/>
          <w:lang w:val="en-GB"/>
        </w:rPr>
      </w:pPr>
    </w:p>
    <w:p w:rsidR="007C7F32" w:rsidRPr="00B97064" w:rsidRDefault="007C7F32" w:rsidP="00F60366">
      <w:pPr>
        <w:rPr>
          <w:rFonts w:cs="Arial"/>
          <w:szCs w:val="22"/>
          <w:lang w:val="en-GB"/>
        </w:rPr>
      </w:pPr>
      <w:r w:rsidRPr="00B97064">
        <w:rPr>
          <w:rFonts w:cs="Arial"/>
          <w:szCs w:val="22"/>
          <w:lang w:val="en-GB"/>
        </w:rPr>
        <w:t>Different motives could be given for a non-arm’s length price. One important motive could be a tax motive; firms manage earnings to obtain a lower tax rate or carry back/ carry forward losses. This reason for non-arm’s length pricing is because it is beneficial to the firm. However, tax authorities try to prevent this; non-arm’s length pricing erodes the tax base of countries, because profits leak to tax havens. Besides tax motives, there could be other motives for non-arm’s length pricing. Another motive could be the enrichment of the controlling shareholder/ board member(s). This leads to the enrichment of controlling shareholder / board member at the cost of the firms a</w:t>
      </w:r>
      <w:r w:rsidR="00F44576" w:rsidRPr="00B97064">
        <w:rPr>
          <w:rFonts w:cs="Arial"/>
          <w:szCs w:val="22"/>
          <w:lang w:val="en-GB"/>
        </w:rPr>
        <w:t>nd ultimately all shareholders.</w:t>
      </w:r>
    </w:p>
    <w:p w:rsidR="007C7F32" w:rsidRPr="00B97064" w:rsidRDefault="007C7F32" w:rsidP="00F60366">
      <w:pPr>
        <w:rPr>
          <w:rFonts w:cs="Arial"/>
          <w:szCs w:val="22"/>
          <w:lang w:val="en-GB"/>
        </w:rPr>
      </w:pPr>
    </w:p>
    <w:p w:rsidR="007C7F32" w:rsidRPr="00B97064" w:rsidRDefault="007C7F32" w:rsidP="00F60366">
      <w:pPr>
        <w:rPr>
          <w:rFonts w:cs="Arial"/>
          <w:szCs w:val="22"/>
          <w:lang w:val="en-GB"/>
        </w:rPr>
      </w:pPr>
      <w:r w:rsidRPr="00B97064">
        <w:rPr>
          <w:rFonts w:cs="Arial"/>
          <w:szCs w:val="22"/>
          <w:lang w:val="en-GB"/>
        </w:rPr>
        <w:t>RPTs seem to be always negative for a firm. However, related party transactions could also be based on legitimate grounds, on pure commercial reasons. It could fulfil a firms’ demand</w:t>
      </w:r>
      <w:r w:rsidR="00F44576" w:rsidRPr="00B97064">
        <w:rPr>
          <w:rFonts w:cs="Arial"/>
          <w:szCs w:val="22"/>
          <w:lang w:val="en-GB"/>
        </w:rPr>
        <w:t>,</w:t>
      </w:r>
      <w:r w:rsidRPr="00B97064">
        <w:rPr>
          <w:rFonts w:cs="Arial"/>
          <w:szCs w:val="22"/>
          <w:lang w:val="en-GB"/>
        </w:rPr>
        <w:t xml:space="preserve"> for example by the purchasing of knowledge or specific skills.</w:t>
      </w:r>
    </w:p>
    <w:p w:rsidR="007C7F32" w:rsidRPr="00B97064" w:rsidRDefault="007C7F32" w:rsidP="00F60366">
      <w:pPr>
        <w:rPr>
          <w:rFonts w:cs="Arial"/>
          <w:szCs w:val="22"/>
          <w:lang w:val="en-GB"/>
        </w:rPr>
      </w:pPr>
    </w:p>
    <w:p w:rsidR="007C7F32" w:rsidRPr="00B97064" w:rsidRDefault="007C7F32" w:rsidP="00F60366">
      <w:pPr>
        <w:rPr>
          <w:rFonts w:cs="Arial"/>
          <w:szCs w:val="22"/>
          <w:lang w:val="en-GB"/>
        </w:rPr>
      </w:pPr>
      <w:r w:rsidRPr="00B97064">
        <w:rPr>
          <w:rFonts w:cs="Arial"/>
          <w:szCs w:val="22"/>
          <w:lang w:val="en-GB"/>
        </w:rPr>
        <w:t>A transaction between third parties should always be assumed as an arms’ length transaction, since those parties have no reason to benefit the other party to the detriment of themselves. IAS 24 is completely devoted to related party disclosure. Also Dutch GAAP contains regul</w:t>
      </w:r>
      <w:r w:rsidR="008B2F8B" w:rsidRPr="00B97064">
        <w:rPr>
          <w:rFonts w:cs="Arial"/>
          <w:szCs w:val="22"/>
          <w:lang w:val="en-GB"/>
        </w:rPr>
        <w:t>ations about disclosure of RPTs;</w:t>
      </w:r>
      <w:r w:rsidR="00F44576" w:rsidRPr="00B97064">
        <w:rPr>
          <w:rFonts w:cs="Arial"/>
          <w:szCs w:val="22"/>
          <w:lang w:val="en-GB"/>
        </w:rPr>
        <w:t xml:space="preserve"> this is given in RJ 330.</w:t>
      </w:r>
    </w:p>
    <w:p w:rsidR="007C7F32" w:rsidRPr="00B97064" w:rsidRDefault="007C7F32" w:rsidP="00C90C21">
      <w:pPr>
        <w:pStyle w:val="Heading3"/>
        <w:rPr>
          <w:lang w:val="en-GB"/>
        </w:rPr>
      </w:pPr>
      <w:bookmarkStart w:id="30" w:name="_Toc349585464"/>
      <w:r w:rsidRPr="00B97064">
        <w:rPr>
          <w:lang w:val="en-GB"/>
        </w:rPr>
        <w:t>2.3.1 IAS 24 and RJ 300</w:t>
      </w:r>
      <w:bookmarkEnd w:id="30"/>
    </w:p>
    <w:p w:rsidR="007C7F32" w:rsidRPr="00B97064" w:rsidRDefault="007C7F32" w:rsidP="00AE3B6E">
      <w:pPr>
        <w:rPr>
          <w:rFonts w:cs="Arial"/>
          <w:szCs w:val="22"/>
          <w:lang w:val="en-GB"/>
        </w:rPr>
      </w:pPr>
      <w:r w:rsidRPr="00B97064">
        <w:rPr>
          <w:lang w:val="en-GB"/>
        </w:rPr>
        <w:t>In March 1983, the IASC issued Exposure Draft E25. This Exposure Draft resulted in IAS 24, which came into force at January 1</w:t>
      </w:r>
      <w:r w:rsidRPr="00B97064">
        <w:rPr>
          <w:vertAlign w:val="superscript"/>
          <w:lang w:val="en-GB"/>
        </w:rPr>
        <w:t>st</w:t>
      </w:r>
      <w:r w:rsidRPr="00B97064">
        <w:rPr>
          <w:lang w:val="en-GB"/>
        </w:rPr>
        <w:t xml:space="preserve"> 1986. The IASB adopted this standard in 2001.</w:t>
      </w:r>
      <w:r w:rsidRPr="00B97064">
        <w:rPr>
          <w:rFonts w:cs="Arial"/>
          <w:szCs w:val="22"/>
          <w:lang w:val="en-GB"/>
        </w:rPr>
        <w:t xml:space="preserve"> The standard was revised two times. </w:t>
      </w:r>
      <w:r w:rsidRPr="00B97064">
        <w:rPr>
          <w:lang w:val="en-GB"/>
        </w:rPr>
        <w:t xml:space="preserve">In 2003, the IASB issued an updated version, which came </w:t>
      </w:r>
      <w:r w:rsidRPr="00B97064">
        <w:rPr>
          <w:lang w:val="en-GB"/>
        </w:rPr>
        <w:lastRenderedPageBreak/>
        <w:t>effective on January 1</w:t>
      </w:r>
      <w:r w:rsidRPr="00B97064">
        <w:rPr>
          <w:vertAlign w:val="superscript"/>
          <w:lang w:val="en-GB"/>
        </w:rPr>
        <w:t>st</w:t>
      </w:r>
      <w:r w:rsidRPr="00B97064">
        <w:rPr>
          <w:lang w:val="en-GB"/>
        </w:rPr>
        <w:t xml:space="preserve"> 2005. This update was a modification of the disclosure requirements of management compensation, disclosure requirements in separate financial statements, and disclosure requirements for government related entities. The latest updated version (2009) came into effect on January 1</w:t>
      </w:r>
      <w:r w:rsidRPr="00B97064">
        <w:rPr>
          <w:vertAlign w:val="superscript"/>
          <w:lang w:val="en-GB"/>
        </w:rPr>
        <w:t>st</w:t>
      </w:r>
      <w:r w:rsidRPr="00B97064">
        <w:rPr>
          <w:lang w:val="en-GB"/>
        </w:rPr>
        <w:t xml:space="preserve"> 2011 which simplifies the definition of RPT’s</w:t>
      </w:r>
      <w:r w:rsidR="0025637F" w:rsidRPr="00B97064">
        <w:rPr>
          <w:lang w:val="en-GB"/>
        </w:rPr>
        <w:t xml:space="preserve"> and</w:t>
      </w:r>
      <w:r w:rsidRPr="00B97064">
        <w:rPr>
          <w:lang w:val="en-GB"/>
        </w:rPr>
        <w:t xml:space="preserve"> </w:t>
      </w:r>
      <w:r w:rsidRPr="00B97064">
        <w:rPr>
          <w:rFonts w:cs="Arial"/>
          <w:szCs w:val="22"/>
          <w:lang w:val="en-GB"/>
        </w:rPr>
        <w:t xml:space="preserve">provided some partial exceptions for some government-related entities. </w:t>
      </w:r>
    </w:p>
    <w:p w:rsidR="007C7F32" w:rsidRPr="00B97064" w:rsidRDefault="007C7F32" w:rsidP="00AE3B6E">
      <w:pPr>
        <w:rPr>
          <w:rFonts w:cs="Arial"/>
          <w:szCs w:val="22"/>
          <w:lang w:val="en-GB"/>
        </w:rPr>
      </w:pPr>
    </w:p>
    <w:p w:rsidR="007C7F32" w:rsidRPr="00B97064" w:rsidRDefault="007C7F32" w:rsidP="00AE3B6E">
      <w:pPr>
        <w:rPr>
          <w:rFonts w:cs="Arial"/>
          <w:szCs w:val="22"/>
          <w:lang w:val="en-GB"/>
        </w:rPr>
      </w:pPr>
      <w:r w:rsidRPr="00B97064">
        <w:rPr>
          <w:lang w:val="en-GB"/>
        </w:rPr>
        <w:t xml:space="preserve">The aim of IAS 24 is to </w:t>
      </w:r>
      <w:r w:rsidR="00810215" w:rsidRPr="00B97064">
        <w:rPr>
          <w:lang w:val="en-GB"/>
        </w:rPr>
        <w:t>ensure that</w:t>
      </w:r>
      <w:r w:rsidRPr="00B97064">
        <w:rPr>
          <w:lang w:val="en-GB"/>
        </w:rPr>
        <w:t xml:space="preserve"> financial statements contain information about related party transactions. It may be that those transactions negatively affect the financial position of a company. </w:t>
      </w:r>
      <w:r w:rsidRPr="00B97064">
        <w:rPr>
          <w:rFonts w:cs="Arial"/>
          <w:szCs w:val="22"/>
          <w:lang w:val="en-GB"/>
        </w:rPr>
        <w:t>The standard contains definitions of a related party transactions as well as de definition of a related party. The last one is quite extensive.</w:t>
      </w:r>
    </w:p>
    <w:p w:rsidR="007C7F32" w:rsidRPr="00B97064" w:rsidRDefault="007C7F32" w:rsidP="00AE3B6E">
      <w:pPr>
        <w:rPr>
          <w:rFonts w:cs="Arial"/>
          <w:szCs w:val="22"/>
          <w:lang w:val="en-GB"/>
        </w:rPr>
      </w:pPr>
    </w:p>
    <w:p w:rsidR="007C7F32" w:rsidRPr="00B97064" w:rsidRDefault="007C7F32" w:rsidP="00AE3B6E">
      <w:pPr>
        <w:rPr>
          <w:rFonts w:cs="Arial"/>
          <w:szCs w:val="22"/>
          <w:lang w:val="en-GB"/>
        </w:rPr>
      </w:pPr>
      <w:r w:rsidRPr="00B97064">
        <w:rPr>
          <w:rFonts w:cs="Arial"/>
          <w:szCs w:val="22"/>
          <w:lang w:val="en-GB"/>
        </w:rPr>
        <w:t>A related party of the reporting entities is defined as a person or entity that:</w:t>
      </w:r>
    </w:p>
    <w:p w:rsidR="007C7F32" w:rsidRPr="00B97064" w:rsidRDefault="007C7F32" w:rsidP="00C140CF">
      <w:pPr>
        <w:numPr>
          <w:ilvl w:val="0"/>
          <w:numId w:val="27"/>
        </w:numPr>
        <w:rPr>
          <w:rFonts w:cs="Arial"/>
          <w:szCs w:val="22"/>
          <w:lang w:val="en-GB"/>
        </w:rPr>
      </w:pPr>
      <w:r w:rsidRPr="00B97064">
        <w:rPr>
          <w:rFonts w:cs="Arial"/>
          <w:szCs w:val="22"/>
          <w:lang w:val="en-GB"/>
        </w:rPr>
        <w:t>has control or joint control (&gt; 50%) over the reporting entity;</w:t>
      </w:r>
    </w:p>
    <w:p w:rsidR="007C7F32" w:rsidRPr="00B97064" w:rsidRDefault="007C7F32" w:rsidP="00C140CF">
      <w:pPr>
        <w:numPr>
          <w:ilvl w:val="0"/>
          <w:numId w:val="28"/>
        </w:numPr>
        <w:rPr>
          <w:rFonts w:cs="Arial"/>
          <w:szCs w:val="22"/>
          <w:lang w:val="en-GB"/>
        </w:rPr>
      </w:pPr>
      <w:r w:rsidRPr="00B97064">
        <w:rPr>
          <w:rFonts w:cs="Arial"/>
          <w:szCs w:val="22"/>
          <w:lang w:val="en-GB"/>
        </w:rPr>
        <w:t>has significant influence (20% &lt; 50%) over the reporting entity or its related entity;</w:t>
      </w:r>
    </w:p>
    <w:p w:rsidR="007C7F32" w:rsidRPr="00B97064" w:rsidRDefault="007C7F32" w:rsidP="00C140CF">
      <w:pPr>
        <w:numPr>
          <w:ilvl w:val="0"/>
          <w:numId w:val="29"/>
        </w:numPr>
        <w:rPr>
          <w:rFonts w:cs="Arial"/>
          <w:szCs w:val="22"/>
          <w:lang w:val="en-GB"/>
        </w:rPr>
      </w:pPr>
      <w:r w:rsidRPr="00B97064">
        <w:rPr>
          <w:rFonts w:cs="Arial"/>
          <w:szCs w:val="22"/>
          <w:lang w:val="en-GB"/>
        </w:rPr>
        <w:t>is a member of the key management personnel of the reporting entity or the parent entity, or of a related party;</w:t>
      </w:r>
    </w:p>
    <w:p w:rsidR="007C7F32" w:rsidRPr="00B97064" w:rsidRDefault="007C7F32" w:rsidP="00C140CF">
      <w:pPr>
        <w:numPr>
          <w:ilvl w:val="0"/>
          <w:numId w:val="30"/>
        </w:numPr>
        <w:rPr>
          <w:rFonts w:cs="Arial"/>
          <w:szCs w:val="22"/>
          <w:lang w:val="en-GB"/>
        </w:rPr>
      </w:pPr>
      <w:r w:rsidRPr="00B97064">
        <w:rPr>
          <w:rFonts w:cs="Arial"/>
          <w:szCs w:val="22"/>
          <w:lang w:val="en-GB"/>
        </w:rPr>
        <w:t>is part of the same group as the reporting entity;</w:t>
      </w:r>
    </w:p>
    <w:p w:rsidR="007C7F32" w:rsidRPr="00B97064" w:rsidRDefault="007C7F32" w:rsidP="00C140CF">
      <w:pPr>
        <w:numPr>
          <w:ilvl w:val="0"/>
          <w:numId w:val="31"/>
        </w:numPr>
        <w:rPr>
          <w:rFonts w:cs="Arial"/>
          <w:szCs w:val="22"/>
          <w:lang w:val="en-GB"/>
        </w:rPr>
      </w:pPr>
      <w:r w:rsidRPr="00B97064">
        <w:rPr>
          <w:rFonts w:cs="Arial"/>
          <w:szCs w:val="22"/>
          <w:lang w:val="en-GB"/>
        </w:rPr>
        <w:t>is an associated entity of the reporting entity;</w:t>
      </w:r>
    </w:p>
    <w:p w:rsidR="007C7F32" w:rsidRPr="00B97064" w:rsidRDefault="007C7F32" w:rsidP="00C140CF">
      <w:pPr>
        <w:numPr>
          <w:ilvl w:val="0"/>
          <w:numId w:val="32"/>
        </w:numPr>
        <w:rPr>
          <w:rFonts w:cs="Arial"/>
          <w:szCs w:val="22"/>
          <w:lang w:val="en-GB"/>
        </w:rPr>
      </w:pPr>
      <w:r w:rsidRPr="00B97064">
        <w:rPr>
          <w:rFonts w:cs="Arial"/>
          <w:szCs w:val="22"/>
          <w:lang w:val="en-GB"/>
        </w:rPr>
        <w:t>is a joint venture of the reporting entity (or vice versa) or the reporting entity as well as the other entity are a joint ventures of the same third party;</w:t>
      </w:r>
    </w:p>
    <w:p w:rsidR="007C7F32" w:rsidRPr="00B97064" w:rsidRDefault="007C7F32" w:rsidP="00C140CF">
      <w:pPr>
        <w:numPr>
          <w:ilvl w:val="0"/>
          <w:numId w:val="33"/>
        </w:numPr>
        <w:rPr>
          <w:rFonts w:cs="Arial"/>
          <w:szCs w:val="22"/>
          <w:lang w:val="en-GB"/>
        </w:rPr>
      </w:pPr>
      <w:r w:rsidRPr="00B97064">
        <w:rPr>
          <w:rFonts w:cs="Arial"/>
          <w:szCs w:val="22"/>
          <w:lang w:val="en-GB"/>
        </w:rPr>
        <w:t>is a post-employment benefit plan for employees of the reporting entity or related parties;</w:t>
      </w:r>
    </w:p>
    <w:p w:rsidR="007C7F32" w:rsidRPr="00B97064" w:rsidRDefault="007C7F32" w:rsidP="00C140CF">
      <w:pPr>
        <w:numPr>
          <w:ilvl w:val="0"/>
          <w:numId w:val="34"/>
        </w:numPr>
        <w:rPr>
          <w:rFonts w:cs="Arial"/>
          <w:szCs w:val="22"/>
          <w:lang w:val="en-GB"/>
        </w:rPr>
      </w:pPr>
      <w:r w:rsidRPr="00B97064">
        <w:rPr>
          <w:rFonts w:cs="Arial"/>
          <w:szCs w:val="22"/>
          <w:lang w:val="en-GB"/>
        </w:rPr>
        <w:t>is controlled or jointly controlled by a related person of the reporting entity (IAS 24.9).</w:t>
      </w:r>
    </w:p>
    <w:p w:rsidR="007C7F32" w:rsidRPr="00B97064" w:rsidRDefault="007C7F32" w:rsidP="00B338EA">
      <w:pPr>
        <w:rPr>
          <w:rFonts w:cs="Arial"/>
          <w:szCs w:val="22"/>
          <w:lang w:val="en-GB"/>
        </w:rPr>
      </w:pPr>
      <w:r w:rsidRPr="00B97064">
        <w:rPr>
          <w:rFonts w:cs="Arial"/>
          <w:szCs w:val="22"/>
          <w:lang w:val="en-GB"/>
        </w:rPr>
        <w:t xml:space="preserve">However, two parties which have a shared joint venture or two parties which have the same key management member or a key member who has significant influence over the other entity are not characterized </w:t>
      </w:r>
      <w:r w:rsidR="004D6488" w:rsidRPr="00B97064">
        <w:rPr>
          <w:rFonts w:cs="Arial"/>
          <w:szCs w:val="22"/>
          <w:lang w:val="en-GB"/>
        </w:rPr>
        <w:t>as related parties (IAS 24.11).</w:t>
      </w:r>
    </w:p>
    <w:p w:rsidR="007C7F32" w:rsidRPr="00B97064" w:rsidRDefault="007C7F32" w:rsidP="00B338EA">
      <w:pPr>
        <w:rPr>
          <w:rFonts w:cs="Arial"/>
          <w:szCs w:val="22"/>
          <w:lang w:val="en-GB"/>
        </w:rPr>
      </w:pPr>
    </w:p>
    <w:p w:rsidR="007C7F32" w:rsidRPr="00B97064" w:rsidRDefault="007C7F32" w:rsidP="00AE3B6E">
      <w:pPr>
        <w:rPr>
          <w:rFonts w:cs="Arial"/>
          <w:i/>
          <w:szCs w:val="22"/>
          <w:lang w:val="en-GB"/>
        </w:rPr>
      </w:pPr>
      <w:r w:rsidRPr="00B97064">
        <w:rPr>
          <w:rFonts w:cs="Arial"/>
          <w:szCs w:val="22"/>
          <w:lang w:val="en-GB"/>
        </w:rPr>
        <w:t>Based on IAS 24.13, entities are required to disclose information about the relation with related parties (regardless whether RPTs have taken place with those related parties). The name of the parent and (if different) the controlling party should be disclosed. In case transactions have taken place between the entity and the related party</w:t>
      </w:r>
      <w:r w:rsidR="004D6488" w:rsidRPr="00B97064">
        <w:rPr>
          <w:rFonts w:cs="Arial"/>
          <w:szCs w:val="22"/>
          <w:lang w:val="en-GB"/>
        </w:rPr>
        <w:t>,</w:t>
      </w:r>
      <w:r w:rsidRPr="00B97064">
        <w:rPr>
          <w:rFonts w:cs="Arial"/>
          <w:szCs w:val="22"/>
          <w:lang w:val="en-GB"/>
        </w:rPr>
        <w:t xml:space="preserve"> additional information should be included in the disclosure. </w:t>
      </w:r>
      <w:r w:rsidRPr="00B97064">
        <w:rPr>
          <w:rFonts w:cs="Arial"/>
          <w:i/>
          <w:szCs w:val="22"/>
          <w:lang w:val="en-GB"/>
        </w:rPr>
        <w:t>“At a minimum, disclosures shall include:</w:t>
      </w:r>
    </w:p>
    <w:p w:rsidR="007C7F32" w:rsidRPr="00B97064" w:rsidRDefault="007C7F32" w:rsidP="00C140CF">
      <w:pPr>
        <w:numPr>
          <w:ilvl w:val="0"/>
          <w:numId w:val="6"/>
        </w:numPr>
        <w:rPr>
          <w:rFonts w:cs="Arial"/>
          <w:i/>
          <w:szCs w:val="22"/>
          <w:lang w:val="en-GB"/>
        </w:rPr>
      </w:pPr>
      <w:r w:rsidRPr="00B97064">
        <w:rPr>
          <w:rFonts w:cs="Arial"/>
          <w:i/>
          <w:szCs w:val="22"/>
          <w:lang w:val="en-GB"/>
        </w:rPr>
        <w:t>the amount of the transactions;</w:t>
      </w:r>
    </w:p>
    <w:p w:rsidR="007C7F32" w:rsidRPr="00B97064" w:rsidRDefault="007C7F32" w:rsidP="00C140CF">
      <w:pPr>
        <w:numPr>
          <w:ilvl w:val="0"/>
          <w:numId w:val="6"/>
        </w:numPr>
        <w:rPr>
          <w:rFonts w:cs="Arial"/>
          <w:i/>
          <w:szCs w:val="22"/>
          <w:lang w:val="en-GB"/>
        </w:rPr>
      </w:pPr>
      <w:r w:rsidRPr="00B97064">
        <w:rPr>
          <w:rFonts w:cs="Arial"/>
          <w:i/>
          <w:szCs w:val="22"/>
          <w:lang w:val="en-GB"/>
        </w:rPr>
        <w:t>the amount of outstanding balances, including commitments and:</w:t>
      </w:r>
    </w:p>
    <w:p w:rsidR="007C7F32" w:rsidRPr="00B97064" w:rsidRDefault="007C7F32" w:rsidP="00C140CF">
      <w:pPr>
        <w:numPr>
          <w:ilvl w:val="1"/>
          <w:numId w:val="6"/>
        </w:numPr>
        <w:rPr>
          <w:rFonts w:cs="Arial"/>
          <w:i/>
          <w:szCs w:val="22"/>
          <w:lang w:val="en-GB"/>
        </w:rPr>
      </w:pPr>
      <w:r w:rsidRPr="00B97064">
        <w:rPr>
          <w:rFonts w:cs="Arial"/>
          <w:i/>
          <w:szCs w:val="22"/>
          <w:lang w:val="en-GB"/>
        </w:rPr>
        <w:t>their terms and conditions, including whether they are secured, and the nature of the consideration to be provided in settlement; and</w:t>
      </w:r>
    </w:p>
    <w:p w:rsidR="007C7F32" w:rsidRPr="00B97064" w:rsidRDefault="007C7F32" w:rsidP="00C140CF">
      <w:pPr>
        <w:numPr>
          <w:ilvl w:val="1"/>
          <w:numId w:val="6"/>
        </w:numPr>
        <w:rPr>
          <w:rFonts w:cs="Arial"/>
          <w:i/>
          <w:szCs w:val="22"/>
          <w:lang w:val="en-GB"/>
        </w:rPr>
      </w:pPr>
      <w:r w:rsidRPr="00B97064">
        <w:rPr>
          <w:rFonts w:cs="Arial"/>
          <w:i/>
          <w:szCs w:val="22"/>
          <w:lang w:val="en-GB"/>
        </w:rPr>
        <w:lastRenderedPageBreak/>
        <w:t>details of any guarantees given or received;</w:t>
      </w:r>
    </w:p>
    <w:p w:rsidR="007C7F32" w:rsidRPr="00B97064" w:rsidRDefault="007C7F32" w:rsidP="00C140CF">
      <w:pPr>
        <w:numPr>
          <w:ilvl w:val="0"/>
          <w:numId w:val="6"/>
        </w:numPr>
        <w:rPr>
          <w:rFonts w:cs="Arial"/>
          <w:i/>
          <w:szCs w:val="22"/>
          <w:lang w:val="en-GB"/>
        </w:rPr>
      </w:pPr>
      <w:r w:rsidRPr="00B97064">
        <w:rPr>
          <w:rFonts w:cs="Arial"/>
          <w:i/>
          <w:szCs w:val="22"/>
          <w:lang w:val="en-GB"/>
        </w:rPr>
        <w:t>provisions for doubtful debts related to the amount of outstanding balances; and</w:t>
      </w:r>
    </w:p>
    <w:p w:rsidR="007C7F32" w:rsidRPr="00B97064" w:rsidRDefault="007C7F32" w:rsidP="00C140CF">
      <w:pPr>
        <w:numPr>
          <w:ilvl w:val="0"/>
          <w:numId w:val="35"/>
        </w:numPr>
        <w:rPr>
          <w:rFonts w:cs="Arial"/>
          <w:szCs w:val="22"/>
          <w:lang w:val="en-GB"/>
        </w:rPr>
      </w:pPr>
      <w:r w:rsidRPr="00B97064">
        <w:rPr>
          <w:rFonts w:cs="Arial"/>
          <w:i/>
          <w:szCs w:val="22"/>
          <w:lang w:val="en-GB"/>
        </w:rPr>
        <w:t xml:space="preserve">the expense recognised during the period in respect of bad or doubtful debts due from related parties.” </w:t>
      </w:r>
      <w:r w:rsidRPr="00B97064">
        <w:rPr>
          <w:rFonts w:cs="Arial"/>
          <w:szCs w:val="22"/>
          <w:lang w:val="en-GB"/>
        </w:rPr>
        <w:t>(IAS 24.18).</w:t>
      </w:r>
    </w:p>
    <w:p w:rsidR="0025637F" w:rsidRPr="00B97064" w:rsidRDefault="0025637F" w:rsidP="0025637F">
      <w:pPr>
        <w:rPr>
          <w:rFonts w:cs="Arial"/>
          <w:szCs w:val="22"/>
          <w:lang w:val="en-GB"/>
        </w:rPr>
      </w:pPr>
    </w:p>
    <w:p w:rsidR="007C7F32" w:rsidRPr="00B97064" w:rsidRDefault="007C7F32" w:rsidP="00F169D3">
      <w:pPr>
        <w:rPr>
          <w:rFonts w:cs="Arial"/>
          <w:szCs w:val="22"/>
          <w:lang w:val="en-GB"/>
        </w:rPr>
      </w:pPr>
      <w:r w:rsidRPr="00B97064">
        <w:rPr>
          <w:rFonts w:cs="Arial"/>
          <w:szCs w:val="22"/>
          <w:lang w:val="en-GB"/>
        </w:rPr>
        <w:t>According to IAS 24.19, the information about RPT’s should be separated by different groups of related parties, like the parent, entities of joint control/significant influence, subsidiaries, associates, joint ventures, key management and other. In addition, the reporting entity should report the key management compensation in total and by category (</w:t>
      </w:r>
      <w:r w:rsidRPr="00B97064">
        <w:rPr>
          <w:rFonts w:cs="Arial"/>
          <w:lang w:val="en-GB"/>
        </w:rPr>
        <w:t>IAS 24.13-24.19)</w:t>
      </w:r>
      <w:r w:rsidRPr="00B97064">
        <w:rPr>
          <w:rFonts w:cs="Arial"/>
          <w:szCs w:val="22"/>
          <w:lang w:val="en-GB"/>
        </w:rPr>
        <w:t>. The information provided should enable the users of the financial report to analyse the effects of the RPT’s on the firm’s performance.</w:t>
      </w:r>
    </w:p>
    <w:p w:rsidR="007C7F32" w:rsidRPr="00B97064" w:rsidRDefault="007C7F32" w:rsidP="00AE3B6E">
      <w:pPr>
        <w:rPr>
          <w:rFonts w:cs="Arial"/>
          <w:szCs w:val="22"/>
          <w:lang w:val="en-GB"/>
        </w:rPr>
      </w:pPr>
    </w:p>
    <w:p w:rsidR="007C7F32" w:rsidRPr="00B97064" w:rsidRDefault="007C7F32" w:rsidP="00862B7C">
      <w:pPr>
        <w:rPr>
          <w:lang w:val="en-GB"/>
        </w:rPr>
      </w:pPr>
      <w:r w:rsidRPr="00B97064">
        <w:rPr>
          <w:lang w:val="en-GB"/>
        </w:rPr>
        <w:t>In the Netherlands, the Dutch Ac</w:t>
      </w:r>
      <w:r w:rsidR="00370E41">
        <w:rPr>
          <w:lang w:val="en-GB"/>
        </w:rPr>
        <w:t xml:space="preserve">counting Standard Board (DASB), </w:t>
      </w:r>
      <w:r w:rsidRPr="00B97064">
        <w:rPr>
          <w:lang w:val="en-GB"/>
        </w:rPr>
        <w:t>develops accounting guidelines, which are applicable for small, medium and large unlisted companies. Before the EU requirements for listed firms came into effect in 2005, those guidelines were also applicable for Dutch listed companies. The RJ guidelines have officially no legal status, but the guidelines are generally accepted accounting principles (GAAP). RJ 330 is the Dutch guideline on the reporting on RPTs. IAS 24 and RJ 300 are broadly similar.</w:t>
      </w:r>
    </w:p>
    <w:p w:rsidR="007C7F32" w:rsidRPr="00B97064" w:rsidRDefault="007C7F32" w:rsidP="00862B7C">
      <w:pPr>
        <w:rPr>
          <w:lang w:val="en-GB"/>
        </w:rPr>
      </w:pPr>
    </w:p>
    <w:p w:rsidR="007C7F32" w:rsidRPr="00B97064" w:rsidRDefault="007C7F32" w:rsidP="00862B7C">
      <w:pPr>
        <w:rPr>
          <w:rFonts w:cs="Arial"/>
          <w:szCs w:val="22"/>
          <w:lang w:val="en-GB"/>
        </w:rPr>
      </w:pPr>
      <w:r w:rsidRPr="00B97064">
        <w:rPr>
          <w:lang w:val="en-GB"/>
        </w:rPr>
        <w:t xml:space="preserve">However, in 2003, RJ 330 was formulated more generally. Under RJ 330 as well as under IAS 24, </w:t>
      </w:r>
      <w:r w:rsidRPr="00B97064">
        <w:rPr>
          <w:rFonts w:cs="Arial"/>
          <w:szCs w:val="22"/>
          <w:lang w:val="en-GB"/>
        </w:rPr>
        <w:t>entities were required to disclose information about the relation with related parties (regardless whether RPTs have taken place with those related parties). Under RJ 330, also a description of the type and nature of transactions had to be given. Furthermore, RJ 330-115 stated that: “</w:t>
      </w:r>
      <w:r w:rsidRPr="00B97064">
        <w:rPr>
          <w:rFonts w:cs="Arial"/>
          <w:i/>
          <w:szCs w:val="22"/>
          <w:lang w:val="en-GB"/>
        </w:rPr>
        <w:t xml:space="preserve">those elements of the transactions which are necessary for the understanding which must be given by the annual account”. </w:t>
      </w:r>
      <w:r w:rsidRPr="00B97064">
        <w:rPr>
          <w:rFonts w:cs="Arial"/>
          <w:szCs w:val="22"/>
          <w:lang w:val="en-GB"/>
        </w:rPr>
        <w:t xml:space="preserve">Some examples of elements are given, like the amount or percentage of the transactions, amounts of outstanding balances and the applied pricing policy. However, those elements are just elements which may be relevant. The requirements of IAS 24 are more stringent and clearer on this point. Besides this, RJ does not require individual financial statements to contain information on RPTs, in contrast to IAS 24.3. Based on RJ 330, entities are also not required to give information about the remuneration of directors (Van der Linden, 2009). However, this is a requirement under the Dutch civil code as mentioned in section </w:t>
      </w:r>
      <w:fldSimple w:instr=" REF _Ref328492869 \h  \* MERGEFORMAT ">
        <w:r w:rsidR="00944DD0" w:rsidRPr="00B97064">
          <w:rPr>
            <w:lang w:val="en-GB"/>
          </w:rPr>
          <w:t>2.2.5 Dutch civil code</w:t>
        </w:r>
      </w:fldSimple>
      <w:proofErr w:type="gramStart"/>
      <w:r w:rsidRPr="00B97064">
        <w:rPr>
          <w:rFonts w:cs="Arial"/>
          <w:szCs w:val="22"/>
          <w:lang w:val="en-GB"/>
        </w:rPr>
        <w:t>,</w:t>
      </w:r>
      <w:proofErr w:type="gramEnd"/>
      <w:r w:rsidRPr="00B97064">
        <w:rPr>
          <w:rFonts w:cs="Arial"/>
          <w:szCs w:val="22"/>
          <w:lang w:val="en-GB"/>
        </w:rPr>
        <w:t xml:space="preserve"> nevertheless, this information should be included in the annual report. The bottom line is that IAS 24 and RJ 330 are broadly similar, but IAS is more extensive. </w:t>
      </w:r>
      <w:r w:rsidR="006220B1" w:rsidRPr="00B97064">
        <w:rPr>
          <w:rFonts w:cs="Arial"/>
          <w:szCs w:val="22"/>
          <w:lang w:val="en-GB"/>
        </w:rPr>
        <w:t xml:space="preserve">Moreover, IAS 24 is obliged for Dutch listed companies as of January 2005, whereas RJ 330 had </w:t>
      </w:r>
      <w:r w:rsidR="005E1049" w:rsidRPr="00B97064">
        <w:rPr>
          <w:rFonts w:cs="Arial"/>
          <w:szCs w:val="22"/>
          <w:lang w:val="en-GB"/>
        </w:rPr>
        <w:t xml:space="preserve">officially </w:t>
      </w:r>
      <w:r w:rsidR="006220B1" w:rsidRPr="00B97064">
        <w:rPr>
          <w:rFonts w:cs="Arial"/>
          <w:szCs w:val="22"/>
          <w:lang w:val="en-GB"/>
        </w:rPr>
        <w:t>no legal status.</w:t>
      </w:r>
    </w:p>
    <w:p w:rsidR="007C7F32" w:rsidRPr="00B97064" w:rsidRDefault="007C7F32" w:rsidP="00783B66">
      <w:pPr>
        <w:pStyle w:val="Heading3"/>
        <w:rPr>
          <w:lang w:val="en-GB"/>
        </w:rPr>
      </w:pPr>
      <w:bookmarkStart w:id="31" w:name="_Toc349585465"/>
      <w:r w:rsidRPr="00B97064">
        <w:rPr>
          <w:lang w:val="en-GB"/>
        </w:rPr>
        <w:lastRenderedPageBreak/>
        <w:t>2.3.2 Corporate governance code and RPTs</w:t>
      </w:r>
      <w:bookmarkEnd w:id="31"/>
    </w:p>
    <w:p w:rsidR="007C7F32" w:rsidRPr="00B97064" w:rsidRDefault="007C7F32" w:rsidP="00AE3B6E">
      <w:pPr>
        <w:rPr>
          <w:lang w:val="en-GB"/>
        </w:rPr>
      </w:pPr>
      <w:r w:rsidRPr="00B97064">
        <w:rPr>
          <w:lang w:val="en-GB"/>
        </w:rPr>
        <w:t xml:space="preserve">The Code Frijns contains principles and best practice provisions for board of director’s members as well as supervisory board members. The code includes for both boards a </w:t>
      </w:r>
      <w:r w:rsidR="00C26E7F" w:rsidRPr="00B97064">
        <w:rPr>
          <w:lang w:val="en-GB"/>
        </w:rPr>
        <w:t>section</w:t>
      </w:r>
      <w:r w:rsidRPr="00B97064">
        <w:rPr>
          <w:lang w:val="en-GB"/>
        </w:rPr>
        <w:t xml:space="preserve"> regarding conflicts of interest. Direct transactions with a member of one of the boards are characterized as a conflict of interest. Besides this, there exists a conflict of interest when the firm enters into a transaction with another company where</w:t>
      </w:r>
      <w:r w:rsidR="006220B1" w:rsidRPr="00B97064">
        <w:rPr>
          <w:lang w:val="en-GB"/>
        </w:rPr>
        <w:t>:</w:t>
      </w:r>
    </w:p>
    <w:p w:rsidR="007C7F32" w:rsidRPr="00B97064" w:rsidRDefault="007C7F32" w:rsidP="00C140CF">
      <w:pPr>
        <w:numPr>
          <w:ilvl w:val="0"/>
          <w:numId w:val="3"/>
        </w:numPr>
        <w:rPr>
          <w:lang w:val="en-GB"/>
        </w:rPr>
      </w:pPr>
      <w:r w:rsidRPr="00B97064">
        <w:rPr>
          <w:lang w:val="en-GB"/>
        </w:rPr>
        <w:t>the board member held a substantial financial interest;</w:t>
      </w:r>
    </w:p>
    <w:p w:rsidR="007C7F32" w:rsidRPr="00B97064" w:rsidRDefault="007C7F32" w:rsidP="00C140CF">
      <w:pPr>
        <w:numPr>
          <w:ilvl w:val="0"/>
          <w:numId w:val="3"/>
        </w:numPr>
        <w:rPr>
          <w:lang w:val="en-GB"/>
        </w:rPr>
      </w:pPr>
      <w:r w:rsidRPr="00B97064">
        <w:rPr>
          <w:lang w:val="en-GB"/>
        </w:rPr>
        <w:t>a relative of a board member held a board position;</w:t>
      </w:r>
      <w:r w:rsidR="006220B1" w:rsidRPr="00B97064">
        <w:rPr>
          <w:lang w:val="en-GB"/>
        </w:rPr>
        <w:t xml:space="preserve"> or</w:t>
      </w:r>
    </w:p>
    <w:p w:rsidR="007C7F32" w:rsidRPr="00B97064" w:rsidRDefault="007C7F32" w:rsidP="00C140CF">
      <w:pPr>
        <w:numPr>
          <w:ilvl w:val="0"/>
          <w:numId w:val="3"/>
        </w:numPr>
        <w:rPr>
          <w:lang w:val="en-GB"/>
        </w:rPr>
      </w:pPr>
      <w:r w:rsidRPr="00B97064">
        <w:rPr>
          <w:lang w:val="en-GB"/>
        </w:rPr>
        <w:t>a board member held a board or supervisors position.</w:t>
      </w:r>
    </w:p>
    <w:p w:rsidR="007C7F32" w:rsidRPr="00B97064" w:rsidRDefault="007C7F32" w:rsidP="00AE3B6E">
      <w:pPr>
        <w:rPr>
          <w:lang w:val="en-GB"/>
        </w:rPr>
      </w:pPr>
      <w:r w:rsidRPr="00B97064">
        <w:rPr>
          <w:lang w:val="en-GB"/>
        </w:rPr>
        <w:t>Directors, supervisors, main shareholders and the external auditor may not enrich themselves to the detriment of the company. Those transactions must be approved by the supervisory board. In case a decision must be taken concerning a transaction with a supervisory board member, this supervisor is not allowed to participate in the decision-making process. The transaction should be made under c</w:t>
      </w:r>
      <w:r w:rsidR="006220B1" w:rsidRPr="00B97064">
        <w:rPr>
          <w:lang w:val="en-GB"/>
        </w:rPr>
        <w:t>ommon conditions in the sector.</w:t>
      </w:r>
    </w:p>
    <w:p w:rsidR="007C7F32" w:rsidRPr="00B97064" w:rsidRDefault="007C7F32" w:rsidP="00540B05">
      <w:pPr>
        <w:pStyle w:val="Heading3"/>
        <w:rPr>
          <w:lang w:val="en-GB"/>
        </w:rPr>
      </w:pPr>
      <w:bookmarkStart w:id="32" w:name="_Toc349585466"/>
      <w:r w:rsidRPr="00B97064">
        <w:rPr>
          <w:lang w:val="en-GB"/>
        </w:rPr>
        <w:t>2.3.3 Sarbanes-Oxley Act and RPTs</w:t>
      </w:r>
      <w:bookmarkEnd w:id="32"/>
    </w:p>
    <w:p w:rsidR="007C7F32" w:rsidRPr="00B97064" w:rsidRDefault="007C7F32" w:rsidP="00AE3B6E">
      <w:pPr>
        <w:rPr>
          <w:lang w:val="en-GB"/>
        </w:rPr>
      </w:pPr>
      <w:r w:rsidRPr="00B97064">
        <w:rPr>
          <w:lang w:val="en-GB"/>
        </w:rPr>
        <w:t>The Sarbanes-Oxley act of 2002</w:t>
      </w:r>
      <w:r w:rsidR="006220B1" w:rsidRPr="00B97064">
        <w:rPr>
          <w:lang w:val="en-GB"/>
        </w:rPr>
        <w:t xml:space="preserve">, as elaborated in section </w:t>
      </w:r>
      <w:fldSimple w:instr=" REF _Ref349218701 \h  \* MERGEFORMAT ">
        <w:r w:rsidR="00944DD0" w:rsidRPr="00B97064">
          <w:rPr>
            <w:lang w:val="en-GB"/>
          </w:rPr>
          <w:t>2.2.7 Additional regulations for companies with second listing in the USA</w:t>
        </w:r>
      </w:fldSimple>
      <w:r w:rsidR="006220B1" w:rsidRPr="00B97064">
        <w:rPr>
          <w:lang w:val="en-GB"/>
        </w:rPr>
        <w:t>,</w:t>
      </w:r>
      <w:r w:rsidRPr="00B97064">
        <w:rPr>
          <w:lang w:val="en-GB"/>
        </w:rPr>
        <w:t xml:space="preserve"> also contains a section in the field of RPTs; section 401 prohibits the provision of loans to executive members. This legislation applies to Dutch listed corporations which are also listed (second listing) in the US</w:t>
      </w:r>
      <w:r w:rsidR="00C26E7F" w:rsidRPr="00B97064">
        <w:rPr>
          <w:lang w:val="en-GB"/>
        </w:rPr>
        <w:t>A (Gordon &amp; Henry, 2005, p. 1).</w:t>
      </w:r>
    </w:p>
    <w:p w:rsidR="007C7F32" w:rsidRPr="00B97064" w:rsidRDefault="007C7F32" w:rsidP="00C44096">
      <w:pPr>
        <w:pStyle w:val="Heading3"/>
        <w:rPr>
          <w:lang w:val="en-GB"/>
        </w:rPr>
      </w:pPr>
      <w:bookmarkStart w:id="33" w:name="_Toc349585467"/>
      <w:r w:rsidRPr="00B97064">
        <w:rPr>
          <w:lang w:val="en-GB"/>
        </w:rPr>
        <w:t>2.3.4 Art. 9 OECD MTC</w:t>
      </w:r>
      <w:bookmarkEnd w:id="33"/>
    </w:p>
    <w:p w:rsidR="007C7F32" w:rsidRPr="00B97064" w:rsidRDefault="007C7F32" w:rsidP="008C6BCB">
      <w:pPr>
        <w:rPr>
          <w:lang w:val="en-GB"/>
        </w:rPr>
      </w:pPr>
      <w:r w:rsidRPr="00B97064">
        <w:rPr>
          <w:rFonts w:cs="Arial"/>
          <w:lang w:val="en-GB"/>
        </w:rPr>
        <w:t>The OECD (Organisation for Economic Co-operation and Development) is a cooperation of 34 countries all over the world, including the Netherlands. This organisation was established in 1960 to promote economic and social wellbeing of individuals around the world.</w:t>
      </w:r>
      <w:r w:rsidRPr="00B97064">
        <w:rPr>
          <w:rStyle w:val="FootnoteReference"/>
          <w:lang w:val="en-GB"/>
        </w:rPr>
        <w:footnoteReference w:id="12"/>
      </w:r>
      <w:r w:rsidRPr="00B97064">
        <w:rPr>
          <w:lang w:val="en-GB"/>
        </w:rPr>
        <w:t xml:space="preserve"> The OECD has also drawn a Model Tax Convention</w:t>
      </w:r>
      <w:r w:rsidR="006220B1" w:rsidRPr="00B97064">
        <w:rPr>
          <w:lang w:val="en-GB"/>
        </w:rPr>
        <w:t xml:space="preserve"> (MTC)</w:t>
      </w:r>
      <w:r w:rsidRPr="00B97064">
        <w:rPr>
          <w:lang w:val="en-GB"/>
        </w:rPr>
        <w:t>. This convention is used as a basis for all of the bilateral tax treaties which are concluded by the Netherlands. The MTC contains an article about ‘Associated Enterprises’. This article contains legislation on the determination of profits of enterprises which are involved in RPTs. As mentioned before, a motive for entering in</w:t>
      </w:r>
      <w:r w:rsidR="00730E55" w:rsidRPr="00B97064">
        <w:rPr>
          <w:lang w:val="en-GB"/>
        </w:rPr>
        <w:t>to</w:t>
      </w:r>
      <w:r w:rsidRPr="00B97064">
        <w:rPr>
          <w:lang w:val="en-GB"/>
        </w:rPr>
        <w:t xml:space="preserve"> (cross-border) RPTs could be obtaining a lower tax rate. To achieve this goal, profits are moved to countries with favourable tax rates (tax havens). Without this regulation, a countries’ tax base could be eroded, because profits are shifted to tax havens, which affect a countries’ tax revenue. Besides this, double taxation or partial non-taxation could occur, because the tax authorities of the respective countries apply different transfer </w:t>
      </w:r>
      <w:r w:rsidRPr="00B97064">
        <w:rPr>
          <w:lang w:val="en-GB"/>
        </w:rPr>
        <w:lastRenderedPageBreak/>
        <w:t xml:space="preserve">prices. To avoid this, the transactions should be priced appropriately; this discipline is called ‘transfer pricing’. The importance of transfer pricing has increased the last decades due to increased globalisation. Article 9 of the OECD MTC requires enterprises to determine the transfer prices as if the transaction was made on an arm’s length basis. The OECD </w:t>
      </w:r>
      <w:r w:rsidR="00C26E7F" w:rsidRPr="00B97064">
        <w:rPr>
          <w:lang w:val="en-GB"/>
        </w:rPr>
        <w:t>MTC</w:t>
      </w:r>
      <w:r w:rsidRPr="00B97064">
        <w:rPr>
          <w:lang w:val="en-GB"/>
        </w:rPr>
        <w:t xml:space="preserve"> contains the following definition of arm’s length pricing: if </w:t>
      </w:r>
      <w:r w:rsidR="00C26E7F" w:rsidRPr="00B97064">
        <w:rPr>
          <w:i/>
          <w:lang w:val="en-GB"/>
        </w:rPr>
        <w:t>“</w:t>
      </w:r>
      <w:r w:rsidRPr="00B97064">
        <w:rPr>
          <w:i/>
          <w:lang w:val="en-GB"/>
        </w:rPr>
        <w:t>conditions are made or imposed between the two enterprises in their commercial or financial relations which differ from those which would be made between independent enterprises, then any profits which would, but for those conditions, have accrued to one of the enterprises, but, by reason of those conditions, have not so accrued, may be included in the profits of that enterprise and taxed accor</w:t>
      </w:r>
      <w:r w:rsidR="00C26E7F" w:rsidRPr="00B97064">
        <w:rPr>
          <w:i/>
          <w:lang w:val="en-GB"/>
        </w:rPr>
        <w:t>dingly.”</w:t>
      </w:r>
      <w:r w:rsidRPr="00B97064">
        <w:rPr>
          <w:i/>
          <w:lang w:val="en-GB"/>
        </w:rPr>
        <w:t xml:space="preserve"> </w:t>
      </w:r>
      <w:r w:rsidRPr="00B97064">
        <w:rPr>
          <w:lang w:val="en-GB"/>
        </w:rPr>
        <w:t>(A</w:t>
      </w:r>
      <w:r w:rsidR="004D5B4F" w:rsidRPr="00B97064">
        <w:rPr>
          <w:lang w:val="en-GB"/>
        </w:rPr>
        <w:t>rticle 9 paragraph 1 OESO MTC).</w:t>
      </w:r>
    </w:p>
    <w:p w:rsidR="007C7F32" w:rsidRPr="00B97064" w:rsidRDefault="007C7F32" w:rsidP="00025FC5">
      <w:pPr>
        <w:rPr>
          <w:lang w:val="en-GB"/>
        </w:rPr>
      </w:pPr>
    </w:p>
    <w:p w:rsidR="007C7F32" w:rsidRPr="00B97064" w:rsidRDefault="007C7F32" w:rsidP="00025FC5">
      <w:pPr>
        <w:rPr>
          <w:lang w:val="en-GB"/>
        </w:rPr>
      </w:pPr>
      <w:r w:rsidRPr="00B97064">
        <w:rPr>
          <w:lang w:val="en-GB"/>
        </w:rPr>
        <w:t xml:space="preserve">To set an arm’s length price for a transaction (or a set of transactions), a benchmark study must be carried out. Comparable transactions under comparable market conditions, business strategies and contractual terms have to be found, which have occurred between third parties. Those transactions are supposed to be at arm’s length. </w:t>
      </w:r>
      <w:r w:rsidR="00C26E7F" w:rsidRPr="00B97064">
        <w:rPr>
          <w:lang w:val="en-GB"/>
        </w:rPr>
        <w:t>In some cases</w:t>
      </w:r>
      <w:r w:rsidRPr="00B97064">
        <w:rPr>
          <w:lang w:val="en-GB"/>
        </w:rPr>
        <w:t>, comparable transactions could not be found, for example because similar transactions do not take place between third parties. In that case, the prices of almost similar transactions should be adjusted for the extent to which they differ materially. The benchmark study results in a price range; the price of the RPT should be within this range to be considered as an arm’s length price.</w:t>
      </w:r>
    </w:p>
    <w:p w:rsidR="007C7F32" w:rsidRPr="00B97064" w:rsidRDefault="007C7F32" w:rsidP="00A94F27">
      <w:pPr>
        <w:pStyle w:val="Heading2"/>
        <w:rPr>
          <w:lang w:val="en-GB"/>
        </w:rPr>
      </w:pPr>
      <w:bookmarkStart w:id="34" w:name="_Ref349297708"/>
      <w:bookmarkStart w:id="35" w:name="_Toc349585468"/>
      <w:r w:rsidRPr="00B97064">
        <w:rPr>
          <w:lang w:val="en-GB"/>
        </w:rPr>
        <w:t>2.4 Voluntary disclosure</w:t>
      </w:r>
      <w:bookmarkEnd w:id="34"/>
      <w:bookmarkEnd w:id="35"/>
    </w:p>
    <w:p w:rsidR="008E4743" w:rsidRPr="00B97064" w:rsidRDefault="007C7F32" w:rsidP="009E5A65">
      <w:pPr>
        <w:rPr>
          <w:lang w:val="en-GB"/>
        </w:rPr>
      </w:pPr>
      <w:r w:rsidRPr="00B97064">
        <w:rPr>
          <w:lang w:val="en-GB"/>
        </w:rPr>
        <w:t xml:space="preserve">In the </w:t>
      </w:r>
      <w:r w:rsidR="004D5B4F" w:rsidRPr="00B97064">
        <w:rPr>
          <w:lang w:val="en-GB"/>
        </w:rPr>
        <w:t>previous</w:t>
      </w:r>
      <w:r w:rsidRPr="00B97064">
        <w:rPr>
          <w:lang w:val="en-GB"/>
        </w:rPr>
        <w:t xml:space="preserve"> section, accounting standards in the field of RPTs were discussed. Accounting standards are mainly aimed to oblige firms to provide backward looking financial information. However, value creation increasingly depends on intangible assets. Those intangible assets are not always recognised in the financial statement. The market requires more information beyond the backward looking financial information (Beattie et al., 2004 p. 206). This information is of great importance for making rational decisions with respect to capital allocation by investors. Narrative disclosures are more and more used to provide the required information to the market. Firms may opt to disclose more information, in addition to the mandatory disclosures, as required by accounting standards. </w:t>
      </w:r>
      <w:r w:rsidR="00DE02CC" w:rsidRPr="00B97064">
        <w:rPr>
          <w:lang w:val="en-GB"/>
        </w:rPr>
        <w:t xml:space="preserve">Those voluntary disclosures are driven by the idea that a higher level of transparency reduces the cost of capital. </w:t>
      </w:r>
    </w:p>
    <w:p w:rsidR="008E4743" w:rsidRPr="00B97064" w:rsidRDefault="008E4743" w:rsidP="009E5A65">
      <w:pPr>
        <w:rPr>
          <w:lang w:val="en-GB"/>
        </w:rPr>
      </w:pPr>
    </w:p>
    <w:p w:rsidR="007C7F32" w:rsidRPr="00B97064" w:rsidRDefault="00DE02CC" w:rsidP="009E5A65">
      <w:pPr>
        <w:rPr>
          <w:lang w:val="en-GB"/>
        </w:rPr>
      </w:pPr>
      <w:r w:rsidRPr="00B97064">
        <w:rPr>
          <w:lang w:val="en-GB"/>
        </w:rPr>
        <w:t xml:space="preserve">Botosan </w:t>
      </w:r>
      <w:r w:rsidR="005922F8" w:rsidRPr="00B97064">
        <w:rPr>
          <w:lang w:val="en-GB"/>
        </w:rPr>
        <w:t>(2006) described th</w:t>
      </w:r>
      <w:r w:rsidR="006C7517" w:rsidRPr="00B97064">
        <w:rPr>
          <w:lang w:val="en-GB"/>
        </w:rPr>
        <w:t>e</w:t>
      </w:r>
      <w:r w:rsidR="005922F8" w:rsidRPr="00B97064">
        <w:rPr>
          <w:lang w:val="en-GB"/>
        </w:rPr>
        <w:t xml:space="preserve"> negative relation between disclosure level and cost of capital. </w:t>
      </w:r>
      <w:r w:rsidR="00E853BC" w:rsidRPr="00B97064">
        <w:rPr>
          <w:lang w:val="en-GB"/>
        </w:rPr>
        <w:t>She mentioned t</w:t>
      </w:r>
      <w:r w:rsidR="005922F8" w:rsidRPr="00B97064">
        <w:rPr>
          <w:lang w:val="en-GB"/>
        </w:rPr>
        <w:t xml:space="preserve">wo different </w:t>
      </w:r>
      <w:r w:rsidR="004F1E32" w:rsidRPr="00B97064">
        <w:rPr>
          <w:lang w:val="en-GB"/>
        </w:rPr>
        <w:t>reasoning’s</w:t>
      </w:r>
      <w:r w:rsidR="00E853BC" w:rsidRPr="00B97064">
        <w:rPr>
          <w:lang w:val="en-GB"/>
        </w:rPr>
        <w:t xml:space="preserve"> which</w:t>
      </w:r>
      <w:r w:rsidR="005922F8" w:rsidRPr="00B97064">
        <w:rPr>
          <w:lang w:val="en-GB"/>
        </w:rPr>
        <w:t xml:space="preserve"> are used to substantiate this n</w:t>
      </w:r>
      <w:r w:rsidR="00F66EAD" w:rsidRPr="00B97064">
        <w:rPr>
          <w:lang w:val="en-GB"/>
        </w:rPr>
        <w:t xml:space="preserve">egative relation. The first one is the reasoning that additional information reduces investors’ </w:t>
      </w:r>
      <w:r w:rsidR="00F66EAD" w:rsidRPr="00B97064">
        <w:rPr>
          <w:lang w:val="en-GB"/>
        </w:rPr>
        <w:lastRenderedPageBreak/>
        <w:t>estimation risk. Investors make an estimation of</w:t>
      </w:r>
      <w:r w:rsidR="007C7FB8" w:rsidRPr="00B97064">
        <w:rPr>
          <w:lang w:val="en-GB"/>
        </w:rPr>
        <w:t xml:space="preserve"> the expected payoff of a firm. T</w:t>
      </w:r>
      <w:r w:rsidR="00E853BC" w:rsidRPr="00B97064">
        <w:rPr>
          <w:lang w:val="en-GB"/>
        </w:rPr>
        <w:t xml:space="preserve">his estimation is more uncertain in case </w:t>
      </w:r>
      <w:r w:rsidR="006C7517" w:rsidRPr="00B97064">
        <w:rPr>
          <w:lang w:val="en-GB"/>
        </w:rPr>
        <w:t>a</w:t>
      </w:r>
      <w:r w:rsidR="00E853BC" w:rsidRPr="00B97064">
        <w:rPr>
          <w:lang w:val="en-GB"/>
        </w:rPr>
        <w:t xml:space="preserve"> firm have provided limited information</w:t>
      </w:r>
      <w:r w:rsidR="007C7FB8" w:rsidRPr="00B97064">
        <w:rPr>
          <w:lang w:val="en-GB"/>
        </w:rPr>
        <w:t xml:space="preserve"> compared to a firm which provided more extensive information</w:t>
      </w:r>
      <w:r w:rsidR="00E853BC" w:rsidRPr="00B97064">
        <w:rPr>
          <w:lang w:val="en-GB"/>
        </w:rPr>
        <w:t>. The degree of uncertainty of the estimated expected payoff determines the estimation risk</w:t>
      </w:r>
      <w:r w:rsidR="00C754F1" w:rsidRPr="00B97064">
        <w:rPr>
          <w:lang w:val="en-GB"/>
        </w:rPr>
        <w:t xml:space="preserve"> level</w:t>
      </w:r>
      <w:r w:rsidR="00E853BC" w:rsidRPr="00B97064">
        <w:rPr>
          <w:lang w:val="en-GB"/>
        </w:rPr>
        <w:t>. In case a firm provides more (voluntary) information, the estimation risk decreases, since investors are more able to make a re</w:t>
      </w:r>
      <w:r w:rsidR="007C7FB8" w:rsidRPr="00B97064">
        <w:rPr>
          <w:lang w:val="en-GB"/>
        </w:rPr>
        <w:t xml:space="preserve">liable </w:t>
      </w:r>
      <w:r w:rsidR="00E853BC" w:rsidRPr="00B97064">
        <w:rPr>
          <w:lang w:val="en-GB"/>
        </w:rPr>
        <w:t>estimation of the firms expected payoff.</w:t>
      </w:r>
      <w:r w:rsidR="007C7FB8" w:rsidRPr="00B97064">
        <w:rPr>
          <w:lang w:val="en-GB"/>
        </w:rPr>
        <w:t xml:space="preserve"> The demand for those securities will increase compared to firms which provide less information. Due to the increased demand</w:t>
      </w:r>
      <w:r w:rsidR="00E849FE" w:rsidRPr="00B97064">
        <w:rPr>
          <w:lang w:val="en-GB"/>
        </w:rPr>
        <w:t>, the cost of capital will decrease.</w:t>
      </w:r>
      <w:r w:rsidR="00E853BC" w:rsidRPr="00B97064">
        <w:rPr>
          <w:lang w:val="en-GB"/>
        </w:rPr>
        <w:t xml:space="preserve"> So, due the decrease of the estimation risk, the cost of capital of the firm w</w:t>
      </w:r>
      <w:r w:rsidR="007C7FB8" w:rsidRPr="00B97064">
        <w:rPr>
          <w:lang w:val="en-GB"/>
        </w:rPr>
        <w:t xml:space="preserve">ill </w:t>
      </w:r>
      <w:r w:rsidR="00E853BC" w:rsidRPr="00B97064">
        <w:rPr>
          <w:lang w:val="en-GB"/>
        </w:rPr>
        <w:t>decrease</w:t>
      </w:r>
      <w:r w:rsidR="00E849FE" w:rsidRPr="00B97064">
        <w:rPr>
          <w:lang w:val="en-GB"/>
        </w:rPr>
        <w:t xml:space="preserve">. </w:t>
      </w:r>
      <w:r w:rsidR="00F66EAD" w:rsidRPr="00B97064">
        <w:rPr>
          <w:lang w:val="en-GB"/>
        </w:rPr>
        <w:t xml:space="preserve">The second </w:t>
      </w:r>
      <w:r w:rsidR="00C754F1" w:rsidRPr="00B97064">
        <w:rPr>
          <w:lang w:val="en-GB"/>
        </w:rPr>
        <w:t>reasoning</w:t>
      </w:r>
      <w:r w:rsidR="00F66EAD" w:rsidRPr="00B97064">
        <w:rPr>
          <w:lang w:val="en-GB"/>
        </w:rPr>
        <w:t xml:space="preserve"> is the </w:t>
      </w:r>
      <w:r w:rsidR="00C754F1" w:rsidRPr="00B97064">
        <w:rPr>
          <w:lang w:val="en-GB"/>
        </w:rPr>
        <w:t>argument</w:t>
      </w:r>
      <w:r w:rsidR="00F66EAD" w:rsidRPr="00B97064">
        <w:rPr>
          <w:lang w:val="en-GB"/>
        </w:rPr>
        <w:t xml:space="preserve"> that additional information reduces transaction costs</w:t>
      </w:r>
      <w:r w:rsidR="007C7FB8" w:rsidRPr="00B97064">
        <w:rPr>
          <w:lang w:val="en-GB"/>
        </w:rPr>
        <w:t xml:space="preserve"> (information asymmetry)</w:t>
      </w:r>
      <w:r w:rsidR="00F66EAD" w:rsidRPr="00B97064">
        <w:rPr>
          <w:lang w:val="en-GB"/>
        </w:rPr>
        <w:t>.</w:t>
      </w:r>
      <w:r w:rsidR="00E849FE" w:rsidRPr="00B97064">
        <w:rPr>
          <w:lang w:val="en-GB"/>
        </w:rPr>
        <w:t xml:space="preserve"> In case firms disclose more information voluntarily, investors are less willing to gain additional</w:t>
      </w:r>
      <w:r w:rsidR="006C7517" w:rsidRPr="00B97064">
        <w:rPr>
          <w:lang w:val="en-GB"/>
        </w:rPr>
        <w:t>,</w:t>
      </w:r>
      <w:r w:rsidR="00E849FE" w:rsidRPr="00B97064">
        <w:rPr>
          <w:lang w:val="en-GB"/>
        </w:rPr>
        <w:t xml:space="preserve"> costly, private information; the reduction of the information asymmetry results in a decrease of the transaction costs. The demand for securities of firms which provided additional information will increase. Due to the increased demand</w:t>
      </w:r>
      <w:r w:rsidR="0057310C" w:rsidRPr="00B97064">
        <w:rPr>
          <w:lang w:val="en-GB"/>
        </w:rPr>
        <w:t xml:space="preserve"> of those securities</w:t>
      </w:r>
      <w:r w:rsidR="00E849FE" w:rsidRPr="00B97064">
        <w:rPr>
          <w:lang w:val="en-GB"/>
        </w:rPr>
        <w:t>, the cost of capital will decrease.</w:t>
      </w:r>
    </w:p>
    <w:p w:rsidR="007C7F32" w:rsidRPr="00B97064" w:rsidRDefault="007C7F32" w:rsidP="009E5A65">
      <w:pPr>
        <w:rPr>
          <w:lang w:val="en-GB"/>
        </w:rPr>
      </w:pPr>
    </w:p>
    <w:p w:rsidR="007C7F32" w:rsidRPr="00B97064" w:rsidRDefault="007C7F32" w:rsidP="009E5A65">
      <w:pPr>
        <w:rPr>
          <w:rFonts w:cs="Arial"/>
          <w:szCs w:val="22"/>
          <w:lang w:val="en-GB"/>
        </w:rPr>
      </w:pPr>
      <w:r w:rsidRPr="00B97064">
        <w:rPr>
          <w:lang w:val="en-GB"/>
        </w:rPr>
        <w:t>The Jenkins Report, published by the American Institute for Certified Public Accountants (AICPA, 1994)</w:t>
      </w:r>
      <w:r w:rsidR="005D16F4" w:rsidRPr="00B97064">
        <w:rPr>
          <w:lang w:val="en-GB"/>
        </w:rPr>
        <w:t xml:space="preserve"> also mentioned the negative relation between (voluntary) disclosure and the cost of capital. It</w:t>
      </w:r>
      <w:r w:rsidRPr="00B97064">
        <w:rPr>
          <w:lang w:val="en-GB"/>
        </w:rPr>
        <w:t xml:space="preserve"> is an influential report which contains recommendations on the field of business reporting. This report includes a new model on business reporting, which covers a larger range of business reporting rather than the financial statement. The report contains 5 main </w:t>
      </w:r>
      <w:r w:rsidRPr="00B97064">
        <w:rPr>
          <w:rFonts w:cs="Arial"/>
          <w:szCs w:val="22"/>
          <w:lang w:val="en-GB"/>
        </w:rPr>
        <w:t xml:space="preserve">elements: </w:t>
      </w:r>
    </w:p>
    <w:p w:rsidR="007C7F32" w:rsidRPr="00B97064" w:rsidRDefault="007C7F32" w:rsidP="00C140CF">
      <w:pPr>
        <w:numPr>
          <w:ilvl w:val="0"/>
          <w:numId w:val="7"/>
        </w:numPr>
        <w:rPr>
          <w:rFonts w:cs="Arial"/>
          <w:szCs w:val="22"/>
          <w:lang w:val="en-GB"/>
        </w:rPr>
      </w:pPr>
      <w:r w:rsidRPr="00B97064">
        <w:rPr>
          <w:rFonts w:cs="Arial"/>
          <w:szCs w:val="22"/>
          <w:lang w:val="en-GB"/>
        </w:rPr>
        <w:t>financial and non-financial data;</w:t>
      </w:r>
    </w:p>
    <w:p w:rsidR="007C7F32" w:rsidRPr="00B97064" w:rsidRDefault="007C7F32" w:rsidP="00C140CF">
      <w:pPr>
        <w:numPr>
          <w:ilvl w:val="0"/>
          <w:numId w:val="7"/>
        </w:numPr>
        <w:rPr>
          <w:rFonts w:cs="Arial"/>
          <w:szCs w:val="22"/>
          <w:lang w:val="en-GB"/>
        </w:rPr>
      </w:pPr>
      <w:r w:rsidRPr="00B97064">
        <w:rPr>
          <w:rFonts w:cs="Arial"/>
          <w:szCs w:val="22"/>
          <w:lang w:val="en-GB"/>
        </w:rPr>
        <w:t>m</w:t>
      </w:r>
      <w:r w:rsidRPr="00B97064">
        <w:rPr>
          <w:rFonts w:cs="Arial"/>
          <w:bCs/>
          <w:szCs w:val="22"/>
          <w:lang w:val="en-GB"/>
        </w:rPr>
        <w:t>anagement's analysis of financial and non-financial data;</w:t>
      </w:r>
    </w:p>
    <w:p w:rsidR="007C7F32" w:rsidRPr="00B97064" w:rsidRDefault="007C7F32" w:rsidP="00C140CF">
      <w:pPr>
        <w:numPr>
          <w:ilvl w:val="0"/>
          <w:numId w:val="7"/>
        </w:numPr>
        <w:rPr>
          <w:rFonts w:cs="Arial"/>
          <w:szCs w:val="22"/>
          <w:lang w:val="en-GB"/>
        </w:rPr>
      </w:pPr>
      <w:r w:rsidRPr="00B97064">
        <w:rPr>
          <w:rFonts w:cs="Arial"/>
          <w:bCs/>
          <w:szCs w:val="22"/>
          <w:lang w:val="en-GB"/>
        </w:rPr>
        <w:t>forward-looking information;</w:t>
      </w:r>
    </w:p>
    <w:p w:rsidR="007C7F32" w:rsidRPr="00B97064" w:rsidRDefault="007C7F32" w:rsidP="00C140CF">
      <w:pPr>
        <w:numPr>
          <w:ilvl w:val="0"/>
          <w:numId w:val="7"/>
        </w:numPr>
        <w:rPr>
          <w:rFonts w:cs="Arial"/>
          <w:szCs w:val="22"/>
          <w:lang w:val="en-GB"/>
        </w:rPr>
      </w:pPr>
      <w:r w:rsidRPr="00B97064">
        <w:rPr>
          <w:rFonts w:cs="Arial"/>
          <w:bCs/>
          <w:szCs w:val="22"/>
          <w:lang w:val="en-GB"/>
        </w:rPr>
        <w:t>information about m</w:t>
      </w:r>
      <w:r w:rsidR="00251828" w:rsidRPr="00B97064">
        <w:rPr>
          <w:rFonts w:cs="Arial"/>
          <w:bCs/>
          <w:szCs w:val="22"/>
          <w:lang w:val="en-GB"/>
        </w:rPr>
        <w:t>anagement and shareholders; and</w:t>
      </w:r>
    </w:p>
    <w:p w:rsidR="007C7F32" w:rsidRPr="00B97064" w:rsidRDefault="00251828" w:rsidP="00C140CF">
      <w:pPr>
        <w:numPr>
          <w:ilvl w:val="0"/>
          <w:numId w:val="7"/>
        </w:numPr>
        <w:rPr>
          <w:rFonts w:cs="Arial"/>
          <w:szCs w:val="22"/>
          <w:lang w:val="en-GB"/>
        </w:rPr>
      </w:pPr>
      <w:r w:rsidRPr="00B97064">
        <w:rPr>
          <w:rFonts w:cs="Arial"/>
          <w:bCs/>
          <w:szCs w:val="22"/>
          <w:lang w:val="en-GB"/>
        </w:rPr>
        <w:t>background about the company.</w:t>
      </w:r>
    </w:p>
    <w:p w:rsidR="007C7F32" w:rsidRPr="00B97064" w:rsidRDefault="007C7F32" w:rsidP="009E5A65">
      <w:pPr>
        <w:rPr>
          <w:rFonts w:cs="Arial"/>
          <w:bCs/>
          <w:szCs w:val="22"/>
          <w:lang w:val="en-GB"/>
        </w:rPr>
      </w:pPr>
      <w:r w:rsidRPr="00B97064">
        <w:rPr>
          <w:rFonts w:cs="Arial"/>
          <w:bCs/>
          <w:szCs w:val="22"/>
          <w:lang w:val="en-GB"/>
        </w:rPr>
        <w:t>This report focused more on the information needs of the users of the annual report; investors as well as creditors (AICPA, 1994).</w:t>
      </w:r>
    </w:p>
    <w:p w:rsidR="007C7F32" w:rsidRPr="00B97064" w:rsidRDefault="007C7F32" w:rsidP="009E5A65">
      <w:pPr>
        <w:rPr>
          <w:rFonts w:cs="Arial"/>
          <w:bCs/>
          <w:szCs w:val="22"/>
          <w:lang w:val="en-GB"/>
        </w:rPr>
      </w:pPr>
    </w:p>
    <w:p w:rsidR="00810215" w:rsidRPr="00B97064" w:rsidRDefault="005D16F4" w:rsidP="009E5A65">
      <w:pPr>
        <w:rPr>
          <w:lang w:val="en-GB"/>
        </w:rPr>
      </w:pPr>
      <w:r w:rsidRPr="00B97064">
        <w:rPr>
          <w:lang w:val="en-GB"/>
        </w:rPr>
        <w:t>Assuming that there is a negative relation between the level of disclosure and the cost of capital, the next question is how the level of disclosure/disclosure quality should be measured.</w:t>
      </w:r>
      <w:r w:rsidR="007352ED" w:rsidRPr="00B97064">
        <w:rPr>
          <w:lang w:val="en-GB"/>
        </w:rPr>
        <w:t xml:space="preserve"> Quality is not an easy concept to measure. The amount of disclosure is often used as a proxy of the quality of disclosure.</w:t>
      </w:r>
      <w:r w:rsidRPr="00B97064">
        <w:rPr>
          <w:lang w:val="en-GB"/>
        </w:rPr>
        <w:t xml:space="preserve"> </w:t>
      </w:r>
      <w:r w:rsidR="007C7F32" w:rsidRPr="00B97064">
        <w:rPr>
          <w:lang w:val="en-GB"/>
        </w:rPr>
        <w:t xml:space="preserve">Beattie et al. (2004) investigated the different methods used by other researchers to measure disclosure quality. They mentioned two basic methods for measuring disclosure quality which were used up to then; first of all the subjective analyst disclosure quality rankings and secondly disclosure indices where </w:t>
      </w:r>
      <w:r w:rsidR="004F1E32" w:rsidRPr="00B97064">
        <w:rPr>
          <w:lang w:val="en-GB"/>
        </w:rPr>
        <w:t xml:space="preserve">again </w:t>
      </w:r>
      <w:r w:rsidR="007C7F32" w:rsidRPr="00B97064">
        <w:rPr>
          <w:lang w:val="en-GB"/>
        </w:rPr>
        <w:t xml:space="preserve">the amount of disclosure serves as </w:t>
      </w:r>
      <w:r w:rsidR="006C7517" w:rsidRPr="00B97064">
        <w:rPr>
          <w:lang w:val="en-GB"/>
        </w:rPr>
        <w:t xml:space="preserve">a </w:t>
      </w:r>
      <w:r w:rsidR="007C7F32" w:rsidRPr="00B97064">
        <w:rPr>
          <w:lang w:val="en-GB"/>
        </w:rPr>
        <w:t xml:space="preserve">proxy for disclosure quality. Since those two methods </w:t>
      </w:r>
      <w:r w:rsidR="007C7F32" w:rsidRPr="00B97064">
        <w:rPr>
          <w:lang w:val="en-GB"/>
        </w:rPr>
        <w:lastRenderedPageBreak/>
        <w:t>have limitations and weaknesses, like the subjectivity of the analyst disclosure quality rankings and the fact that the methods are one-dimensional, Beattie et al. (2004) developed a new approach of measuring disclosure quality; a four dimensional content analysis framework that captures topic, time-, financial- and quantitative orientation. The topic analysis is based on the Jenkins report. The method of Beattie et al. (2004) split up the text of annual reports into text units. All text units were divided into the different topics. Besides this, the text units were divided into different time dimensions (historical, forward looking or non-time specific), financial orientation (financial or non-financial) and quantitative orientation (quantitative or non-quantitative). The subdivision within the four dimensions was carried out by a computer program.</w:t>
      </w:r>
      <w:r w:rsidR="007352ED" w:rsidRPr="00B97064">
        <w:rPr>
          <w:lang w:val="en-GB"/>
        </w:rPr>
        <w:t xml:space="preserve"> However, this</w:t>
      </w:r>
      <w:r w:rsidR="007C7F32" w:rsidRPr="00B97064">
        <w:rPr>
          <w:lang w:val="en-GB"/>
        </w:rPr>
        <w:t xml:space="preserve"> new approach also has limitations, the used coding scheme is subjective and, moreover, labour intensive.</w:t>
      </w:r>
    </w:p>
    <w:p w:rsidR="00810215" w:rsidRPr="00B97064" w:rsidRDefault="00810215" w:rsidP="009E5A65">
      <w:pPr>
        <w:rPr>
          <w:lang w:val="en-GB"/>
        </w:rPr>
      </w:pPr>
    </w:p>
    <w:p w:rsidR="007C7F32" w:rsidRPr="00B97064" w:rsidRDefault="007C7F32" w:rsidP="009E5A65">
      <w:pPr>
        <w:rPr>
          <w:lang w:val="en-GB"/>
        </w:rPr>
      </w:pPr>
      <w:r w:rsidRPr="00B97064">
        <w:rPr>
          <w:lang w:val="en-GB"/>
        </w:rPr>
        <w:t xml:space="preserve">Furthermore, Beattie et al. (2004) proposed new proxies for disclosure quality. </w:t>
      </w:r>
      <w:r w:rsidR="007352ED" w:rsidRPr="00B97064">
        <w:rPr>
          <w:lang w:val="en-GB"/>
        </w:rPr>
        <w:t xml:space="preserve">As mentioned before, the amount of disclosure is often used as a proxy of the quality of disclosure. </w:t>
      </w:r>
      <w:r w:rsidRPr="00B97064">
        <w:rPr>
          <w:lang w:val="en-GB"/>
        </w:rPr>
        <w:t>Beattie et al. introduce</w:t>
      </w:r>
      <w:r w:rsidR="007352ED" w:rsidRPr="00B97064">
        <w:rPr>
          <w:lang w:val="en-GB"/>
        </w:rPr>
        <w:t>d</w:t>
      </w:r>
      <w:r w:rsidRPr="00B97064">
        <w:rPr>
          <w:lang w:val="en-GB"/>
        </w:rPr>
        <w:t xml:space="preserve"> more dimensions of disclosure quality, like the relative amount of disclosure (taking into account company’s size and complexity) and the distribution of disclosures across different topics.</w:t>
      </w:r>
    </w:p>
    <w:p w:rsidR="007C7F32" w:rsidRPr="00B97064" w:rsidRDefault="007C7F32" w:rsidP="00A94F27">
      <w:pPr>
        <w:pStyle w:val="Heading2"/>
        <w:rPr>
          <w:lang w:val="en-GB"/>
        </w:rPr>
      </w:pPr>
      <w:bookmarkStart w:id="36" w:name="_Toc349585469"/>
      <w:r w:rsidRPr="00B97064">
        <w:rPr>
          <w:lang w:val="en-GB"/>
        </w:rPr>
        <w:t>2.5 Summary</w:t>
      </w:r>
      <w:bookmarkEnd w:id="36"/>
    </w:p>
    <w:p w:rsidR="007C7F32" w:rsidRPr="00B97064" w:rsidRDefault="007C7F32" w:rsidP="00A94F27">
      <w:pPr>
        <w:rPr>
          <w:lang w:val="en-GB"/>
        </w:rPr>
      </w:pPr>
      <w:r w:rsidRPr="00B97064">
        <w:rPr>
          <w:lang w:val="en-GB"/>
        </w:rPr>
        <w:t>This chapter gave a conceptual overview. First of all, the Dutch institutional setting was described. A part of this institutional setting is the EU, in the meantime a co</w:t>
      </w:r>
      <w:r w:rsidR="006C7517" w:rsidRPr="00B97064">
        <w:rPr>
          <w:lang w:val="en-GB"/>
        </w:rPr>
        <w:t>-</w:t>
      </w:r>
      <w:r w:rsidRPr="00B97064">
        <w:rPr>
          <w:lang w:val="en-GB"/>
        </w:rPr>
        <w:t>operation of 26 member states. The European Commission came up with a legislation proposal stating that all EU listed companies should report in accordance with IFRS for accounting periods starting on or after January 1</w:t>
      </w:r>
      <w:r w:rsidRPr="00B97064">
        <w:rPr>
          <w:vertAlign w:val="superscript"/>
          <w:lang w:val="en-GB"/>
        </w:rPr>
        <w:t>st</w:t>
      </w:r>
      <w:r w:rsidRPr="00B97064">
        <w:rPr>
          <w:lang w:val="en-GB"/>
        </w:rPr>
        <w:t xml:space="preserve"> 2005. IFRS are reporting standards, developed by the IASB, the successor of the IASC. The European Parliament agreed on the proposal. Besides European legislation, Dutch listed companies are subjected to Dutch national law. This legislation can be found in the Dutch civil code. This code contains requirements for the annual report and financial statement in particular. Besides this, there is a corporate governance code. The two pillars of this code are integrity and transparency of the board as well as proper supervision on the board. Dutch listed companies are obliged to apply the code; deviations should be explained in the annual report.</w:t>
      </w:r>
    </w:p>
    <w:p w:rsidR="007C7F32" w:rsidRPr="00B97064" w:rsidRDefault="007C7F32" w:rsidP="00A94F27">
      <w:pPr>
        <w:rPr>
          <w:lang w:val="en-GB"/>
        </w:rPr>
      </w:pPr>
    </w:p>
    <w:p w:rsidR="007C7F32" w:rsidRPr="00B97064" w:rsidRDefault="007C7F32" w:rsidP="00A94F27">
      <w:pPr>
        <w:rPr>
          <w:lang w:val="en-GB"/>
        </w:rPr>
      </w:pPr>
      <w:r w:rsidRPr="00B97064">
        <w:rPr>
          <w:lang w:val="en-GB"/>
        </w:rPr>
        <w:t>Large Dutch companies are structured according to the two tier system. They consist of a board of directors, a General Meeting of Shareholders as well as a mandatory supervisory board. However, most countries apply the one tier system, consisting of a board of directors with executive and non-executive officers and a General Meeting of Shareholders. This structure is accepted in the Netherlands since January 1</w:t>
      </w:r>
      <w:r w:rsidRPr="00B97064">
        <w:rPr>
          <w:vertAlign w:val="superscript"/>
          <w:lang w:val="en-GB"/>
        </w:rPr>
        <w:t>st</w:t>
      </w:r>
      <w:r w:rsidRPr="00B97064">
        <w:rPr>
          <w:lang w:val="en-GB"/>
        </w:rPr>
        <w:t xml:space="preserve"> 2013, after new regulations </w:t>
      </w:r>
      <w:r w:rsidRPr="00B97064">
        <w:rPr>
          <w:lang w:val="en-GB"/>
        </w:rPr>
        <w:lastRenderedPageBreak/>
        <w:t>took</w:t>
      </w:r>
      <w:r w:rsidR="00222EEB">
        <w:rPr>
          <w:lang w:val="en-GB"/>
        </w:rPr>
        <w:t> </w:t>
      </w:r>
      <w:r w:rsidR="00251828" w:rsidRPr="00B97064">
        <w:rPr>
          <w:lang w:val="en-GB"/>
        </w:rPr>
        <w:t>effect.</w:t>
      </w:r>
    </w:p>
    <w:p w:rsidR="006C7517" w:rsidRPr="00B97064" w:rsidRDefault="006C7517" w:rsidP="00A94F27">
      <w:pPr>
        <w:rPr>
          <w:lang w:val="en-GB"/>
        </w:rPr>
      </w:pPr>
    </w:p>
    <w:p w:rsidR="007C7F32" w:rsidRPr="00B97064" w:rsidRDefault="00810215" w:rsidP="00025FC5">
      <w:pPr>
        <w:rPr>
          <w:lang w:val="en-GB"/>
        </w:rPr>
      </w:pPr>
      <w:r w:rsidRPr="00B97064">
        <w:rPr>
          <w:lang w:val="en-GB"/>
        </w:rPr>
        <w:t>After that</w:t>
      </w:r>
      <w:r w:rsidR="007C7F32" w:rsidRPr="00B97064">
        <w:rPr>
          <w:lang w:val="en-GB"/>
        </w:rPr>
        <w:t xml:space="preserve">, </w:t>
      </w:r>
      <w:r w:rsidRPr="00B97064">
        <w:rPr>
          <w:lang w:val="en-GB"/>
        </w:rPr>
        <w:t>RPTs</w:t>
      </w:r>
      <w:r w:rsidR="007C7F32" w:rsidRPr="00B97064">
        <w:rPr>
          <w:lang w:val="en-GB"/>
        </w:rPr>
        <w:t xml:space="preserve"> were described. </w:t>
      </w:r>
      <w:r w:rsidR="007C7F32" w:rsidRPr="00B97064">
        <w:rPr>
          <w:rFonts w:cs="Arial"/>
          <w:i/>
          <w:szCs w:val="22"/>
          <w:lang w:val="en-GB"/>
        </w:rPr>
        <w:t>“A Related Party Transaction is a transfer of resources or obligations between related parties, regardless of whether a price is charged”</w:t>
      </w:r>
      <w:r w:rsidR="007C7F32" w:rsidRPr="00B97064">
        <w:rPr>
          <w:rFonts w:cs="Arial"/>
          <w:szCs w:val="22"/>
          <w:lang w:val="en-GB"/>
        </w:rPr>
        <w:t xml:space="preserve"> (IAS 24.9). The difference between an ordinary transaction and a RPT is the connection between the two parties which are involved; because the parties are related, the determined price </w:t>
      </w:r>
      <w:r w:rsidR="006C7517" w:rsidRPr="00B97064">
        <w:rPr>
          <w:rFonts w:cs="Arial"/>
          <w:szCs w:val="22"/>
          <w:lang w:val="en-GB"/>
        </w:rPr>
        <w:t xml:space="preserve">or conditions </w:t>
      </w:r>
      <w:r w:rsidR="007C7F32" w:rsidRPr="00B97064">
        <w:rPr>
          <w:rFonts w:cs="Arial"/>
          <w:szCs w:val="22"/>
          <w:lang w:val="en-GB"/>
        </w:rPr>
        <w:t xml:space="preserve">might not be at arm’s length. However, entering into RPTs could also be based on pure commercial reasons. IAS 24 and RJ 330 contain disclosure requirements in the field of RPTs. </w:t>
      </w:r>
      <w:r w:rsidR="007C7F32" w:rsidRPr="00B97064">
        <w:rPr>
          <w:lang w:val="en-GB"/>
        </w:rPr>
        <w:t xml:space="preserve">The aim of these standards is to </w:t>
      </w:r>
      <w:r w:rsidRPr="00B97064">
        <w:rPr>
          <w:lang w:val="en-GB"/>
        </w:rPr>
        <w:t>ensure that</w:t>
      </w:r>
      <w:r w:rsidR="007C7F32" w:rsidRPr="00B97064">
        <w:rPr>
          <w:lang w:val="en-GB"/>
        </w:rPr>
        <w:t xml:space="preserve"> financial statements contain information about related party transactions, because it may be that those transactions affect the financial position of a company. Also the corporate governance code, SOx and the OECD MTC contain regulation on RPTs, the latter in the field of taxation.</w:t>
      </w:r>
    </w:p>
    <w:p w:rsidR="007C7F32" w:rsidRPr="00B97064" w:rsidRDefault="007C7F32" w:rsidP="00025FC5">
      <w:pPr>
        <w:rPr>
          <w:lang w:val="en-GB"/>
        </w:rPr>
      </w:pPr>
    </w:p>
    <w:p w:rsidR="007C7F32" w:rsidRPr="00B97064" w:rsidRDefault="00906196" w:rsidP="00025FC5">
      <w:pPr>
        <w:rPr>
          <w:lang w:val="en-GB"/>
        </w:rPr>
      </w:pPr>
      <w:r w:rsidRPr="00B97064">
        <w:rPr>
          <w:lang w:val="en-GB"/>
        </w:rPr>
        <w:t xml:space="preserve">The subsequent section was devoted to voluntary disclosure. </w:t>
      </w:r>
      <w:r w:rsidR="007C7F32" w:rsidRPr="00B97064">
        <w:rPr>
          <w:lang w:val="en-GB"/>
        </w:rPr>
        <w:t>Due to value creation depends more on intangible assets (which is not recognized at the balance sheet), additional information is required for investors to make rational capital allocation decisions.</w:t>
      </w:r>
      <w:r w:rsidR="008E4743" w:rsidRPr="00B97064">
        <w:rPr>
          <w:lang w:val="en-GB"/>
        </w:rPr>
        <w:t xml:space="preserve"> </w:t>
      </w:r>
      <w:r w:rsidR="00251828" w:rsidRPr="00B97064">
        <w:rPr>
          <w:lang w:val="en-GB"/>
        </w:rPr>
        <w:t>I</w:t>
      </w:r>
      <w:r w:rsidR="008E4743" w:rsidRPr="00B97064">
        <w:rPr>
          <w:lang w:val="en-GB"/>
        </w:rPr>
        <w:t>t is assumed that there is a negative relation between the amount of disclosure and the cost of capital. Botosan (2006) described some possible reasoning behind this negative relation. She mentioned two different arguments: a decrease of investors’ estimation risk and a reduction of</w:t>
      </w:r>
      <w:r w:rsidR="00471AB2" w:rsidRPr="00B97064">
        <w:rPr>
          <w:lang w:val="en-GB"/>
        </w:rPr>
        <w:t xml:space="preserve"> transaction costs.</w:t>
      </w:r>
      <w:r w:rsidR="008E4743" w:rsidRPr="00B97064">
        <w:rPr>
          <w:lang w:val="en-GB"/>
        </w:rPr>
        <w:t xml:space="preserve"> </w:t>
      </w:r>
      <w:r w:rsidR="007C7F32" w:rsidRPr="00B97064">
        <w:rPr>
          <w:lang w:val="en-GB"/>
        </w:rPr>
        <w:t xml:space="preserve">To meet </w:t>
      </w:r>
      <w:r w:rsidR="00471AB2" w:rsidRPr="00B97064">
        <w:rPr>
          <w:lang w:val="en-GB"/>
        </w:rPr>
        <w:t xml:space="preserve">the information </w:t>
      </w:r>
      <w:r w:rsidR="007C7F32" w:rsidRPr="00B97064">
        <w:rPr>
          <w:lang w:val="en-GB"/>
        </w:rPr>
        <w:t>need of the market, firms do provide additional disclosure voluntarily. The Jenkins report, as published by the AICPA in 1994, contains recommendations in the field of business reporting; business reporting should contain more than the financial statement. The quality of disclosure is not easily to dete</w:t>
      </w:r>
      <w:r w:rsidR="00810215" w:rsidRPr="00B97064">
        <w:rPr>
          <w:lang w:val="en-GB"/>
        </w:rPr>
        <w:t>rmine; the amount of disclosure</w:t>
      </w:r>
      <w:r w:rsidR="007C7F32" w:rsidRPr="00B97064">
        <w:rPr>
          <w:lang w:val="en-GB"/>
        </w:rPr>
        <w:t xml:space="preserve"> usually serves as a proxy for disclosure quality. Beattie et al. (2004) investigated different ways used by other researchers to determine disclosure quality. They developed a new method: a four dimensional content analysis framework. Furthermore, they proposed new proxies for disclosure quality: relative amount of disclosure (depending on firm size) and the distribution among topics.</w:t>
      </w:r>
    </w:p>
    <w:p w:rsidR="007C7F32" w:rsidRPr="00B97064" w:rsidRDefault="007C7F32" w:rsidP="002A7E75">
      <w:pPr>
        <w:pStyle w:val="Heading1"/>
        <w:rPr>
          <w:lang w:val="en-GB"/>
        </w:rPr>
      </w:pPr>
      <w:r w:rsidRPr="00B97064">
        <w:rPr>
          <w:lang w:val="en-GB"/>
        </w:rPr>
        <w:br w:type="page"/>
      </w:r>
      <w:bookmarkStart w:id="37" w:name="_Ref349487688"/>
      <w:bookmarkStart w:id="38" w:name="_Toc349585470"/>
      <w:r w:rsidRPr="00B97064">
        <w:rPr>
          <w:lang w:val="en-GB"/>
        </w:rPr>
        <w:lastRenderedPageBreak/>
        <w:t>3. Empirical research</w:t>
      </w:r>
      <w:bookmarkEnd w:id="37"/>
      <w:bookmarkEnd w:id="38"/>
    </w:p>
    <w:p w:rsidR="007C7F32" w:rsidRPr="00B97064" w:rsidRDefault="007C7F32" w:rsidP="00B00C52">
      <w:pPr>
        <w:pStyle w:val="Heading2"/>
        <w:rPr>
          <w:lang w:val="en-GB"/>
        </w:rPr>
      </w:pPr>
      <w:bookmarkStart w:id="39" w:name="_Toc349585471"/>
      <w:r w:rsidRPr="00B97064">
        <w:rPr>
          <w:lang w:val="en-GB"/>
        </w:rPr>
        <w:t>3.1 Introduction</w:t>
      </w:r>
      <w:bookmarkEnd w:id="39"/>
    </w:p>
    <w:p w:rsidR="007C7F32" w:rsidRPr="00B97064" w:rsidRDefault="007C7F32" w:rsidP="00DB5C18">
      <w:pPr>
        <w:rPr>
          <w:lang w:val="en-GB"/>
        </w:rPr>
      </w:pPr>
      <w:r w:rsidRPr="00B97064">
        <w:rPr>
          <w:lang w:val="en-GB"/>
        </w:rPr>
        <w:t>In this chapter, an overview will be given of the relevant previous conducted empirical studies in the field of RPTs, investor protection, firm value</w:t>
      </w:r>
      <w:r w:rsidR="00251828" w:rsidRPr="00B97064">
        <w:rPr>
          <w:lang w:val="en-GB"/>
        </w:rPr>
        <w:t xml:space="preserve">, </w:t>
      </w:r>
      <w:r w:rsidRPr="00B97064">
        <w:rPr>
          <w:lang w:val="en-GB"/>
        </w:rPr>
        <w:t>disclosure</w:t>
      </w:r>
      <w:r w:rsidR="00251828" w:rsidRPr="00B97064">
        <w:rPr>
          <w:lang w:val="en-GB"/>
        </w:rPr>
        <w:t xml:space="preserve"> and some other corporate governance</w:t>
      </w:r>
      <w:r w:rsidR="00AC089F" w:rsidRPr="00B97064">
        <w:rPr>
          <w:lang w:val="en-GB"/>
        </w:rPr>
        <w:t>-</w:t>
      </w:r>
      <w:r w:rsidR="00251828" w:rsidRPr="00B97064">
        <w:rPr>
          <w:lang w:val="en-GB"/>
        </w:rPr>
        <w:t xml:space="preserve"> and ownership characteristics</w:t>
      </w:r>
      <w:r w:rsidRPr="00B97064">
        <w:rPr>
          <w:lang w:val="en-GB"/>
        </w:rPr>
        <w:t xml:space="preserve">. First of all, the agency problem will be explained. </w:t>
      </w:r>
      <w:r w:rsidR="00310CD0" w:rsidRPr="00B97064">
        <w:rPr>
          <w:lang w:val="en-GB"/>
        </w:rPr>
        <w:t>This theory constitutes the basis of the expropriation of firms’ resources, by making use of RPTs. Firms might try to mask such expropriation by managing their earnings</w:t>
      </w:r>
      <w:r w:rsidR="00141162" w:rsidRPr="00B97064">
        <w:rPr>
          <w:lang w:val="en-GB"/>
        </w:rPr>
        <w:t>.</w:t>
      </w:r>
      <w:r w:rsidR="00310CD0" w:rsidRPr="00B97064">
        <w:rPr>
          <w:lang w:val="en-GB"/>
        </w:rPr>
        <w:t xml:space="preserve"> So, the third section will discuss some</w:t>
      </w:r>
      <w:r w:rsidR="000049D7" w:rsidRPr="00B97064">
        <w:rPr>
          <w:lang w:val="en-GB"/>
        </w:rPr>
        <w:t xml:space="preserve"> studies in</w:t>
      </w:r>
      <w:r w:rsidR="00310CD0" w:rsidRPr="00B97064">
        <w:rPr>
          <w:lang w:val="en-GB"/>
        </w:rPr>
        <w:t xml:space="preserve"> the field of RPTs and earnings</w:t>
      </w:r>
      <w:r w:rsidR="00141162" w:rsidRPr="00B97064">
        <w:rPr>
          <w:lang w:val="en-GB"/>
        </w:rPr>
        <w:t xml:space="preserve"> management</w:t>
      </w:r>
      <w:r w:rsidR="00310CD0" w:rsidRPr="00B97064">
        <w:rPr>
          <w:lang w:val="en-GB"/>
        </w:rPr>
        <w:t xml:space="preserve">. </w:t>
      </w:r>
      <w:r w:rsidR="000049D7" w:rsidRPr="00B97064">
        <w:rPr>
          <w:lang w:val="en-GB"/>
        </w:rPr>
        <w:t>Subsequently,</w:t>
      </w:r>
      <w:r w:rsidR="00310CD0" w:rsidRPr="00B97064">
        <w:rPr>
          <w:lang w:val="en-GB"/>
        </w:rPr>
        <w:t xml:space="preserve"> some studies in the field of</w:t>
      </w:r>
      <w:r w:rsidRPr="00B97064">
        <w:rPr>
          <w:lang w:val="en-GB"/>
        </w:rPr>
        <w:t xml:space="preserve"> RPTs</w:t>
      </w:r>
      <w:r w:rsidR="00310CD0" w:rsidRPr="00B97064">
        <w:rPr>
          <w:lang w:val="en-GB"/>
        </w:rPr>
        <w:t xml:space="preserve"> and</w:t>
      </w:r>
      <w:r w:rsidRPr="00B97064">
        <w:rPr>
          <w:lang w:val="en-GB"/>
        </w:rPr>
        <w:t xml:space="preserve"> firm value will be discussed</w:t>
      </w:r>
      <w:r w:rsidR="003A3AEA" w:rsidRPr="00B97064">
        <w:rPr>
          <w:lang w:val="en-GB"/>
        </w:rPr>
        <w:t>. I</w:t>
      </w:r>
      <w:r w:rsidR="00310CD0" w:rsidRPr="00B97064">
        <w:rPr>
          <w:lang w:val="en-GB"/>
        </w:rPr>
        <w:t>n those studies, RPTs are</w:t>
      </w:r>
      <w:r w:rsidR="003A3AEA" w:rsidRPr="00B97064">
        <w:rPr>
          <w:lang w:val="en-GB"/>
        </w:rPr>
        <w:t xml:space="preserve"> used as</w:t>
      </w:r>
      <w:r w:rsidR="00310CD0" w:rsidRPr="00B97064">
        <w:rPr>
          <w:lang w:val="en-GB"/>
        </w:rPr>
        <w:t xml:space="preserve"> a proxy for the risk of expropriation, so RPTs should have a negative impact on firm value.</w:t>
      </w:r>
      <w:r w:rsidRPr="00B97064">
        <w:rPr>
          <w:lang w:val="en-GB"/>
        </w:rPr>
        <w:t xml:space="preserve"> </w:t>
      </w:r>
      <w:r w:rsidR="00141162" w:rsidRPr="00B97064">
        <w:rPr>
          <w:lang w:val="en-GB"/>
        </w:rPr>
        <w:t xml:space="preserve">This negative impact might be lower in countries with higher investor protection. A higher investor </w:t>
      </w:r>
      <w:r w:rsidR="003A3AEA" w:rsidRPr="00B97064">
        <w:rPr>
          <w:lang w:val="en-GB"/>
        </w:rPr>
        <w:t xml:space="preserve">protection could be achieved by </w:t>
      </w:r>
      <w:r w:rsidR="00141162" w:rsidRPr="00B97064">
        <w:rPr>
          <w:lang w:val="en-GB"/>
        </w:rPr>
        <w:t>more stringent legislation</w:t>
      </w:r>
      <w:r w:rsidR="003A3AEA" w:rsidRPr="00B97064">
        <w:rPr>
          <w:lang w:val="en-GB"/>
        </w:rPr>
        <w:t>, which ensures that firms are obliged to provide more information</w:t>
      </w:r>
      <w:r w:rsidR="00141162" w:rsidRPr="00B97064">
        <w:rPr>
          <w:lang w:val="en-GB"/>
        </w:rPr>
        <w:t>. This might result in a lower cost of capital,</w:t>
      </w:r>
      <w:r w:rsidR="00C30452" w:rsidRPr="00B97064">
        <w:rPr>
          <w:lang w:val="en-GB"/>
        </w:rPr>
        <w:t xml:space="preserve"> due to a decreased risk;</w:t>
      </w:r>
      <w:r w:rsidR="00141162" w:rsidRPr="00B97064">
        <w:rPr>
          <w:lang w:val="en-GB"/>
        </w:rPr>
        <w:t xml:space="preserve"> investors are more willing to provide capital. </w:t>
      </w:r>
      <w:r w:rsidR="003A3AEA" w:rsidRPr="00B97064">
        <w:rPr>
          <w:lang w:val="en-GB"/>
        </w:rPr>
        <w:t>S</w:t>
      </w:r>
      <w:r w:rsidR="00141162" w:rsidRPr="00B97064">
        <w:rPr>
          <w:lang w:val="en-GB"/>
        </w:rPr>
        <w:t xml:space="preserve">ection five will explain </w:t>
      </w:r>
      <w:r w:rsidRPr="00B97064">
        <w:rPr>
          <w:lang w:val="en-GB"/>
        </w:rPr>
        <w:t>empirical research in the field of investor protection legislation a</w:t>
      </w:r>
      <w:r w:rsidR="00141162" w:rsidRPr="00B97064">
        <w:rPr>
          <w:lang w:val="en-GB"/>
        </w:rPr>
        <w:t>nd financial market development</w:t>
      </w:r>
      <w:r w:rsidR="003A3AEA" w:rsidRPr="00B97064">
        <w:rPr>
          <w:lang w:val="en-GB"/>
        </w:rPr>
        <w:t>. This will be followed by a section which is devoted to</w:t>
      </w:r>
      <w:r w:rsidR="000049D7" w:rsidRPr="00B97064">
        <w:rPr>
          <w:lang w:val="en-GB"/>
        </w:rPr>
        <w:t xml:space="preserve"> some studies concerning cross-listing</w:t>
      </w:r>
      <w:r w:rsidR="00141162" w:rsidRPr="00B97064">
        <w:rPr>
          <w:lang w:val="en-GB"/>
        </w:rPr>
        <w:t>; firms may try to decrease their cost of capital by cross-listing in a country with a high investor protection level, for instance the USA</w:t>
      </w:r>
      <w:r w:rsidR="000049D7" w:rsidRPr="00B97064">
        <w:rPr>
          <w:lang w:val="en-GB"/>
        </w:rPr>
        <w:t>.</w:t>
      </w:r>
      <w:r w:rsidRPr="00B97064">
        <w:rPr>
          <w:lang w:val="en-GB"/>
        </w:rPr>
        <w:t xml:space="preserve"> </w:t>
      </w:r>
      <w:r w:rsidR="00D72C9A" w:rsidRPr="00B97064">
        <w:rPr>
          <w:lang w:val="en-GB"/>
        </w:rPr>
        <w:t>The subsequent section will discuss a disclosure</w:t>
      </w:r>
      <w:r w:rsidR="003A3AEA" w:rsidRPr="00B97064">
        <w:rPr>
          <w:lang w:val="en-GB"/>
        </w:rPr>
        <w:t xml:space="preserve"> </w:t>
      </w:r>
      <w:r w:rsidR="00D72C9A" w:rsidRPr="00B97064">
        <w:rPr>
          <w:lang w:val="en-GB"/>
        </w:rPr>
        <w:t>/</w:t>
      </w:r>
      <w:r w:rsidR="003A3AEA" w:rsidRPr="00B97064">
        <w:rPr>
          <w:lang w:val="en-GB"/>
        </w:rPr>
        <w:t xml:space="preserve"> </w:t>
      </w:r>
      <w:r w:rsidR="00D72C9A" w:rsidRPr="00B97064">
        <w:rPr>
          <w:lang w:val="en-GB"/>
        </w:rPr>
        <w:t xml:space="preserve">compliance study. </w:t>
      </w:r>
      <w:r w:rsidRPr="00B97064">
        <w:rPr>
          <w:lang w:val="en-GB"/>
        </w:rPr>
        <w:t>Furthermore, empirical research in the field of the relation between some corporate governance</w:t>
      </w:r>
      <w:r w:rsidR="003A3AEA" w:rsidRPr="00B97064">
        <w:rPr>
          <w:lang w:val="en-GB"/>
        </w:rPr>
        <w:t xml:space="preserve">- and </w:t>
      </w:r>
      <w:r w:rsidRPr="00B97064">
        <w:rPr>
          <w:lang w:val="en-GB"/>
        </w:rPr>
        <w:t>firm characteristics and firm value will be discussed.</w:t>
      </w:r>
      <w:r w:rsidR="003A3AEA" w:rsidRPr="00B97064">
        <w:rPr>
          <w:lang w:val="en-GB"/>
        </w:rPr>
        <w:t xml:space="preserve"> Some characteristics might have a stimulatory effect on RPTs or firm value, others might have an inhibitory effect.</w:t>
      </w:r>
      <w:r w:rsidRPr="00B97064">
        <w:rPr>
          <w:lang w:val="en-GB"/>
        </w:rPr>
        <w:t xml:space="preserve"> Finally, a short summary will be given.</w:t>
      </w:r>
    </w:p>
    <w:p w:rsidR="007C7F32" w:rsidRPr="00B97064" w:rsidRDefault="007C7F32" w:rsidP="00DB5C18">
      <w:pPr>
        <w:pStyle w:val="Heading2"/>
        <w:rPr>
          <w:lang w:val="en-GB"/>
        </w:rPr>
      </w:pPr>
      <w:bookmarkStart w:id="40" w:name="_Toc349585472"/>
      <w:r w:rsidRPr="00B97064">
        <w:rPr>
          <w:lang w:val="en-GB"/>
        </w:rPr>
        <w:t>3.2 Agency problem</w:t>
      </w:r>
      <w:bookmarkEnd w:id="40"/>
    </w:p>
    <w:p w:rsidR="007C7F32" w:rsidRPr="00B97064" w:rsidRDefault="007C7F32" w:rsidP="00DB5C18">
      <w:pPr>
        <w:rPr>
          <w:lang w:val="en-GB"/>
        </w:rPr>
      </w:pPr>
      <w:r w:rsidRPr="00B97064">
        <w:rPr>
          <w:lang w:val="en-GB"/>
        </w:rPr>
        <w:t xml:space="preserve">As explained in section </w:t>
      </w:r>
      <w:fldSimple w:instr=" REF _Ref340589320 \h  \* MERGEFORMAT ">
        <w:r w:rsidR="00944DD0" w:rsidRPr="00B97064">
          <w:rPr>
            <w:lang w:val="en-GB"/>
          </w:rPr>
          <w:t>2.2.4 Board systems</w:t>
        </w:r>
      </w:fldSimple>
      <w:r w:rsidR="00AC089F" w:rsidRPr="00B97064">
        <w:rPr>
          <w:lang w:val="en-GB"/>
        </w:rPr>
        <w:t xml:space="preserve"> </w:t>
      </w:r>
      <w:r w:rsidRPr="00B97064">
        <w:rPr>
          <w:lang w:val="en-GB"/>
        </w:rPr>
        <w:t>in the previous chapter, ownership and control are separated in Dutch listed companies. The board of directors (</w:t>
      </w:r>
      <w:r w:rsidR="00453431" w:rsidRPr="00B97064">
        <w:rPr>
          <w:lang w:val="en-GB"/>
        </w:rPr>
        <w:t xml:space="preserve">or </w:t>
      </w:r>
      <w:r w:rsidRPr="00B97064">
        <w:rPr>
          <w:lang w:val="en-GB"/>
        </w:rPr>
        <w:t>executive officers) is responsible for daily management, while the shareholders hold a financial interest in the company. This separation could lead to conflicts of interest, which is better known as the agency problem. The agency theory is the underlying theory behind the expropriation of firms’ resources by firms’ management.</w:t>
      </w:r>
    </w:p>
    <w:p w:rsidR="007C7F32" w:rsidRPr="00B97064" w:rsidRDefault="007C7F32" w:rsidP="00DB5C18">
      <w:pPr>
        <w:rPr>
          <w:lang w:val="en-GB"/>
        </w:rPr>
      </w:pPr>
    </w:p>
    <w:p w:rsidR="007C7F32" w:rsidRPr="00B97064" w:rsidRDefault="007C7F32" w:rsidP="00DB5C18">
      <w:pPr>
        <w:rPr>
          <w:lang w:val="en-GB"/>
        </w:rPr>
      </w:pPr>
      <w:r w:rsidRPr="00B97064">
        <w:rPr>
          <w:lang w:val="en-GB"/>
        </w:rPr>
        <w:t xml:space="preserve">The agency problem is defined as a problem which arises due to different interests of the principal on the one hand and the agent on the other hand. The principal hires the agent to represent his interests. However, individuals are driven by self-interest, so principals as well </w:t>
      </w:r>
      <w:r w:rsidRPr="00B97064">
        <w:rPr>
          <w:lang w:val="en-GB"/>
        </w:rPr>
        <w:lastRenderedPageBreak/>
        <w:t xml:space="preserve">as agents will strive for their own goals. Since those goals are not always the same, the principal should motivate the agent to act in the principals’ interest. To achieve this, costs are made, called </w:t>
      </w:r>
      <w:r w:rsidRPr="00B97064">
        <w:rPr>
          <w:i/>
          <w:lang w:val="en-GB"/>
        </w:rPr>
        <w:t>agency costs</w:t>
      </w:r>
      <w:r w:rsidR="00C30452" w:rsidRPr="00B97064">
        <w:rPr>
          <w:lang w:val="en-GB"/>
        </w:rPr>
        <w:t>.</w:t>
      </w:r>
    </w:p>
    <w:p w:rsidR="007C7F32" w:rsidRPr="00B97064" w:rsidRDefault="007C7F32" w:rsidP="00DB5C18">
      <w:pPr>
        <w:rPr>
          <w:lang w:val="en-GB"/>
        </w:rPr>
      </w:pPr>
    </w:p>
    <w:p w:rsidR="007C7F32" w:rsidRPr="00B97064" w:rsidRDefault="007C7F32" w:rsidP="00DB5C18">
      <w:pPr>
        <w:rPr>
          <w:lang w:val="en-GB"/>
        </w:rPr>
      </w:pPr>
      <w:r w:rsidRPr="00B97064">
        <w:rPr>
          <w:lang w:val="en-GB"/>
        </w:rPr>
        <w:t xml:space="preserve">Jensen and Meckling (1976) explained that the principal agent problem may occur within firms. A firm is sometimes considered to be </w:t>
      </w:r>
      <w:r w:rsidRPr="00B97064">
        <w:rPr>
          <w:i/>
          <w:lang w:val="en-GB"/>
        </w:rPr>
        <w:t xml:space="preserve">”a </w:t>
      </w:r>
      <w:r w:rsidR="00C30452" w:rsidRPr="00B97064">
        <w:rPr>
          <w:i/>
          <w:lang w:val="en-GB"/>
        </w:rPr>
        <w:t>“</w:t>
      </w:r>
      <w:r w:rsidRPr="00B97064">
        <w:rPr>
          <w:i/>
          <w:lang w:val="en-GB"/>
        </w:rPr>
        <w:t>black box” operated so as to meet the relevant marginal conditions with respect to inputs and outputs, thereby maximizing profits, or more accurately, present value</w:t>
      </w:r>
      <w:r w:rsidRPr="00B97064">
        <w:rPr>
          <w:lang w:val="en-GB"/>
        </w:rPr>
        <w:t>” (Jensen &amp; Meckling, 1976, p. 306-307) or as “</w:t>
      </w:r>
      <w:r w:rsidRPr="00B97064">
        <w:rPr>
          <w:i/>
          <w:lang w:val="en-GB"/>
        </w:rPr>
        <w:t xml:space="preserve">one form of legal fiction which serves as a nexus for contracting relationships…” </w:t>
      </w:r>
      <w:r w:rsidRPr="00B97064">
        <w:rPr>
          <w:lang w:val="en-GB"/>
        </w:rPr>
        <w:t>(Jensen &amp; Meckling, 1976, p. 311). In public firms, ownership and control are separated; the shareholders are the owners of the firm, but firms’ board of directors executes daily management. So, the shareholders delegate some of their competences (decision making) to the board. The separation of ownership and control causes the agency problem. Also in this case, the two parties are driven by self-interest; firm owners (principals) strive for maximization of profits</w:t>
      </w:r>
      <w:r w:rsidR="00C30452" w:rsidRPr="00B97064">
        <w:rPr>
          <w:lang w:val="en-GB"/>
        </w:rPr>
        <w:t xml:space="preserve"> </w:t>
      </w:r>
      <w:r w:rsidRPr="00B97064">
        <w:rPr>
          <w:lang w:val="en-GB"/>
        </w:rPr>
        <w:t>/</w:t>
      </w:r>
      <w:r w:rsidR="00C30452" w:rsidRPr="00B97064">
        <w:rPr>
          <w:lang w:val="en-GB"/>
        </w:rPr>
        <w:t xml:space="preserve"> </w:t>
      </w:r>
      <w:r w:rsidRPr="00B97064">
        <w:rPr>
          <w:lang w:val="en-GB"/>
        </w:rPr>
        <w:t>firm value, while the board (agents) strive for maximization of their own compensation. Furthermore, the board has more information compared to the shareholders (information asymmetry), so it is difficult for the shareholders to monitor whether the board acts in the interest of the shareholders or own interest. To converge the objectives of the board to the objectives of the shareholders, some incentives could be given to the board. One option is depend</w:t>
      </w:r>
      <w:r w:rsidR="00370E41">
        <w:rPr>
          <w:lang w:val="en-GB"/>
        </w:rPr>
        <w:t>ing</w:t>
      </w:r>
      <w:r w:rsidRPr="00B97064">
        <w:rPr>
          <w:lang w:val="en-GB"/>
        </w:rPr>
        <w:t xml:space="preserve"> the compen</w:t>
      </w:r>
      <w:r w:rsidR="00C30452" w:rsidRPr="00B97064">
        <w:rPr>
          <w:lang w:val="en-GB"/>
        </w:rPr>
        <w:t>sation of board members on firm</w:t>
      </w:r>
      <w:r w:rsidRPr="00B97064">
        <w:rPr>
          <w:lang w:val="en-GB"/>
        </w:rPr>
        <w:t>s</w:t>
      </w:r>
      <w:r w:rsidR="00C30452" w:rsidRPr="00B97064">
        <w:rPr>
          <w:lang w:val="en-GB"/>
        </w:rPr>
        <w:t>’</w:t>
      </w:r>
      <w:r w:rsidRPr="00B97064">
        <w:rPr>
          <w:lang w:val="en-GB"/>
        </w:rPr>
        <w:t xml:space="preserve"> profit</w:t>
      </w:r>
      <w:r w:rsidR="00C30452" w:rsidRPr="00B97064">
        <w:rPr>
          <w:lang w:val="en-GB"/>
        </w:rPr>
        <w:t xml:space="preserve"> </w:t>
      </w:r>
      <w:r w:rsidRPr="00B97064">
        <w:rPr>
          <w:lang w:val="en-GB"/>
        </w:rPr>
        <w:t>/</w:t>
      </w:r>
      <w:r w:rsidR="00C30452" w:rsidRPr="00B97064">
        <w:rPr>
          <w:lang w:val="en-GB"/>
        </w:rPr>
        <w:t xml:space="preserve"> firm value. A</w:t>
      </w:r>
      <w:r w:rsidRPr="00B97064">
        <w:rPr>
          <w:lang w:val="en-GB"/>
        </w:rPr>
        <w:t>nother option is to monitor the decision making of the board by the supervisory board or the non-executive board members.</w:t>
      </w:r>
    </w:p>
    <w:p w:rsidR="007C7F32" w:rsidRPr="00B97064" w:rsidRDefault="007C7F32" w:rsidP="00DB5C18">
      <w:pPr>
        <w:rPr>
          <w:lang w:val="en-GB"/>
        </w:rPr>
      </w:pPr>
    </w:p>
    <w:p w:rsidR="007C7F32" w:rsidRPr="00B97064" w:rsidRDefault="007C7F32" w:rsidP="00DB5C18">
      <w:pPr>
        <w:rPr>
          <w:lang w:val="en-GB"/>
        </w:rPr>
      </w:pPr>
      <w:r w:rsidRPr="00B97064">
        <w:rPr>
          <w:lang w:val="en-GB"/>
        </w:rPr>
        <w:t>The agency problem also holds for controlling or main shareholders against minority shareholders. Again there is a mismatch between the interests of the controlling or main shareholder and the minority shareholders, for example when the firm enters into RPTs with the controlling</w:t>
      </w:r>
      <w:r w:rsidR="00C30452" w:rsidRPr="00B97064">
        <w:rPr>
          <w:lang w:val="en-GB"/>
        </w:rPr>
        <w:t xml:space="preserve"> </w:t>
      </w:r>
      <w:r w:rsidRPr="00B97064">
        <w:rPr>
          <w:lang w:val="en-GB"/>
        </w:rPr>
        <w:t>/</w:t>
      </w:r>
      <w:r w:rsidR="00C30452" w:rsidRPr="00B97064">
        <w:rPr>
          <w:lang w:val="en-GB"/>
        </w:rPr>
        <w:t xml:space="preserve"> </w:t>
      </w:r>
      <w:r w:rsidRPr="00B97064">
        <w:rPr>
          <w:lang w:val="en-GB"/>
        </w:rPr>
        <w:t>main shareholder.</w:t>
      </w:r>
    </w:p>
    <w:p w:rsidR="007C7F32" w:rsidRPr="00B97064" w:rsidRDefault="007C7F32" w:rsidP="002C0B7D">
      <w:pPr>
        <w:pStyle w:val="Heading2"/>
        <w:rPr>
          <w:lang w:val="en-GB"/>
        </w:rPr>
      </w:pPr>
      <w:bookmarkStart w:id="41" w:name="_Toc340062254"/>
      <w:bookmarkStart w:id="42" w:name="_Toc349585473"/>
      <w:r w:rsidRPr="00B97064">
        <w:rPr>
          <w:lang w:val="en-GB"/>
        </w:rPr>
        <w:t>3.3 RPTs and earnings management</w:t>
      </w:r>
      <w:bookmarkEnd w:id="41"/>
      <w:bookmarkEnd w:id="42"/>
    </w:p>
    <w:p w:rsidR="007C7F32" w:rsidRPr="00B97064" w:rsidRDefault="007C7F32" w:rsidP="002C0B7D">
      <w:pPr>
        <w:rPr>
          <w:lang w:val="en-GB"/>
        </w:rPr>
      </w:pPr>
      <w:r w:rsidRPr="00B97064">
        <w:rPr>
          <w:lang w:val="en-GB"/>
        </w:rPr>
        <w:t xml:space="preserve">As mentioned in the previous section, the board may act in their own interest; the board tries to maximize their own wealth at the expense of shareholders, an example of the earlier mentioned agency theory. RPTs could be used by the management of the firm to enrich themselves at the cost of the firm. To mask such expropriation, the management will probably try to manage earnings. Alternatively, </w:t>
      </w:r>
      <w:r w:rsidRPr="00B97064">
        <w:rPr>
          <w:rFonts w:cs="Arial"/>
          <w:szCs w:val="22"/>
          <w:lang w:val="en-GB"/>
        </w:rPr>
        <w:t>related party transactions could also be based on legitimate grounds (commercial purposes)</w:t>
      </w:r>
      <w:r w:rsidRPr="00B97064">
        <w:rPr>
          <w:lang w:val="en-GB"/>
        </w:rPr>
        <w:t>. Those transactions do not need to be masked, so there is no reason to manage earnings. This section will discuss some studies in the field of RPTs and earnings management.</w:t>
      </w:r>
    </w:p>
    <w:p w:rsidR="007C7F32" w:rsidRPr="00B97064" w:rsidRDefault="007C7F32" w:rsidP="002C0B7D">
      <w:pPr>
        <w:rPr>
          <w:lang w:val="en-GB"/>
        </w:rPr>
      </w:pPr>
      <w:r w:rsidRPr="00B97064">
        <w:rPr>
          <w:lang w:val="en-GB"/>
        </w:rPr>
        <w:lastRenderedPageBreak/>
        <w:t>Gordon and Henry (2005) examined whether there is a correlation between RPTs and earnings management, the latter measured by adjusted absolute abnormal accruals. They investigated the relation between</w:t>
      </w:r>
      <w:r w:rsidR="00420E90" w:rsidRPr="00B97064">
        <w:rPr>
          <w:lang w:val="en-GB"/>
        </w:rPr>
        <w:t xml:space="preserve"> earnings management and</w:t>
      </w:r>
      <w:r w:rsidRPr="00B97064">
        <w:rPr>
          <w:lang w:val="en-GB"/>
        </w:rPr>
        <w:t>:</w:t>
      </w:r>
    </w:p>
    <w:p w:rsidR="007C7F32" w:rsidRPr="00B97064" w:rsidRDefault="007C7F32" w:rsidP="00C140CF">
      <w:pPr>
        <w:numPr>
          <w:ilvl w:val="0"/>
          <w:numId w:val="7"/>
        </w:numPr>
        <w:rPr>
          <w:lang w:val="en-GB"/>
        </w:rPr>
      </w:pPr>
      <w:r w:rsidRPr="00B97064">
        <w:rPr>
          <w:lang w:val="en-GB"/>
        </w:rPr>
        <w:t>different types of RPTs;</w:t>
      </w:r>
    </w:p>
    <w:p w:rsidR="007C7F32" w:rsidRPr="00B97064" w:rsidRDefault="007C7F32" w:rsidP="00C140CF">
      <w:pPr>
        <w:numPr>
          <w:ilvl w:val="0"/>
          <w:numId w:val="7"/>
        </w:numPr>
        <w:rPr>
          <w:lang w:val="en-GB"/>
        </w:rPr>
      </w:pPr>
      <w:r w:rsidRPr="00B97064">
        <w:rPr>
          <w:lang w:val="en-GB"/>
        </w:rPr>
        <w:t>RPTs classified by type of related party;</w:t>
      </w:r>
    </w:p>
    <w:p w:rsidR="00420E90" w:rsidRPr="00B97064" w:rsidRDefault="007C7F32" w:rsidP="00C140CF">
      <w:pPr>
        <w:numPr>
          <w:ilvl w:val="0"/>
          <w:numId w:val="7"/>
        </w:numPr>
        <w:rPr>
          <w:lang w:val="en-GB"/>
        </w:rPr>
      </w:pPr>
      <w:r w:rsidRPr="00B97064">
        <w:rPr>
          <w:lang w:val="en-GB"/>
        </w:rPr>
        <w:t>total number of RPTs per firm</w:t>
      </w:r>
      <w:r w:rsidR="00420E90" w:rsidRPr="00B97064">
        <w:rPr>
          <w:lang w:val="en-GB"/>
        </w:rPr>
        <w:t>.</w:t>
      </w:r>
      <w:r w:rsidRPr="00B97064">
        <w:rPr>
          <w:lang w:val="en-GB"/>
        </w:rPr>
        <w:t xml:space="preserve"> </w:t>
      </w:r>
    </w:p>
    <w:p w:rsidR="007C7F32" w:rsidRPr="00B97064" w:rsidRDefault="007C7F32" w:rsidP="002C0B7D">
      <w:pPr>
        <w:rPr>
          <w:lang w:val="en-GB"/>
        </w:rPr>
      </w:pPr>
      <w:r w:rsidRPr="00B97064">
        <w:rPr>
          <w:lang w:val="en-GB"/>
        </w:rPr>
        <w:t xml:space="preserve">Their sample consisted of 331 US listed companies for the years 2000 and 2001. They demonstrated that one type of RPTs is significant positively related with earnings management. This type of RPT is fixed-rate financing from related parties. They also discovered that there are some types of RPTs significant negatively related with earnings management, namely direct or indirect transactions with executive board members and the provision of management services. This refutes the theory that management tries to mask expropriation by managing earnings. They also proved that earnings management is not associated with the following types of RPTs: investment banking, real estate and purchases, direct services and loans. In addition, they found no relation between </w:t>
      </w:r>
      <w:r w:rsidRPr="00B97064">
        <w:rPr>
          <w:i/>
          <w:lang w:val="en-GB"/>
        </w:rPr>
        <w:t>the number of</w:t>
      </w:r>
      <w:r w:rsidRPr="00B97064">
        <w:rPr>
          <w:lang w:val="en-GB"/>
        </w:rPr>
        <w:t xml:space="preserve"> RPTs per firm and earnings management. So overall, only some types of RPTs are related with earnings management. This conclusion could not be argued for RPTs in general.</w:t>
      </w:r>
    </w:p>
    <w:p w:rsidR="007C7F32" w:rsidRPr="00B97064" w:rsidRDefault="007C7F32" w:rsidP="002C0B7D">
      <w:pPr>
        <w:rPr>
          <w:lang w:val="en-GB"/>
        </w:rPr>
      </w:pPr>
    </w:p>
    <w:p w:rsidR="007C7F32" w:rsidRPr="00B97064" w:rsidRDefault="007C7F32" w:rsidP="002C0B7D">
      <w:pPr>
        <w:rPr>
          <w:lang w:val="en-GB"/>
        </w:rPr>
      </w:pPr>
      <w:r w:rsidRPr="00B97064">
        <w:rPr>
          <w:lang w:val="en-GB"/>
        </w:rPr>
        <w:t>The research of Chen et al. (2011) investigated RPTs during</w:t>
      </w:r>
      <w:r w:rsidR="00C30452" w:rsidRPr="00B97064">
        <w:rPr>
          <w:lang w:val="en-GB"/>
        </w:rPr>
        <w:t xml:space="preserve"> </w:t>
      </w:r>
      <w:r w:rsidRPr="00B97064">
        <w:rPr>
          <w:lang w:val="en-GB"/>
        </w:rPr>
        <w:t>Initial Public Offering (IPO) periods, also in the context of earnings management. The sample consisted of 257 Chinese firms in the period 1999-2000. They found that firms in an IPO period entered into more operational RPTs and manage accruals to increase operational results. After the IPO, the amount of operational RPTs decreased, with negative consequences for the operational results of those firms. This indicates the use of RPTs for opportunistic purposes of the firms’ management.</w:t>
      </w:r>
    </w:p>
    <w:p w:rsidR="007C7F32" w:rsidRPr="00B97064" w:rsidRDefault="007C7F32" w:rsidP="002C0B7D">
      <w:pPr>
        <w:rPr>
          <w:lang w:val="en-GB"/>
        </w:rPr>
      </w:pPr>
    </w:p>
    <w:p w:rsidR="007C7F32" w:rsidRPr="00B97064" w:rsidRDefault="007C7F32" w:rsidP="00DB5C18">
      <w:pPr>
        <w:rPr>
          <w:lang w:val="en-GB"/>
        </w:rPr>
      </w:pPr>
      <w:r w:rsidRPr="00B97064">
        <w:rPr>
          <w:lang w:val="en-GB"/>
        </w:rPr>
        <w:t>Generally speaking, above mentioned researches are not unambiguous. Chen et al. (2011) concluded that there is a positive relation between RPTs and earnings management; RPTs are used to manage earnings during IPO periods. However, Gordon and Henry (2005) demonstrated that there was only a positive relation between one type of RPTs, namely fixed rate financing and earnings management. They found a negative relation between transactions with executive board members or the provision of management services and earnings management.</w:t>
      </w:r>
    </w:p>
    <w:p w:rsidR="007C7F32" w:rsidRPr="00B97064" w:rsidRDefault="007C7F32" w:rsidP="00DB5C18">
      <w:pPr>
        <w:pStyle w:val="Heading2"/>
        <w:rPr>
          <w:lang w:val="en-GB"/>
        </w:rPr>
      </w:pPr>
      <w:bookmarkStart w:id="43" w:name="_Toc340062255"/>
      <w:bookmarkStart w:id="44" w:name="_Ref340582962"/>
      <w:bookmarkStart w:id="45" w:name="_Ref349076058"/>
      <w:bookmarkStart w:id="46" w:name="_Ref349308134"/>
      <w:bookmarkStart w:id="47" w:name="_Toc349585474"/>
      <w:r w:rsidRPr="00B97064">
        <w:rPr>
          <w:lang w:val="en-GB"/>
        </w:rPr>
        <w:t>3.4 RPTs and firm value</w:t>
      </w:r>
      <w:bookmarkEnd w:id="43"/>
      <w:bookmarkEnd w:id="44"/>
      <w:bookmarkEnd w:id="45"/>
      <w:bookmarkEnd w:id="46"/>
      <w:bookmarkEnd w:id="47"/>
    </w:p>
    <w:p w:rsidR="007C7F32" w:rsidRPr="00B97064" w:rsidRDefault="007C7F32" w:rsidP="00DB5C18">
      <w:pPr>
        <w:rPr>
          <w:lang w:val="en-GB"/>
        </w:rPr>
      </w:pPr>
      <w:r w:rsidRPr="00B97064">
        <w:rPr>
          <w:lang w:val="en-GB"/>
        </w:rPr>
        <w:t>RPTs are associated with expropriation of a firm’s resources; the management or main shareholder of a firm can arrogate firms’ assets by entering in</w:t>
      </w:r>
      <w:r w:rsidR="00730E55" w:rsidRPr="00B97064">
        <w:rPr>
          <w:lang w:val="en-GB"/>
        </w:rPr>
        <w:t>to</w:t>
      </w:r>
      <w:r w:rsidRPr="00B97064">
        <w:rPr>
          <w:lang w:val="en-GB"/>
        </w:rPr>
        <w:t xml:space="preserve"> RPTs. By applying a price </w:t>
      </w:r>
      <w:r w:rsidRPr="00B97064">
        <w:rPr>
          <w:lang w:val="en-GB"/>
        </w:rPr>
        <w:lastRenderedPageBreak/>
        <w:t xml:space="preserve">which is not at arm’s length, the firm is disadvantaged, which is, at the end, a disadvantage for the (minority) shareholder. This risk may occur in case firms enter into RPTs. So, investors may associate RPTs with fraud/ expropriation, which have a negative effect on firm value. </w:t>
      </w:r>
      <w:r w:rsidRPr="00B97064">
        <w:rPr>
          <w:rFonts w:cs="Arial"/>
          <w:szCs w:val="22"/>
          <w:lang w:val="en-GB"/>
        </w:rPr>
        <w:t>The risk of expropriation has a negative effect on the marketability of the securities. So, entering into RPTs should result in a reduction of the value of the securities, which has a negative effect on a firm’s market value. In this section, some studies in the field of RPTs and firm value will be discussed.</w:t>
      </w:r>
    </w:p>
    <w:p w:rsidR="007C7F32" w:rsidRPr="00B97064" w:rsidRDefault="007C7F32" w:rsidP="00DB5C18">
      <w:pPr>
        <w:rPr>
          <w:rFonts w:cs="Arial"/>
          <w:szCs w:val="22"/>
          <w:lang w:val="en-GB"/>
        </w:rPr>
      </w:pPr>
    </w:p>
    <w:p w:rsidR="007C7F32" w:rsidRPr="00B97064" w:rsidRDefault="007C7F32" w:rsidP="00DB5C18">
      <w:pPr>
        <w:rPr>
          <w:rFonts w:cs="Arial"/>
          <w:szCs w:val="22"/>
          <w:lang w:val="en-GB"/>
        </w:rPr>
      </w:pPr>
      <w:proofErr w:type="spellStart"/>
      <w:r w:rsidRPr="00B97064">
        <w:rPr>
          <w:rFonts w:cs="Arial"/>
          <w:szCs w:val="22"/>
          <w:lang w:val="en-GB"/>
        </w:rPr>
        <w:t>Kohlbeck</w:t>
      </w:r>
      <w:proofErr w:type="spellEnd"/>
      <w:r w:rsidRPr="00B97064">
        <w:rPr>
          <w:rFonts w:cs="Arial"/>
          <w:szCs w:val="22"/>
          <w:lang w:val="en-GB"/>
        </w:rPr>
        <w:t xml:space="preserve"> and Mayhew (2010) investigated whether firms which disclosed RPTs have a significant lower stock market valuation compared to those which did not disclose RPTs. Their sample consisted of S&amp;P 1500 firms in 2001 (the pre SOx year). After elimination of some missing data, the final sample consisted of 1,194 firms. The data was hand collected. Kohlbeck and Mayhew used Tobin’s Q as a measure for a firm’s market valuation. They proved that firms which enter in</w:t>
      </w:r>
      <w:r w:rsidR="0080039A" w:rsidRPr="00B97064">
        <w:rPr>
          <w:rFonts w:cs="Arial"/>
          <w:szCs w:val="22"/>
          <w:lang w:val="en-GB"/>
        </w:rPr>
        <w:t>to</w:t>
      </w:r>
      <w:r w:rsidRPr="00B97064">
        <w:rPr>
          <w:rFonts w:cs="Arial"/>
          <w:szCs w:val="22"/>
          <w:lang w:val="en-GB"/>
        </w:rPr>
        <w:t xml:space="preserve"> RPTs have a significant lower market value and subsequent return, compared to non-RPT firms; the market value of RPT firms is 8 percent lower. The lower subsequent return indicated that investors in RPT firms are not compensated for the lower market value in subsequent years. Research in the field of transaction types (nature and type of related party) proved that the negative effect on market value is mainly driven by loans and simple transactions with directors, officers and shareholders.</w:t>
      </w:r>
    </w:p>
    <w:p w:rsidR="007C7F32" w:rsidRPr="00B97064" w:rsidRDefault="007C7F32" w:rsidP="00DB5C18">
      <w:pPr>
        <w:rPr>
          <w:rFonts w:cs="Arial"/>
          <w:szCs w:val="22"/>
          <w:lang w:val="en-GB"/>
        </w:rPr>
      </w:pPr>
    </w:p>
    <w:p w:rsidR="007C7F32" w:rsidRPr="00B97064" w:rsidRDefault="007C7F32" w:rsidP="00DB5C18">
      <w:pPr>
        <w:rPr>
          <w:rFonts w:cs="Arial"/>
          <w:szCs w:val="22"/>
          <w:lang w:val="en-GB"/>
        </w:rPr>
      </w:pP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(2011) also investigated the effect of RPTs on firm value. Their sample consisted of 85 companies listed on the Paris Stock Exchange during the period 2002-2005. Their research consisted of two parts; they investigated the effect of different variables (including the number of RPTs) on firm value as well as the effect of different variables on the number of RPTs (see for the results of the second part section </w:t>
      </w:r>
      <w:fldSimple w:instr=" REF _Ref340568510 \h  \* MERGEFORMAT ">
        <w:r w:rsidR="00944DD0" w:rsidRPr="00B97064">
          <w:rPr>
            <w:lang w:val="en-GB"/>
          </w:rPr>
          <w:t>3.8.1 General</w:t>
        </w:r>
      </w:fldSimple>
      <w:r w:rsidRPr="00B97064">
        <w:rPr>
          <w:rFonts w:cs="Arial"/>
          <w:szCs w:val="22"/>
          <w:lang w:val="en-GB"/>
        </w:rPr>
        <w:t>). The total number of RPTs was divided in two different types; RPTs with directors, managers and main shareholder and RPTs with subsidiaries and affiliated companies. Hereafter, the RPTs with directors, managers and main shareholder were split up in two subcategories; direct transactions with main shareholders, directors and managers and indirect transactions with main shareholders, directors and managers (via subsidiaries and affiliated companies). As Kohlbeck and M</w:t>
      </w:r>
      <w:r w:rsidR="005C1A0C" w:rsidRPr="00B97064">
        <w:rPr>
          <w:rFonts w:cs="Arial"/>
          <w:szCs w:val="22"/>
          <w:lang w:val="en-GB"/>
        </w:rPr>
        <w:t>a</w:t>
      </w:r>
      <w:r w:rsidRPr="00B97064">
        <w:rPr>
          <w:rFonts w:cs="Arial"/>
          <w:szCs w:val="22"/>
          <w:lang w:val="en-GB"/>
        </w:rPr>
        <w:t>yhew (2010), they found</w:t>
      </w:r>
      <w:r w:rsidR="00AF786E" w:rsidRPr="00B97064">
        <w:rPr>
          <w:rFonts w:cs="Arial"/>
          <w:szCs w:val="22"/>
          <w:lang w:val="en-GB"/>
        </w:rPr>
        <w:t xml:space="preserve"> </w:t>
      </w:r>
      <w:r w:rsidR="005C1A0C" w:rsidRPr="00B97064">
        <w:rPr>
          <w:rFonts w:cs="Arial"/>
          <w:szCs w:val="22"/>
          <w:lang w:val="en-GB"/>
        </w:rPr>
        <w:t xml:space="preserve">a </w:t>
      </w:r>
      <w:r w:rsidR="00AF786E" w:rsidRPr="00B97064">
        <w:rPr>
          <w:rFonts w:cs="Arial"/>
          <w:szCs w:val="22"/>
          <w:lang w:val="en-GB"/>
        </w:rPr>
        <w:t>negative relat</w:t>
      </w:r>
      <w:r w:rsidR="005C1A0C" w:rsidRPr="00B97064">
        <w:rPr>
          <w:rFonts w:cs="Arial"/>
          <w:szCs w:val="22"/>
          <w:lang w:val="en-GB"/>
        </w:rPr>
        <w:t>ion between RPTs and firm value;</w:t>
      </w:r>
      <w:r w:rsidR="00AF786E" w:rsidRPr="00B97064">
        <w:rPr>
          <w:rFonts w:cs="Arial"/>
          <w:szCs w:val="22"/>
          <w:lang w:val="en-GB"/>
        </w:rPr>
        <w:t xml:space="preserve"> they found</w:t>
      </w:r>
      <w:r w:rsidRPr="00B97064">
        <w:rPr>
          <w:rFonts w:cs="Arial"/>
          <w:szCs w:val="22"/>
          <w:lang w:val="en-GB"/>
        </w:rPr>
        <w:t xml:space="preserve"> that </w:t>
      </w:r>
      <w:r w:rsidRPr="00B97064">
        <w:rPr>
          <w:rFonts w:cs="Arial"/>
          <w:i/>
          <w:szCs w:val="22"/>
          <w:lang w:val="en-GB"/>
        </w:rPr>
        <w:t>total number</w:t>
      </w:r>
      <w:r w:rsidRPr="00B97064">
        <w:rPr>
          <w:rFonts w:cs="Arial"/>
          <w:szCs w:val="22"/>
          <w:lang w:val="en-GB"/>
        </w:rPr>
        <w:t xml:space="preserve"> of RPTs negatively affects firm value </w:t>
      </w:r>
      <w:r w:rsidR="00AF786E" w:rsidRPr="00B97064">
        <w:rPr>
          <w:rFonts w:cs="Arial"/>
          <w:szCs w:val="22"/>
          <w:lang w:val="en-GB"/>
        </w:rPr>
        <w:t>(</w:t>
      </w:r>
      <w:r w:rsidRPr="00B97064">
        <w:rPr>
          <w:rFonts w:cs="Arial"/>
          <w:szCs w:val="22"/>
          <w:lang w:val="en-GB"/>
        </w:rPr>
        <w:t>the latter again measured by Tobin’s Q</w:t>
      </w:r>
      <w:r w:rsidR="00AF786E" w:rsidRPr="00B97064">
        <w:rPr>
          <w:rFonts w:cs="Arial"/>
          <w:szCs w:val="22"/>
          <w:lang w:val="en-GB"/>
        </w:rPr>
        <w:t>)</w:t>
      </w:r>
      <w:r w:rsidRPr="00B97064">
        <w:rPr>
          <w:rFonts w:cs="Arial"/>
          <w:szCs w:val="22"/>
          <w:lang w:val="en-GB"/>
        </w:rPr>
        <w:t>. They discovered this effect was mainly caused by direct transactions with main shareholders, directors and managers, not by indirect transactions via subsidiaries and</w:t>
      </w:r>
      <w:r w:rsidR="005C1A0C" w:rsidRPr="00B97064">
        <w:rPr>
          <w:rFonts w:cs="Arial"/>
          <w:szCs w:val="22"/>
          <w:lang w:val="en-GB"/>
        </w:rPr>
        <w:t xml:space="preserve"> </w:t>
      </w:r>
      <w:r w:rsidRPr="00B97064">
        <w:rPr>
          <w:rFonts w:cs="Arial"/>
          <w:szCs w:val="22"/>
          <w:lang w:val="en-GB"/>
        </w:rPr>
        <w:t>/</w:t>
      </w:r>
      <w:r w:rsidR="005C1A0C" w:rsidRPr="00B97064">
        <w:rPr>
          <w:rFonts w:cs="Arial"/>
          <w:szCs w:val="22"/>
          <w:lang w:val="en-GB"/>
        </w:rPr>
        <w:t xml:space="preserve"> </w:t>
      </w:r>
      <w:r w:rsidRPr="00B97064">
        <w:rPr>
          <w:rFonts w:cs="Arial"/>
          <w:szCs w:val="22"/>
          <w:lang w:val="en-GB"/>
        </w:rPr>
        <w:t xml:space="preserve">or affiliated companies. This is in line with the finding of Kohlbeck and Mayhew (2010), who also found that the negative effect on market value is mainly driven by transactions with </w:t>
      </w:r>
      <w:r w:rsidRPr="00B97064">
        <w:rPr>
          <w:rFonts w:cs="Arial"/>
          <w:szCs w:val="22"/>
          <w:lang w:val="en-GB"/>
        </w:rPr>
        <w:lastRenderedPageBreak/>
        <w:t xml:space="preserve">directors, officers and shareholders. Furthermore, </w:t>
      </w: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(2011)</w:t>
      </w:r>
      <w:r w:rsidR="00AF786E" w:rsidRPr="00B97064">
        <w:rPr>
          <w:rFonts w:cs="Arial"/>
          <w:szCs w:val="22"/>
          <w:lang w:val="en-GB"/>
        </w:rPr>
        <w:t xml:space="preserve"> investigated the impact of other variables on firm value. They</w:t>
      </w:r>
      <w:r w:rsidRPr="00B97064">
        <w:rPr>
          <w:rFonts w:cs="Arial"/>
          <w:szCs w:val="22"/>
          <w:lang w:val="en-GB"/>
        </w:rPr>
        <w:t xml:space="preserve"> found that being listed in the USA has a positive impact on firm value, being audited by a big </w:t>
      </w:r>
      <w:r w:rsidR="002D10C8" w:rsidRPr="00B97064">
        <w:rPr>
          <w:rFonts w:cs="Arial"/>
          <w:szCs w:val="22"/>
          <w:lang w:val="en-GB"/>
        </w:rPr>
        <w:t>4</w:t>
      </w:r>
      <w:r w:rsidRPr="00B97064">
        <w:rPr>
          <w:rFonts w:cs="Arial"/>
          <w:szCs w:val="22"/>
          <w:lang w:val="en-GB"/>
        </w:rPr>
        <w:t xml:space="preserve"> audit firm has a negative effect on firm value.</w:t>
      </w:r>
    </w:p>
    <w:p w:rsidR="007C7F32" w:rsidRPr="00B97064" w:rsidRDefault="007C7F32" w:rsidP="00DB5C18">
      <w:pPr>
        <w:rPr>
          <w:rFonts w:cs="Arial"/>
          <w:szCs w:val="22"/>
          <w:lang w:val="en-GB"/>
        </w:rPr>
      </w:pPr>
    </w:p>
    <w:p w:rsidR="007C7F32" w:rsidRPr="00B97064" w:rsidRDefault="007C7F32" w:rsidP="00DB5C18">
      <w:pPr>
        <w:rPr>
          <w:rFonts w:cs="Arial"/>
          <w:szCs w:val="22"/>
          <w:lang w:val="en-GB"/>
        </w:rPr>
      </w:pPr>
      <w:r w:rsidRPr="00B97064">
        <w:rPr>
          <w:rFonts w:cs="Arial"/>
          <w:szCs w:val="22"/>
          <w:lang w:val="en-GB"/>
        </w:rPr>
        <w:t>Cheung et al. (2006) examined RPTs between listed companies in Hong Kong and their shareholders and</w:t>
      </w:r>
      <w:r w:rsidR="005C1A0C" w:rsidRPr="00B97064">
        <w:rPr>
          <w:rFonts w:cs="Arial"/>
          <w:szCs w:val="22"/>
          <w:lang w:val="en-GB"/>
        </w:rPr>
        <w:t xml:space="preserve"> </w:t>
      </w:r>
      <w:r w:rsidRPr="00B97064">
        <w:rPr>
          <w:rFonts w:cs="Arial"/>
          <w:szCs w:val="22"/>
          <w:lang w:val="en-GB"/>
        </w:rPr>
        <w:t>/</w:t>
      </w:r>
      <w:r w:rsidR="005C1A0C" w:rsidRPr="00B97064">
        <w:rPr>
          <w:rFonts w:cs="Arial"/>
          <w:szCs w:val="22"/>
          <w:lang w:val="en-GB"/>
        </w:rPr>
        <w:t xml:space="preserve"> </w:t>
      </w:r>
      <w:r w:rsidRPr="00B97064">
        <w:rPr>
          <w:rFonts w:cs="Arial"/>
          <w:szCs w:val="22"/>
          <w:lang w:val="en-GB"/>
        </w:rPr>
        <w:t>or directors between 1998 and 2000. They tried to find out which type of firms are more likely to participate in those RPTs, which type of those transactions leads to expropriation of minority shareholders and whether the market reacts on the expropriation by obtaining shares at lower prices. If (potential) shareholders take the risk of expropriation into account in advance, they expected no valuation effects during or after RPTs have taken place. Their sample consisted of ownership</w:t>
      </w:r>
      <w:r w:rsidR="005C1A0C" w:rsidRPr="00B97064">
        <w:rPr>
          <w:rFonts w:cs="Arial"/>
          <w:szCs w:val="22"/>
          <w:lang w:val="en-GB"/>
        </w:rPr>
        <w:t>-</w:t>
      </w:r>
      <w:r w:rsidRPr="00B97064">
        <w:rPr>
          <w:rFonts w:cs="Arial"/>
          <w:szCs w:val="22"/>
          <w:lang w:val="en-GB"/>
        </w:rPr>
        <w:t>, corporate governance</w:t>
      </w:r>
      <w:r w:rsidR="005C1A0C" w:rsidRPr="00B97064">
        <w:rPr>
          <w:rFonts w:cs="Arial"/>
          <w:szCs w:val="22"/>
          <w:lang w:val="en-GB"/>
        </w:rPr>
        <w:t>-</w:t>
      </w:r>
      <w:r w:rsidRPr="00B97064">
        <w:rPr>
          <w:rFonts w:cs="Arial"/>
          <w:szCs w:val="22"/>
          <w:lang w:val="en-GB"/>
        </w:rPr>
        <w:t xml:space="preserve"> and financial data of 603 Hong Kong listed companies. Besides this, the sample with regard to RPTs consisted of 375 filings. Just as the research of </w:t>
      </w: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(2011) and </w:t>
      </w:r>
      <w:proofErr w:type="spellStart"/>
      <w:r w:rsidRPr="00B97064">
        <w:rPr>
          <w:rFonts w:cs="Arial"/>
          <w:szCs w:val="22"/>
          <w:lang w:val="en-GB"/>
        </w:rPr>
        <w:t>Kohlbeck</w:t>
      </w:r>
      <w:proofErr w:type="spellEnd"/>
      <w:r w:rsidRPr="00B97064">
        <w:rPr>
          <w:rFonts w:cs="Arial"/>
          <w:szCs w:val="22"/>
          <w:lang w:val="en-GB"/>
        </w:rPr>
        <w:t xml:space="preserve"> and Mayhew (2010), they proved that expropriation of minority shareholder exists, for their case in the Hong Kong stock market. This expropriation is reflected in shareholder value, the latter measured by market-adjusted abnormal returns (MAAR). They found evidence that firms which entered into RPTs earned significant negative MAAR during the announcement of the transactions as well as the year after the announcement compared to firms which entered into arm’s length transactions. The </w:t>
      </w:r>
      <w:r w:rsidR="005C1A0C" w:rsidRPr="00B97064">
        <w:rPr>
          <w:rFonts w:cs="Arial"/>
          <w:szCs w:val="22"/>
          <w:lang w:val="en-GB"/>
        </w:rPr>
        <w:t>types</w:t>
      </w:r>
      <w:r w:rsidRPr="00B97064">
        <w:rPr>
          <w:rFonts w:cs="Arial"/>
          <w:szCs w:val="22"/>
          <w:lang w:val="en-GB"/>
        </w:rPr>
        <w:t xml:space="preserve"> of transactions which are the most harmful are sales or acquisition of assets, equity relationships, cash payments and trading relationships. Furthermore, they discovered that the higher the ownership percentage of a firm is, the greater the negative effect on earned </w:t>
      </w:r>
      <w:r w:rsidR="005C1A0C" w:rsidRPr="00B97064">
        <w:rPr>
          <w:rFonts w:cs="Arial"/>
          <w:szCs w:val="22"/>
          <w:lang w:val="en-GB"/>
        </w:rPr>
        <w:t>MAAR</w:t>
      </w:r>
      <w:r w:rsidRPr="00B97064">
        <w:rPr>
          <w:rFonts w:cs="Arial"/>
          <w:szCs w:val="22"/>
          <w:lang w:val="en-GB"/>
        </w:rPr>
        <w:t>. Moreover, a low disclosure level and not being audited by a big 5 audit firm has a negative impact on earned MAAR. However, the presence of an audit committee has a positive impact on earned MAAR.</w:t>
      </w:r>
    </w:p>
    <w:p w:rsidR="007C7F32" w:rsidRPr="00B97064" w:rsidRDefault="007C7F32" w:rsidP="00DB5C18">
      <w:pPr>
        <w:rPr>
          <w:rFonts w:cs="Arial"/>
          <w:szCs w:val="22"/>
          <w:lang w:val="en-GB"/>
        </w:rPr>
      </w:pPr>
    </w:p>
    <w:p w:rsidR="007C7F32" w:rsidRPr="00B97064" w:rsidRDefault="007C7F32" w:rsidP="00DB5C18">
      <w:pPr>
        <w:rPr>
          <w:lang w:val="en-GB"/>
        </w:rPr>
      </w:pPr>
      <w:r w:rsidRPr="00B97064">
        <w:rPr>
          <w:lang w:val="en-GB"/>
        </w:rPr>
        <w:t xml:space="preserve">Ge et al. (2010) conducted a research in the field the value relevance of disclosures about RPTs. They investigated the value relevance of those disclosures on the valuation of firms for two sample periods; 1997 to 2000 and 2001 till 2003. They focused on two specific kinds of RPTs, namely the sales of goods and the sales of assets. Their sample consisted of the top 100 listed Chinese firms according to </w:t>
      </w:r>
      <w:r w:rsidRPr="00B97064">
        <w:rPr>
          <w:i/>
          <w:lang w:val="en-GB"/>
        </w:rPr>
        <w:t>New Youth Fortune</w:t>
      </w:r>
      <w:r w:rsidRPr="00B97064">
        <w:rPr>
          <w:rStyle w:val="FootnoteReference"/>
          <w:lang w:val="en-GB"/>
        </w:rPr>
        <w:footnoteReference w:id="13"/>
      </w:r>
      <w:r w:rsidRPr="00B97064">
        <w:rPr>
          <w:lang w:val="en-GB"/>
        </w:rPr>
        <w:t xml:space="preserve">. After the elimination of all non-manufacturing firms, the final sample consisted of 52 manufacturing firms. They found that investors devaluate earnings when firms entered into RPTs for the period 1997-2000; the earnings multiplier of firm’s which entered into RPTs was significantly lower compared to those </w:t>
      </w:r>
      <w:r w:rsidR="004C53B8" w:rsidRPr="00B97064">
        <w:rPr>
          <w:lang w:val="en-GB"/>
        </w:rPr>
        <w:t>firms</w:t>
      </w:r>
      <w:r w:rsidRPr="00B97064">
        <w:rPr>
          <w:lang w:val="en-GB"/>
        </w:rPr>
        <w:t xml:space="preserve">, that did not enter into RPTs. In this period, the legislation on fair value RPT measurement was not into force yet. To prevent investors for the abuse of RPTs in order to </w:t>
      </w:r>
      <w:r w:rsidRPr="00B97064">
        <w:rPr>
          <w:lang w:val="en-GB"/>
        </w:rPr>
        <w:lastRenderedPageBreak/>
        <w:t>manipulate earnings, the Chinese government introduced in 2001 the RPT fair value measurement regulation. After this adoption, no significant difference was found between the earnings multiplier of firm’s which entered into RPTs compared to those, which did not enter into RPTs. So, no evidence was found for the devaluation of earnings after the adoption of the new fair value measurement regulation. This indicates that the legislation restored the confidence of investors. The value relevance of the disclosed information increased. However, only a few types of RPTs are included in this study, so this conclusion could not be extended to all kind of RPTs.</w:t>
      </w:r>
    </w:p>
    <w:p w:rsidR="007C7F32" w:rsidRPr="00B97064" w:rsidRDefault="007C7F32" w:rsidP="00DB5C18">
      <w:pPr>
        <w:pStyle w:val="Heading2"/>
        <w:rPr>
          <w:lang w:val="en-GB"/>
        </w:rPr>
      </w:pPr>
      <w:bookmarkStart w:id="48" w:name="_Ref349567919"/>
      <w:bookmarkStart w:id="49" w:name="_Toc349585475"/>
      <w:r w:rsidRPr="00B97064">
        <w:rPr>
          <w:lang w:val="en-GB"/>
        </w:rPr>
        <w:t>3.5 Investor protection and legal system</w:t>
      </w:r>
      <w:bookmarkEnd w:id="48"/>
      <w:bookmarkEnd w:id="49"/>
    </w:p>
    <w:p w:rsidR="007C7F32" w:rsidRPr="00B97064" w:rsidRDefault="007C7F32" w:rsidP="00DB5C18">
      <w:pPr>
        <w:rPr>
          <w:rFonts w:cs="Arial"/>
          <w:szCs w:val="22"/>
          <w:lang w:val="en-GB"/>
        </w:rPr>
      </w:pPr>
      <w:r w:rsidRPr="00B97064">
        <w:rPr>
          <w:rFonts w:cs="Arial"/>
          <w:szCs w:val="22"/>
          <w:lang w:val="en-GB"/>
        </w:rPr>
        <w:t xml:space="preserve">As discussed in the previous section, </w:t>
      </w:r>
      <w:r w:rsidR="00532260" w:rsidRPr="00B97064">
        <w:rPr>
          <w:rFonts w:cs="Arial"/>
          <w:szCs w:val="22"/>
          <w:lang w:val="en-GB"/>
        </w:rPr>
        <w:t xml:space="preserve">different studies indicated that </w:t>
      </w:r>
      <w:r w:rsidRPr="00B97064">
        <w:rPr>
          <w:rFonts w:cs="Arial"/>
          <w:szCs w:val="22"/>
          <w:lang w:val="en-GB"/>
        </w:rPr>
        <w:t>RPTs have a significant negative impact on firm value, because RPTs are associated with expropriation of firms’ recourses. Since shareholders bare this risk of expropriation when firms enter into RPTs, they are less willing to provide money to the capital market. This should make it more complicated for firms to raise capital. To solve this problem, legislation and regulation may be introduced to increase investor protection, to improve the rights of investors and the information provision to the investors.</w:t>
      </w:r>
      <w:r w:rsidR="00532260" w:rsidRPr="00B97064">
        <w:rPr>
          <w:rFonts w:cs="Arial"/>
          <w:szCs w:val="22"/>
          <w:lang w:val="en-GB"/>
        </w:rPr>
        <w:t xml:space="preserve"> The study of Botosan (2006), as discussed in section </w:t>
      </w:r>
      <w:fldSimple w:instr=" REF _Ref349297708 \h  \* MERGEFORMAT ">
        <w:r w:rsidR="00944DD0" w:rsidRPr="00B97064">
          <w:rPr>
            <w:lang w:val="en-GB"/>
          </w:rPr>
          <w:t>2.4 Voluntary disclosure</w:t>
        </w:r>
      </w:fldSimple>
      <w:r w:rsidR="00532260" w:rsidRPr="00B97064">
        <w:rPr>
          <w:rFonts w:cs="Arial"/>
          <w:szCs w:val="22"/>
          <w:lang w:val="en-GB"/>
        </w:rPr>
        <w:t>, already explained the relation between disclosure level and the cost of capital; a higher disclosure level should result in a lower cost of capital. Furthermore,</w:t>
      </w:r>
      <w:r w:rsidRPr="00B97064">
        <w:rPr>
          <w:lang w:val="en-GB"/>
        </w:rPr>
        <w:t xml:space="preserve"> Ge et al. (2010) already demonstrated that investors do not devaluate earnings any more after the adoption of new RPT fair value measurement regulation.</w:t>
      </w:r>
      <w:r w:rsidRPr="00B97064">
        <w:rPr>
          <w:rFonts w:cs="Arial"/>
          <w:szCs w:val="22"/>
          <w:lang w:val="en-GB"/>
        </w:rPr>
        <w:t xml:space="preserve"> So, increasing the disclosure level may reduce the risk of expropriation. This section will discuss some studies in the field of investor protection by legal system.</w:t>
      </w:r>
    </w:p>
    <w:p w:rsidR="007C7F32" w:rsidRPr="00B97064" w:rsidRDefault="007C7F32" w:rsidP="00DB5C18">
      <w:pPr>
        <w:rPr>
          <w:lang w:val="en-GB"/>
        </w:rPr>
      </w:pPr>
    </w:p>
    <w:p w:rsidR="007C7F32" w:rsidRPr="00B97064" w:rsidRDefault="007C7F32" w:rsidP="00DB5C18">
      <w:pPr>
        <w:rPr>
          <w:bCs/>
          <w:szCs w:val="22"/>
          <w:lang w:val="en-GB"/>
        </w:rPr>
      </w:pPr>
      <w:r w:rsidRPr="00B97064">
        <w:rPr>
          <w:bCs/>
          <w:szCs w:val="22"/>
          <w:lang w:val="en-GB"/>
        </w:rPr>
        <w:t>La Porta et al. (1998) tried to explain the large differences between countries in the field of ownership and financing of firms by exploring the differences among countries in legal protection of investors. They investigated the legislation concerning the protection of shareholders and creditors of 49 countries, including the Netherlands. They researched the differences in laws as well as the differences in enforcement of those laws. They split up the law systems of countries around the world in 4 groups; common law countries, French civil law countries (including the Netherlands), German civil law countries and Scandinavian civil law countries. They examined the effects of the differences in law on firm ownership. They proved that investors have the best protection under the common law system and the weakest protection under the French civil law system. The German and Scandinavian systems are in between. Furthermore, they proved a negative correlation between the level of legal investor protection and the concentration of ownership.</w:t>
      </w:r>
    </w:p>
    <w:p w:rsidR="007C7F32" w:rsidRPr="00B97064" w:rsidRDefault="007C7F32" w:rsidP="00DB5C18">
      <w:pPr>
        <w:rPr>
          <w:bCs/>
          <w:szCs w:val="22"/>
          <w:lang w:val="en-GB"/>
        </w:rPr>
      </w:pPr>
    </w:p>
    <w:p w:rsidR="007C7F32" w:rsidRPr="00B97064" w:rsidRDefault="007C7F32" w:rsidP="00DB5C18">
      <w:pPr>
        <w:rPr>
          <w:lang w:val="en-GB"/>
        </w:rPr>
      </w:pPr>
      <w:r w:rsidRPr="00B97064">
        <w:rPr>
          <w:bCs/>
          <w:szCs w:val="22"/>
          <w:lang w:val="en-GB"/>
        </w:rPr>
        <w:lastRenderedPageBreak/>
        <w:t>L</w:t>
      </w:r>
      <w:r w:rsidRPr="00B97064">
        <w:rPr>
          <w:lang w:val="en-GB"/>
        </w:rPr>
        <w:t>a Porta et al. (1997) researched the possibilities for firms in above mentioned different law systems to raise debt as well as equity. They expected</w:t>
      </w:r>
      <w:r w:rsidR="00591A24" w:rsidRPr="00B97064">
        <w:rPr>
          <w:lang w:val="en-GB"/>
        </w:rPr>
        <w:t xml:space="preserve"> </w:t>
      </w:r>
      <w:r w:rsidRPr="00B97064">
        <w:rPr>
          <w:lang w:val="en-GB"/>
        </w:rPr>
        <w:t>firms in countries with strong investor protection and a high quality of law enforcement could raise debt and equity under more favourable conditions, so they expected that those firms raise more external financing. Their sample once again consisted of 49 countries. They measured the development level of financial markets by the number of IPOs, the number of domestic listed firms and the total of private and bond borrowings. They proved that hi</w:t>
      </w:r>
      <w:r w:rsidR="00591A24" w:rsidRPr="00B97064">
        <w:rPr>
          <w:lang w:val="en-GB"/>
        </w:rPr>
        <w:t>gh legal protection of investors resulted</w:t>
      </w:r>
      <w:r w:rsidRPr="00B97064">
        <w:rPr>
          <w:lang w:val="en-GB"/>
        </w:rPr>
        <w:t xml:space="preserve"> in more developed capital markets.</w:t>
      </w:r>
    </w:p>
    <w:p w:rsidR="00537CE8" w:rsidRPr="00B97064" w:rsidRDefault="00537CE8" w:rsidP="00DB5C18">
      <w:pPr>
        <w:rPr>
          <w:lang w:val="en-GB"/>
        </w:rPr>
      </w:pPr>
    </w:p>
    <w:p w:rsidR="007C7F32" w:rsidRPr="00B97064" w:rsidRDefault="007C7F32" w:rsidP="00DB5C18">
      <w:pPr>
        <w:rPr>
          <w:rFonts w:cs="Arial"/>
          <w:szCs w:val="22"/>
          <w:lang w:val="en-GB"/>
        </w:rPr>
      </w:pPr>
      <w:r w:rsidRPr="00B97064">
        <w:rPr>
          <w:rFonts w:cs="Arial"/>
          <w:szCs w:val="22"/>
          <w:lang w:val="en-GB"/>
        </w:rPr>
        <w:t xml:space="preserve">La Porta et al. (2002) investigated the relation between legal protection of minority shareholders and cash flow rights of controlling shareholders on firm value. Better investor protection should lead to more investors/creditors that are willing to provide money, which benefits an efficient allocation of capital. More cash flow rights of the controlling shareholder should result in less expropriation of this controlling shareholder, because this shareholder has </w:t>
      </w:r>
      <w:r w:rsidR="00591A24" w:rsidRPr="00B97064">
        <w:rPr>
          <w:rFonts w:cs="Arial"/>
          <w:szCs w:val="22"/>
          <w:lang w:val="en-GB"/>
        </w:rPr>
        <w:t>fewer incentives</w:t>
      </w:r>
      <w:r w:rsidRPr="00B97064">
        <w:rPr>
          <w:rFonts w:cs="Arial"/>
          <w:szCs w:val="22"/>
          <w:lang w:val="en-GB"/>
        </w:rPr>
        <w:t xml:space="preserve"> for expropriation; this shareholder already receives </w:t>
      </w:r>
      <w:r w:rsidR="00591A24" w:rsidRPr="00B97064">
        <w:rPr>
          <w:rFonts w:cs="Arial"/>
          <w:szCs w:val="22"/>
          <w:lang w:val="en-GB"/>
        </w:rPr>
        <w:t>remuneration</w:t>
      </w:r>
      <w:r w:rsidRPr="00B97064">
        <w:rPr>
          <w:rFonts w:cs="Arial"/>
          <w:szCs w:val="22"/>
          <w:lang w:val="en-GB"/>
        </w:rPr>
        <w:t xml:space="preserve"> for his shareholding, so he is less inclined to expropriate firms’ resources. Their sample included 539 firms of 27 wealthy economies, including The Netherlands. They used Tobin’s Q as a measurement for market value. Legal protection of minority shareholders was measured by the origin of a countries law system in combination with the index of specific rules which protect minority shareholders. To investigate the association between cash flow rights of controlling shareholders on firm va</w:t>
      </w:r>
      <w:r w:rsidR="00591A24" w:rsidRPr="00B97064">
        <w:rPr>
          <w:rFonts w:cs="Arial"/>
          <w:szCs w:val="22"/>
          <w:lang w:val="en-GB"/>
        </w:rPr>
        <w:t>lue, they focused on firms with</w:t>
      </w:r>
      <w:r w:rsidRPr="00B97064">
        <w:rPr>
          <w:rFonts w:cs="Arial"/>
          <w:szCs w:val="22"/>
          <w:lang w:val="en-GB"/>
        </w:rPr>
        <w:t xml:space="preserve"> controlling shareholders. This study of La Porta et al. (2002) confirmed the negative relation between weak minority shareholder protection (the risk of expropriation) and firm value. So, strong investor protection has a positive significant effect on firm valuation. Besides this, they proved a positive relation between cash flow rights of controlling shareholders and firm valuation, in particular in countries with a low level of investor protection.</w:t>
      </w:r>
    </w:p>
    <w:p w:rsidR="007C7F32" w:rsidRPr="00B97064" w:rsidRDefault="007C7F32" w:rsidP="00DB5C18">
      <w:pPr>
        <w:rPr>
          <w:rFonts w:cs="Arial"/>
          <w:szCs w:val="22"/>
          <w:lang w:val="en-GB"/>
        </w:rPr>
      </w:pPr>
    </w:p>
    <w:p w:rsidR="007C7F32" w:rsidRPr="00B97064" w:rsidRDefault="007C7F32" w:rsidP="00DB5C18">
      <w:pPr>
        <w:rPr>
          <w:rFonts w:cs="Arial"/>
          <w:szCs w:val="22"/>
          <w:lang w:val="en-GB"/>
        </w:rPr>
      </w:pPr>
      <w:r w:rsidRPr="00B97064">
        <w:rPr>
          <w:rFonts w:cs="Arial"/>
          <w:szCs w:val="22"/>
          <w:lang w:val="en-GB"/>
        </w:rPr>
        <w:t xml:space="preserve">Djankov et al. (2008) investigated the anti-self-dealing legislation of different countries. They indexed the degree of minority investor protection against self-dealings with controlling shareholders, based on answers of questionnaires. The questionnaire was filled in by lawyers of 102 firms. The lawyers should describe how the specific legislation of the respective country elaborates for a specific case. The final sample consisted of 72 respondents. A higher index number represented better protection of minority shareholders. They found that the index number is significantly higher in common law countries compared to </w:t>
      </w:r>
      <w:r w:rsidR="00591A24" w:rsidRPr="00B97064">
        <w:rPr>
          <w:rFonts w:cs="Arial"/>
          <w:szCs w:val="22"/>
          <w:lang w:val="en-GB"/>
        </w:rPr>
        <w:t>French</w:t>
      </w:r>
      <w:r w:rsidRPr="00B97064">
        <w:rPr>
          <w:rFonts w:cs="Arial"/>
          <w:szCs w:val="22"/>
          <w:lang w:val="en-GB"/>
        </w:rPr>
        <w:t xml:space="preserve"> civil law countries, which corresponds with the study of La Porta et al. (199</w:t>
      </w:r>
      <w:r w:rsidR="00537CE8" w:rsidRPr="00B97064">
        <w:rPr>
          <w:rFonts w:cs="Arial"/>
          <w:szCs w:val="22"/>
          <w:lang w:val="en-GB"/>
        </w:rPr>
        <w:t>8</w:t>
      </w:r>
      <w:r w:rsidRPr="00B97064">
        <w:rPr>
          <w:rFonts w:cs="Arial"/>
          <w:szCs w:val="22"/>
          <w:lang w:val="en-GB"/>
        </w:rPr>
        <w:t>).</w:t>
      </w:r>
    </w:p>
    <w:p w:rsidR="007C7F32" w:rsidRPr="00B97064" w:rsidRDefault="007C7F32" w:rsidP="00DB5C18">
      <w:pPr>
        <w:rPr>
          <w:rFonts w:cs="Arial"/>
          <w:szCs w:val="22"/>
          <w:lang w:val="en-GB"/>
        </w:rPr>
      </w:pPr>
    </w:p>
    <w:p w:rsidR="007C7F32" w:rsidRPr="00B97064" w:rsidRDefault="007C7F32" w:rsidP="00DB5C18">
      <w:pPr>
        <w:rPr>
          <w:rFonts w:cs="Arial"/>
          <w:szCs w:val="22"/>
          <w:lang w:val="en-GB"/>
        </w:rPr>
      </w:pPr>
      <w:r w:rsidRPr="00B97064">
        <w:rPr>
          <w:rFonts w:cs="Arial"/>
          <w:szCs w:val="22"/>
          <w:lang w:val="en-GB"/>
        </w:rPr>
        <w:t xml:space="preserve">After that, Djankov et al. (2008) investigated the relation between the index number and the </w:t>
      </w:r>
      <w:r w:rsidRPr="00B97064">
        <w:rPr>
          <w:rFonts w:cs="Arial"/>
          <w:szCs w:val="22"/>
          <w:lang w:val="en-GB"/>
        </w:rPr>
        <w:lastRenderedPageBreak/>
        <w:t>development of financial markets of those countries. Stock market development was measured by five different indicators; average stock market capitalisation to GDP, medium premium paid for control in corporate control transactions, ratio number of publicly traded firms to country population, average value of IPO’s to GDP and a proxy for ownership concentration. They proved that countries with a higher index number have better developed financial markets</w:t>
      </w:r>
      <w:r w:rsidR="00537CE8" w:rsidRPr="00B97064">
        <w:rPr>
          <w:rFonts w:cs="Arial"/>
          <w:szCs w:val="22"/>
          <w:lang w:val="en-GB"/>
        </w:rPr>
        <w:t>; this conclusion is in line with the study of La Porta et al. (1997)</w:t>
      </w:r>
      <w:r w:rsidRPr="00B97064">
        <w:rPr>
          <w:rFonts w:cs="Arial"/>
          <w:szCs w:val="22"/>
          <w:lang w:val="en-GB"/>
        </w:rPr>
        <w:t>. Common law countries have the strongest developed financial markets; French civil law countries have the least strong developed markets.</w:t>
      </w:r>
    </w:p>
    <w:p w:rsidR="007C7F32" w:rsidRPr="00B97064" w:rsidRDefault="007C7F32" w:rsidP="00DB5C18">
      <w:pPr>
        <w:pStyle w:val="Heading2"/>
        <w:rPr>
          <w:lang w:val="en-GB"/>
        </w:rPr>
      </w:pPr>
      <w:bookmarkStart w:id="50" w:name="_Ref340574399"/>
      <w:bookmarkStart w:id="51" w:name="_Toc349585476"/>
      <w:r w:rsidRPr="00B97064">
        <w:rPr>
          <w:lang w:val="en-GB"/>
        </w:rPr>
        <w:t>3.6 Cross-listing</w:t>
      </w:r>
      <w:bookmarkEnd w:id="50"/>
      <w:bookmarkEnd w:id="51"/>
    </w:p>
    <w:p w:rsidR="007C7F32" w:rsidRPr="00B97064" w:rsidRDefault="00591A24" w:rsidP="00DB5C18">
      <w:pPr>
        <w:rPr>
          <w:bCs/>
          <w:szCs w:val="22"/>
          <w:lang w:val="en-GB"/>
        </w:rPr>
      </w:pPr>
      <w:r w:rsidRPr="00B97064">
        <w:rPr>
          <w:rFonts w:cs="Arial"/>
          <w:szCs w:val="22"/>
          <w:lang w:val="en-GB"/>
        </w:rPr>
        <w:t xml:space="preserve">In the previous </w:t>
      </w:r>
      <w:r w:rsidR="007C7F32" w:rsidRPr="00B97064">
        <w:rPr>
          <w:rFonts w:cs="Arial"/>
          <w:szCs w:val="22"/>
          <w:lang w:val="en-GB"/>
        </w:rPr>
        <w:t xml:space="preserve">section, La Porta et al. (1998) as well as Djankov et al. (2008) both found that the common law countries have better investor protection compared to the French civil law countries. </w:t>
      </w:r>
      <w:r w:rsidR="007C7F32" w:rsidRPr="00B97064">
        <w:rPr>
          <w:bCs/>
          <w:szCs w:val="22"/>
          <w:lang w:val="en-GB"/>
        </w:rPr>
        <w:t xml:space="preserve">La Porta et al. (1997) </w:t>
      </w:r>
      <w:r w:rsidR="007C7F32" w:rsidRPr="00B97064">
        <w:rPr>
          <w:rFonts w:cs="Arial"/>
          <w:szCs w:val="22"/>
          <w:lang w:val="en-GB"/>
        </w:rPr>
        <w:t>as well as Djankov et al. (2008)</w:t>
      </w:r>
      <w:r w:rsidR="007C7F32" w:rsidRPr="00B97064">
        <w:rPr>
          <w:bCs/>
          <w:szCs w:val="22"/>
          <w:lang w:val="en-GB"/>
        </w:rPr>
        <w:t xml:space="preserve"> proved that better investor protection results in a more developed financial market. So, firms in countries with low investor protection are disadvantaged. Some firms may increase the protection level of their (potential) investors by cross-listing in a country with a high</w:t>
      </w:r>
      <w:r w:rsidR="00144599" w:rsidRPr="00B97064">
        <w:rPr>
          <w:bCs/>
          <w:szCs w:val="22"/>
          <w:lang w:val="en-GB"/>
        </w:rPr>
        <w:t>(er)</w:t>
      </w:r>
      <w:r w:rsidR="007C7F32" w:rsidRPr="00B97064">
        <w:rPr>
          <w:bCs/>
          <w:szCs w:val="22"/>
          <w:lang w:val="en-GB"/>
        </w:rPr>
        <w:t xml:space="preserve"> level of investor protection. One example of a country which can be classified as a country with a high level of investor protection is the USA. </w:t>
      </w:r>
      <w:r w:rsidR="007C7F32" w:rsidRPr="00B97064">
        <w:rPr>
          <w:lang w:val="en-GB"/>
        </w:rPr>
        <w:t xml:space="preserve">The USA is well known for their high investor protection; the legislation is more stringent, think of the extensive regulation under US GAAP and SOx. </w:t>
      </w:r>
      <w:r w:rsidR="007C7F32" w:rsidRPr="00B97064">
        <w:rPr>
          <w:bCs/>
          <w:szCs w:val="22"/>
          <w:lang w:val="en-GB"/>
        </w:rPr>
        <w:t>In this section, some studies in the field of cross-listing, firm growth opportunities, market development and RPTs are discussed.</w:t>
      </w:r>
    </w:p>
    <w:p w:rsidR="007C7F32" w:rsidRPr="00B97064" w:rsidRDefault="007C7F32" w:rsidP="00DB5C18">
      <w:pPr>
        <w:rPr>
          <w:rFonts w:cs="Arial"/>
          <w:szCs w:val="22"/>
          <w:lang w:val="en-GB"/>
        </w:rPr>
      </w:pPr>
    </w:p>
    <w:p w:rsidR="007C7F32" w:rsidRPr="00B97064" w:rsidRDefault="007C7F32" w:rsidP="00DB5C18">
      <w:pPr>
        <w:rPr>
          <w:lang w:val="en-GB"/>
        </w:rPr>
      </w:pPr>
      <w:r w:rsidRPr="00B97064">
        <w:rPr>
          <w:lang w:val="en-GB"/>
        </w:rPr>
        <w:t xml:space="preserve">Reese and Weisbach (2002) researched the assumption that firms listed in countries with weak investor protection tried to compensate this by cross-listing in the USA. They split up the law systems in 4 groups, as introduced by </w:t>
      </w:r>
      <w:r w:rsidRPr="00B97064">
        <w:rPr>
          <w:bCs/>
          <w:szCs w:val="22"/>
          <w:lang w:val="en-GB"/>
        </w:rPr>
        <w:t xml:space="preserve">La Porta et al. (1998); common law, French civil law, German civil law and Scandinavian civil law. Their sample consisted of 2,038 cross-listed firms between January 1985 and June 1999 on NYSE, </w:t>
      </w:r>
      <w:r w:rsidR="00370E41" w:rsidRPr="00B97064">
        <w:rPr>
          <w:bCs/>
          <w:szCs w:val="22"/>
          <w:lang w:val="en-GB"/>
        </w:rPr>
        <w:t>NASDAQ</w:t>
      </w:r>
      <w:r w:rsidRPr="00B97064">
        <w:rPr>
          <w:bCs/>
          <w:szCs w:val="22"/>
          <w:lang w:val="en-GB"/>
        </w:rPr>
        <w:t xml:space="preserve">, OTC, or PORTAL. </w:t>
      </w:r>
      <w:r w:rsidRPr="00B97064">
        <w:rPr>
          <w:lang w:val="en-GB"/>
        </w:rPr>
        <w:t xml:space="preserve">They proved that the number and the value of equity issuing increased after a cross-listing. Besides this, firms listed in countries with low investor protection are more likely to issue after a cross-listing. Furthermore, these latter companies issued larger volumes. Ultimately, they found that firms with a home listing in a country with low investor protection are likely to issue shares in non-USA countries, while firms with a home listing in a country with strong investor protection are more likely to issue in the USA. This may indicate that firms in low investor protecting countries chose for a cross-listing in the USA to increase the level of investor protection, in order to </w:t>
      </w:r>
      <w:r w:rsidR="00144599" w:rsidRPr="00B97064">
        <w:rPr>
          <w:lang w:val="en-GB"/>
        </w:rPr>
        <w:t>raise</w:t>
      </w:r>
      <w:r w:rsidRPr="00B97064">
        <w:rPr>
          <w:lang w:val="en-GB"/>
        </w:rPr>
        <w:t xml:space="preserve"> capital more easy.</w:t>
      </w:r>
    </w:p>
    <w:p w:rsidR="007C7F32" w:rsidRPr="00B97064" w:rsidRDefault="007C7F32" w:rsidP="00DB5C18">
      <w:pPr>
        <w:rPr>
          <w:lang w:val="en-GB"/>
        </w:rPr>
      </w:pPr>
    </w:p>
    <w:p w:rsidR="007C7F32" w:rsidRPr="00B97064" w:rsidRDefault="007C7F32" w:rsidP="00DB5C18">
      <w:pPr>
        <w:rPr>
          <w:lang w:val="en-GB"/>
        </w:rPr>
      </w:pPr>
      <w:r w:rsidRPr="00B97064">
        <w:rPr>
          <w:lang w:val="en-GB"/>
        </w:rPr>
        <w:t>Doidge et al. (2004) tried to find out whether there is a relation between firm value and cross-</w:t>
      </w:r>
      <w:r w:rsidRPr="00B97064">
        <w:rPr>
          <w:lang w:val="en-GB"/>
        </w:rPr>
        <w:lastRenderedPageBreak/>
        <w:t>listing in the USA. Cross-listing in the USA was expected to be beneficial for a firm; firms are expected to raise funds more easily at lower costs. Their sample consisted of 8,680 firms in 1997. Firm value was again measured by Tobins Q. They found evidence that firms that were cross-listed in the USA have a 16.5% higher Tobins Q ratio compared to firms which were not cross-listed in the USA (but located in the same country). Furthermore, they want to find out why some firms cross-list and others do not. They investigated whether there is a relation between the growth potential of a firm and being cross-listed in the USA. They expected that firms which are cross-listed in the USA have higher growth potential compared to firms which are not cross-listed, in case firms with growth opportunities depend on raising capital at the market. Being cross-listed limits the ability of main shareholders to expropriate the firms’ resources, since</w:t>
      </w:r>
      <w:r w:rsidR="004A3FA0" w:rsidRPr="00B97064">
        <w:rPr>
          <w:lang w:val="en-GB"/>
        </w:rPr>
        <w:t xml:space="preserve"> it is assumed that</w:t>
      </w:r>
      <w:r w:rsidRPr="00B97064">
        <w:rPr>
          <w:lang w:val="en-GB"/>
        </w:rPr>
        <w:t xml:space="preserve"> minority shareholders are better protected under US regulation. In case the benefits from growth opportunities exceed the benefits from the expropriation by the main shareholders, the main shareholder will choose to cross-list in the USA. They found evidence that cross-listed firms in the USA have significant higher valued growth opportunities in comparison with non-cross-listed firms.</w:t>
      </w:r>
    </w:p>
    <w:p w:rsidR="007C7F32" w:rsidRPr="00B97064" w:rsidRDefault="007C7F32" w:rsidP="00DB5C18">
      <w:pPr>
        <w:rPr>
          <w:rFonts w:cs="Arial"/>
          <w:szCs w:val="22"/>
          <w:lang w:val="en-GB"/>
        </w:rPr>
      </w:pPr>
    </w:p>
    <w:p w:rsidR="007C7F32" w:rsidRPr="00B97064" w:rsidRDefault="007C7F32" w:rsidP="00DB5C18">
      <w:pPr>
        <w:rPr>
          <w:rFonts w:cs="Arial"/>
          <w:szCs w:val="22"/>
          <w:lang w:val="en-GB"/>
        </w:rPr>
      </w:pPr>
      <w:r w:rsidRPr="00B97064">
        <w:rPr>
          <w:rFonts w:cs="Arial"/>
          <w:szCs w:val="22"/>
          <w:lang w:val="en-GB"/>
        </w:rPr>
        <w:t>Cheung et al. (2006) found that firms with Chinese owners (cross-listed in Hong Kong) are more likely to enter in</w:t>
      </w:r>
      <w:r w:rsidR="00F742F9" w:rsidRPr="00B97064">
        <w:rPr>
          <w:rFonts w:cs="Arial"/>
          <w:szCs w:val="22"/>
          <w:lang w:val="en-GB"/>
        </w:rPr>
        <w:t>to</w:t>
      </w:r>
      <w:r w:rsidRPr="00B97064">
        <w:rPr>
          <w:rFonts w:cs="Arial"/>
          <w:szCs w:val="22"/>
          <w:lang w:val="en-GB"/>
        </w:rPr>
        <w:t xml:space="preserve"> RPTs and furthermore, those firms have poorer information disclosure. Hong Kong regulation which must protect investors is not enforceable in China. So, the fact that firms with Chinese owners are more likely to enter into RPTs indicates that legal system (poor minority shareholder protection in China) has a positive impact on undertaking RPTs. They found limited evidence that the market takes the risk of expropriation into account in advance. However, this does not apply for firms with Chinese owners, which are cross-listed in Hong Kong; those firms experienced a negative effect on earned MAAR in the year prior to the RPT. This probably indicates that poor minority shareholder protection had a negative effect on firm value in advance.</w:t>
      </w:r>
    </w:p>
    <w:p w:rsidR="007C7F32" w:rsidRPr="00B97064" w:rsidRDefault="007C7F32" w:rsidP="00DB5C18">
      <w:pPr>
        <w:pStyle w:val="Heading2"/>
        <w:rPr>
          <w:lang w:val="en-GB"/>
        </w:rPr>
      </w:pPr>
      <w:bookmarkStart w:id="52" w:name="_Toc349585477"/>
      <w:r w:rsidRPr="00B97064">
        <w:rPr>
          <w:lang w:val="en-GB"/>
        </w:rPr>
        <w:t>3.7 Disclosure level</w:t>
      </w:r>
      <w:bookmarkEnd w:id="52"/>
    </w:p>
    <w:p w:rsidR="007C7F32" w:rsidRPr="00B97064" w:rsidRDefault="007C7F32" w:rsidP="00DB5C18">
      <w:pPr>
        <w:rPr>
          <w:lang w:val="en-GB"/>
        </w:rPr>
      </w:pPr>
      <w:r w:rsidRPr="00B97064">
        <w:rPr>
          <w:lang w:val="en-GB"/>
        </w:rPr>
        <w:t xml:space="preserve">One way to increase the level of investor protection is by introducing more stringent rules and regulation, like in the USA. The research of Ge et al. (2010) already showed that the introduction of a new disclosure standard on RPTs increased the value relevance of the disclosure, which resulted in the absence of earnings devaluation by investors. A higher level of investor protection results in a more developed capital market, where firms can more easily raise capital, as proved by </w:t>
      </w:r>
      <w:r w:rsidRPr="00B97064">
        <w:rPr>
          <w:rFonts w:cs="Arial"/>
          <w:szCs w:val="22"/>
          <w:lang w:val="en-GB"/>
        </w:rPr>
        <w:t xml:space="preserve">Djankov et al. (2008) and </w:t>
      </w:r>
      <w:r w:rsidRPr="00B97064">
        <w:rPr>
          <w:bCs/>
          <w:szCs w:val="22"/>
          <w:lang w:val="en-GB"/>
        </w:rPr>
        <w:t>L</w:t>
      </w:r>
      <w:r w:rsidRPr="00B97064">
        <w:rPr>
          <w:lang w:val="en-GB"/>
        </w:rPr>
        <w:t>a Porta et al. (1997). Also firms could influence the cost of capital by increasing their information level. This increased disclosure level could be imposed by accounting regulation, but firm could also disclose more information voluntary.</w:t>
      </w:r>
      <w:r w:rsidR="00DD6D48" w:rsidRPr="00B97064">
        <w:rPr>
          <w:lang w:val="en-GB"/>
        </w:rPr>
        <w:t xml:space="preserve"> To determine the level of disclosure of firms, a disclosure study could </w:t>
      </w:r>
      <w:r w:rsidR="00DD6D48" w:rsidRPr="00B97064">
        <w:rPr>
          <w:lang w:val="en-GB"/>
        </w:rPr>
        <w:lastRenderedPageBreak/>
        <w:t>be conducted.</w:t>
      </w:r>
      <w:r w:rsidRPr="00B97064">
        <w:rPr>
          <w:lang w:val="en-GB"/>
        </w:rPr>
        <w:t xml:space="preserve"> This section </w:t>
      </w:r>
      <w:r w:rsidR="000049D7" w:rsidRPr="00B97064">
        <w:rPr>
          <w:lang w:val="en-GB"/>
        </w:rPr>
        <w:t xml:space="preserve">will discuss </w:t>
      </w:r>
      <w:r w:rsidR="00DD6D48" w:rsidRPr="00B97064">
        <w:rPr>
          <w:lang w:val="en-GB"/>
        </w:rPr>
        <w:t xml:space="preserve">such </w:t>
      </w:r>
      <w:r w:rsidR="000049D7" w:rsidRPr="00B97064">
        <w:rPr>
          <w:lang w:val="en-GB"/>
        </w:rPr>
        <w:t>a disclosure/compliance study</w:t>
      </w:r>
      <w:r w:rsidR="008056AD" w:rsidRPr="00B97064">
        <w:rPr>
          <w:lang w:val="en-GB"/>
        </w:rPr>
        <w:t xml:space="preserve"> in the field of related parties and RPTs</w:t>
      </w:r>
      <w:r w:rsidR="000049D7" w:rsidRPr="00B97064">
        <w:rPr>
          <w:lang w:val="en-GB"/>
        </w:rPr>
        <w:t>.</w:t>
      </w:r>
    </w:p>
    <w:p w:rsidR="00DD6D48" w:rsidRPr="00B97064" w:rsidRDefault="00DD6D48" w:rsidP="00DB5C18">
      <w:pPr>
        <w:rPr>
          <w:lang w:val="en-GB"/>
        </w:rPr>
      </w:pPr>
    </w:p>
    <w:p w:rsidR="007C7F32" w:rsidRPr="00B97064" w:rsidRDefault="007C7F32" w:rsidP="00523214">
      <w:pPr>
        <w:rPr>
          <w:lang w:val="en-GB"/>
        </w:rPr>
      </w:pPr>
      <w:r w:rsidRPr="00B97064">
        <w:rPr>
          <w:lang w:val="en-GB"/>
        </w:rPr>
        <w:t>Backhuijs</w:t>
      </w:r>
      <w:r w:rsidR="007F674E">
        <w:rPr>
          <w:lang w:val="en-GB"/>
        </w:rPr>
        <w:t xml:space="preserve"> and </w:t>
      </w:r>
      <w:proofErr w:type="spellStart"/>
      <w:r w:rsidRPr="00B97064">
        <w:rPr>
          <w:lang w:val="en-GB"/>
        </w:rPr>
        <w:t>Braam</w:t>
      </w:r>
      <w:proofErr w:type="spellEnd"/>
      <w:r w:rsidRPr="00B97064">
        <w:rPr>
          <w:lang w:val="en-GB"/>
        </w:rPr>
        <w:t xml:space="preserve"> (2008) investigated the information provision of Dutch listed companies (in April 2008) with regard to related parties and directors remuneration in their annual report of 2007. Their sample consisted of 73 companies. They found evidence that all companies mentioned subsidiaries as well as board members as related party in their consolidated financial statement. Furthermore, most firms mentioned the parent (96%) and associated companies (81%). Joint ventures are mentioned in more than half of the statements (59%), firms with control or significant influence over the reporting entity in 71% of the consolidated financial statements. Less than 10% mentioned related parties in their pre-consolidated financial statement, only 7% mentioned firms with control or significant influence and only 8% mentioned subsidiaries or associated companies. 23% refer to the consolidated financial statement. Furthermore, they investigated the information provision on RPTs in the annual reports. The companies mainly mentioned the nature of the transactions (63%), the amount of the transaction (62%) and the amount of outstanding balances (56%). Again, the information is mainly mentioned in the consolidated financial statement. Finally, they investigated the information provision regarding remuneration of directors. Since this part of disclosure of RPTs is excluded in my res</w:t>
      </w:r>
      <w:r w:rsidR="008334AA" w:rsidRPr="00B97064">
        <w:rPr>
          <w:lang w:val="en-GB"/>
        </w:rPr>
        <w:t>earch, I will not go into this.</w:t>
      </w:r>
    </w:p>
    <w:p w:rsidR="007C7F32" w:rsidRPr="00B97064" w:rsidRDefault="007C7F32" w:rsidP="00DB5C18">
      <w:pPr>
        <w:pStyle w:val="Heading2"/>
        <w:rPr>
          <w:lang w:val="en-GB"/>
        </w:rPr>
      </w:pPr>
      <w:bookmarkStart w:id="53" w:name="_Toc349585478"/>
      <w:r w:rsidRPr="00B97064">
        <w:rPr>
          <w:lang w:val="en-GB"/>
        </w:rPr>
        <w:t>3.8 Firm characteristics</w:t>
      </w:r>
      <w:bookmarkEnd w:id="53"/>
    </w:p>
    <w:p w:rsidR="002F1A9C" w:rsidRPr="00B97064" w:rsidRDefault="007C7F32" w:rsidP="00DB5C18">
      <w:pPr>
        <w:rPr>
          <w:lang w:val="en-GB"/>
        </w:rPr>
      </w:pPr>
      <w:r w:rsidRPr="00B97064">
        <w:rPr>
          <w:lang w:val="en-GB"/>
        </w:rPr>
        <w:t xml:space="preserve">Cheung et al (2006) proved, as mentioned in section </w:t>
      </w:r>
      <w:fldSimple w:instr=" REF _Ref340574399 \h  \* MERGEFORMAT ">
        <w:r w:rsidR="00944DD0" w:rsidRPr="00B97064">
          <w:rPr>
            <w:lang w:val="en-GB"/>
          </w:rPr>
          <w:t>3.6 Cross-listing</w:t>
        </w:r>
      </w:fldSimple>
      <w:r w:rsidRPr="00B97064">
        <w:rPr>
          <w:lang w:val="en-GB"/>
        </w:rPr>
        <w:t>, that there is a negative relation between the level of investor protection and RPTs. There are also some firm characteristics which may be related to RPTs and firm value.</w:t>
      </w:r>
      <w:r w:rsidR="00E873A5" w:rsidRPr="00B97064">
        <w:rPr>
          <w:lang w:val="en-GB"/>
        </w:rPr>
        <w:t xml:space="preserve"> The study of Cheung et al. (2006), as discussed in section </w:t>
      </w:r>
      <w:fldSimple w:instr=" REF _Ref349308134 \h  \* MERGEFORMAT ">
        <w:r w:rsidR="00944DD0" w:rsidRPr="00B97064">
          <w:rPr>
            <w:lang w:val="en-GB"/>
          </w:rPr>
          <w:t>3.4 RPTs and firm value</w:t>
        </w:r>
      </w:fldSimple>
      <w:r w:rsidR="00E873A5" w:rsidRPr="00B97064">
        <w:rPr>
          <w:lang w:val="en-GB"/>
        </w:rPr>
        <w:t xml:space="preserve">, already proved the negative impact of the ownership percentage, a low disclosure level and not being audited by a big </w:t>
      </w:r>
      <w:r w:rsidR="002D10C8" w:rsidRPr="00B97064">
        <w:rPr>
          <w:lang w:val="en-GB"/>
        </w:rPr>
        <w:t>5</w:t>
      </w:r>
      <w:r w:rsidR="00E873A5" w:rsidRPr="00B97064">
        <w:rPr>
          <w:lang w:val="en-GB"/>
        </w:rPr>
        <w:t xml:space="preserve"> audit firm on earned MAAR. They also proved the positive impact of the presence of an audit committee on earned MAAR.</w:t>
      </w:r>
      <w:r w:rsidR="002F1A9C" w:rsidRPr="00B97064">
        <w:rPr>
          <w:lang w:val="en-GB"/>
        </w:rPr>
        <w:t xml:space="preserve"> Furthermore, </w:t>
      </w:r>
      <w:proofErr w:type="spellStart"/>
      <w:r w:rsidR="002F1A9C" w:rsidRPr="00B97064">
        <w:rPr>
          <w:lang w:val="en-GB"/>
        </w:rPr>
        <w:t>Nekhili</w:t>
      </w:r>
      <w:proofErr w:type="spellEnd"/>
      <w:r w:rsidR="007F674E">
        <w:rPr>
          <w:lang w:val="en-GB"/>
        </w:rPr>
        <w:t xml:space="preserve"> and </w:t>
      </w:r>
      <w:proofErr w:type="spellStart"/>
      <w:r w:rsidR="002F1A9C" w:rsidRPr="00B97064">
        <w:rPr>
          <w:lang w:val="en-GB"/>
        </w:rPr>
        <w:t>Cherif</w:t>
      </w:r>
      <w:proofErr w:type="spellEnd"/>
      <w:r w:rsidR="002F1A9C" w:rsidRPr="00B97064">
        <w:rPr>
          <w:lang w:val="en-GB"/>
        </w:rPr>
        <w:t xml:space="preserve"> (20110) investigated the impact of some characteristics on firm value. They found that being listed in the USA has a positive impact on firm value. They found a negative effect of being audited by a big 4 audit firm on firm value.</w:t>
      </w:r>
      <w:r w:rsidR="00E873A5" w:rsidRPr="00B97064">
        <w:rPr>
          <w:lang w:val="en-GB"/>
        </w:rPr>
        <w:t xml:space="preserve"> </w:t>
      </w:r>
      <w:r w:rsidRPr="00B97064">
        <w:rPr>
          <w:lang w:val="en-GB"/>
        </w:rPr>
        <w:t xml:space="preserve">This section will discuss some </w:t>
      </w:r>
      <w:r w:rsidR="00C51F17" w:rsidRPr="00B97064">
        <w:rPr>
          <w:lang w:val="en-GB"/>
        </w:rPr>
        <w:t>more studies in the field of firm characteristics, RPTs and firm value</w:t>
      </w:r>
      <w:r w:rsidRPr="00B97064">
        <w:rPr>
          <w:lang w:val="en-GB"/>
        </w:rPr>
        <w:t>.</w:t>
      </w:r>
    </w:p>
    <w:p w:rsidR="007C7F32" w:rsidRPr="00B97064" w:rsidRDefault="007C7F32" w:rsidP="00BC3257">
      <w:pPr>
        <w:pStyle w:val="Heading3"/>
        <w:rPr>
          <w:lang w:val="en-GB"/>
        </w:rPr>
      </w:pPr>
      <w:bookmarkStart w:id="54" w:name="_Ref340568510"/>
      <w:bookmarkStart w:id="55" w:name="_Toc349585479"/>
      <w:r w:rsidRPr="00B97064">
        <w:rPr>
          <w:lang w:val="en-GB"/>
        </w:rPr>
        <w:t>3.8.1 General</w:t>
      </w:r>
      <w:bookmarkEnd w:id="54"/>
      <w:bookmarkEnd w:id="55"/>
    </w:p>
    <w:p w:rsidR="007C7F32" w:rsidRPr="00B97064" w:rsidRDefault="007C7F32" w:rsidP="00DB5C18">
      <w:pPr>
        <w:rPr>
          <w:rFonts w:cs="Arial"/>
          <w:szCs w:val="22"/>
          <w:lang w:val="en-GB"/>
        </w:rPr>
      </w:pP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(2011) investigated, besides the effect of RPTs on firm value (as mentioned earlier in section </w:t>
      </w:r>
      <w:fldSimple w:instr=" REF _Ref349076058 \h  \* MERGEFORMAT ">
        <w:r w:rsidR="00944DD0" w:rsidRPr="00B97064">
          <w:rPr>
            <w:lang w:val="en-GB"/>
          </w:rPr>
          <w:t>3.4 RPTs and firm value</w:t>
        </w:r>
      </w:fldSimple>
      <w:r w:rsidRPr="00B97064">
        <w:rPr>
          <w:rFonts w:cs="Arial"/>
          <w:szCs w:val="22"/>
          <w:lang w:val="en-GB"/>
        </w:rPr>
        <w:t xml:space="preserve">), the effect of some corporate governance characteristics on </w:t>
      </w:r>
      <w:r w:rsidRPr="00B97064">
        <w:rPr>
          <w:rFonts w:cs="Arial"/>
          <w:i/>
          <w:szCs w:val="22"/>
          <w:lang w:val="en-GB"/>
        </w:rPr>
        <w:t>the number of</w:t>
      </w:r>
      <w:r w:rsidRPr="00B97064">
        <w:rPr>
          <w:rFonts w:cs="Arial"/>
          <w:szCs w:val="22"/>
          <w:lang w:val="en-GB"/>
        </w:rPr>
        <w:t xml:space="preserve"> RPTs. Again, their sample consisted of 85 </w:t>
      </w:r>
      <w:r w:rsidRPr="00B97064">
        <w:rPr>
          <w:rFonts w:cs="Arial"/>
          <w:szCs w:val="22"/>
          <w:lang w:val="en-GB"/>
        </w:rPr>
        <w:lastRenderedPageBreak/>
        <w:t xml:space="preserve">companies listed on the Paris Stock Exchange during the period 2002-2005. They found that being cross-listed in the USA has a positive effect on the number of RPTs, especially on RPTs with subsidiaries and affiliated companies. The number of (direct) RPTs with main shareholders, directors and managers is positively affected by the percentage of voting rights held by the main shareholder, the ratio of independent non-executive directors compared to total number of directors as well as the size of the board of directors. The independence ratio of the audit committee and the ratio between financial liabilities and total debt also increase the number of direct RPTs with main shareholders, directors and managers. Being audited by one of the big </w:t>
      </w:r>
      <w:r w:rsidR="002D10C8" w:rsidRPr="00B97064">
        <w:rPr>
          <w:rFonts w:cs="Arial"/>
          <w:szCs w:val="22"/>
          <w:lang w:val="en-GB"/>
        </w:rPr>
        <w:t>4</w:t>
      </w:r>
      <w:r w:rsidRPr="00B97064">
        <w:rPr>
          <w:rFonts w:cs="Arial"/>
          <w:szCs w:val="22"/>
          <w:lang w:val="en-GB"/>
        </w:rPr>
        <w:t xml:space="preserve"> audit firms decreases the number of RPTs, particularly </w:t>
      </w:r>
      <w:r w:rsidR="002F1A9C" w:rsidRPr="00B97064">
        <w:rPr>
          <w:rFonts w:cs="Arial"/>
          <w:szCs w:val="22"/>
          <w:lang w:val="en-GB"/>
        </w:rPr>
        <w:t xml:space="preserve">direct </w:t>
      </w:r>
      <w:r w:rsidRPr="00B97064">
        <w:rPr>
          <w:rFonts w:cs="Arial"/>
          <w:szCs w:val="22"/>
          <w:lang w:val="en-GB"/>
        </w:rPr>
        <w:t>RPTs with main shareholders, directors and managers. No significant relation was found between being part of a group and the separation between ownership and voting rights of the main shareholders and RPTs.</w:t>
      </w:r>
    </w:p>
    <w:p w:rsidR="007C7F32" w:rsidRPr="00B97064" w:rsidRDefault="007C7F32" w:rsidP="00BC3257">
      <w:pPr>
        <w:pStyle w:val="Heading3"/>
        <w:rPr>
          <w:lang w:val="en-GB"/>
        </w:rPr>
      </w:pPr>
      <w:bookmarkStart w:id="56" w:name="_Toc349585480"/>
      <w:r w:rsidRPr="00B97064">
        <w:rPr>
          <w:lang w:val="en-GB"/>
        </w:rPr>
        <w:t>3.8.2 Audit committee financial experts</w:t>
      </w:r>
      <w:bookmarkEnd w:id="56"/>
    </w:p>
    <w:p w:rsidR="007C7F32" w:rsidRPr="00B97064" w:rsidRDefault="007C7F32" w:rsidP="00DB5C18">
      <w:pPr>
        <w:rPr>
          <w:rFonts w:cs="Arial"/>
          <w:szCs w:val="22"/>
          <w:lang w:val="en-GB"/>
        </w:rPr>
      </w:pPr>
      <w:r w:rsidRPr="00B97064">
        <w:rPr>
          <w:rFonts w:cs="Arial"/>
          <w:szCs w:val="22"/>
          <w:lang w:val="en-GB"/>
        </w:rPr>
        <w:t>The Dutch corporate governance code contains an article which requires Dutch listed companies with a supervisory board which exceeds 4 members to set up an audit committee. This audit committee should include at least one financial expert (rule III.5.7 corporate governance code 2009). This expert is defined as a person who has relevant knowledge and experience in financial administration / accounting for listed companies or other large companies (rule III.3.2 c</w:t>
      </w:r>
      <w:r w:rsidR="008334AA" w:rsidRPr="00B97064">
        <w:rPr>
          <w:rFonts w:cs="Arial"/>
          <w:szCs w:val="22"/>
          <w:lang w:val="en-GB"/>
        </w:rPr>
        <w:t>orporate governance code 2009).</w:t>
      </w:r>
    </w:p>
    <w:p w:rsidR="007C7F32" w:rsidRPr="00B97064" w:rsidRDefault="007C7F32" w:rsidP="00DB5C18">
      <w:pPr>
        <w:rPr>
          <w:rFonts w:cs="Arial"/>
          <w:szCs w:val="22"/>
          <w:lang w:val="en-GB"/>
        </w:rPr>
      </w:pPr>
    </w:p>
    <w:p w:rsidR="007C7F32" w:rsidRPr="00B97064" w:rsidRDefault="007C7F32" w:rsidP="00DB5C18">
      <w:pPr>
        <w:rPr>
          <w:rFonts w:cs="Arial"/>
          <w:szCs w:val="22"/>
          <w:lang w:val="en-GB"/>
        </w:rPr>
      </w:pPr>
      <w:r w:rsidRPr="00B97064">
        <w:rPr>
          <w:rFonts w:cs="Arial"/>
          <w:szCs w:val="22"/>
          <w:lang w:val="en-GB"/>
        </w:rPr>
        <w:t>Also the SEC issued legislation which requires listed firms in the USA to disclose whether the audit committee includes a financial expert and whether this expert is an independent board member. Initially, the SEC defines a financial expert as a person with expertise in the field of accounting. After some comments, the SEC expands the definition by including non-accounting financial experts (with more general financial expertise, for example as CFO/CEO). In case the firm has no financial expert in his audit committee, the firm should explain why this is not the case (SEC, 2003).</w:t>
      </w:r>
    </w:p>
    <w:p w:rsidR="008334AA" w:rsidRPr="00B97064" w:rsidRDefault="008334AA" w:rsidP="00DB5C18">
      <w:pPr>
        <w:rPr>
          <w:rFonts w:cs="Arial"/>
          <w:szCs w:val="22"/>
          <w:lang w:val="en-GB"/>
        </w:rPr>
      </w:pPr>
    </w:p>
    <w:p w:rsidR="007C7F32" w:rsidRPr="00B97064" w:rsidRDefault="007C7F32" w:rsidP="00DB5C18">
      <w:pPr>
        <w:rPr>
          <w:rFonts w:cs="Arial"/>
          <w:szCs w:val="22"/>
          <w:lang w:val="en-GB"/>
        </w:rPr>
      </w:pPr>
      <w:r w:rsidRPr="00B97064">
        <w:rPr>
          <w:rFonts w:cs="Arial"/>
          <w:szCs w:val="22"/>
          <w:lang w:val="en-GB"/>
        </w:rPr>
        <w:t>Financial experts of the audit committee are deemed to have more financial expertise, and therefore, should be better able to monitor the RPTs. So, the risk of expropriation should decrease in case the audit committee consist of</w:t>
      </w:r>
      <w:r w:rsidR="008334AA" w:rsidRPr="00B97064">
        <w:rPr>
          <w:rFonts w:cs="Arial"/>
          <w:szCs w:val="22"/>
          <w:lang w:val="en-GB"/>
        </w:rPr>
        <w:t xml:space="preserve"> one or more financial experts.</w:t>
      </w:r>
    </w:p>
    <w:p w:rsidR="007C7F32" w:rsidRPr="00B97064" w:rsidRDefault="007C7F32" w:rsidP="00DB5C18">
      <w:pPr>
        <w:rPr>
          <w:rFonts w:cs="Arial"/>
          <w:szCs w:val="22"/>
          <w:lang w:val="en-GB"/>
        </w:rPr>
      </w:pPr>
    </w:p>
    <w:p w:rsidR="007C7F32" w:rsidRPr="00B97064" w:rsidRDefault="007C7F32" w:rsidP="00DB5C18">
      <w:pPr>
        <w:rPr>
          <w:rFonts w:cs="Arial"/>
          <w:szCs w:val="22"/>
          <w:lang w:val="en-GB"/>
        </w:rPr>
      </w:pPr>
      <w:r w:rsidRPr="00B97064">
        <w:rPr>
          <w:rFonts w:cs="Arial"/>
          <w:szCs w:val="22"/>
          <w:lang w:val="en-GB"/>
        </w:rPr>
        <w:t xml:space="preserve">DeFond et al. (2005) examined the market reaction (measured by the three day cumulative abnormal returns around the announcement) on the appointment of financial experts in the audit committees of firms. They made a distinction between accounting financial experts and non-accounting financial experts. They also tested whether there is a difference in market </w:t>
      </w:r>
      <w:r w:rsidRPr="00B97064">
        <w:rPr>
          <w:rFonts w:cs="Arial"/>
          <w:szCs w:val="22"/>
          <w:lang w:val="en-GB"/>
        </w:rPr>
        <w:lastRenderedPageBreak/>
        <w:t>reaction between the appointment of financial experts on the audit committee in case the committee includes a financial expert already (replacing of a member or increasing the number of financial experts) compared to the case there is no financial expert in the committee already.</w:t>
      </w:r>
      <w:r w:rsidR="008334AA" w:rsidRPr="00B97064">
        <w:rPr>
          <w:rFonts w:cs="Arial"/>
          <w:szCs w:val="22"/>
          <w:lang w:val="en-GB"/>
        </w:rPr>
        <w:t xml:space="preserve"> </w:t>
      </w:r>
      <w:r w:rsidRPr="00B97064">
        <w:rPr>
          <w:rFonts w:cs="Arial"/>
          <w:szCs w:val="22"/>
          <w:lang w:val="en-GB"/>
        </w:rPr>
        <w:t>Furthermore, they examined the effect of the strength of corporate governance; they expected a positive market reaction on financial experts mainly applies to firms with strong corporate governance. The strength of corporate governance was measured by different variables: board size (this variable was expected to have a negative impact on the strength of corporate governance) and the proportion of outside directors, audit committee size, audit committee independence, institutional ownership and a governance index (those variables were expected to have a positive effect on the strength of corporate governance). Their sample consisted of 702 announcements of the appointment of new audit committee members in the period 1993-2002 from the Corporate Library Database. They found a positive market reaction on the appointment of accounting financial experts in audit committees. No significant reaction was found to the announcements of the appointment of non-accounting financial experts as well as non-financial audit committee members. Furthermore, they found evidence that the positive market reaction only applies to firms with strong corporate governance. No evidence was found that the market reaction depends on whether or not the audit committee includes a financial expert before the announcement of a new member.</w:t>
      </w:r>
    </w:p>
    <w:p w:rsidR="00922026" w:rsidRPr="00B97064" w:rsidRDefault="00922026" w:rsidP="00DB5C18">
      <w:pPr>
        <w:rPr>
          <w:rFonts w:cs="Arial"/>
          <w:szCs w:val="22"/>
          <w:lang w:val="en-GB"/>
        </w:rPr>
      </w:pPr>
    </w:p>
    <w:p w:rsidR="007C7F32" w:rsidRPr="00B97064" w:rsidRDefault="007C7F32" w:rsidP="00DB5C18">
      <w:pPr>
        <w:rPr>
          <w:rFonts w:cs="Arial"/>
          <w:szCs w:val="22"/>
          <w:lang w:val="en-GB"/>
        </w:rPr>
      </w:pPr>
      <w:r w:rsidRPr="00B97064">
        <w:rPr>
          <w:rFonts w:cs="Arial"/>
          <w:szCs w:val="22"/>
          <w:lang w:val="en-GB"/>
        </w:rPr>
        <w:t>Krishnan</w:t>
      </w:r>
      <w:r w:rsidR="007F674E">
        <w:rPr>
          <w:rFonts w:cs="Arial"/>
          <w:szCs w:val="22"/>
          <w:lang w:val="en-GB"/>
        </w:rPr>
        <w:t xml:space="preserve"> and </w:t>
      </w:r>
      <w:r w:rsidRPr="00B97064">
        <w:rPr>
          <w:rFonts w:cs="Arial"/>
          <w:szCs w:val="22"/>
          <w:lang w:val="en-GB"/>
        </w:rPr>
        <w:t>Lee (2009) researched the relation between corporate governance (measured by the same variables as DeFond et al. 2005), potential litigation risk and the number of accounting financial experts in the audit committee. They expected that accounting financial expertise is positively related with financial reporting quality, since the accounting financial experts could monitor more effectively. So, firms will try to reduce their potential litigation risk by appointing accounting financial experts in their audit committee. Their sample consisted of 802 Fortune 1000 firms of 2004. They found that the higher the potential litigation risk, the more likely firms have accounting financial experts in their audit committee. However, this only applies to firms with strong corporate governance; no relation</w:t>
      </w:r>
      <w:r w:rsidR="00E91085" w:rsidRPr="00B97064">
        <w:rPr>
          <w:rFonts w:cs="Arial"/>
          <w:szCs w:val="22"/>
          <w:lang w:val="en-GB"/>
        </w:rPr>
        <w:t xml:space="preserve"> was found</w:t>
      </w:r>
      <w:r w:rsidRPr="00B97064">
        <w:rPr>
          <w:rFonts w:cs="Arial"/>
          <w:szCs w:val="22"/>
          <w:lang w:val="en-GB"/>
        </w:rPr>
        <w:t xml:space="preserve"> between potential litigation risk and the number o</w:t>
      </w:r>
      <w:r w:rsidR="004C53B8" w:rsidRPr="00B97064">
        <w:rPr>
          <w:rFonts w:cs="Arial"/>
          <w:szCs w:val="22"/>
          <w:lang w:val="en-GB"/>
        </w:rPr>
        <w:t>f accounting financial experts.</w:t>
      </w:r>
    </w:p>
    <w:p w:rsidR="007C7F32" w:rsidRPr="00B97064" w:rsidRDefault="007C7F32" w:rsidP="00BC3257">
      <w:pPr>
        <w:pStyle w:val="Heading3"/>
        <w:rPr>
          <w:lang w:val="en-GB"/>
        </w:rPr>
      </w:pPr>
      <w:bookmarkStart w:id="57" w:name="_Toc349585481"/>
      <w:r w:rsidRPr="00B97064">
        <w:rPr>
          <w:lang w:val="en-GB"/>
        </w:rPr>
        <w:t>3.8.3 Board(s) composition</w:t>
      </w:r>
      <w:bookmarkEnd w:id="57"/>
    </w:p>
    <w:p w:rsidR="007C7F32" w:rsidRPr="00B97064" w:rsidRDefault="007C7F32" w:rsidP="0058264A">
      <w:pPr>
        <w:rPr>
          <w:lang w:val="en-GB"/>
        </w:rPr>
      </w:pPr>
      <w:r w:rsidRPr="00B97064">
        <w:rPr>
          <w:lang w:val="en-GB"/>
        </w:rPr>
        <w:t xml:space="preserve">The composition of </w:t>
      </w:r>
      <w:r w:rsidR="00056787" w:rsidRPr="00B97064">
        <w:rPr>
          <w:lang w:val="en-GB"/>
        </w:rPr>
        <w:t xml:space="preserve">a </w:t>
      </w:r>
      <w:r w:rsidRPr="00B97064">
        <w:rPr>
          <w:lang w:val="en-GB"/>
        </w:rPr>
        <w:t>firms’ board differs per country (one tier board as well as two tier board). Also the number of board members is not determined; firms are allowed to choose the number of executive or non-executive board members (in case of a one-tier board) or the number of supervisory- and executive board members. However,</w:t>
      </w:r>
      <w:r w:rsidR="00A4514C" w:rsidRPr="00B97064">
        <w:rPr>
          <w:lang w:val="en-GB"/>
        </w:rPr>
        <w:t xml:space="preserve"> you could argue that</w:t>
      </w:r>
      <w:r w:rsidRPr="00B97064">
        <w:rPr>
          <w:lang w:val="en-GB"/>
        </w:rPr>
        <w:t xml:space="preserve"> a larger supervisory board or more non-executive board members is</w:t>
      </w:r>
      <w:r w:rsidR="00056787" w:rsidRPr="00B97064">
        <w:rPr>
          <w:lang w:val="en-GB"/>
        </w:rPr>
        <w:t xml:space="preserve"> </w:t>
      </w:r>
      <w:r w:rsidRPr="00B97064">
        <w:rPr>
          <w:lang w:val="en-GB"/>
        </w:rPr>
        <w:t>/</w:t>
      </w:r>
      <w:r w:rsidR="00056787" w:rsidRPr="00B97064">
        <w:rPr>
          <w:lang w:val="en-GB"/>
        </w:rPr>
        <w:t xml:space="preserve"> </w:t>
      </w:r>
      <w:r w:rsidRPr="00B97064">
        <w:rPr>
          <w:lang w:val="en-GB"/>
        </w:rPr>
        <w:t xml:space="preserve">are better able to </w:t>
      </w:r>
      <w:r w:rsidRPr="00B97064">
        <w:rPr>
          <w:lang w:val="en-GB"/>
        </w:rPr>
        <w:lastRenderedPageBreak/>
        <w:t>monitor the executive board members. So, a larger number of non-executive</w:t>
      </w:r>
      <w:r w:rsidR="00056787" w:rsidRPr="00B97064">
        <w:rPr>
          <w:lang w:val="en-GB"/>
        </w:rPr>
        <w:t xml:space="preserve"> </w:t>
      </w:r>
      <w:r w:rsidRPr="00B97064">
        <w:rPr>
          <w:lang w:val="en-GB"/>
        </w:rPr>
        <w:t>/</w:t>
      </w:r>
      <w:r w:rsidR="00056787" w:rsidRPr="00B97064">
        <w:rPr>
          <w:lang w:val="en-GB"/>
        </w:rPr>
        <w:t xml:space="preserve"> </w:t>
      </w:r>
      <w:r w:rsidRPr="00B97064">
        <w:rPr>
          <w:lang w:val="en-GB"/>
        </w:rPr>
        <w:t xml:space="preserve">supervisory </w:t>
      </w:r>
      <w:r w:rsidR="00056787" w:rsidRPr="00B97064">
        <w:rPr>
          <w:lang w:val="en-GB"/>
        </w:rPr>
        <w:t xml:space="preserve">board members </w:t>
      </w:r>
      <w:r w:rsidRPr="00B97064">
        <w:rPr>
          <w:lang w:val="en-GB"/>
        </w:rPr>
        <w:t xml:space="preserve">may decrease the risk of expropriation by management/main shareholder. So, this should have a positive effect on firm value and </w:t>
      </w:r>
      <w:r w:rsidR="00A4514C" w:rsidRPr="00B97064">
        <w:rPr>
          <w:lang w:val="en-GB"/>
        </w:rPr>
        <w:t xml:space="preserve">thus </w:t>
      </w:r>
      <w:r w:rsidRPr="00B97064">
        <w:rPr>
          <w:lang w:val="en-GB"/>
        </w:rPr>
        <w:t>a negative relation with RPTs, since this is a proxy for the risk of expropriation.</w:t>
      </w:r>
    </w:p>
    <w:p w:rsidR="007C7F32" w:rsidRPr="00B97064" w:rsidRDefault="007C7F32" w:rsidP="0058264A">
      <w:pPr>
        <w:rPr>
          <w:lang w:val="en-GB"/>
        </w:rPr>
      </w:pPr>
    </w:p>
    <w:p w:rsidR="007C7F32" w:rsidRPr="00B97064" w:rsidRDefault="007C7F32" w:rsidP="00DB5C18">
      <w:pPr>
        <w:tabs>
          <w:tab w:val="left" w:pos="7920"/>
        </w:tabs>
        <w:rPr>
          <w:lang w:val="en-GB"/>
        </w:rPr>
      </w:pPr>
      <w:r w:rsidRPr="00B97064">
        <w:rPr>
          <w:lang w:val="en-GB"/>
        </w:rPr>
        <w:t>Dayha et al. (2008) investigated the relation between the proportion of non-related board members and firm value. The sample consist</w:t>
      </w:r>
      <w:r w:rsidR="00A4514C" w:rsidRPr="00B97064">
        <w:rPr>
          <w:lang w:val="en-GB"/>
        </w:rPr>
        <w:t>ed</w:t>
      </w:r>
      <w:r w:rsidRPr="00B97064">
        <w:rPr>
          <w:lang w:val="en-GB"/>
        </w:rPr>
        <w:t xml:space="preserve"> of data from the year 2002 and included 799 firms from 22 countries in total (including The Netherlands), after </w:t>
      </w:r>
      <w:r w:rsidR="00A4514C" w:rsidRPr="00B97064">
        <w:rPr>
          <w:lang w:val="en-GB"/>
        </w:rPr>
        <w:t>the elimination of</w:t>
      </w:r>
      <w:r w:rsidRPr="00B97064">
        <w:rPr>
          <w:lang w:val="en-GB"/>
        </w:rPr>
        <w:t xml:space="preserve"> 40 firms with missing data. Firm value was again measured by Tobin’s Q. They proved that there is a significant positive relation between firm value and the percentage of non-affiliated members of the board of directors. This relation is stronger in countries with a lower investor protection. Besides this, they examined the relation between the proportion of non-affiliated board members and the existence of RPTs with controlling shareholders; they proved a significant negative relation. Furthermore, they proved that directors are part of boards of multiple firms, which, according to them, confirm the theory that board members improve their supervision in case the main shareholder could dismiss the board member; in case of redundancy, there is no loss of opportunities for board positions at other firms.</w:t>
      </w:r>
    </w:p>
    <w:p w:rsidR="007C7F32" w:rsidRPr="00B97064" w:rsidRDefault="007C7F32" w:rsidP="0001217A">
      <w:pPr>
        <w:pStyle w:val="Heading3"/>
        <w:rPr>
          <w:lang w:val="en-GB"/>
        </w:rPr>
      </w:pPr>
      <w:bookmarkStart w:id="58" w:name="_Ref349394486"/>
      <w:bookmarkStart w:id="59" w:name="_Toc349585482"/>
      <w:r w:rsidRPr="00B97064">
        <w:rPr>
          <w:lang w:val="en-GB"/>
        </w:rPr>
        <w:t>3.8.4 Auditor type</w:t>
      </w:r>
      <w:bookmarkEnd w:id="58"/>
      <w:bookmarkEnd w:id="59"/>
    </w:p>
    <w:p w:rsidR="007C7F32" w:rsidRPr="00B97064" w:rsidRDefault="007C7F32" w:rsidP="00DB5C18">
      <w:pPr>
        <w:rPr>
          <w:rFonts w:cs="Arial"/>
          <w:szCs w:val="22"/>
          <w:lang w:val="en-GB"/>
        </w:rPr>
      </w:pPr>
      <w:r w:rsidRPr="00B97064">
        <w:rPr>
          <w:rFonts w:cs="Arial"/>
          <w:szCs w:val="22"/>
          <w:lang w:val="en-GB"/>
        </w:rPr>
        <w:t>DeAngelo (1981) explained the correlation between auditor size and audit quality. Due to high transaction and start-up costs, firms are unwilling to change of auditor. This should indicate that the audit firm could behave opportunistically by increasing audit fees or by lowering audit quality. On the contrary, in case the client leaves the audit firm, the audit firm loses</w:t>
      </w:r>
      <w:r w:rsidRPr="00B97064">
        <w:rPr>
          <w:rFonts w:cs="Arial"/>
          <w:i/>
          <w:szCs w:val="22"/>
          <w:lang w:val="en-GB"/>
        </w:rPr>
        <w:t xml:space="preserve"> ‘client-specific quasi-rents’</w:t>
      </w:r>
      <w:r w:rsidRPr="00B97064">
        <w:rPr>
          <w:rFonts w:cs="Arial"/>
          <w:szCs w:val="22"/>
          <w:lang w:val="en-GB"/>
        </w:rPr>
        <w:t xml:space="preserve"> (DeAngelo 1981, p. 184). Those client-specific quasi-rents are expected to prevent auditor for acting opportunistically. The bigger the audit firm, the higher the client-specific quasi-rents which are at stake. So, to retain clients, bigger audit firms should supply a</w:t>
      </w:r>
      <w:r w:rsidR="004C53B8" w:rsidRPr="00B97064">
        <w:rPr>
          <w:rFonts w:cs="Arial"/>
          <w:szCs w:val="22"/>
          <w:lang w:val="en-GB"/>
        </w:rPr>
        <w:t xml:space="preserve"> higher level of audit quality.</w:t>
      </w:r>
    </w:p>
    <w:p w:rsidR="00A4514C" w:rsidRPr="00B97064" w:rsidRDefault="00A4514C" w:rsidP="00DB5C18">
      <w:pPr>
        <w:rPr>
          <w:rFonts w:cs="Arial"/>
          <w:szCs w:val="22"/>
          <w:lang w:val="en-GB"/>
        </w:rPr>
      </w:pPr>
    </w:p>
    <w:p w:rsidR="007C7F32" w:rsidRPr="00B97064" w:rsidRDefault="007C7F32" w:rsidP="00EE56B0">
      <w:pPr>
        <w:rPr>
          <w:lang w:val="en-GB"/>
        </w:rPr>
      </w:pPr>
      <w:r w:rsidRPr="00B97064">
        <w:rPr>
          <w:rFonts w:cs="Arial"/>
          <w:szCs w:val="22"/>
          <w:lang w:val="en-GB"/>
        </w:rPr>
        <w:t xml:space="preserve">So, a big </w:t>
      </w:r>
      <w:r w:rsidR="002D10C8" w:rsidRPr="00B97064">
        <w:rPr>
          <w:rFonts w:cs="Arial"/>
          <w:szCs w:val="22"/>
          <w:lang w:val="en-GB"/>
        </w:rPr>
        <w:t>4</w:t>
      </w:r>
      <w:r w:rsidRPr="00B97064">
        <w:rPr>
          <w:rFonts w:cs="Arial"/>
          <w:szCs w:val="22"/>
          <w:lang w:val="en-GB"/>
        </w:rPr>
        <w:t xml:space="preserve"> audit firm may supply better audit quality; this should reduce the risk of expropriation. So, (minority) shareholders are served by hiring a big </w:t>
      </w:r>
      <w:r w:rsidR="002D10C8" w:rsidRPr="00B97064">
        <w:rPr>
          <w:rFonts w:cs="Arial"/>
          <w:szCs w:val="22"/>
          <w:lang w:val="en-GB"/>
        </w:rPr>
        <w:t>4</w:t>
      </w:r>
      <w:r w:rsidRPr="00B97064">
        <w:rPr>
          <w:rFonts w:cs="Arial"/>
          <w:szCs w:val="22"/>
          <w:lang w:val="en-GB"/>
        </w:rPr>
        <w:t xml:space="preserve"> audit firm to perform the firm’s audit. T</w:t>
      </w:r>
      <w:r w:rsidRPr="00B97064">
        <w:rPr>
          <w:lang w:val="en-GB"/>
        </w:rPr>
        <w:t xml:space="preserve">his should again have a positive effect on firm value and a negative relation with RPTs, since this is a proxy for the risk of expropriation. However, the research of </w:t>
      </w:r>
      <w:proofErr w:type="spellStart"/>
      <w:r w:rsidRPr="00B97064">
        <w:rPr>
          <w:lang w:val="en-GB"/>
        </w:rPr>
        <w:t>Nekhili</w:t>
      </w:r>
      <w:proofErr w:type="spellEnd"/>
      <w:r w:rsidR="007F674E">
        <w:rPr>
          <w:lang w:val="en-GB"/>
        </w:rPr>
        <w:t xml:space="preserve"> and </w:t>
      </w:r>
      <w:proofErr w:type="spellStart"/>
      <w:r w:rsidRPr="00B97064">
        <w:rPr>
          <w:lang w:val="en-GB"/>
        </w:rPr>
        <w:t>Cherif</w:t>
      </w:r>
      <w:proofErr w:type="spellEnd"/>
      <w:r w:rsidRPr="00B97064">
        <w:rPr>
          <w:lang w:val="en-GB"/>
        </w:rPr>
        <w:t xml:space="preserve"> (2011) and the study of Cheung (2006)</w:t>
      </w:r>
      <w:r w:rsidR="002074D5" w:rsidRPr="00B97064">
        <w:rPr>
          <w:lang w:val="en-GB"/>
        </w:rPr>
        <w:t xml:space="preserve"> as discussed in section </w:t>
      </w:r>
      <w:fldSimple w:instr=" REF _Ref340582962 \h  \* MERGEFORMAT ">
        <w:r w:rsidR="00944DD0" w:rsidRPr="00B97064">
          <w:rPr>
            <w:lang w:val="en-GB"/>
          </w:rPr>
          <w:t>3.4 RPTs and firm value</w:t>
        </w:r>
      </w:fldSimple>
      <w:r w:rsidR="00944DD0" w:rsidRPr="00B97064">
        <w:rPr>
          <w:lang w:val="en-GB"/>
        </w:rPr>
        <w:t xml:space="preserve"> </w:t>
      </w:r>
      <w:r w:rsidRPr="00B97064">
        <w:rPr>
          <w:lang w:val="en-GB"/>
        </w:rPr>
        <w:t>proved that being audited by one of the big</w:t>
      </w:r>
      <w:r w:rsidR="002074D5" w:rsidRPr="00B97064">
        <w:rPr>
          <w:lang w:val="en-GB"/>
        </w:rPr>
        <w:t xml:space="preserve"> 4/ big 5</w:t>
      </w:r>
      <w:r w:rsidRPr="00B97064">
        <w:rPr>
          <w:lang w:val="en-GB"/>
        </w:rPr>
        <w:t xml:space="preserve"> audit firms had a </w:t>
      </w:r>
      <w:r w:rsidRPr="00B97064">
        <w:rPr>
          <w:i/>
          <w:lang w:val="en-GB"/>
        </w:rPr>
        <w:t>negative</w:t>
      </w:r>
      <w:r w:rsidRPr="00B97064">
        <w:rPr>
          <w:lang w:val="en-GB"/>
        </w:rPr>
        <w:t xml:space="preserve"> impact on firm value/ MAAR. </w:t>
      </w:r>
      <w:r w:rsidR="002074D5" w:rsidRPr="00B97064">
        <w:rPr>
          <w:lang w:val="en-GB"/>
        </w:rPr>
        <w:t xml:space="preserve">However, </w:t>
      </w:r>
      <w:proofErr w:type="spellStart"/>
      <w:r w:rsidR="002074D5" w:rsidRPr="00B97064">
        <w:rPr>
          <w:lang w:val="en-GB"/>
        </w:rPr>
        <w:t>Nekhili</w:t>
      </w:r>
      <w:proofErr w:type="spellEnd"/>
      <w:r w:rsidR="007F674E">
        <w:rPr>
          <w:lang w:val="en-GB"/>
        </w:rPr>
        <w:t xml:space="preserve"> and </w:t>
      </w:r>
      <w:proofErr w:type="spellStart"/>
      <w:r w:rsidR="002074D5" w:rsidRPr="00B97064">
        <w:rPr>
          <w:lang w:val="en-GB"/>
        </w:rPr>
        <w:t>Cherif</w:t>
      </w:r>
      <w:proofErr w:type="spellEnd"/>
      <w:r w:rsidR="002074D5" w:rsidRPr="00B97064">
        <w:rPr>
          <w:lang w:val="en-GB"/>
        </w:rPr>
        <w:t xml:space="preserve"> (2011) did prove (as discussed in section </w:t>
      </w:r>
      <w:fldSimple w:instr=" REF _Ref340568510 \h  \* MERGEFORMAT ">
        <w:r w:rsidR="00944DD0" w:rsidRPr="00B97064">
          <w:rPr>
            <w:lang w:val="en-GB"/>
          </w:rPr>
          <w:t>3.8.1 General</w:t>
        </w:r>
      </w:fldSimple>
      <w:r w:rsidR="002074D5" w:rsidRPr="00B97064">
        <w:rPr>
          <w:lang w:val="en-GB"/>
        </w:rPr>
        <w:t xml:space="preserve"> that b</w:t>
      </w:r>
      <w:r w:rsidRPr="00B97064">
        <w:rPr>
          <w:rFonts w:cs="Arial"/>
          <w:szCs w:val="22"/>
          <w:lang w:val="en-GB"/>
        </w:rPr>
        <w:t xml:space="preserve">eing audited by one of the big </w:t>
      </w:r>
      <w:r w:rsidR="002D10C8" w:rsidRPr="00B97064">
        <w:rPr>
          <w:rFonts w:cs="Arial"/>
          <w:szCs w:val="22"/>
          <w:lang w:val="en-GB"/>
        </w:rPr>
        <w:t>4</w:t>
      </w:r>
      <w:r w:rsidRPr="00B97064">
        <w:rPr>
          <w:rFonts w:cs="Arial"/>
          <w:szCs w:val="22"/>
          <w:lang w:val="en-GB"/>
        </w:rPr>
        <w:t xml:space="preserve"> audit firms decreases the number of RPTs, particularly RPTs directly with main shareholders, dir</w:t>
      </w:r>
      <w:r w:rsidR="002074D5" w:rsidRPr="00B97064">
        <w:rPr>
          <w:rFonts w:cs="Arial"/>
          <w:szCs w:val="22"/>
          <w:lang w:val="en-GB"/>
        </w:rPr>
        <w:t>ectors and managers.</w:t>
      </w:r>
    </w:p>
    <w:p w:rsidR="007C7F32" w:rsidRPr="00B97064" w:rsidRDefault="007C7F32" w:rsidP="00BC3257">
      <w:pPr>
        <w:pStyle w:val="Heading3"/>
        <w:rPr>
          <w:lang w:val="en-GB"/>
        </w:rPr>
      </w:pPr>
      <w:bookmarkStart w:id="60" w:name="_Toc349585483"/>
      <w:r w:rsidRPr="00B97064">
        <w:rPr>
          <w:lang w:val="en-GB"/>
        </w:rPr>
        <w:lastRenderedPageBreak/>
        <w:t>3.8.5 Ownership</w:t>
      </w:r>
      <w:bookmarkEnd w:id="60"/>
    </w:p>
    <w:p w:rsidR="00056787" w:rsidRPr="00B97064" w:rsidRDefault="007C7F32" w:rsidP="00DB5C18">
      <w:pPr>
        <w:rPr>
          <w:lang w:val="en-GB"/>
        </w:rPr>
      </w:pPr>
      <w:r w:rsidRPr="00B97064">
        <w:rPr>
          <w:lang w:val="en-GB"/>
        </w:rPr>
        <w:t>Claessens et al. (1999) investigated whether there is a relation between firm ownership, type of ownership (family, state, widely-held financial institutions, and widely-held corporations) and firm value. Their sample consisted of 2,658 companies of nine Asian countries</w:t>
      </w:r>
      <w:r w:rsidRPr="00B97064">
        <w:rPr>
          <w:rStyle w:val="FootnoteReference"/>
          <w:lang w:val="en-GB"/>
        </w:rPr>
        <w:footnoteReference w:id="14"/>
      </w:r>
      <w:r w:rsidRPr="00B97064">
        <w:rPr>
          <w:lang w:val="en-GB"/>
        </w:rPr>
        <w:t xml:space="preserve"> in 1996. They proved that there is a significant positive relation between cash flow rights and firm value, particularly for widely-held financial institutions.</w:t>
      </w:r>
      <w:r w:rsidR="00056787" w:rsidRPr="00B97064">
        <w:rPr>
          <w:lang w:val="en-GB"/>
        </w:rPr>
        <w:t xml:space="preserve"> This conclusion is in line with the study of La Porta et al. (2002), as discussed in section </w:t>
      </w:r>
      <w:fldSimple w:instr=" REF _Ref349567919 \h  \* MERGEFORMAT ">
        <w:r w:rsidR="00944DD0" w:rsidRPr="00B97064">
          <w:rPr>
            <w:lang w:val="en-GB"/>
          </w:rPr>
          <w:t>3.5 Investor protection and legal system</w:t>
        </w:r>
      </w:fldSimple>
      <w:r w:rsidR="000249D6" w:rsidRPr="00B97064">
        <w:rPr>
          <w:lang w:val="en-GB"/>
        </w:rPr>
        <w:t>; they also found a positive relation between cash flow rights and firm value, particularly in countries with a low level of investor protection</w:t>
      </w:r>
      <w:r w:rsidR="00056787" w:rsidRPr="00B97064">
        <w:rPr>
          <w:lang w:val="en-GB"/>
        </w:rPr>
        <w:t>.</w:t>
      </w:r>
      <w:r w:rsidRPr="00B97064">
        <w:rPr>
          <w:lang w:val="en-GB"/>
        </w:rPr>
        <w:t xml:space="preserve"> However, </w:t>
      </w:r>
      <w:r w:rsidR="000249D6" w:rsidRPr="00B97064">
        <w:rPr>
          <w:lang w:val="en-GB"/>
        </w:rPr>
        <w:t>Claessens et al. (1999) found</w:t>
      </w:r>
      <w:r w:rsidRPr="00B97064">
        <w:rPr>
          <w:lang w:val="en-GB"/>
        </w:rPr>
        <w:t xml:space="preserve"> a significant negative relation between control rights and firm value, mainly for family-held firms and widely-held financial institutions. No relation is found between control rights held by states as well as control rights held by widely-held corporations and firm value. The greater the difference between cash flow rights and control rights, the greater the decline in firm value, particularly for family-held firms and widely-held financial institutions in Japan. This indicates expropriation of minority shareholders.</w:t>
      </w:r>
    </w:p>
    <w:p w:rsidR="00056787" w:rsidRPr="00B97064" w:rsidRDefault="00056787" w:rsidP="00DB5C18">
      <w:pPr>
        <w:rPr>
          <w:lang w:val="en-GB"/>
        </w:rPr>
      </w:pPr>
    </w:p>
    <w:p w:rsidR="007C7F32" w:rsidRPr="00B97064" w:rsidRDefault="007C7F32" w:rsidP="00931029">
      <w:pPr>
        <w:rPr>
          <w:lang w:val="en-GB"/>
        </w:rPr>
        <w:sectPr w:rsidR="007C7F32" w:rsidRPr="00B97064" w:rsidSect="00A35F4D">
          <w:footerReference w:type="even" r:id="rId8"/>
          <w:footerReference w:type="default" r:id="rId9"/>
          <w:pgSz w:w="11905" w:h="16837"/>
          <w:pgMar w:top="1418" w:right="1418" w:bottom="1418" w:left="1418" w:header="709" w:footer="709" w:gutter="0"/>
          <w:cols w:space="708"/>
          <w:noEndnote/>
          <w:titlePg/>
          <w:docGrid w:linePitch="326"/>
        </w:sectPr>
      </w:pPr>
    </w:p>
    <w:p w:rsidR="007C7F32" w:rsidRPr="00B97064" w:rsidRDefault="007C7F32" w:rsidP="00F3656B">
      <w:pPr>
        <w:pStyle w:val="Heading2"/>
        <w:rPr>
          <w:lang w:val="en-GB"/>
        </w:rPr>
      </w:pPr>
      <w:bookmarkStart w:id="61" w:name="_Toc349585484"/>
      <w:r w:rsidRPr="00B97064">
        <w:rPr>
          <w:lang w:val="en-GB"/>
        </w:rPr>
        <w:lastRenderedPageBreak/>
        <w:t>3.9 Summarizing tables empirical research</w:t>
      </w:r>
      <w:bookmarkEnd w:id="61"/>
    </w:p>
    <w:p w:rsidR="007C7F32" w:rsidRPr="00B97064" w:rsidRDefault="007C7F32" w:rsidP="00164753">
      <w:pPr>
        <w:pStyle w:val="Caption"/>
        <w:rPr>
          <w:lang w:val="en-GB"/>
        </w:rPr>
      </w:pPr>
      <w:bookmarkStart w:id="62" w:name="_Toc349585534"/>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1</w:t>
      </w:r>
      <w:r w:rsidR="00E80C96" w:rsidRPr="00B97064">
        <w:rPr>
          <w:lang w:val="en-GB"/>
        </w:rPr>
        <w:fldChar w:fldCharType="end"/>
      </w:r>
      <w:r w:rsidRPr="00B97064">
        <w:rPr>
          <w:lang w:val="en-GB"/>
        </w:rPr>
        <w:t>: Summarizing table empirical research RPTs</w:t>
      </w:r>
      <w:r w:rsidR="0061221F" w:rsidRPr="00B97064">
        <w:rPr>
          <w:lang w:val="en-GB"/>
        </w:rPr>
        <w:t xml:space="preserve"> and earnings management</w:t>
      </w:r>
      <w:bookmarkEnd w:id="6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74"/>
        <w:gridCol w:w="3423"/>
        <w:gridCol w:w="2808"/>
        <w:gridCol w:w="1792"/>
        <w:gridCol w:w="4520"/>
      </w:tblGrid>
      <w:tr w:rsidR="007C7F32" w:rsidRPr="00B97064" w:rsidTr="00AF73E3">
        <w:trPr>
          <w:trHeight w:val="278"/>
        </w:trPr>
        <w:tc>
          <w:tcPr>
            <w:tcW w:w="0" w:type="auto"/>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Authors</w:t>
            </w:r>
          </w:p>
        </w:tc>
        <w:tc>
          <w:tcPr>
            <w:tcW w:w="0" w:type="auto"/>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Object of study</w:t>
            </w:r>
          </w:p>
        </w:tc>
        <w:tc>
          <w:tcPr>
            <w:tcW w:w="2808"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Sample</w:t>
            </w:r>
          </w:p>
        </w:tc>
        <w:tc>
          <w:tcPr>
            <w:tcW w:w="1792"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Methodology</w:t>
            </w:r>
          </w:p>
        </w:tc>
        <w:tc>
          <w:tcPr>
            <w:tcW w:w="4520"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Outcome</w:t>
            </w:r>
          </w:p>
        </w:tc>
      </w:tr>
      <w:tr w:rsidR="007C7F32" w:rsidRPr="007F674E" w:rsidTr="00AF73E3">
        <w:tc>
          <w:tcPr>
            <w:tcW w:w="0" w:type="auto"/>
            <w:vAlign w:val="center"/>
          </w:tcPr>
          <w:p w:rsidR="007C7F32" w:rsidRPr="00B97064" w:rsidRDefault="007C7F32" w:rsidP="00AF73E3">
            <w:pPr>
              <w:spacing w:line="276" w:lineRule="auto"/>
              <w:jc w:val="left"/>
              <w:rPr>
                <w:b/>
                <w:sz w:val="21"/>
                <w:szCs w:val="21"/>
                <w:lang w:val="en-GB"/>
              </w:rPr>
            </w:pPr>
            <w:r w:rsidRPr="00B97064">
              <w:rPr>
                <w:sz w:val="21"/>
                <w:szCs w:val="21"/>
                <w:lang w:val="en-GB"/>
              </w:rPr>
              <w:t>Gordon &amp; Henry (2005)</w:t>
            </w:r>
          </w:p>
        </w:tc>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Correlation RPTs and Earnings Management</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331 US-listed companies, years 2000 en 2001</w:t>
            </w:r>
          </w:p>
        </w:tc>
        <w:tc>
          <w:tcPr>
            <w:tcW w:w="1792"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520"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 Positive relation fixed rate financing and earnings management;</w:t>
            </w:r>
          </w:p>
          <w:p w:rsidR="007C7F32" w:rsidRPr="00B97064" w:rsidRDefault="007C7F32" w:rsidP="00AF73E3">
            <w:pPr>
              <w:spacing w:line="276" w:lineRule="auto"/>
              <w:jc w:val="left"/>
              <w:rPr>
                <w:sz w:val="21"/>
                <w:szCs w:val="21"/>
                <w:lang w:val="en-GB"/>
              </w:rPr>
            </w:pPr>
            <w:r w:rsidRPr="00B97064">
              <w:rPr>
                <w:sz w:val="21"/>
                <w:szCs w:val="21"/>
                <w:lang w:val="en-GB"/>
              </w:rPr>
              <w:t xml:space="preserve">- Negative relation transactions with executive board </w:t>
            </w:r>
            <w:r w:rsidR="00922026" w:rsidRPr="00B97064">
              <w:rPr>
                <w:sz w:val="21"/>
                <w:szCs w:val="21"/>
                <w:lang w:val="en-GB"/>
              </w:rPr>
              <w:t>members and earnings management;</w:t>
            </w:r>
          </w:p>
          <w:p w:rsidR="0067589B" w:rsidRPr="00B97064" w:rsidRDefault="0067589B" w:rsidP="00AF73E3">
            <w:pPr>
              <w:spacing w:line="276" w:lineRule="auto"/>
              <w:jc w:val="left"/>
              <w:rPr>
                <w:sz w:val="21"/>
                <w:szCs w:val="21"/>
                <w:lang w:val="en-GB"/>
              </w:rPr>
            </w:pPr>
            <w:r w:rsidRPr="00B97064">
              <w:rPr>
                <w:sz w:val="21"/>
                <w:szCs w:val="21"/>
                <w:lang w:val="en-GB"/>
              </w:rPr>
              <w:t>- No relation between number of RPTs and earnings management</w:t>
            </w:r>
            <w:r w:rsidR="00922026" w:rsidRPr="00B97064">
              <w:rPr>
                <w:sz w:val="21"/>
                <w:szCs w:val="21"/>
                <w:lang w:val="en-GB"/>
              </w:rPr>
              <w:t>.</w:t>
            </w:r>
          </w:p>
        </w:tc>
      </w:tr>
      <w:tr w:rsidR="007C7F32" w:rsidRPr="007F674E" w:rsidTr="00AF73E3">
        <w:trPr>
          <w:trHeight w:val="1774"/>
        </w:trPr>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Chen et al. (2011)</w:t>
            </w:r>
          </w:p>
        </w:tc>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Correlation RPTs and Earnings Management during IPO’s</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257 Chinese firms, years 1999 and 2000</w:t>
            </w:r>
          </w:p>
        </w:tc>
        <w:tc>
          <w:tcPr>
            <w:tcW w:w="1792"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520"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 xml:space="preserve">- </w:t>
            </w:r>
            <w:r w:rsidR="00C914B2" w:rsidRPr="00B97064">
              <w:rPr>
                <w:sz w:val="21"/>
                <w:szCs w:val="21"/>
                <w:lang w:val="en-GB"/>
              </w:rPr>
              <w:t>Firms report a</w:t>
            </w:r>
            <w:r w:rsidRPr="00B97064">
              <w:rPr>
                <w:sz w:val="21"/>
                <w:szCs w:val="21"/>
                <w:lang w:val="en-GB"/>
              </w:rPr>
              <w:t xml:space="preserve"> higher operating performance in pre-IPO period</w:t>
            </w:r>
            <w:r w:rsidR="00974A45" w:rsidRPr="00B97064">
              <w:rPr>
                <w:sz w:val="21"/>
                <w:szCs w:val="21"/>
                <w:lang w:val="en-GB"/>
              </w:rPr>
              <w:t xml:space="preserve">, </w:t>
            </w:r>
            <w:r w:rsidR="009B22E8" w:rsidRPr="00B97064">
              <w:rPr>
                <w:sz w:val="21"/>
                <w:szCs w:val="21"/>
                <w:lang w:val="en-GB"/>
              </w:rPr>
              <w:t>making</w:t>
            </w:r>
            <w:r w:rsidR="00C914B2" w:rsidRPr="00B97064">
              <w:rPr>
                <w:sz w:val="21"/>
                <w:szCs w:val="21"/>
                <w:lang w:val="en-GB"/>
              </w:rPr>
              <w:t xml:space="preserve"> us</w:t>
            </w:r>
            <w:r w:rsidR="009B22E8" w:rsidRPr="00B97064">
              <w:rPr>
                <w:sz w:val="21"/>
                <w:szCs w:val="21"/>
                <w:lang w:val="en-GB"/>
              </w:rPr>
              <w:t>e of</w:t>
            </w:r>
            <w:r w:rsidR="00C914B2" w:rsidRPr="00B97064">
              <w:rPr>
                <w:sz w:val="21"/>
                <w:szCs w:val="21"/>
                <w:lang w:val="en-GB"/>
              </w:rPr>
              <w:t xml:space="preserve"> RPTs</w:t>
            </w:r>
            <w:r w:rsidRPr="00B97064">
              <w:rPr>
                <w:sz w:val="21"/>
                <w:szCs w:val="21"/>
                <w:lang w:val="en-GB"/>
              </w:rPr>
              <w:t>;</w:t>
            </w:r>
          </w:p>
          <w:p w:rsidR="007C7F32" w:rsidRPr="00B97064" w:rsidRDefault="007C7F32" w:rsidP="00AF73E3">
            <w:pPr>
              <w:spacing w:line="276" w:lineRule="auto"/>
              <w:jc w:val="left"/>
              <w:rPr>
                <w:sz w:val="21"/>
                <w:szCs w:val="21"/>
                <w:lang w:val="en-GB"/>
              </w:rPr>
            </w:pPr>
            <w:r w:rsidRPr="00B97064">
              <w:rPr>
                <w:sz w:val="21"/>
                <w:szCs w:val="21"/>
                <w:lang w:val="en-GB"/>
              </w:rPr>
              <w:t>- Decrease in amount of oper</w:t>
            </w:r>
            <w:r w:rsidR="00922026" w:rsidRPr="00B97064">
              <w:rPr>
                <w:sz w:val="21"/>
                <w:szCs w:val="21"/>
                <w:lang w:val="en-GB"/>
              </w:rPr>
              <w:t>ating RPTs during and after IPO;</w:t>
            </w:r>
          </w:p>
          <w:p w:rsidR="007C7F32" w:rsidRPr="00B97064" w:rsidRDefault="007C7F32" w:rsidP="00AF73E3">
            <w:pPr>
              <w:spacing w:line="276" w:lineRule="auto"/>
              <w:jc w:val="left"/>
              <w:rPr>
                <w:sz w:val="21"/>
                <w:szCs w:val="21"/>
                <w:lang w:val="en-GB"/>
              </w:rPr>
            </w:pPr>
            <w:r w:rsidRPr="00B97064">
              <w:rPr>
                <w:sz w:val="21"/>
                <w:szCs w:val="21"/>
                <w:lang w:val="en-GB"/>
              </w:rPr>
              <w:t>- Decrease in operating performance after IPO.</w:t>
            </w:r>
          </w:p>
        </w:tc>
      </w:tr>
    </w:tbl>
    <w:p w:rsidR="007C7F32" w:rsidRPr="00B97064" w:rsidRDefault="007C7F32" w:rsidP="007807D5">
      <w:pPr>
        <w:pStyle w:val="Caption"/>
        <w:rPr>
          <w:lang w:val="en-GB"/>
        </w:rPr>
      </w:pPr>
      <w:r w:rsidRPr="00B97064">
        <w:rPr>
          <w:lang w:val="en-GB"/>
        </w:rPr>
        <w:br w:type="page"/>
      </w:r>
      <w:bookmarkStart w:id="63" w:name="_Toc349585535"/>
      <w:r w:rsidRPr="00B97064">
        <w:rPr>
          <w:lang w:val="en-GB"/>
        </w:rPr>
        <w:lastRenderedPageBreak/>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2</w:t>
      </w:r>
      <w:r w:rsidR="00E80C96" w:rsidRPr="00B97064">
        <w:rPr>
          <w:lang w:val="en-GB"/>
        </w:rPr>
        <w:fldChar w:fldCharType="end"/>
      </w:r>
      <w:r w:rsidRPr="00B97064">
        <w:rPr>
          <w:lang w:val="en-GB"/>
        </w:rPr>
        <w:t>: Summarizing table empirical research RPTs and firm value</w:t>
      </w:r>
      <w:bookmarkEnd w:id="6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18"/>
        <w:gridCol w:w="3479"/>
        <w:gridCol w:w="2808"/>
        <w:gridCol w:w="1792"/>
        <w:gridCol w:w="4520"/>
      </w:tblGrid>
      <w:tr w:rsidR="007C7F32" w:rsidRPr="00B97064" w:rsidTr="00AF73E3">
        <w:trPr>
          <w:trHeight w:val="278"/>
        </w:trPr>
        <w:tc>
          <w:tcPr>
            <w:tcW w:w="0" w:type="auto"/>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Authors</w:t>
            </w:r>
          </w:p>
        </w:tc>
        <w:tc>
          <w:tcPr>
            <w:tcW w:w="0" w:type="auto"/>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Object of study</w:t>
            </w:r>
          </w:p>
        </w:tc>
        <w:tc>
          <w:tcPr>
            <w:tcW w:w="2808"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Sample</w:t>
            </w:r>
          </w:p>
        </w:tc>
        <w:tc>
          <w:tcPr>
            <w:tcW w:w="1792"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Methodology</w:t>
            </w:r>
          </w:p>
        </w:tc>
        <w:tc>
          <w:tcPr>
            <w:tcW w:w="4520"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Outcome</w:t>
            </w:r>
          </w:p>
        </w:tc>
      </w:tr>
      <w:tr w:rsidR="007C7F32" w:rsidRPr="007F674E" w:rsidTr="00922026">
        <w:trPr>
          <w:trHeight w:val="1837"/>
        </w:trPr>
        <w:tc>
          <w:tcPr>
            <w:tcW w:w="0" w:type="auto"/>
            <w:vAlign w:val="center"/>
          </w:tcPr>
          <w:p w:rsidR="007C7F32" w:rsidRPr="00B97064" w:rsidRDefault="007C7F32" w:rsidP="00AF73E3">
            <w:pPr>
              <w:spacing w:line="276" w:lineRule="auto"/>
              <w:jc w:val="left"/>
              <w:rPr>
                <w:sz w:val="21"/>
                <w:szCs w:val="21"/>
                <w:lang w:val="en-GB"/>
              </w:rPr>
            </w:pPr>
            <w:r w:rsidRPr="00B97064">
              <w:rPr>
                <w:rFonts w:cs="Arial"/>
                <w:sz w:val="21"/>
                <w:szCs w:val="21"/>
                <w:lang w:val="en-GB"/>
              </w:rPr>
              <w:t>Kohlbeck and Mayhew (2010)</w:t>
            </w:r>
          </w:p>
        </w:tc>
        <w:tc>
          <w:tcPr>
            <w:tcW w:w="0" w:type="auto"/>
            <w:vAlign w:val="center"/>
          </w:tcPr>
          <w:p w:rsidR="007C7F32" w:rsidRPr="00B97064" w:rsidRDefault="007C7F32" w:rsidP="0067589B">
            <w:pPr>
              <w:spacing w:line="276" w:lineRule="auto"/>
              <w:jc w:val="left"/>
              <w:rPr>
                <w:sz w:val="21"/>
                <w:szCs w:val="21"/>
                <w:lang w:val="en-GB"/>
              </w:rPr>
            </w:pPr>
            <w:r w:rsidRPr="00B97064">
              <w:rPr>
                <w:sz w:val="21"/>
                <w:szCs w:val="21"/>
                <w:lang w:val="en-GB"/>
              </w:rPr>
              <w:t>Relation between</w:t>
            </w:r>
            <w:r w:rsidR="00A836AD" w:rsidRPr="00B97064">
              <w:rPr>
                <w:sz w:val="21"/>
                <w:szCs w:val="21"/>
                <w:lang w:val="en-GB"/>
              </w:rPr>
              <w:t xml:space="preserve"> </w:t>
            </w:r>
            <w:r w:rsidR="0067589B" w:rsidRPr="00B97064">
              <w:rPr>
                <w:sz w:val="21"/>
                <w:szCs w:val="21"/>
                <w:lang w:val="en-GB"/>
              </w:rPr>
              <w:t>disclosing</w:t>
            </w:r>
            <w:r w:rsidR="00A836AD" w:rsidRPr="00B97064">
              <w:rPr>
                <w:sz w:val="21"/>
                <w:szCs w:val="21"/>
                <w:lang w:val="en-GB"/>
              </w:rPr>
              <w:t xml:space="preserve"> </w:t>
            </w:r>
            <w:r w:rsidRPr="00B97064">
              <w:rPr>
                <w:sz w:val="21"/>
                <w:szCs w:val="21"/>
                <w:lang w:val="en-GB"/>
              </w:rPr>
              <w:t>RPTs and firm value (Tobin’s Q)</w:t>
            </w:r>
          </w:p>
        </w:tc>
        <w:tc>
          <w:tcPr>
            <w:tcW w:w="2808" w:type="dxa"/>
            <w:vAlign w:val="center"/>
          </w:tcPr>
          <w:p w:rsidR="007C7F32" w:rsidRPr="00B97064" w:rsidRDefault="007C7F32" w:rsidP="00974A45">
            <w:pPr>
              <w:spacing w:line="276" w:lineRule="auto"/>
              <w:jc w:val="left"/>
              <w:rPr>
                <w:sz w:val="21"/>
                <w:szCs w:val="21"/>
                <w:lang w:val="en-GB"/>
              </w:rPr>
            </w:pPr>
            <w:r w:rsidRPr="00B97064">
              <w:rPr>
                <w:sz w:val="21"/>
                <w:szCs w:val="21"/>
                <w:lang w:val="en-GB"/>
              </w:rPr>
              <w:t>1,194 firms of S&amp;P 1500 firms for the year 2001 (pre S</w:t>
            </w:r>
            <w:r w:rsidR="00974A45" w:rsidRPr="00B97064">
              <w:rPr>
                <w:sz w:val="21"/>
                <w:szCs w:val="21"/>
                <w:lang w:val="en-GB"/>
              </w:rPr>
              <w:t>O</w:t>
            </w:r>
            <w:r w:rsidRPr="00B97064">
              <w:rPr>
                <w:sz w:val="21"/>
                <w:szCs w:val="21"/>
                <w:lang w:val="en-GB"/>
              </w:rPr>
              <w:t>x year)</w:t>
            </w:r>
          </w:p>
        </w:tc>
        <w:tc>
          <w:tcPr>
            <w:tcW w:w="1792"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520" w:type="dxa"/>
            <w:vAlign w:val="center"/>
          </w:tcPr>
          <w:p w:rsidR="00922026" w:rsidRPr="00B97064" w:rsidRDefault="00922026" w:rsidP="00AF73E3">
            <w:pPr>
              <w:spacing w:line="276" w:lineRule="auto"/>
              <w:jc w:val="left"/>
              <w:rPr>
                <w:sz w:val="21"/>
                <w:szCs w:val="21"/>
                <w:lang w:val="en-GB"/>
              </w:rPr>
            </w:pPr>
            <w:r w:rsidRPr="00B97064">
              <w:rPr>
                <w:sz w:val="21"/>
                <w:szCs w:val="21"/>
                <w:lang w:val="en-GB"/>
              </w:rPr>
              <w:t xml:space="preserve">- </w:t>
            </w:r>
            <w:r w:rsidR="007C7F32" w:rsidRPr="00B97064">
              <w:rPr>
                <w:sz w:val="21"/>
                <w:szCs w:val="21"/>
                <w:lang w:val="en-GB"/>
              </w:rPr>
              <w:t>Firms which entered into RPTs had a significant lower mar</w:t>
            </w:r>
            <w:r w:rsidRPr="00B97064">
              <w:rPr>
                <w:sz w:val="21"/>
                <w:szCs w:val="21"/>
                <w:lang w:val="en-GB"/>
              </w:rPr>
              <w:t>ket value and subsequent return;</w:t>
            </w:r>
          </w:p>
          <w:p w:rsidR="007C7F32" w:rsidRPr="00B97064" w:rsidRDefault="00922026" w:rsidP="00AF73E3">
            <w:pPr>
              <w:spacing w:line="276" w:lineRule="auto"/>
              <w:jc w:val="left"/>
              <w:rPr>
                <w:sz w:val="21"/>
                <w:szCs w:val="21"/>
                <w:lang w:val="en-GB"/>
              </w:rPr>
            </w:pPr>
            <w:r w:rsidRPr="00B97064">
              <w:rPr>
                <w:sz w:val="21"/>
                <w:szCs w:val="21"/>
                <w:lang w:val="en-GB"/>
              </w:rPr>
              <w:t>-</w:t>
            </w:r>
            <w:r w:rsidR="007C7F32" w:rsidRPr="00B97064">
              <w:rPr>
                <w:sz w:val="21"/>
                <w:szCs w:val="21"/>
                <w:lang w:val="en-GB"/>
              </w:rPr>
              <w:t xml:space="preserve"> This effect is mainly driven by loan- and simple transactions with directors, officers and shareholders.</w:t>
            </w:r>
          </w:p>
        </w:tc>
      </w:tr>
      <w:tr w:rsidR="007C7F32" w:rsidRPr="007F674E" w:rsidTr="00ED76A9">
        <w:trPr>
          <w:trHeight w:val="960"/>
        </w:trPr>
        <w:tc>
          <w:tcPr>
            <w:tcW w:w="0" w:type="auto"/>
            <w:vAlign w:val="center"/>
          </w:tcPr>
          <w:p w:rsidR="007C7F32" w:rsidRPr="00B97064" w:rsidRDefault="007C7F32" w:rsidP="00AF73E3">
            <w:pPr>
              <w:spacing w:line="276" w:lineRule="auto"/>
              <w:jc w:val="left"/>
              <w:rPr>
                <w:sz w:val="21"/>
                <w:szCs w:val="21"/>
                <w:lang w:val="en-GB"/>
              </w:rPr>
            </w:pPr>
            <w:proofErr w:type="spellStart"/>
            <w:r w:rsidRPr="00B97064">
              <w:rPr>
                <w:rFonts w:cs="Arial"/>
                <w:sz w:val="21"/>
                <w:szCs w:val="21"/>
                <w:lang w:val="en-GB"/>
              </w:rPr>
              <w:t>Nekhili</w:t>
            </w:r>
            <w:proofErr w:type="spellEnd"/>
            <w:r w:rsidRPr="00B97064">
              <w:rPr>
                <w:rFonts w:cs="Arial"/>
                <w:sz w:val="21"/>
                <w:szCs w:val="21"/>
                <w:lang w:val="en-GB"/>
              </w:rPr>
              <w:t xml:space="preserve"> &amp; </w:t>
            </w:r>
            <w:proofErr w:type="spellStart"/>
            <w:r w:rsidRPr="00B97064">
              <w:rPr>
                <w:rFonts w:cs="Arial"/>
                <w:sz w:val="21"/>
                <w:szCs w:val="21"/>
                <w:lang w:val="en-GB"/>
              </w:rPr>
              <w:t>Cherif</w:t>
            </w:r>
            <w:proofErr w:type="spellEnd"/>
            <w:r w:rsidRPr="00B97064">
              <w:rPr>
                <w:rFonts w:cs="Arial"/>
                <w:sz w:val="21"/>
                <w:szCs w:val="21"/>
                <w:lang w:val="en-GB"/>
              </w:rPr>
              <w:t xml:space="preserve"> (2011)</w:t>
            </w:r>
          </w:p>
        </w:tc>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Relation between number of RPTs and firm value (Tobin’s Q)</w:t>
            </w:r>
          </w:p>
        </w:tc>
        <w:tc>
          <w:tcPr>
            <w:tcW w:w="2808" w:type="dxa"/>
            <w:vAlign w:val="center"/>
          </w:tcPr>
          <w:p w:rsidR="007C7F32" w:rsidRPr="00B97064" w:rsidRDefault="007C7F32" w:rsidP="00AF73E3">
            <w:pPr>
              <w:spacing w:line="276" w:lineRule="auto"/>
              <w:jc w:val="left"/>
              <w:rPr>
                <w:sz w:val="21"/>
                <w:szCs w:val="21"/>
                <w:lang w:val="en-GB"/>
              </w:rPr>
            </w:pPr>
            <w:r w:rsidRPr="00B97064">
              <w:rPr>
                <w:rFonts w:cs="Arial"/>
                <w:sz w:val="21"/>
                <w:szCs w:val="21"/>
                <w:lang w:val="en-GB"/>
              </w:rPr>
              <w:t>85 companies listed on the Paris Stock Exchange for the years 2002 till 2005</w:t>
            </w:r>
          </w:p>
        </w:tc>
        <w:tc>
          <w:tcPr>
            <w:tcW w:w="1792"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520"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Total number of RPTs has a negative effect on firm value</w:t>
            </w:r>
            <w:r w:rsidR="00922026" w:rsidRPr="00B97064">
              <w:rPr>
                <w:sz w:val="21"/>
                <w:szCs w:val="21"/>
                <w:lang w:val="en-GB"/>
              </w:rPr>
              <w:t>.</w:t>
            </w:r>
          </w:p>
        </w:tc>
      </w:tr>
      <w:tr w:rsidR="007C7F32" w:rsidRPr="007F674E" w:rsidTr="00974A45">
        <w:trPr>
          <w:trHeight w:val="2132"/>
        </w:trPr>
        <w:tc>
          <w:tcPr>
            <w:tcW w:w="0" w:type="auto"/>
            <w:vAlign w:val="center"/>
          </w:tcPr>
          <w:p w:rsidR="007C7F32" w:rsidRPr="00B97064" w:rsidRDefault="007C7F32" w:rsidP="00AF73E3">
            <w:pPr>
              <w:spacing w:line="276" w:lineRule="auto"/>
              <w:jc w:val="left"/>
              <w:rPr>
                <w:sz w:val="21"/>
                <w:szCs w:val="21"/>
                <w:lang w:val="en-GB"/>
              </w:rPr>
            </w:pPr>
            <w:r w:rsidRPr="00B97064">
              <w:rPr>
                <w:rFonts w:cs="Arial"/>
                <w:sz w:val="21"/>
                <w:szCs w:val="21"/>
                <w:lang w:val="en-GB"/>
              </w:rPr>
              <w:t>Cheung et al. (2006)</w:t>
            </w:r>
          </w:p>
        </w:tc>
        <w:tc>
          <w:tcPr>
            <w:tcW w:w="0" w:type="auto"/>
            <w:vAlign w:val="center"/>
          </w:tcPr>
          <w:p w:rsidR="007C7F32" w:rsidRPr="00B97064" w:rsidRDefault="007C7F32" w:rsidP="00A54535">
            <w:pPr>
              <w:spacing w:line="276" w:lineRule="auto"/>
              <w:jc w:val="left"/>
              <w:rPr>
                <w:sz w:val="21"/>
                <w:szCs w:val="21"/>
                <w:lang w:val="en-GB"/>
              </w:rPr>
            </w:pPr>
            <w:r w:rsidRPr="00B97064">
              <w:rPr>
                <w:sz w:val="21"/>
                <w:szCs w:val="21"/>
                <w:lang w:val="en-GB"/>
              </w:rPr>
              <w:t>Relation RPTs and shareholder value (measured by market adjusted abnormal returns MAAR)</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Financial / ownership and corporate governance data of 603 Hong Kong listed compan</w:t>
            </w:r>
            <w:r w:rsidR="00922026" w:rsidRPr="00B97064">
              <w:rPr>
                <w:sz w:val="21"/>
                <w:szCs w:val="21"/>
                <w:lang w:val="en-GB"/>
              </w:rPr>
              <w:t xml:space="preserve">ies and 375 filings concerning </w:t>
            </w:r>
            <w:r w:rsidRPr="00B97064">
              <w:rPr>
                <w:sz w:val="21"/>
                <w:szCs w:val="21"/>
                <w:lang w:val="en-GB"/>
              </w:rPr>
              <w:t>RPTs for the years 1998 till 2000</w:t>
            </w:r>
          </w:p>
        </w:tc>
        <w:tc>
          <w:tcPr>
            <w:tcW w:w="1792"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520"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 Negative market adjusted abnormal returns during announcement of RPTs as well as year after, so no adjustments ex ante, except firms with Chinese owners;</w:t>
            </w:r>
          </w:p>
          <w:p w:rsidR="007C7F32" w:rsidRPr="00B97064" w:rsidRDefault="007C7F32" w:rsidP="00AF73E3">
            <w:pPr>
              <w:spacing w:line="276" w:lineRule="auto"/>
              <w:jc w:val="left"/>
              <w:rPr>
                <w:sz w:val="21"/>
                <w:szCs w:val="21"/>
                <w:lang w:val="en-GB"/>
              </w:rPr>
            </w:pPr>
            <w:r w:rsidRPr="00B97064">
              <w:rPr>
                <w:sz w:val="21"/>
                <w:szCs w:val="21"/>
                <w:lang w:val="en-GB"/>
              </w:rPr>
              <w:t>- Sales/acquisition of assets equity relationships cash payments and trading relations most harmful;</w:t>
            </w:r>
          </w:p>
        </w:tc>
      </w:tr>
      <w:tr w:rsidR="007C7F32" w:rsidRPr="00B97064" w:rsidTr="00974A45">
        <w:trPr>
          <w:trHeight w:val="1822"/>
        </w:trPr>
        <w:tc>
          <w:tcPr>
            <w:tcW w:w="0" w:type="auto"/>
            <w:vAlign w:val="center"/>
          </w:tcPr>
          <w:p w:rsidR="007C7F32" w:rsidRPr="00B97064" w:rsidRDefault="007C7F32" w:rsidP="00AF73E3">
            <w:pPr>
              <w:spacing w:line="276" w:lineRule="auto"/>
              <w:jc w:val="left"/>
              <w:rPr>
                <w:rFonts w:cs="Arial"/>
                <w:sz w:val="21"/>
                <w:szCs w:val="21"/>
                <w:lang w:val="en-GB"/>
              </w:rPr>
            </w:pPr>
            <w:proofErr w:type="spellStart"/>
            <w:r w:rsidRPr="00B97064">
              <w:rPr>
                <w:rFonts w:cs="Arial"/>
                <w:sz w:val="21"/>
                <w:szCs w:val="21"/>
                <w:lang w:val="en-GB"/>
              </w:rPr>
              <w:t>Ge</w:t>
            </w:r>
            <w:proofErr w:type="spellEnd"/>
            <w:r w:rsidRPr="00B97064">
              <w:rPr>
                <w:rFonts w:cs="Arial"/>
                <w:sz w:val="21"/>
                <w:szCs w:val="21"/>
                <w:lang w:val="en-GB"/>
              </w:rPr>
              <w:t xml:space="preserve"> et al. (2010)</w:t>
            </w:r>
          </w:p>
        </w:tc>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Value relevance of RPT disclosure (impact of RPT disclosures on firm value)</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Top 100 Chinese listed companies, periods 1997-2000 and 2001-2003</w:t>
            </w:r>
          </w:p>
        </w:tc>
        <w:tc>
          <w:tcPr>
            <w:tcW w:w="1792"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520"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- 1997-2000: investors devaluate earnings;</w:t>
            </w:r>
          </w:p>
          <w:p w:rsidR="007C7F32" w:rsidRPr="00B97064" w:rsidRDefault="007C7F32" w:rsidP="00AF73E3">
            <w:pPr>
              <w:spacing w:line="276" w:lineRule="auto"/>
              <w:jc w:val="left"/>
              <w:rPr>
                <w:sz w:val="21"/>
                <w:szCs w:val="21"/>
                <w:lang w:val="en-GB"/>
              </w:rPr>
            </w:pPr>
            <w:r w:rsidRPr="00B97064">
              <w:rPr>
                <w:sz w:val="21"/>
                <w:szCs w:val="21"/>
                <w:lang w:val="en-GB"/>
              </w:rPr>
              <w:t>- 2001-2003: investors don’t devaluate earnings;</w:t>
            </w:r>
          </w:p>
          <w:p w:rsidR="00A836AD" w:rsidRPr="00B97064" w:rsidRDefault="007C7F32" w:rsidP="00AF73E3">
            <w:pPr>
              <w:spacing w:line="276" w:lineRule="auto"/>
              <w:jc w:val="left"/>
              <w:rPr>
                <w:sz w:val="21"/>
                <w:szCs w:val="21"/>
                <w:lang w:val="en-GB"/>
              </w:rPr>
            </w:pPr>
            <w:r w:rsidRPr="00B97064">
              <w:rPr>
                <w:sz w:val="21"/>
                <w:szCs w:val="21"/>
                <w:lang w:val="en-GB"/>
              </w:rPr>
              <w:t>So, value relevance of disclosed info increased</w:t>
            </w:r>
            <w:r w:rsidR="00A836AD" w:rsidRPr="00B97064">
              <w:rPr>
                <w:sz w:val="21"/>
                <w:szCs w:val="21"/>
                <w:lang w:val="en-GB"/>
              </w:rPr>
              <w:t xml:space="preserve"> after introduction of new RPT</w:t>
            </w:r>
          </w:p>
          <w:p w:rsidR="007C7F32" w:rsidRPr="00B97064" w:rsidRDefault="00A836AD" w:rsidP="00AF73E3">
            <w:pPr>
              <w:spacing w:line="276" w:lineRule="auto"/>
              <w:jc w:val="left"/>
              <w:rPr>
                <w:sz w:val="21"/>
                <w:szCs w:val="21"/>
                <w:lang w:val="en-GB"/>
              </w:rPr>
            </w:pPr>
            <w:r w:rsidRPr="00B97064">
              <w:rPr>
                <w:lang w:val="en-GB"/>
              </w:rPr>
              <w:t>fair value measurement regulation</w:t>
            </w:r>
            <w:r w:rsidR="007C7F32" w:rsidRPr="00B97064">
              <w:rPr>
                <w:sz w:val="21"/>
                <w:szCs w:val="21"/>
                <w:lang w:val="en-GB"/>
              </w:rPr>
              <w:t>.</w:t>
            </w:r>
          </w:p>
        </w:tc>
      </w:tr>
    </w:tbl>
    <w:p w:rsidR="007C7F32" w:rsidRPr="00B97064" w:rsidRDefault="007C7F32" w:rsidP="0088333E">
      <w:pPr>
        <w:pStyle w:val="Caption"/>
        <w:rPr>
          <w:lang w:val="en-GB"/>
        </w:rPr>
      </w:pPr>
      <w:r w:rsidRPr="00B97064">
        <w:rPr>
          <w:lang w:val="en-GB"/>
        </w:rPr>
        <w:br w:type="page"/>
      </w:r>
      <w:bookmarkStart w:id="64" w:name="_Toc349585536"/>
      <w:r w:rsidRPr="00B97064">
        <w:rPr>
          <w:lang w:val="en-GB"/>
        </w:rPr>
        <w:lastRenderedPageBreak/>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3</w:t>
      </w:r>
      <w:r w:rsidR="00E80C96" w:rsidRPr="00B97064">
        <w:rPr>
          <w:lang w:val="en-GB"/>
        </w:rPr>
        <w:fldChar w:fldCharType="end"/>
      </w:r>
      <w:r w:rsidRPr="00B97064">
        <w:rPr>
          <w:lang w:val="en-GB"/>
        </w:rPr>
        <w:t>: Summarizing table empirical research investor protection</w:t>
      </w:r>
      <w:bookmarkEnd w:id="6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49"/>
        <w:gridCol w:w="3748"/>
        <w:gridCol w:w="2808"/>
        <w:gridCol w:w="1792"/>
        <w:gridCol w:w="4520"/>
      </w:tblGrid>
      <w:tr w:rsidR="007C7F32" w:rsidRPr="00B97064" w:rsidTr="00AF73E3">
        <w:trPr>
          <w:trHeight w:val="278"/>
        </w:trPr>
        <w:tc>
          <w:tcPr>
            <w:tcW w:w="0" w:type="auto"/>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Authors</w:t>
            </w:r>
          </w:p>
        </w:tc>
        <w:tc>
          <w:tcPr>
            <w:tcW w:w="0" w:type="auto"/>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Object of study</w:t>
            </w:r>
          </w:p>
        </w:tc>
        <w:tc>
          <w:tcPr>
            <w:tcW w:w="2808"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Sample</w:t>
            </w:r>
          </w:p>
        </w:tc>
        <w:tc>
          <w:tcPr>
            <w:tcW w:w="1792"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Methodology</w:t>
            </w:r>
          </w:p>
        </w:tc>
        <w:tc>
          <w:tcPr>
            <w:tcW w:w="4520"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Outcome</w:t>
            </w:r>
          </w:p>
        </w:tc>
      </w:tr>
      <w:tr w:rsidR="007C7F32" w:rsidRPr="007F674E" w:rsidTr="00AF73E3">
        <w:trPr>
          <w:trHeight w:val="1686"/>
        </w:trPr>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La Porta et al. (1998)</w:t>
            </w:r>
          </w:p>
        </w:tc>
        <w:tc>
          <w:tcPr>
            <w:tcW w:w="0" w:type="auto"/>
            <w:vAlign w:val="center"/>
          </w:tcPr>
          <w:p w:rsidR="007C7F32" w:rsidRPr="00B97064" w:rsidRDefault="007C7F32" w:rsidP="00AF73E3">
            <w:pPr>
              <w:spacing w:line="276" w:lineRule="auto"/>
              <w:jc w:val="left"/>
              <w:rPr>
                <w:bCs/>
                <w:sz w:val="21"/>
                <w:szCs w:val="21"/>
                <w:lang w:val="en-GB"/>
              </w:rPr>
            </w:pPr>
            <w:r w:rsidRPr="00B97064">
              <w:rPr>
                <w:bCs/>
                <w:sz w:val="21"/>
                <w:szCs w:val="21"/>
                <w:lang w:val="en-GB"/>
              </w:rPr>
              <w:t>- Exploring differences among countries in legal protection of investors</w:t>
            </w:r>
          </w:p>
          <w:p w:rsidR="007C7F32" w:rsidRPr="00B97064" w:rsidRDefault="007C7F32" w:rsidP="00A54535">
            <w:pPr>
              <w:spacing w:line="276" w:lineRule="auto"/>
              <w:jc w:val="left"/>
              <w:rPr>
                <w:bCs/>
                <w:sz w:val="21"/>
                <w:szCs w:val="21"/>
                <w:lang w:val="en-GB"/>
              </w:rPr>
            </w:pPr>
            <w:r w:rsidRPr="00B97064">
              <w:rPr>
                <w:bCs/>
                <w:sz w:val="21"/>
                <w:szCs w:val="21"/>
                <w:lang w:val="en-GB"/>
              </w:rPr>
              <w:t>- Effects of those differences in legal protection on firm ownership</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49 countries</w:t>
            </w:r>
          </w:p>
        </w:tc>
        <w:tc>
          <w:tcPr>
            <w:tcW w:w="1792"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520"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 xml:space="preserve">- Investors have the best protection in common law countries, the worst protection </w:t>
            </w:r>
            <w:r w:rsidR="00974A45" w:rsidRPr="00B97064">
              <w:rPr>
                <w:sz w:val="21"/>
                <w:szCs w:val="21"/>
                <w:lang w:val="en-GB"/>
              </w:rPr>
              <w:t>in</w:t>
            </w:r>
            <w:r w:rsidRPr="00B97064">
              <w:rPr>
                <w:sz w:val="21"/>
                <w:szCs w:val="21"/>
                <w:lang w:val="en-GB"/>
              </w:rPr>
              <w:t xml:space="preserve"> French civil law</w:t>
            </w:r>
            <w:r w:rsidR="00974A45" w:rsidRPr="00B97064">
              <w:rPr>
                <w:sz w:val="21"/>
                <w:szCs w:val="21"/>
                <w:lang w:val="en-GB"/>
              </w:rPr>
              <w:t xml:space="preserve"> countries</w:t>
            </w:r>
            <w:r w:rsidRPr="00B97064">
              <w:rPr>
                <w:sz w:val="21"/>
                <w:szCs w:val="21"/>
                <w:lang w:val="en-GB"/>
              </w:rPr>
              <w:t>;</w:t>
            </w:r>
          </w:p>
          <w:p w:rsidR="007C7F32" w:rsidRPr="00B97064" w:rsidRDefault="007C7F32" w:rsidP="00AF73E3">
            <w:pPr>
              <w:spacing w:line="276" w:lineRule="auto"/>
              <w:jc w:val="left"/>
              <w:rPr>
                <w:sz w:val="21"/>
                <w:szCs w:val="21"/>
                <w:lang w:val="en-GB"/>
              </w:rPr>
            </w:pPr>
            <w:r w:rsidRPr="00B97064">
              <w:rPr>
                <w:sz w:val="21"/>
                <w:szCs w:val="21"/>
                <w:lang w:val="en-GB"/>
              </w:rPr>
              <w:t>- Negative correlation between investor protection and concentration of ownership.</w:t>
            </w:r>
          </w:p>
        </w:tc>
      </w:tr>
      <w:tr w:rsidR="007C7F32" w:rsidRPr="007F674E" w:rsidTr="00AF73E3">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 xml:space="preserve">La </w:t>
            </w:r>
            <w:proofErr w:type="spellStart"/>
            <w:r w:rsidRPr="00B97064">
              <w:rPr>
                <w:sz w:val="21"/>
                <w:szCs w:val="21"/>
                <w:lang w:val="en-GB"/>
              </w:rPr>
              <w:t>Porta</w:t>
            </w:r>
            <w:proofErr w:type="spellEnd"/>
            <w:r w:rsidRPr="00B97064">
              <w:rPr>
                <w:sz w:val="21"/>
                <w:szCs w:val="21"/>
                <w:lang w:val="en-GB"/>
              </w:rPr>
              <w:t xml:space="preserve"> et al. (1997)</w:t>
            </w:r>
          </w:p>
        </w:tc>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Possibilities of firms among countries with different level of legal protection to raise debt and equity</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49 countries</w:t>
            </w:r>
          </w:p>
        </w:tc>
        <w:tc>
          <w:tcPr>
            <w:tcW w:w="1792"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520"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High investor protection results in more developed capital markets (measured by # of IPO’s, # of domestic listed firms, and total amount of private and bond borrowings</w:t>
            </w:r>
            <w:r w:rsidR="00341909" w:rsidRPr="00B97064">
              <w:rPr>
                <w:sz w:val="21"/>
                <w:szCs w:val="21"/>
                <w:lang w:val="en-GB"/>
              </w:rPr>
              <w:t>)</w:t>
            </w:r>
            <w:r w:rsidRPr="00B97064">
              <w:rPr>
                <w:sz w:val="21"/>
                <w:szCs w:val="21"/>
                <w:lang w:val="en-GB"/>
              </w:rPr>
              <w:t>.</w:t>
            </w:r>
          </w:p>
        </w:tc>
      </w:tr>
      <w:tr w:rsidR="007C7F32" w:rsidRPr="007F674E" w:rsidTr="00AF73E3">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 xml:space="preserve">La </w:t>
            </w:r>
            <w:proofErr w:type="spellStart"/>
            <w:r w:rsidRPr="00B97064">
              <w:rPr>
                <w:sz w:val="21"/>
                <w:szCs w:val="21"/>
                <w:lang w:val="en-GB"/>
              </w:rPr>
              <w:t>Porta</w:t>
            </w:r>
            <w:proofErr w:type="spellEnd"/>
            <w:r w:rsidRPr="00B97064">
              <w:rPr>
                <w:sz w:val="21"/>
                <w:szCs w:val="21"/>
                <w:lang w:val="en-GB"/>
              </w:rPr>
              <w:t xml:space="preserve"> et al. (2002)</w:t>
            </w:r>
          </w:p>
        </w:tc>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 xml:space="preserve">Relation investor protection, cash flow rights of main shareholder and firm value (Tobin’s Q) </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539 firms of 27 wealthy countries (including NL)</w:t>
            </w:r>
          </w:p>
        </w:tc>
        <w:tc>
          <w:tcPr>
            <w:tcW w:w="1792"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520"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 Negative relation between weak investor protection (risk of expropriation) and firm value;</w:t>
            </w:r>
          </w:p>
          <w:p w:rsidR="007C7F32" w:rsidRPr="00B97064" w:rsidRDefault="007C7F32" w:rsidP="00AF73E3">
            <w:pPr>
              <w:spacing w:line="276" w:lineRule="auto"/>
              <w:jc w:val="left"/>
              <w:rPr>
                <w:sz w:val="21"/>
                <w:szCs w:val="21"/>
                <w:lang w:val="en-GB"/>
              </w:rPr>
            </w:pPr>
            <w:r w:rsidRPr="00B97064">
              <w:rPr>
                <w:sz w:val="21"/>
                <w:szCs w:val="21"/>
                <w:lang w:val="en-GB"/>
              </w:rPr>
              <w:t>- Positive relation between cash flow rights and firm value, especially for firms in countries with low investor protection.</w:t>
            </w:r>
          </w:p>
        </w:tc>
      </w:tr>
      <w:tr w:rsidR="007C7F32" w:rsidRPr="007F674E" w:rsidTr="00AF73E3">
        <w:trPr>
          <w:trHeight w:val="1866"/>
        </w:trPr>
        <w:tc>
          <w:tcPr>
            <w:tcW w:w="0" w:type="auto"/>
            <w:vAlign w:val="center"/>
          </w:tcPr>
          <w:p w:rsidR="007C7F32" w:rsidRPr="00B97064" w:rsidRDefault="007C7F32" w:rsidP="00AF73E3">
            <w:pPr>
              <w:spacing w:line="276" w:lineRule="auto"/>
              <w:jc w:val="left"/>
              <w:rPr>
                <w:sz w:val="21"/>
                <w:szCs w:val="21"/>
                <w:lang w:val="en-GB"/>
              </w:rPr>
            </w:pPr>
            <w:proofErr w:type="spellStart"/>
            <w:r w:rsidRPr="00B97064">
              <w:rPr>
                <w:rFonts w:cs="Arial"/>
                <w:sz w:val="21"/>
                <w:szCs w:val="21"/>
                <w:lang w:val="en-GB"/>
              </w:rPr>
              <w:t>Djankov</w:t>
            </w:r>
            <w:proofErr w:type="spellEnd"/>
            <w:r w:rsidRPr="00B97064">
              <w:rPr>
                <w:rFonts w:cs="Arial"/>
                <w:sz w:val="21"/>
                <w:szCs w:val="21"/>
                <w:lang w:val="en-GB"/>
              </w:rPr>
              <w:t xml:space="preserve"> et al. (2008)</w:t>
            </w:r>
          </w:p>
        </w:tc>
        <w:tc>
          <w:tcPr>
            <w:tcW w:w="0" w:type="auto"/>
            <w:vAlign w:val="center"/>
          </w:tcPr>
          <w:p w:rsidR="00A54535" w:rsidRPr="00B97064" w:rsidRDefault="00341909" w:rsidP="00341909">
            <w:pPr>
              <w:spacing w:line="276" w:lineRule="auto"/>
              <w:jc w:val="left"/>
              <w:rPr>
                <w:sz w:val="21"/>
                <w:szCs w:val="21"/>
                <w:lang w:val="en-GB"/>
              </w:rPr>
            </w:pPr>
            <w:r w:rsidRPr="00B97064">
              <w:rPr>
                <w:sz w:val="21"/>
                <w:szCs w:val="21"/>
                <w:lang w:val="en-GB"/>
              </w:rPr>
              <w:t xml:space="preserve">- </w:t>
            </w:r>
            <w:r w:rsidR="007C7F32" w:rsidRPr="00B97064">
              <w:rPr>
                <w:sz w:val="21"/>
                <w:szCs w:val="21"/>
                <w:lang w:val="en-GB"/>
              </w:rPr>
              <w:t>Indexing the degree of minority investor protection against self-dealings with controlling shareholders</w:t>
            </w:r>
          </w:p>
          <w:p w:rsidR="007C7F32" w:rsidRPr="00B97064" w:rsidRDefault="00341909" w:rsidP="00341909">
            <w:pPr>
              <w:spacing w:line="276" w:lineRule="auto"/>
              <w:jc w:val="left"/>
              <w:rPr>
                <w:sz w:val="21"/>
                <w:szCs w:val="21"/>
                <w:lang w:val="en-GB"/>
              </w:rPr>
            </w:pPr>
            <w:r w:rsidRPr="00B97064">
              <w:rPr>
                <w:sz w:val="21"/>
                <w:szCs w:val="21"/>
                <w:lang w:val="en-GB"/>
              </w:rPr>
              <w:t xml:space="preserve"> - </w:t>
            </w:r>
            <w:r w:rsidR="007C7F32" w:rsidRPr="00B97064">
              <w:rPr>
                <w:sz w:val="21"/>
                <w:szCs w:val="21"/>
                <w:lang w:val="en-GB"/>
              </w:rPr>
              <w:t>Relation between index number and financial market development</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72 firms (72 countries) for the year 2003</w:t>
            </w:r>
          </w:p>
        </w:tc>
        <w:tc>
          <w:tcPr>
            <w:tcW w:w="1792"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 Questionnaires</w:t>
            </w:r>
          </w:p>
          <w:p w:rsidR="007C7F32" w:rsidRPr="00B97064" w:rsidRDefault="007C7F32" w:rsidP="00AF73E3">
            <w:pPr>
              <w:spacing w:line="276" w:lineRule="auto"/>
              <w:jc w:val="left"/>
              <w:rPr>
                <w:sz w:val="21"/>
                <w:szCs w:val="21"/>
                <w:lang w:val="en-GB"/>
              </w:rPr>
            </w:pPr>
            <w:r w:rsidRPr="00B97064">
              <w:rPr>
                <w:sz w:val="21"/>
                <w:szCs w:val="21"/>
                <w:lang w:val="en-GB"/>
              </w:rPr>
              <w:t>- Regression</w:t>
            </w:r>
          </w:p>
        </w:tc>
        <w:tc>
          <w:tcPr>
            <w:tcW w:w="4520"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 Significant higher index number (better minority investor protection) in common law countries compared to French civil law countries;</w:t>
            </w:r>
            <w:r w:rsidRPr="00B97064">
              <w:rPr>
                <w:sz w:val="21"/>
                <w:szCs w:val="21"/>
                <w:lang w:val="en-GB"/>
              </w:rPr>
              <w:br/>
              <w:t>- Countries with higher index numbers have better developed financial markets</w:t>
            </w:r>
            <w:r w:rsidR="00341909" w:rsidRPr="00B97064">
              <w:rPr>
                <w:sz w:val="21"/>
                <w:szCs w:val="21"/>
                <w:lang w:val="en-GB"/>
              </w:rPr>
              <w:t xml:space="preserve"> (measured by 5 different indictors)</w:t>
            </w:r>
            <w:r w:rsidRPr="00B97064">
              <w:rPr>
                <w:sz w:val="21"/>
                <w:szCs w:val="21"/>
                <w:lang w:val="en-GB"/>
              </w:rPr>
              <w:t>.</w:t>
            </w:r>
          </w:p>
        </w:tc>
      </w:tr>
    </w:tbl>
    <w:p w:rsidR="007C7F32" w:rsidRPr="00B97064" w:rsidRDefault="007C7F32" w:rsidP="0088333E">
      <w:pPr>
        <w:pStyle w:val="Caption"/>
        <w:rPr>
          <w:lang w:val="en-GB"/>
        </w:rPr>
      </w:pPr>
      <w:r w:rsidRPr="00B97064">
        <w:rPr>
          <w:lang w:val="en-GB"/>
        </w:rPr>
        <w:br w:type="page"/>
      </w:r>
      <w:bookmarkStart w:id="65" w:name="_Toc349585537"/>
      <w:r w:rsidRPr="00B97064">
        <w:rPr>
          <w:lang w:val="en-GB"/>
        </w:rPr>
        <w:lastRenderedPageBreak/>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4</w:t>
      </w:r>
      <w:r w:rsidR="00E80C96" w:rsidRPr="00B97064">
        <w:rPr>
          <w:lang w:val="en-GB"/>
        </w:rPr>
        <w:fldChar w:fldCharType="end"/>
      </w:r>
      <w:r w:rsidRPr="00B97064">
        <w:rPr>
          <w:lang w:val="en-GB"/>
        </w:rPr>
        <w:t>: Summarizing table empirical research second listing</w:t>
      </w:r>
      <w:bookmarkEnd w:id="6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88"/>
        <w:gridCol w:w="3565"/>
        <w:gridCol w:w="2552"/>
        <w:gridCol w:w="1701"/>
        <w:gridCol w:w="4611"/>
      </w:tblGrid>
      <w:tr w:rsidR="007C7F32" w:rsidRPr="00B97064" w:rsidTr="004F357A">
        <w:trPr>
          <w:trHeight w:val="278"/>
        </w:trPr>
        <w:tc>
          <w:tcPr>
            <w:tcW w:w="0" w:type="auto"/>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Authors</w:t>
            </w:r>
          </w:p>
        </w:tc>
        <w:tc>
          <w:tcPr>
            <w:tcW w:w="3565"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Object of study</w:t>
            </w:r>
          </w:p>
        </w:tc>
        <w:tc>
          <w:tcPr>
            <w:tcW w:w="2552"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Sample</w:t>
            </w:r>
          </w:p>
        </w:tc>
        <w:tc>
          <w:tcPr>
            <w:tcW w:w="1701"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Methodology</w:t>
            </w:r>
          </w:p>
        </w:tc>
        <w:tc>
          <w:tcPr>
            <w:tcW w:w="4611"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Outcome</w:t>
            </w:r>
          </w:p>
        </w:tc>
      </w:tr>
      <w:tr w:rsidR="007C7F32" w:rsidRPr="007F674E" w:rsidTr="004F357A">
        <w:trPr>
          <w:trHeight w:val="3963"/>
        </w:trPr>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Reese and Weisbach (2002)</w:t>
            </w:r>
          </w:p>
        </w:tc>
        <w:tc>
          <w:tcPr>
            <w:tcW w:w="3565"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Relation investor protection, cross-listing in the USA and issuing shares</w:t>
            </w:r>
          </w:p>
        </w:tc>
        <w:tc>
          <w:tcPr>
            <w:tcW w:w="2552"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2,038 firms between January 1985 and June 1999</w:t>
            </w:r>
            <w:r w:rsidR="007F7EDA" w:rsidRPr="00B97064">
              <w:rPr>
                <w:sz w:val="21"/>
                <w:szCs w:val="21"/>
                <w:lang w:val="en-GB"/>
              </w:rPr>
              <w:t>, cross-listed on NYSE, Nasdaq, OTC or PORTAL</w:t>
            </w:r>
          </w:p>
        </w:tc>
        <w:tc>
          <w:tcPr>
            <w:tcW w:w="1701"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611" w:type="dxa"/>
            <w:vAlign w:val="center"/>
          </w:tcPr>
          <w:p w:rsidR="006B2FB9" w:rsidRPr="00B97064" w:rsidRDefault="007C7F32" w:rsidP="006B2FB9">
            <w:pPr>
              <w:spacing w:line="276" w:lineRule="auto"/>
              <w:jc w:val="left"/>
              <w:rPr>
                <w:sz w:val="21"/>
                <w:szCs w:val="21"/>
                <w:lang w:val="en-GB"/>
              </w:rPr>
            </w:pPr>
            <w:r w:rsidRPr="00B97064">
              <w:rPr>
                <w:sz w:val="21"/>
                <w:szCs w:val="21"/>
                <w:lang w:val="en-GB"/>
              </w:rPr>
              <w:t>- Number and value of equity issuing increased after cross-listing regardless the level of investor protection;</w:t>
            </w:r>
          </w:p>
          <w:p w:rsidR="006B2FB9" w:rsidRPr="00B97064" w:rsidRDefault="007C7F32" w:rsidP="006B2FB9">
            <w:pPr>
              <w:spacing w:line="276" w:lineRule="auto"/>
              <w:jc w:val="left"/>
              <w:rPr>
                <w:sz w:val="21"/>
                <w:szCs w:val="21"/>
                <w:lang w:val="en-GB"/>
              </w:rPr>
            </w:pPr>
            <w:r w:rsidRPr="00B97064">
              <w:rPr>
                <w:sz w:val="21"/>
                <w:szCs w:val="21"/>
                <w:lang w:val="en-GB"/>
              </w:rPr>
              <w:t>- Firms listed in countries with low investor protection are more likely to issue after a cross-listing and those companies issued larger volumes;</w:t>
            </w:r>
          </w:p>
          <w:p w:rsidR="007C7F32" w:rsidRPr="00B97064" w:rsidRDefault="007C7F32" w:rsidP="006B2FB9">
            <w:pPr>
              <w:spacing w:line="276" w:lineRule="auto"/>
              <w:jc w:val="left"/>
              <w:rPr>
                <w:sz w:val="21"/>
                <w:szCs w:val="21"/>
                <w:lang w:val="en-GB"/>
              </w:rPr>
            </w:pPr>
            <w:r w:rsidRPr="00B97064">
              <w:rPr>
                <w:sz w:val="21"/>
                <w:szCs w:val="21"/>
                <w:lang w:val="en-GB"/>
              </w:rPr>
              <w:t xml:space="preserve">- Firms with a home listing in a country with weak investor protection are </w:t>
            </w:r>
            <w:r w:rsidR="006B2FB9" w:rsidRPr="00B97064">
              <w:rPr>
                <w:sz w:val="21"/>
                <w:szCs w:val="21"/>
                <w:lang w:val="en-GB"/>
              </w:rPr>
              <w:t xml:space="preserve">more </w:t>
            </w:r>
            <w:r w:rsidRPr="00B97064">
              <w:rPr>
                <w:sz w:val="21"/>
                <w:szCs w:val="21"/>
                <w:lang w:val="en-GB"/>
              </w:rPr>
              <w:t>likely to issue shares in their home country or somewhere else after cross-listing in the USA, while firms with a home listing in a country with strong investor protection are</w:t>
            </w:r>
            <w:r w:rsidR="006B2FB9" w:rsidRPr="00B97064">
              <w:rPr>
                <w:sz w:val="21"/>
                <w:szCs w:val="21"/>
                <w:lang w:val="en-GB"/>
              </w:rPr>
              <w:t xml:space="preserve"> more</w:t>
            </w:r>
            <w:r w:rsidRPr="00B97064">
              <w:rPr>
                <w:sz w:val="21"/>
                <w:szCs w:val="21"/>
                <w:lang w:val="en-GB"/>
              </w:rPr>
              <w:t xml:space="preserve"> likely to issue shares in the USA after cross-listing in the USA.</w:t>
            </w:r>
          </w:p>
        </w:tc>
      </w:tr>
      <w:tr w:rsidR="007C7F32" w:rsidRPr="007F674E" w:rsidTr="004F357A">
        <w:trPr>
          <w:trHeight w:val="1397"/>
        </w:trPr>
        <w:tc>
          <w:tcPr>
            <w:tcW w:w="0" w:type="auto"/>
            <w:vAlign w:val="center"/>
          </w:tcPr>
          <w:p w:rsidR="007C7F32" w:rsidRPr="00B97064" w:rsidRDefault="007C7F32" w:rsidP="00AF73E3">
            <w:pPr>
              <w:spacing w:line="276" w:lineRule="auto"/>
              <w:jc w:val="left"/>
              <w:rPr>
                <w:sz w:val="21"/>
                <w:szCs w:val="21"/>
                <w:lang w:val="en-GB"/>
              </w:rPr>
            </w:pPr>
            <w:proofErr w:type="spellStart"/>
            <w:r w:rsidRPr="00B97064">
              <w:rPr>
                <w:sz w:val="21"/>
                <w:szCs w:val="21"/>
                <w:lang w:val="en-GB"/>
              </w:rPr>
              <w:t>Doidge</w:t>
            </w:r>
            <w:proofErr w:type="spellEnd"/>
            <w:r w:rsidRPr="00B97064">
              <w:rPr>
                <w:sz w:val="21"/>
                <w:szCs w:val="21"/>
                <w:lang w:val="en-GB"/>
              </w:rPr>
              <w:t xml:space="preserve"> et al. (2004)</w:t>
            </w:r>
          </w:p>
        </w:tc>
        <w:tc>
          <w:tcPr>
            <w:tcW w:w="3565"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 Relation between firm value (Tobin’s Q) and cross-listing in the USA</w:t>
            </w:r>
            <w:r w:rsidRPr="00B97064">
              <w:rPr>
                <w:sz w:val="21"/>
                <w:szCs w:val="21"/>
                <w:lang w:val="en-GB"/>
              </w:rPr>
              <w:br/>
              <w:t>- Relation between growth potential and being cross-listed in the USA</w:t>
            </w:r>
          </w:p>
        </w:tc>
        <w:tc>
          <w:tcPr>
            <w:tcW w:w="2552"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8,680 firms for the year 1997</w:t>
            </w:r>
          </w:p>
        </w:tc>
        <w:tc>
          <w:tcPr>
            <w:tcW w:w="1701"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611"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 Firms which were cross-listed in the USA have a 16.5% higher Tobin’s Q;</w:t>
            </w:r>
            <w:r w:rsidRPr="00B97064">
              <w:rPr>
                <w:sz w:val="21"/>
                <w:szCs w:val="21"/>
                <w:lang w:val="en-GB"/>
              </w:rPr>
              <w:br/>
              <w:t>- Firms which were cross-listed in the USA have significant higher valued growth opportunities.</w:t>
            </w:r>
          </w:p>
        </w:tc>
      </w:tr>
      <w:tr w:rsidR="00A54535" w:rsidRPr="007F674E" w:rsidTr="004F357A">
        <w:trPr>
          <w:trHeight w:val="1397"/>
        </w:trPr>
        <w:tc>
          <w:tcPr>
            <w:tcW w:w="0" w:type="auto"/>
            <w:vAlign w:val="center"/>
          </w:tcPr>
          <w:p w:rsidR="00A54535" w:rsidRPr="00B97064" w:rsidRDefault="00A54535" w:rsidP="00AF73E3">
            <w:pPr>
              <w:spacing w:line="276" w:lineRule="auto"/>
              <w:jc w:val="left"/>
              <w:rPr>
                <w:sz w:val="21"/>
                <w:szCs w:val="21"/>
                <w:lang w:val="en-GB"/>
              </w:rPr>
            </w:pPr>
            <w:r w:rsidRPr="00B97064">
              <w:rPr>
                <w:sz w:val="21"/>
                <w:szCs w:val="21"/>
                <w:lang w:val="en-GB"/>
              </w:rPr>
              <w:t>Cheung et al. (2006)</w:t>
            </w:r>
          </w:p>
        </w:tc>
        <w:tc>
          <w:tcPr>
            <w:tcW w:w="3565" w:type="dxa"/>
            <w:vAlign w:val="center"/>
          </w:tcPr>
          <w:p w:rsidR="00A54535" w:rsidRPr="00B97064" w:rsidRDefault="00A54535" w:rsidP="00AF73E3">
            <w:pPr>
              <w:spacing w:line="276" w:lineRule="auto"/>
              <w:jc w:val="left"/>
              <w:rPr>
                <w:sz w:val="21"/>
                <w:szCs w:val="21"/>
                <w:lang w:val="en-GB"/>
              </w:rPr>
            </w:pPr>
            <w:r w:rsidRPr="00B97064">
              <w:rPr>
                <w:sz w:val="21"/>
                <w:szCs w:val="21"/>
                <w:lang w:val="en-GB"/>
              </w:rPr>
              <w:t>Relation level of investor protection and RPTs</w:t>
            </w:r>
          </w:p>
        </w:tc>
        <w:tc>
          <w:tcPr>
            <w:tcW w:w="2552" w:type="dxa"/>
            <w:vAlign w:val="center"/>
          </w:tcPr>
          <w:p w:rsidR="00A54535" w:rsidRPr="00B97064" w:rsidRDefault="00A54535" w:rsidP="00AF73E3">
            <w:pPr>
              <w:spacing w:line="276" w:lineRule="auto"/>
              <w:jc w:val="left"/>
              <w:rPr>
                <w:sz w:val="21"/>
                <w:szCs w:val="21"/>
                <w:lang w:val="en-GB"/>
              </w:rPr>
            </w:pPr>
            <w:r w:rsidRPr="00B97064">
              <w:rPr>
                <w:sz w:val="21"/>
                <w:szCs w:val="21"/>
                <w:lang w:val="en-GB"/>
              </w:rPr>
              <w:t>Financial / ownership and corporate governance data of 603 Hong Kong listed companies and 375 filings concerning RPTs for the years 1998 till 2000</w:t>
            </w:r>
          </w:p>
        </w:tc>
        <w:tc>
          <w:tcPr>
            <w:tcW w:w="1701" w:type="dxa"/>
            <w:vAlign w:val="center"/>
          </w:tcPr>
          <w:p w:rsidR="00A54535" w:rsidRPr="00B97064" w:rsidRDefault="00A54535" w:rsidP="00AF73E3">
            <w:pPr>
              <w:spacing w:line="276" w:lineRule="auto"/>
              <w:jc w:val="left"/>
              <w:rPr>
                <w:sz w:val="21"/>
                <w:szCs w:val="21"/>
                <w:lang w:val="en-GB"/>
              </w:rPr>
            </w:pPr>
            <w:r w:rsidRPr="00B97064">
              <w:rPr>
                <w:sz w:val="21"/>
                <w:szCs w:val="21"/>
                <w:lang w:val="en-GB"/>
              </w:rPr>
              <w:t>Regression</w:t>
            </w:r>
          </w:p>
        </w:tc>
        <w:tc>
          <w:tcPr>
            <w:tcW w:w="4611" w:type="dxa"/>
            <w:vAlign w:val="center"/>
          </w:tcPr>
          <w:p w:rsidR="00A54535" w:rsidRPr="00B97064" w:rsidRDefault="00A54535" w:rsidP="00A54535">
            <w:pPr>
              <w:spacing w:line="276" w:lineRule="auto"/>
              <w:jc w:val="left"/>
              <w:rPr>
                <w:sz w:val="21"/>
                <w:szCs w:val="21"/>
                <w:lang w:val="en-GB"/>
              </w:rPr>
            </w:pPr>
            <w:r w:rsidRPr="00B97064">
              <w:rPr>
                <w:sz w:val="21"/>
                <w:szCs w:val="21"/>
                <w:lang w:val="en-GB"/>
              </w:rPr>
              <w:t>Negative relation between level of investor protection (firms with Chinese owners, cross-listed in Hong Kong) and RPTs.</w:t>
            </w:r>
          </w:p>
        </w:tc>
      </w:tr>
    </w:tbl>
    <w:p w:rsidR="004F357A" w:rsidRPr="00B97064" w:rsidRDefault="004F357A" w:rsidP="004F357A">
      <w:pPr>
        <w:rPr>
          <w:lang w:val="en-GB"/>
        </w:rPr>
      </w:pPr>
      <w:r w:rsidRPr="00B97064">
        <w:rPr>
          <w:lang w:val="en-GB"/>
        </w:rPr>
        <w:br w:type="page"/>
      </w:r>
    </w:p>
    <w:p w:rsidR="007C7F32" w:rsidRPr="00B97064" w:rsidRDefault="007C7F32" w:rsidP="00ED76A9">
      <w:pPr>
        <w:pStyle w:val="Caption"/>
        <w:rPr>
          <w:lang w:val="en-GB"/>
        </w:rPr>
      </w:pPr>
      <w:bookmarkStart w:id="66" w:name="_Toc349585538"/>
      <w:r w:rsidRPr="00B97064">
        <w:rPr>
          <w:lang w:val="en-GB"/>
        </w:rPr>
        <w:lastRenderedPageBreak/>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5</w:t>
      </w:r>
      <w:r w:rsidR="00E80C96" w:rsidRPr="00B97064">
        <w:rPr>
          <w:lang w:val="en-GB"/>
        </w:rPr>
        <w:fldChar w:fldCharType="end"/>
      </w:r>
      <w:r w:rsidRPr="00B97064">
        <w:rPr>
          <w:lang w:val="en-GB"/>
        </w:rPr>
        <w:t xml:space="preserve">: Summarizing table </w:t>
      </w:r>
      <w:r w:rsidR="004D10AF" w:rsidRPr="00B97064">
        <w:rPr>
          <w:lang w:val="en-GB"/>
        </w:rPr>
        <w:t>compliance/disclosure</w:t>
      </w:r>
      <w:r w:rsidR="0061221F" w:rsidRPr="00B97064">
        <w:rPr>
          <w:lang w:val="en-GB"/>
        </w:rPr>
        <w:t xml:space="preserve"> studies</w:t>
      </w:r>
      <w:bookmarkEnd w:id="6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09"/>
        <w:gridCol w:w="3544"/>
        <w:gridCol w:w="2552"/>
        <w:gridCol w:w="1701"/>
        <w:gridCol w:w="4611"/>
      </w:tblGrid>
      <w:tr w:rsidR="007C7F32" w:rsidRPr="00B97064" w:rsidTr="004F357A">
        <w:trPr>
          <w:trHeight w:val="278"/>
        </w:trPr>
        <w:tc>
          <w:tcPr>
            <w:tcW w:w="1809"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Authors</w:t>
            </w:r>
          </w:p>
        </w:tc>
        <w:tc>
          <w:tcPr>
            <w:tcW w:w="3544"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Object of study</w:t>
            </w:r>
          </w:p>
        </w:tc>
        <w:tc>
          <w:tcPr>
            <w:tcW w:w="2552"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Sample</w:t>
            </w:r>
          </w:p>
        </w:tc>
        <w:tc>
          <w:tcPr>
            <w:tcW w:w="1701"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Methodology</w:t>
            </w:r>
          </w:p>
        </w:tc>
        <w:tc>
          <w:tcPr>
            <w:tcW w:w="4611"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Outcome</w:t>
            </w:r>
          </w:p>
        </w:tc>
      </w:tr>
      <w:tr w:rsidR="007C7F32" w:rsidRPr="007F674E" w:rsidTr="004F357A">
        <w:trPr>
          <w:trHeight w:val="1966"/>
        </w:trPr>
        <w:tc>
          <w:tcPr>
            <w:tcW w:w="1809"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Backhuijs &amp; Braam (2008)</w:t>
            </w:r>
          </w:p>
        </w:tc>
        <w:tc>
          <w:tcPr>
            <w:tcW w:w="3544"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Information provision with regard to related parties</w:t>
            </w:r>
          </w:p>
        </w:tc>
        <w:tc>
          <w:tcPr>
            <w:tcW w:w="2552"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73 Dutch companies for the year 2007</w:t>
            </w:r>
          </w:p>
        </w:tc>
        <w:tc>
          <w:tcPr>
            <w:tcW w:w="1701"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Disclosure</w:t>
            </w:r>
            <w:r w:rsidR="007F7EDA" w:rsidRPr="00B97064">
              <w:rPr>
                <w:sz w:val="21"/>
                <w:szCs w:val="21"/>
                <w:lang w:val="en-GB"/>
              </w:rPr>
              <w:t xml:space="preserve"> / compliance</w:t>
            </w:r>
            <w:r w:rsidRPr="00B97064">
              <w:rPr>
                <w:sz w:val="21"/>
                <w:szCs w:val="21"/>
                <w:lang w:val="en-GB"/>
              </w:rPr>
              <w:t xml:space="preserve"> study</w:t>
            </w:r>
          </w:p>
        </w:tc>
        <w:tc>
          <w:tcPr>
            <w:tcW w:w="4611" w:type="dxa"/>
            <w:vAlign w:val="center"/>
          </w:tcPr>
          <w:p w:rsidR="007F7EDA" w:rsidRPr="00B97064" w:rsidRDefault="007C7F32" w:rsidP="00AF73E3">
            <w:pPr>
              <w:spacing w:line="276" w:lineRule="auto"/>
              <w:jc w:val="left"/>
              <w:rPr>
                <w:sz w:val="21"/>
                <w:szCs w:val="21"/>
                <w:lang w:val="en-GB"/>
              </w:rPr>
            </w:pPr>
            <w:r w:rsidRPr="00B97064">
              <w:rPr>
                <w:sz w:val="21"/>
                <w:szCs w:val="21"/>
                <w:lang w:val="en-GB"/>
              </w:rPr>
              <w:t>- Most companies mentioned parent (96%) and associated companies (81%) in their consolidated financial statement</w:t>
            </w:r>
            <w:r w:rsidR="007F7EDA" w:rsidRPr="00B97064">
              <w:rPr>
                <w:sz w:val="21"/>
                <w:szCs w:val="21"/>
                <w:lang w:val="en-GB"/>
              </w:rPr>
              <w:t xml:space="preserve"> </w:t>
            </w:r>
          </w:p>
          <w:p w:rsidR="007C7F32" w:rsidRPr="00B97064" w:rsidRDefault="007C7F32" w:rsidP="00AF73E3">
            <w:pPr>
              <w:spacing w:line="276" w:lineRule="auto"/>
              <w:jc w:val="left"/>
              <w:rPr>
                <w:sz w:val="21"/>
                <w:szCs w:val="21"/>
                <w:lang w:val="en-GB"/>
              </w:rPr>
            </w:pPr>
            <w:r w:rsidRPr="00B97064">
              <w:rPr>
                <w:sz w:val="21"/>
                <w:szCs w:val="21"/>
                <w:lang w:val="en-GB"/>
              </w:rPr>
              <w:t>- Companies mainly mentioned the nature of the transaction and the amount of transaction, slightly more than half of the firms mentioned the amount of outstanding balances.</w:t>
            </w:r>
          </w:p>
        </w:tc>
      </w:tr>
    </w:tbl>
    <w:p w:rsidR="0063618E" w:rsidRPr="00B97064" w:rsidRDefault="0063618E">
      <w:pPr>
        <w:widowControl/>
        <w:adjustRightInd/>
        <w:spacing w:line="240" w:lineRule="auto"/>
        <w:jc w:val="left"/>
        <w:textAlignment w:val="auto"/>
        <w:rPr>
          <w:lang w:val="en-GB"/>
        </w:rPr>
      </w:pPr>
      <w:r w:rsidRPr="00B97064">
        <w:rPr>
          <w:lang w:val="en-GB"/>
        </w:rPr>
        <w:br w:type="page"/>
      </w:r>
    </w:p>
    <w:p w:rsidR="007C7F32" w:rsidRPr="00B97064" w:rsidRDefault="007C7F32" w:rsidP="007B5AB7">
      <w:pPr>
        <w:pStyle w:val="Caption"/>
        <w:rPr>
          <w:lang w:val="en-GB"/>
        </w:rPr>
      </w:pPr>
      <w:bookmarkStart w:id="67" w:name="_Toc349585539"/>
      <w:r w:rsidRPr="00B97064">
        <w:rPr>
          <w:lang w:val="en-GB"/>
        </w:rPr>
        <w:lastRenderedPageBreak/>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6</w:t>
      </w:r>
      <w:r w:rsidR="00E80C96" w:rsidRPr="00B97064">
        <w:rPr>
          <w:lang w:val="en-GB"/>
        </w:rPr>
        <w:fldChar w:fldCharType="end"/>
      </w:r>
      <w:r w:rsidRPr="00B97064">
        <w:rPr>
          <w:lang w:val="en-GB"/>
        </w:rPr>
        <w:t>: Summarizing table empirical research firm characteristics and RPTs</w:t>
      </w:r>
      <w:r w:rsidR="0061221F" w:rsidRPr="00B97064">
        <w:rPr>
          <w:lang w:val="en-GB"/>
        </w:rPr>
        <w:t xml:space="preserve"> </w:t>
      </w:r>
      <w:r w:rsidRPr="00B97064">
        <w:rPr>
          <w:lang w:val="en-GB"/>
        </w:rPr>
        <w:t>/</w:t>
      </w:r>
      <w:r w:rsidR="0061221F" w:rsidRPr="00B97064">
        <w:rPr>
          <w:lang w:val="en-GB"/>
        </w:rPr>
        <w:t xml:space="preserve"> </w:t>
      </w:r>
      <w:r w:rsidRPr="00B97064">
        <w:rPr>
          <w:lang w:val="en-GB"/>
        </w:rPr>
        <w:t>firm value</w:t>
      </w:r>
      <w:bookmarkEnd w:id="67"/>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0"/>
        <w:gridCol w:w="3667"/>
        <w:gridCol w:w="2808"/>
        <w:gridCol w:w="1701"/>
        <w:gridCol w:w="4819"/>
      </w:tblGrid>
      <w:tr w:rsidR="007C7F32" w:rsidRPr="00B97064" w:rsidTr="00A54535">
        <w:trPr>
          <w:trHeight w:val="278"/>
        </w:trPr>
        <w:tc>
          <w:tcPr>
            <w:tcW w:w="0" w:type="auto"/>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Authors</w:t>
            </w:r>
          </w:p>
        </w:tc>
        <w:tc>
          <w:tcPr>
            <w:tcW w:w="0" w:type="auto"/>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Object of study</w:t>
            </w:r>
          </w:p>
        </w:tc>
        <w:tc>
          <w:tcPr>
            <w:tcW w:w="2808"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Sample</w:t>
            </w:r>
          </w:p>
        </w:tc>
        <w:tc>
          <w:tcPr>
            <w:tcW w:w="1701"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Methodology</w:t>
            </w:r>
          </w:p>
        </w:tc>
        <w:tc>
          <w:tcPr>
            <w:tcW w:w="4819" w:type="dxa"/>
            <w:shd w:val="clear" w:color="auto" w:fill="4F81BD"/>
            <w:vAlign w:val="bottom"/>
          </w:tcPr>
          <w:p w:rsidR="007C7F32" w:rsidRPr="00B97064" w:rsidRDefault="007C7F32" w:rsidP="00AF73E3">
            <w:pPr>
              <w:jc w:val="left"/>
              <w:rPr>
                <w:color w:val="FFFFFF"/>
                <w:sz w:val="21"/>
                <w:szCs w:val="21"/>
                <w:lang w:val="en-GB"/>
              </w:rPr>
            </w:pPr>
            <w:r w:rsidRPr="00B97064">
              <w:rPr>
                <w:b/>
                <w:color w:val="FFFFFF"/>
                <w:sz w:val="21"/>
                <w:szCs w:val="21"/>
                <w:lang w:val="en-GB"/>
              </w:rPr>
              <w:t>Outcome</w:t>
            </w:r>
          </w:p>
        </w:tc>
      </w:tr>
      <w:tr w:rsidR="007C7F32" w:rsidRPr="007F674E" w:rsidTr="00A54535">
        <w:trPr>
          <w:trHeight w:val="1700"/>
        </w:trPr>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Nekhili &amp; Cherif (2011)</w:t>
            </w:r>
          </w:p>
        </w:tc>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Relation between firm specific characteristics and number of RPTs</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85 companies listed on the Paris Stock Exchange for the years 2002 till 2005</w:t>
            </w:r>
          </w:p>
        </w:tc>
        <w:tc>
          <w:tcPr>
            <w:tcW w:w="1701"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819"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 Being listed in the USA has a</w:t>
            </w:r>
            <w:r w:rsidR="00CA3A7B" w:rsidRPr="00B97064">
              <w:rPr>
                <w:sz w:val="21"/>
                <w:szCs w:val="21"/>
                <w:lang w:val="en-GB"/>
              </w:rPr>
              <w:t xml:space="preserve"> positive effect on firm value;</w:t>
            </w:r>
          </w:p>
          <w:p w:rsidR="007C7F32" w:rsidRPr="00B97064" w:rsidRDefault="007C7F32" w:rsidP="00AF73E3">
            <w:pPr>
              <w:spacing w:line="276" w:lineRule="auto"/>
              <w:jc w:val="left"/>
              <w:rPr>
                <w:sz w:val="21"/>
                <w:szCs w:val="21"/>
                <w:lang w:val="en-GB"/>
              </w:rPr>
            </w:pPr>
            <w:r w:rsidRPr="00B97064">
              <w:rPr>
                <w:sz w:val="21"/>
                <w:szCs w:val="21"/>
                <w:lang w:val="en-GB"/>
              </w:rPr>
              <w:t xml:space="preserve">- Being audited by a big </w:t>
            </w:r>
            <w:r w:rsidR="002D10C8" w:rsidRPr="00B97064">
              <w:rPr>
                <w:sz w:val="21"/>
                <w:szCs w:val="21"/>
                <w:lang w:val="en-GB"/>
              </w:rPr>
              <w:t>4</w:t>
            </w:r>
            <w:r w:rsidRPr="00B97064">
              <w:rPr>
                <w:sz w:val="21"/>
                <w:szCs w:val="21"/>
                <w:lang w:val="en-GB"/>
              </w:rPr>
              <w:t xml:space="preserve"> audit firm has a negative effect on firm value;</w:t>
            </w:r>
          </w:p>
          <w:p w:rsidR="007C7F32" w:rsidRPr="00B97064" w:rsidRDefault="007C7F32" w:rsidP="00AF73E3">
            <w:pPr>
              <w:spacing w:line="276" w:lineRule="auto"/>
              <w:jc w:val="left"/>
              <w:rPr>
                <w:sz w:val="21"/>
                <w:szCs w:val="21"/>
                <w:lang w:val="en-GB"/>
              </w:rPr>
            </w:pPr>
            <w:r w:rsidRPr="00B97064">
              <w:rPr>
                <w:sz w:val="21"/>
                <w:szCs w:val="21"/>
                <w:lang w:val="en-GB"/>
              </w:rPr>
              <w:t xml:space="preserve">- Being cross-listed in the USA has a positive effect on the number of RPTs; </w:t>
            </w:r>
          </w:p>
          <w:p w:rsidR="007C7F32" w:rsidRPr="00B97064" w:rsidRDefault="007C7F32" w:rsidP="00AF73E3">
            <w:pPr>
              <w:spacing w:line="276" w:lineRule="auto"/>
              <w:jc w:val="left"/>
              <w:rPr>
                <w:sz w:val="21"/>
                <w:szCs w:val="21"/>
                <w:lang w:val="en-GB"/>
              </w:rPr>
            </w:pPr>
            <w:r w:rsidRPr="00B97064">
              <w:rPr>
                <w:sz w:val="21"/>
                <w:szCs w:val="21"/>
                <w:lang w:val="en-GB"/>
              </w:rPr>
              <w:t>- The number of (direct) RPTs is positively affected by the percentage of voting rights held by the main shareholder, the ratio of independent non-executive directors compared to total number of directors as well as the size of the board of directors;</w:t>
            </w:r>
          </w:p>
          <w:p w:rsidR="007C7F32" w:rsidRPr="00B97064" w:rsidRDefault="007C7F32" w:rsidP="00AF73E3">
            <w:pPr>
              <w:spacing w:line="276" w:lineRule="auto"/>
              <w:jc w:val="left"/>
              <w:rPr>
                <w:sz w:val="21"/>
                <w:szCs w:val="21"/>
                <w:lang w:val="en-GB"/>
              </w:rPr>
            </w:pPr>
            <w:r w:rsidRPr="00B97064">
              <w:rPr>
                <w:sz w:val="21"/>
                <w:szCs w:val="21"/>
                <w:lang w:val="en-GB"/>
              </w:rPr>
              <w:t>- The independence ratio of the audit committee and the ratio between financial liabilities and total debt also increase the number</w:t>
            </w:r>
            <w:r w:rsidR="00CA3A7B" w:rsidRPr="00B97064">
              <w:rPr>
                <w:sz w:val="21"/>
                <w:szCs w:val="21"/>
                <w:lang w:val="en-GB"/>
              </w:rPr>
              <w:t xml:space="preserve"> of direct RPTs</w:t>
            </w:r>
          </w:p>
          <w:p w:rsidR="007C7F32" w:rsidRPr="00B97064" w:rsidRDefault="007C7F32" w:rsidP="00AF73E3">
            <w:pPr>
              <w:spacing w:line="276" w:lineRule="auto"/>
              <w:jc w:val="left"/>
              <w:rPr>
                <w:sz w:val="21"/>
                <w:szCs w:val="21"/>
                <w:lang w:val="en-GB"/>
              </w:rPr>
            </w:pPr>
            <w:r w:rsidRPr="00B97064">
              <w:rPr>
                <w:sz w:val="21"/>
                <w:szCs w:val="21"/>
                <w:lang w:val="en-GB"/>
              </w:rPr>
              <w:t>- Bein</w:t>
            </w:r>
            <w:r w:rsidR="002D10C8" w:rsidRPr="00B97064">
              <w:rPr>
                <w:sz w:val="21"/>
                <w:szCs w:val="21"/>
                <w:lang w:val="en-GB"/>
              </w:rPr>
              <w:t>g audited by one of the big 4</w:t>
            </w:r>
            <w:r w:rsidRPr="00B97064">
              <w:rPr>
                <w:sz w:val="21"/>
                <w:szCs w:val="21"/>
                <w:lang w:val="en-GB"/>
              </w:rPr>
              <w:t xml:space="preserve"> audit firms decreases the number of RPTs, particularly RPTs directly with main shareholders, directors and managers.</w:t>
            </w:r>
          </w:p>
        </w:tc>
      </w:tr>
      <w:tr w:rsidR="007C7F32" w:rsidRPr="007F674E" w:rsidTr="00A54535">
        <w:trPr>
          <w:trHeight w:val="1363"/>
        </w:trPr>
        <w:tc>
          <w:tcPr>
            <w:tcW w:w="0" w:type="auto"/>
            <w:vAlign w:val="center"/>
          </w:tcPr>
          <w:p w:rsidR="007C7F32" w:rsidRPr="00B97064" w:rsidRDefault="007C7F32" w:rsidP="00AF73E3">
            <w:pPr>
              <w:spacing w:line="276" w:lineRule="auto"/>
              <w:jc w:val="left"/>
              <w:rPr>
                <w:sz w:val="21"/>
                <w:szCs w:val="21"/>
                <w:lang w:val="en-GB"/>
              </w:rPr>
            </w:pPr>
            <w:proofErr w:type="spellStart"/>
            <w:r w:rsidRPr="00B97064">
              <w:rPr>
                <w:rFonts w:cs="Arial"/>
                <w:sz w:val="21"/>
                <w:szCs w:val="21"/>
                <w:lang w:val="en-GB"/>
              </w:rPr>
              <w:t>DeFond</w:t>
            </w:r>
            <w:proofErr w:type="spellEnd"/>
            <w:r w:rsidRPr="00B97064">
              <w:rPr>
                <w:rFonts w:cs="Arial"/>
                <w:sz w:val="21"/>
                <w:szCs w:val="21"/>
                <w:lang w:val="en-GB"/>
              </w:rPr>
              <w:t xml:space="preserve"> et al. (2005)</w:t>
            </w:r>
          </w:p>
        </w:tc>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Relation market reaction and the appointment of financial experts in the audit committee of a firm</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702 announcements of appointment of audit committee members in the period 1993 till 2002</w:t>
            </w:r>
          </w:p>
        </w:tc>
        <w:tc>
          <w:tcPr>
            <w:tcW w:w="1701"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819"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Positive market reaction of firms with strong corporate governance to the appointment of accounting financial experts audit committee members, regardless the audit committee includes a financial expert already.</w:t>
            </w:r>
          </w:p>
        </w:tc>
      </w:tr>
      <w:tr w:rsidR="007C7F32" w:rsidRPr="007F674E" w:rsidTr="00A54535">
        <w:trPr>
          <w:trHeight w:val="268"/>
        </w:trPr>
        <w:tc>
          <w:tcPr>
            <w:tcW w:w="0" w:type="auto"/>
            <w:vAlign w:val="center"/>
          </w:tcPr>
          <w:p w:rsidR="007C7F32" w:rsidRPr="00B97064" w:rsidRDefault="007C7F32" w:rsidP="00AF73E3">
            <w:pPr>
              <w:spacing w:line="276" w:lineRule="auto"/>
              <w:jc w:val="left"/>
              <w:rPr>
                <w:sz w:val="21"/>
                <w:szCs w:val="21"/>
                <w:lang w:val="en-GB"/>
              </w:rPr>
            </w:pPr>
            <w:r w:rsidRPr="00B97064">
              <w:rPr>
                <w:rFonts w:cs="Arial"/>
                <w:sz w:val="21"/>
                <w:szCs w:val="21"/>
                <w:lang w:val="en-GB"/>
              </w:rPr>
              <w:t>Krishnan &amp; Lee (2009)</w:t>
            </w:r>
          </w:p>
        </w:tc>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Relation between corporate governance, potential litigation risk and number of accounting financial experts in the audit committee</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802 Fortune 1000 firms of 2004</w:t>
            </w:r>
          </w:p>
        </w:tc>
        <w:tc>
          <w:tcPr>
            <w:tcW w:w="1701"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819" w:type="dxa"/>
            <w:vAlign w:val="center"/>
          </w:tcPr>
          <w:p w:rsidR="00A54535" w:rsidRPr="00B97064" w:rsidRDefault="00A54535" w:rsidP="00A54535">
            <w:pPr>
              <w:spacing w:line="276" w:lineRule="auto"/>
              <w:jc w:val="left"/>
              <w:rPr>
                <w:sz w:val="21"/>
                <w:szCs w:val="21"/>
                <w:lang w:val="en-GB"/>
              </w:rPr>
            </w:pPr>
            <w:r w:rsidRPr="00B97064">
              <w:rPr>
                <w:sz w:val="21"/>
                <w:szCs w:val="21"/>
                <w:lang w:val="en-GB"/>
              </w:rPr>
              <w:t xml:space="preserve">- </w:t>
            </w:r>
            <w:r w:rsidR="007C7F32" w:rsidRPr="00B97064">
              <w:rPr>
                <w:sz w:val="21"/>
                <w:szCs w:val="21"/>
                <w:lang w:val="en-GB"/>
              </w:rPr>
              <w:t>The higher the potential litigation risk, the more likely firms have accounting financial ex</w:t>
            </w:r>
            <w:r w:rsidR="00CA3A7B" w:rsidRPr="00B97064">
              <w:rPr>
                <w:sz w:val="21"/>
                <w:szCs w:val="21"/>
                <w:lang w:val="en-GB"/>
              </w:rPr>
              <w:t>perts in their audit committee.</w:t>
            </w:r>
          </w:p>
          <w:p w:rsidR="007C7F32" w:rsidRPr="00B97064" w:rsidRDefault="00A54535" w:rsidP="00A54535">
            <w:pPr>
              <w:spacing w:line="276" w:lineRule="auto"/>
              <w:jc w:val="left"/>
              <w:rPr>
                <w:sz w:val="21"/>
                <w:szCs w:val="21"/>
                <w:lang w:val="en-GB"/>
              </w:rPr>
            </w:pPr>
            <w:r w:rsidRPr="00B97064">
              <w:rPr>
                <w:sz w:val="21"/>
                <w:szCs w:val="21"/>
                <w:lang w:val="en-GB"/>
              </w:rPr>
              <w:t xml:space="preserve">- </w:t>
            </w:r>
            <w:r w:rsidR="007C7F32" w:rsidRPr="00B97064">
              <w:rPr>
                <w:sz w:val="21"/>
                <w:szCs w:val="21"/>
                <w:lang w:val="en-GB"/>
              </w:rPr>
              <w:t>However, this only holds for firms with strong corporate governance.</w:t>
            </w:r>
          </w:p>
        </w:tc>
      </w:tr>
      <w:tr w:rsidR="007C7F32" w:rsidRPr="007F674E" w:rsidTr="00A54535">
        <w:tc>
          <w:tcPr>
            <w:tcW w:w="0" w:type="auto"/>
            <w:vAlign w:val="center"/>
          </w:tcPr>
          <w:p w:rsidR="007C7F32" w:rsidRPr="00B97064" w:rsidRDefault="007C7F32" w:rsidP="00AF73E3">
            <w:pPr>
              <w:spacing w:line="276" w:lineRule="auto"/>
              <w:jc w:val="left"/>
              <w:rPr>
                <w:sz w:val="21"/>
                <w:szCs w:val="21"/>
                <w:lang w:val="en-GB"/>
              </w:rPr>
            </w:pPr>
            <w:proofErr w:type="spellStart"/>
            <w:r w:rsidRPr="00B97064">
              <w:rPr>
                <w:sz w:val="21"/>
                <w:szCs w:val="21"/>
                <w:lang w:val="en-GB"/>
              </w:rPr>
              <w:lastRenderedPageBreak/>
              <w:t>Dayha</w:t>
            </w:r>
            <w:proofErr w:type="spellEnd"/>
            <w:r w:rsidRPr="00B97064">
              <w:rPr>
                <w:sz w:val="21"/>
                <w:szCs w:val="21"/>
                <w:lang w:val="en-GB"/>
              </w:rPr>
              <w:t xml:space="preserve"> et al. (2008)</w:t>
            </w:r>
          </w:p>
        </w:tc>
        <w:tc>
          <w:tcPr>
            <w:tcW w:w="0" w:type="auto"/>
            <w:vAlign w:val="center"/>
          </w:tcPr>
          <w:p w:rsidR="00A54535" w:rsidRPr="00B97064" w:rsidRDefault="007C7F32" w:rsidP="00AF73E3">
            <w:pPr>
              <w:spacing w:line="276" w:lineRule="auto"/>
              <w:jc w:val="left"/>
              <w:rPr>
                <w:sz w:val="21"/>
                <w:szCs w:val="21"/>
                <w:lang w:val="en-GB"/>
              </w:rPr>
            </w:pPr>
            <w:r w:rsidRPr="00B97064">
              <w:rPr>
                <w:sz w:val="21"/>
                <w:szCs w:val="21"/>
                <w:lang w:val="en-GB"/>
              </w:rPr>
              <w:t>- Relation between proportion of non-related (non-executive) board members and firm value (Tobins Q)</w:t>
            </w:r>
          </w:p>
          <w:p w:rsidR="007C7F32" w:rsidRPr="00B97064" w:rsidRDefault="007C7F32" w:rsidP="008056AD">
            <w:pPr>
              <w:spacing w:line="276" w:lineRule="auto"/>
              <w:jc w:val="left"/>
              <w:rPr>
                <w:sz w:val="21"/>
                <w:szCs w:val="21"/>
                <w:lang w:val="en-GB"/>
              </w:rPr>
            </w:pPr>
            <w:r w:rsidRPr="00B97064">
              <w:rPr>
                <w:sz w:val="21"/>
                <w:szCs w:val="21"/>
                <w:lang w:val="en-GB"/>
              </w:rPr>
              <w:t>- Relation between proportion of non-related (non-executive) board members and existence of RPT</w:t>
            </w:r>
            <w:r w:rsidR="008056AD" w:rsidRPr="00B97064">
              <w:rPr>
                <w:sz w:val="21"/>
                <w:szCs w:val="21"/>
                <w:lang w:val="en-GB"/>
              </w:rPr>
              <w:t>s</w:t>
            </w:r>
            <w:r w:rsidRPr="00B97064">
              <w:rPr>
                <w:sz w:val="21"/>
                <w:szCs w:val="21"/>
                <w:lang w:val="en-GB"/>
              </w:rPr>
              <w:t xml:space="preserve"> with controlling shareholders</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799 firms of 22 different countries for the year 2002</w:t>
            </w:r>
          </w:p>
        </w:tc>
        <w:tc>
          <w:tcPr>
            <w:tcW w:w="1701" w:type="dxa"/>
            <w:vAlign w:val="center"/>
          </w:tcPr>
          <w:p w:rsidR="007C7F32" w:rsidRPr="00B97064" w:rsidRDefault="007C7F32" w:rsidP="00AF73E3">
            <w:pPr>
              <w:spacing w:line="276" w:lineRule="auto"/>
              <w:jc w:val="left"/>
              <w:rPr>
                <w:rFonts w:cs="Arial"/>
                <w:sz w:val="21"/>
                <w:szCs w:val="21"/>
                <w:lang w:val="en-GB"/>
              </w:rPr>
            </w:pPr>
            <w:r w:rsidRPr="00B97064">
              <w:rPr>
                <w:rFonts w:cs="Arial"/>
                <w:sz w:val="21"/>
                <w:szCs w:val="21"/>
                <w:lang w:val="en-GB"/>
              </w:rPr>
              <w:t>Regression</w:t>
            </w:r>
          </w:p>
        </w:tc>
        <w:tc>
          <w:tcPr>
            <w:tcW w:w="4819" w:type="dxa"/>
            <w:vAlign w:val="center"/>
          </w:tcPr>
          <w:p w:rsidR="008056AD" w:rsidRPr="00B97064" w:rsidRDefault="007C7F32" w:rsidP="00AF73E3">
            <w:pPr>
              <w:spacing w:line="276" w:lineRule="auto"/>
              <w:jc w:val="left"/>
              <w:rPr>
                <w:rFonts w:cs="Arial"/>
                <w:sz w:val="21"/>
                <w:szCs w:val="21"/>
                <w:lang w:val="en-GB"/>
              </w:rPr>
            </w:pPr>
            <w:r w:rsidRPr="00B97064">
              <w:rPr>
                <w:rFonts w:cs="Arial"/>
                <w:sz w:val="21"/>
                <w:szCs w:val="21"/>
                <w:lang w:val="en-GB"/>
              </w:rPr>
              <w:t>- Positive relation between firm value (Tobin’s Q) and the percentage of non-affiliated members of the board. This relation in stronger in countries with weak investor protection;</w:t>
            </w:r>
          </w:p>
          <w:p w:rsidR="007C7F32" w:rsidRPr="00B97064" w:rsidRDefault="007C7F32" w:rsidP="00AF73E3">
            <w:pPr>
              <w:spacing w:line="276" w:lineRule="auto"/>
              <w:jc w:val="left"/>
              <w:rPr>
                <w:rFonts w:cs="Arial"/>
                <w:sz w:val="21"/>
                <w:szCs w:val="21"/>
                <w:lang w:val="en-GB"/>
              </w:rPr>
            </w:pPr>
            <w:r w:rsidRPr="00B97064">
              <w:rPr>
                <w:rFonts w:cs="Arial"/>
                <w:sz w:val="21"/>
                <w:szCs w:val="21"/>
                <w:lang w:val="en-GB"/>
              </w:rPr>
              <w:t>- The higher the proportion of non-affiliated board members, the less RPTs exists with controlling shareholders</w:t>
            </w:r>
            <w:r w:rsidR="008056AD" w:rsidRPr="00B97064">
              <w:rPr>
                <w:rFonts w:cs="Arial"/>
                <w:sz w:val="21"/>
                <w:szCs w:val="21"/>
                <w:lang w:val="en-GB"/>
              </w:rPr>
              <w:t>.</w:t>
            </w:r>
          </w:p>
        </w:tc>
      </w:tr>
      <w:tr w:rsidR="007C7F32" w:rsidRPr="007F674E" w:rsidTr="00A54535">
        <w:trPr>
          <w:trHeight w:val="516"/>
        </w:trPr>
        <w:tc>
          <w:tcPr>
            <w:tcW w:w="0" w:type="auto"/>
            <w:vAlign w:val="center"/>
          </w:tcPr>
          <w:p w:rsidR="007C7F32" w:rsidRPr="00B97064" w:rsidRDefault="007C7F32" w:rsidP="00AF73E3">
            <w:pPr>
              <w:spacing w:line="276" w:lineRule="auto"/>
              <w:jc w:val="left"/>
              <w:rPr>
                <w:sz w:val="21"/>
                <w:szCs w:val="21"/>
                <w:lang w:val="en-GB"/>
              </w:rPr>
            </w:pPr>
            <w:proofErr w:type="spellStart"/>
            <w:r w:rsidRPr="00B97064">
              <w:rPr>
                <w:sz w:val="21"/>
                <w:szCs w:val="21"/>
                <w:lang w:val="en-GB"/>
              </w:rPr>
              <w:t>Claessens</w:t>
            </w:r>
            <w:proofErr w:type="spellEnd"/>
            <w:r w:rsidRPr="00B97064">
              <w:rPr>
                <w:sz w:val="21"/>
                <w:szCs w:val="21"/>
                <w:lang w:val="en-GB"/>
              </w:rPr>
              <w:t xml:space="preserve"> et al. (1999)</w:t>
            </w:r>
          </w:p>
        </w:tc>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Relation firm ownership, type of ownership and firm value</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2,658 firms of 9 Asian countries for the year 1996</w:t>
            </w:r>
          </w:p>
        </w:tc>
        <w:tc>
          <w:tcPr>
            <w:tcW w:w="1701"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819" w:type="dxa"/>
            <w:vAlign w:val="center"/>
          </w:tcPr>
          <w:p w:rsidR="008056AD" w:rsidRPr="00B97064" w:rsidRDefault="007C7F32" w:rsidP="00AF73E3">
            <w:pPr>
              <w:spacing w:line="276" w:lineRule="auto"/>
              <w:jc w:val="left"/>
              <w:rPr>
                <w:sz w:val="21"/>
                <w:szCs w:val="21"/>
                <w:lang w:val="en-GB"/>
              </w:rPr>
            </w:pPr>
            <w:r w:rsidRPr="00B97064">
              <w:rPr>
                <w:sz w:val="21"/>
                <w:szCs w:val="21"/>
                <w:lang w:val="en-GB"/>
              </w:rPr>
              <w:t>- Positive relation between cash flow rights and firm value, especially for widely held financial institutions.</w:t>
            </w:r>
          </w:p>
          <w:p w:rsidR="008056AD" w:rsidRPr="00B97064" w:rsidRDefault="007C7F32" w:rsidP="00AF73E3">
            <w:pPr>
              <w:spacing w:line="276" w:lineRule="auto"/>
              <w:jc w:val="left"/>
              <w:rPr>
                <w:sz w:val="21"/>
                <w:szCs w:val="21"/>
                <w:lang w:val="en-GB"/>
              </w:rPr>
            </w:pPr>
            <w:r w:rsidRPr="00B97064">
              <w:rPr>
                <w:sz w:val="21"/>
                <w:szCs w:val="21"/>
                <w:lang w:val="en-GB"/>
              </w:rPr>
              <w:t>- Negative relation between control rights and firm value, mainly for family-held firms and widely held financial institutions.</w:t>
            </w:r>
          </w:p>
          <w:p w:rsidR="007C7F32" w:rsidRPr="00B97064" w:rsidRDefault="007C7F32" w:rsidP="00AF73E3">
            <w:pPr>
              <w:spacing w:line="276" w:lineRule="auto"/>
              <w:jc w:val="left"/>
              <w:rPr>
                <w:sz w:val="21"/>
                <w:szCs w:val="21"/>
                <w:lang w:val="en-GB"/>
              </w:rPr>
            </w:pPr>
            <w:r w:rsidRPr="00B97064">
              <w:rPr>
                <w:sz w:val="21"/>
                <w:szCs w:val="21"/>
                <w:lang w:val="en-GB"/>
              </w:rPr>
              <w:t>- The greater the difference between cash flow and control rights, the greater the decline in firm value for family-held firms and widely-held financial institutions in Japan</w:t>
            </w:r>
          </w:p>
        </w:tc>
      </w:tr>
      <w:tr w:rsidR="007C7F32" w:rsidRPr="007F674E" w:rsidTr="00A54535">
        <w:trPr>
          <w:trHeight w:val="516"/>
        </w:trPr>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Cheung et al. (2006)</w:t>
            </w:r>
          </w:p>
        </w:tc>
        <w:tc>
          <w:tcPr>
            <w:tcW w:w="0" w:type="auto"/>
            <w:vAlign w:val="center"/>
          </w:tcPr>
          <w:p w:rsidR="007C7F32" w:rsidRPr="00B97064" w:rsidRDefault="007C7F32" w:rsidP="00AF73E3">
            <w:pPr>
              <w:spacing w:line="276" w:lineRule="auto"/>
              <w:jc w:val="left"/>
              <w:rPr>
                <w:sz w:val="21"/>
                <w:szCs w:val="21"/>
                <w:lang w:val="en-GB"/>
              </w:rPr>
            </w:pPr>
            <w:r w:rsidRPr="00B97064">
              <w:rPr>
                <w:sz w:val="21"/>
                <w:szCs w:val="21"/>
                <w:lang w:val="en-GB"/>
              </w:rPr>
              <w:t>Relation RPTs and firm/ ownership characteristics</w:t>
            </w:r>
          </w:p>
        </w:tc>
        <w:tc>
          <w:tcPr>
            <w:tcW w:w="2808"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Financial / ownership and corporate governance data of 603 Hong Kong listed companies and 375 filings concerning  RPTs for the years 1998 till 2000</w:t>
            </w:r>
          </w:p>
        </w:tc>
        <w:tc>
          <w:tcPr>
            <w:tcW w:w="1701" w:type="dxa"/>
            <w:vAlign w:val="center"/>
          </w:tcPr>
          <w:p w:rsidR="007C7F32" w:rsidRPr="00B97064" w:rsidRDefault="007C7F32" w:rsidP="00AF73E3">
            <w:pPr>
              <w:spacing w:line="276" w:lineRule="auto"/>
              <w:jc w:val="left"/>
              <w:rPr>
                <w:sz w:val="21"/>
                <w:szCs w:val="21"/>
                <w:lang w:val="en-GB"/>
              </w:rPr>
            </w:pPr>
            <w:r w:rsidRPr="00B97064">
              <w:rPr>
                <w:sz w:val="21"/>
                <w:szCs w:val="21"/>
                <w:lang w:val="en-GB"/>
              </w:rPr>
              <w:t>Regression</w:t>
            </w:r>
          </w:p>
        </w:tc>
        <w:tc>
          <w:tcPr>
            <w:tcW w:w="4819" w:type="dxa"/>
            <w:vAlign w:val="center"/>
          </w:tcPr>
          <w:p w:rsidR="007C7F32" w:rsidRPr="00B97064" w:rsidRDefault="007C7F32" w:rsidP="0061221F">
            <w:pPr>
              <w:spacing w:line="276" w:lineRule="auto"/>
              <w:jc w:val="left"/>
              <w:rPr>
                <w:sz w:val="21"/>
                <w:szCs w:val="21"/>
                <w:lang w:val="en-GB"/>
              </w:rPr>
            </w:pPr>
            <w:r w:rsidRPr="00B97064">
              <w:rPr>
                <w:sz w:val="21"/>
                <w:szCs w:val="21"/>
                <w:lang w:val="en-GB"/>
              </w:rPr>
              <w:t>Ownership percentage, low disclosure level and being audited by a non-</w:t>
            </w:r>
            <w:r w:rsidR="0061221F" w:rsidRPr="00B97064">
              <w:rPr>
                <w:sz w:val="21"/>
                <w:szCs w:val="21"/>
                <w:lang w:val="en-GB"/>
              </w:rPr>
              <w:t>b</w:t>
            </w:r>
            <w:r w:rsidRPr="00B97064">
              <w:rPr>
                <w:sz w:val="21"/>
                <w:szCs w:val="21"/>
                <w:lang w:val="en-GB"/>
              </w:rPr>
              <w:t>ig-5 auditor have negative effect on MAAR.</w:t>
            </w:r>
          </w:p>
        </w:tc>
      </w:tr>
    </w:tbl>
    <w:p w:rsidR="007C7F32" w:rsidRPr="00B97064" w:rsidRDefault="007C7F32" w:rsidP="007B5AB7">
      <w:pPr>
        <w:rPr>
          <w:lang w:val="en-GB"/>
        </w:rPr>
      </w:pPr>
    </w:p>
    <w:p w:rsidR="007C7F32" w:rsidRPr="00B97064" w:rsidRDefault="007C7F32" w:rsidP="00A94D96">
      <w:pPr>
        <w:pStyle w:val="Heading2"/>
        <w:rPr>
          <w:lang w:val="en-GB"/>
        </w:rPr>
        <w:sectPr w:rsidR="007C7F32" w:rsidRPr="00B97064" w:rsidSect="00A35F4D">
          <w:pgSz w:w="16837" w:h="11905" w:orient="landscape"/>
          <w:pgMar w:top="1418" w:right="1418" w:bottom="1418" w:left="1418" w:header="709" w:footer="709" w:gutter="0"/>
          <w:cols w:space="708"/>
          <w:noEndnote/>
          <w:titlePg/>
          <w:docGrid w:linePitch="326"/>
        </w:sectPr>
      </w:pPr>
    </w:p>
    <w:p w:rsidR="007C7F32" w:rsidRPr="00B97064" w:rsidRDefault="007C7F32" w:rsidP="00A94D96">
      <w:pPr>
        <w:pStyle w:val="Heading2"/>
        <w:rPr>
          <w:lang w:val="en-GB"/>
        </w:rPr>
      </w:pPr>
      <w:bookmarkStart w:id="68" w:name="_Toc349585485"/>
      <w:r w:rsidRPr="00B97064">
        <w:rPr>
          <w:lang w:val="en-GB"/>
        </w:rPr>
        <w:lastRenderedPageBreak/>
        <w:t>3.10 Summary</w:t>
      </w:r>
      <w:bookmarkEnd w:id="68"/>
    </w:p>
    <w:p w:rsidR="007C7F32" w:rsidRPr="00B97064" w:rsidRDefault="007C7F32" w:rsidP="00E8174D">
      <w:pPr>
        <w:rPr>
          <w:lang w:val="en-GB"/>
        </w:rPr>
      </w:pPr>
      <w:r w:rsidRPr="00B97064">
        <w:rPr>
          <w:lang w:val="en-GB"/>
        </w:rPr>
        <w:t>This chapter discussed the previous studies in the field of RPTs, investor protection, earnings management and firm value. First of all, the agency problem is explained; since ownership (shareholders) and control (board of directors) are separated in Dutch listed companies, this may result in conflicts of interest. The agency theory is the underlying theory behind the expropriation of firms’ resources by firms’ management, as well as by the main shareholder.</w:t>
      </w:r>
    </w:p>
    <w:p w:rsidR="007C7F32" w:rsidRPr="00B97064" w:rsidRDefault="007C7F32" w:rsidP="00D61C60">
      <w:pPr>
        <w:rPr>
          <w:rFonts w:cs="Arial"/>
          <w:szCs w:val="22"/>
          <w:lang w:val="en-GB"/>
        </w:rPr>
      </w:pPr>
    </w:p>
    <w:p w:rsidR="007C7F32" w:rsidRPr="00B97064" w:rsidRDefault="007C7F32" w:rsidP="00D61C60">
      <w:pPr>
        <w:rPr>
          <w:lang w:val="en-GB"/>
        </w:rPr>
      </w:pPr>
      <w:r w:rsidRPr="00B97064">
        <w:rPr>
          <w:rFonts w:cs="Arial"/>
          <w:szCs w:val="22"/>
          <w:lang w:val="en-GB"/>
        </w:rPr>
        <w:t xml:space="preserve">The third section explained some researches in the area of RPTs and earnings management. Those researches are not </w:t>
      </w:r>
      <w:r w:rsidRPr="00B97064">
        <w:rPr>
          <w:lang w:val="en-GB"/>
        </w:rPr>
        <w:t>unambiguous. Chen et al. (2011) concluded that there is a positive relation between RPTs and earnings management</w:t>
      </w:r>
      <w:r w:rsidR="00B973E0" w:rsidRPr="00B97064">
        <w:rPr>
          <w:lang w:val="en-GB"/>
        </w:rPr>
        <w:t xml:space="preserve"> during IPO periods</w:t>
      </w:r>
      <w:r w:rsidRPr="00B97064">
        <w:rPr>
          <w:lang w:val="en-GB"/>
        </w:rPr>
        <w:t>. However, Gordon and Henry (2005) demonstrated that there was only a positive relation between one type of RPTs, namely fixed rate fin</w:t>
      </w:r>
      <w:r w:rsidR="00B973E0" w:rsidRPr="00B97064">
        <w:rPr>
          <w:lang w:val="en-GB"/>
        </w:rPr>
        <w:t>ancing and earnings management. Furthermore, they found a negative relation between transactions with executive board members or the provision of management services and earnings management. So, it is doubtful whether firms manage earnings to mask expropriation.</w:t>
      </w:r>
    </w:p>
    <w:p w:rsidR="007C7F32" w:rsidRPr="00B97064" w:rsidRDefault="007C7F32" w:rsidP="00E8174D">
      <w:pPr>
        <w:rPr>
          <w:lang w:val="en-GB"/>
        </w:rPr>
      </w:pPr>
    </w:p>
    <w:p w:rsidR="007C7F32" w:rsidRPr="00B97064" w:rsidRDefault="007C7F32" w:rsidP="00E8174D">
      <w:pPr>
        <w:rPr>
          <w:lang w:val="en-GB"/>
        </w:rPr>
      </w:pPr>
      <w:r w:rsidRPr="00B97064">
        <w:rPr>
          <w:lang w:val="en-GB"/>
        </w:rPr>
        <w:t xml:space="preserve">The fourth section discussed some studies in the field of RPTs and firm value. All studies concluded that there is a negative relation between RPTs and firm value. Kohlbeck and Mayhew (2010) as well as </w:t>
      </w:r>
      <w:proofErr w:type="spellStart"/>
      <w:r w:rsidRPr="00B97064">
        <w:rPr>
          <w:lang w:val="en-GB"/>
        </w:rPr>
        <w:t>Nekhili</w:t>
      </w:r>
      <w:proofErr w:type="spellEnd"/>
      <w:r w:rsidR="007F674E">
        <w:rPr>
          <w:lang w:val="en-GB"/>
        </w:rPr>
        <w:t xml:space="preserve"> and </w:t>
      </w:r>
      <w:proofErr w:type="spellStart"/>
      <w:r w:rsidRPr="00B97064">
        <w:rPr>
          <w:lang w:val="en-GB"/>
        </w:rPr>
        <w:t>Cherif</w:t>
      </w:r>
      <w:proofErr w:type="spellEnd"/>
      <w:r w:rsidRPr="00B97064">
        <w:rPr>
          <w:lang w:val="en-GB"/>
        </w:rPr>
        <w:t xml:space="preserve"> (2011) found that the negative effect is mainly driven by transactions with directors, officers and shareholders. However, there is no consensus which type of transaction are (the most) harmful. Kohlbeck and Mayhew (2010) proved that the negative relation between RPTs and firm value is </w:t>
      </w:r>
      <w:r w:rsidRPr="00B97064">
        <w:rPr>
          <w:rFonts w:cs="Arial"/>
          <w:szCs w:val="22"/>
          <w:lang w:val="en-GB"/>
        </w:rPr>
        <w:t xml:space="preserve">mainly driven by loans and simple transactions, while Cheung et al. (2006) found that sales or acquisition of assets, equity relationships cash payments and trading relationships are the most harmful. </w:t>
      </w:r>
      <w:r w:rsidRPr="00B97064">
        <w:rPr>
          <w:lang w:val="en-GB"/>
        </w:rPr>
        <w:t>Ge et al. (2010) concluded that investors devaluate earnings when firms entered in RPTs. However, this devaluation depends on the degree of disclosure; after the introduction of new disclosure regulation, investors no longer devaluate earnings.</w:t>
      </w:r>
      <w:r w:rsidR="008056AD" w:rsidRPr="00B97064">
        <w:rPr>
          <w:lang w:val="en-GB"/>
        </w:rPr>
        <w:t xml:space="preserve"> This may indicate that a higher disclosure level mitigates the negative effect of RPTs on firm value.</w:t>
      </w:r>
    </w:p>
    <w:p w:rsidR="007C7F32" w:rsidRPr="00B97064" w:rsidRDefault="007C7F32" w:rsidP="00E8174D">
      <w:pPr>
        <w:rPr>
          <w:lang w:val="en-GB"/>
        </w:rPr>
      </w:pPr>
    </w:p>
    <w:p w:rsidR="007C7F32" w:rsidRPr="00B97064" w:rsidRDefault="007C7F32" w:rsidP="00E8174D">
      <w:pPr>
        <w:rPr>
          <w:rFonts w:cs="Arial"/>
          <w:szCs w:val="22"/>
          <w:lang w:val="en-GB"/>
        </w:rPr>
      </w:pPr>
      <w:r w:rsidRPr="00B97064">
        <w:rPr>
          <w:lang w:val="en-GB"/>
        </w:rPr>
        <w:t xml:space="preserve">The fifth section was devoted to </w:t>
      </w:r>
      <w:r w:rsidRPr="00B97064">
        <w:rPr>
          <w:rFonts w:cs="Arial"/>
          <w:szCs w:val="22"/>
          <w:lang w:val="en-GB"/>
        </w:rPr>
        <w:t xml:space="preserve">some studies in the field of investor protection by legal system. </w:t>
      </w:r>
      <w:r w:rsidR="00A92903" w:rsidRPr="00B97064">
        <w:rPr>
          <w:rFonts w:cs="Arial"/>
          <w:szCs w:val="22"/>
          <w:lang w:val="en-GB"/>
        </w:rPr>
        <w:t>Since shareholders bare the risk of expropriation when firms enter into RPTs, they are less willing to provide money to the capital market, which make it more complicated for firms to raise capital. To solve this problem, legislation and regulation may be introduced to increase investor protection</w:t>
      </w:r>
      <w:r w:rsidR="00096727" w:rsidRPr="00B97064">
        <w:rPr>
          <w:rFonts w:cs="Arial"/>
          <w:szCs w:val="22"/>
          <w:lang w:val="en-GB"/>
        </w:rPr>
        <w:t>,</w:t>
      </w:r>
      <w:r w:rsidR="00A92903" w:rsidRPr="00B97064">
        <w:rPr>
          <w:rFonts w:cs="Arial"/>
          <w:szCs w:val="22"/>
          <w:lang w:val="en-GB"/>
        </w:rPr>
        <w:t xml:space="preserve"> to improve the rights of investors and the information provision to investors. </w:t>
      </w:r>
      <w:r w:rsidRPr="00B97064">
        <w:rPr>
          <w:rFonts w:cs="Arial"/>
          <w:szCs w:val="22"/>
          <w:lang w:val="en-GB"/>
        </w:rPr>
        <w:t>The studies of La Porta et al. (1997, 1998</w:t>
      </w:r>
      <w:r w:rsidR="00A742BE" w:rsidRPr="00B97064">
        <w:rPr>
          <w:rFonts w:cs="Arial"/>
          <w:szCs w:val="22"/>
          <w:lang w:val="en-GB"/>
        </w:rPr>
        <w:t xml:space="preserve"> and</w:t>
      </w:r>
      <w:r w:rsidRPr="00B97064">
        <w:rPr>
          <w:rFonts w:cs="Arial"/>
          <w:szCs w:val="22"/>
          <w:lang w:val="en-GB"/>
        </w:rPr>
        <w:t xml:space="preserve"> 2002) as well as Djankov et al. </w:t>
      </w:r>
      <w:r w:rsidRPr="00B97064">
        <w:rPr>
          <w:rFonts w:cs="Arial"/>
          <w:szCs w:val="22"/>
          <w:lang w:val="en-GB"/>
        </w:rPr>
        <w:lastRenderedPageBreak/>
        <w:t xml:space="preserve">(2008) concluded that there is a difference in investor protection by legal system; common law countries have a higher level of investor protection compared to </w:t>
      </w:r>
      <w:r w:rsidR="006F5ADB" w:rsidRPr="00B97064">
        <w:rPr>
          <w:rFonts w:cs="Arial"/>
          <w:szCs w:val="22"/>
          <w:lang w:val="en-GB"/>
        </w:rPr>
        <w:t>F</w:t>
      </w:r>
      <w:r w:rsidRPr="00B97064">
        <w:rPr>
          <w:rFonts w:cs="Arial"/>
          <w:szCs w:val="22"/>
          <w:lang w:val="en-GB"/>
        </w:rPr>
        <w:t>rench civil law countries. The level of investor protection has a positive effect on the level of financial market development.</w:t>
      </w:r>
    </w:p>
    <w:p w:rsidR="001700F8" w:rsidRPr="00B97064" w:rsidRDefault="001700F8" w:rsidP="00E8174D">
      <w:pPr>
        <w:rPr>
          <w:rFonts w:cs="Arial"/>
          <w:szCs w:val="22"/>
          <w:lang w:val="en-GB"/>
        </w:rPr>
      </w:pPr>
    </w:p>
    <w:p w:rsidR="007C7F32" w:rsidRPr="00B97064" w:rsidRDefault="007C7F32" w:rsidP="00E8174D">
      <w:pPr>
        <w:rPr>
          <w:lang w:val="en-GB"/>
        </w:rPr>
      </w:pPr>
      <w:r w:rsidRPr="00B97064">
        <w:rPr>
          <w:rFonts w:cs="Arial"/>
          <w:szCs w:val="22"/>
          <w:lang w:val="en-GB"/>
        </w:rPr>
        <w:t xml:space="preserve">The subsequent section discussed some studies in the field of cross-listing in the USA, in order to increase the investor protection level. </w:t>
      </w:r>
      <w:r w:rsidRPr="00B97064">
        <w:rPr>
          <w:lang w:val="en-GB"/>
        </w:rPr>
        <w:t>Reese and Weisbach (2002) found that firms cross-list</w:t>
      </w:r>
      <w:r w:rsidR="001700F8" w:rsidRPr="00B97064">
        <w:rPr>
          <w:lang w:val="en-GB"/>
        </w:rPr>
        <w:t>ed</w:t>
      </w:r>
      <w:r w:rsidRPr="00B97064">
        <w:rPr>
          <w:lang w:val="en-GB"/>
        </w:rPr>
        <w:t xml:space="preserve"> their shares in order to raise capital more easily. Doidge et al. (2004) examined that firms which are cross-listed in the USA have a higher firm value and growth opportunities compared to non-cross-listed firms.</w:t>
      </w:r>
    </w:p>
    <w:p w:rsidR="007C7F32" w:rsidRPr="00B97064" w:rsidRDefault="007C7F32" w:rsidP="00E8174D">
      <w:pPr>
        <w:rPr>
          <w:lang w:val="en-GB"/>
        </w:rPr>
      </w:pPr>
    </w:p>
    <w:p w:rsidR="007C7F32" w:rsidRPr="00B97064" w:rsidRDefault="007C7F32" w:rsidP="00A92903">
      <w:pPr>
        <w:rPr>
          <w:lang w:val="en-GB"/>
        </w:rPr>
      </w:pPr>
      <w:r w:rsidRPr="00B97064">
        <w:rPr>
          <w:lang w:val="en-GB"/>
        </w:rPr>
        <w:t>Section seven was devoted to (voluntary) disclosure.</w:t>
      </w:r>
      <w:r w:rsidR="00096727" w:rsidRPr="00B97064">
        <w:rPr>
          <w:lang w:val="en-GB"/>
        </w:rPr>
        <w:t xml:space="preserve"> To determine the level of disclosure, a disclosure study could be conducted.</w:t>
      </w:r>
      <w:r w:rsidRPr="00B97064">
        <w:rPr>
          <w:lang w:val="en-GB"/>
        </w:rPr>
        <w:t xml:space="preserve"> Backhuijs</w:t>
      </w:r>
      <w:r w:rsidR="007F674E">
        <w:rPr>
          <w:lang w:val="en-GB"/>
        </w:rPr>
        <w:t xml:space="preserve"> and </w:t>
      </w:r>
      <w:proofErr w:type="spellStart"/>
      <w:r w:rsidRPr="00B97064">
        <w:rPr>
          <w:lang w:val="en-GB"/>
        </w:rPr>
        <w:t>Braam</w:t>
      </w:r>
      <w:proofErr w:type="spellEnd"/>
      <w:r w:rsidRPr="00B97064">
        <w:rPr>
          <w:lang w:val="en-GB"/>
        </w:rPr>
        <w:t xml:space="preserve"> (2008) conducted a disclosure/compliance study in the field of related parties and transactions with those parties.</w:t>
      </w:r>
      <w:r w:rsidR="00A92903" w:rsidRPr="00B97064">
        <w:rPr>
          <w:lang w:val="en-GB"/>
        </w:rPr>
        <w:t xml:space="preserve"> They found that most companies mentioned parent (96%) and associated companies (81%) in their consolidated financial statement Furthermore, they found that companies mainly mentioned the nature of the transaction and the amount of transaction and slightly more than half of the firms mentioned the amount of outstanding balances.</w:t>
      </w:r>
    </w:p>
    <w:p w:rsidR="007C7F32" w:rsidRPr="00B97064" w:rsidRDefault="007C7F32" w:rsidP="00E8174D">
      <w:pPr>
        <w:rPr>
          <w:rFonts w:cs="Arial"/>
          <w:szCs w:val="22"/>
          <w:lang w:val="en-GB"/>
        </w:rPr>
      </w:pPr>
    </w:p>
    <w:p w:rsidR="00B973E0" w:rsidRPr="00B97064" w:rsidRDefault="007C7F32" w:rsidP="00E8174D">
      <w:pPr>
        <w:rPr>
          <w:rFonts w:cs="Arial"/>
          <w:szCs w:val="22"/>
          <w:lang w:val="en-GB"/>
        </w:rPr>
      </w:pPr>
      <w:r w:rsidRPr="00B97064">
        <w:rPr>
          <w:rFonts w:cs="Arial"/>
          <w:szCs w:val="22"/>
          <w:lang w:val="en-GB"/>
        </w:rPr>
        <w:t xml:space="preserve">The eighth section discussed some studies in the field of some firm characteristics (number of financial experts, composition of the board(s), auditor size and firm ownership) and their relation with RPTs and firm value. </w:t>
      </w:r>
      <w:r w:rsidR="001700F8" w:rsidRPr="00B97064">
        <w:rPr>
          <w:rFonts w:cs="Arial"/>
          <w:szCs w:val="22"/>
          <w:lang w:val="en-GB"/>
        </w:rPr>
        <w:t>S</w:t>
      </w:r>
      <w:r w:rsidRPr="00B97064">
        <w:rPr>
          <w:rFonts w:cs="Arial"/>
          <w:szCs w:val="22"/>
          <w:lang w:val="en-GB"/>
        </w:rPr>
        <w:t>ome characteristics seems to increase the risk of expropriation, resulting in a positive effect on the number/amount of RPTs (which serve</w:t>
      </w:r>
      <w:r w:rsidR="001700F8" w:rsidRPr="00B97064">
        <w:rPr>
          <w:rFonts w:cs="Arial"/>
          <w:szCs w:val="22"/>
          <w:lang w:val="en-GB"/>
        </w:rPr>
        <w:t>s</w:t>
      </w:r>
      <w:r w:rsidRPr="00B97064">
        <w:rPr>
          <w:rFonts w:cs="Arial"/>
          <w:szCs w:val="22"/>
          <w:lang w:val="en-GB"/>
        </w:rPr>
        <w:t xml:space="preserve"> as a proxy for the risk of expropriation) and a negative effect on firm value (due to the increased risk of expropriation). </w:t>
      </w: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(2011) concluded that some characteristics, like the ratio of non-executive board members, percentage of voting rights of the main shareholder and the size of the board of directors had a positive effect on the number of RPTs. However, Dayha et al. (2008) proved a significant positive relation between the percentage of non-affiliated board members and firm value. Claessens et al. (1999) found a negative relation between control rights and firm value.</w:t>
      </w:r>
    </w:p>
    <w:p w:rsidR="00B973E0" w:rsidRPr="00B97064" w:rsidRDefault="00B973E0" w:rsidP="00E8174D">
      <w:pPr>
        <w:rPr>
          <w:rFonts w:cs="Arial"/>
          <w:szCs w:val="22"/>
          <w:lang w:val="en-GB"/>
        </w:rPr>
      </w:pPr>
    </w:p>
    <w:p w:rsidR="007C7F32" w:rsidRPr="00B97064" w:rsidRDefault="007C7F32" w:rsidP="00E8174D">
      <w:pPr>
        <w:rPr>
          <w:rFonts w:cs="Arial"/>
          <w:szCs w:val="22"/>
          <w:lang w:val="en-GB"/>
        </w:rPr>
      </w:pPr>
      <w:r w:rsidRPr="00B97064">
        <w:rPr>
          <w:rFonts w:cs="Arial"/>
          <w:szCs w:val="22"/>
          <w:lang w:val="en-GB"/>
        </w:rPr>
        <w:t>Other characteristics seems to decrease the risk of expropriation, resulting in a negative effect on the number /amount of RPTs (which again serve</w:t>
      </w:r>
      <w:r w:rsidR="001700F8" w:rsidRPr="00B97064">
        <w:rPr>
          <w:rFonts w:cs="Arial"/>
          <w:szCs w:val="22"/>
          <w:lang w:val="en-GB"/>
        </w:rPr>
        <w:t>s</w:t>
      </w:r>
      <w:r w:rsidRPr="00B97064">
        <w:rPr>
          <w:rFonts w:cs="Arial"/>
          <w:szCs w:val="22"/>
          <w:lang w:val="en-GB"/>
        </w:rPr>
        <w:t xml:space="preserve"> as a proxy for the risk of expropriation) and a positive effect on firm value (due to the decreased risk of expropriation). </w:t>
      </w: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(2011) concluded that </w:t>
      </w:r>
      <w:r w:rsidR="004B50B0" w:rsidRPr="00B97064">
        <w:rPr>
          <w:rFonts w:cs="Arial"/>
          <w:szCs w:val="22"/>
          <w:lang w:val="en-GB"/>
        </w:rPr>
        <w:t xml:space="preserve">some </w:t>
      </w:r>
      <w:r w:rsidRPr="00B97064">
        <w:rPr>
          <w:rFonts w:cs="Arial"/>
          <w:szCs w:val="22"/>
          <w:lang w:val="en-GB"/>
        </w:rPr>
        <w:t xml:space="preserve">characteristics, like being audited by a big 5 audit firm and the independence ratio of the audit committee, decreased the number of RPTs. A positive market reaction on the appointment of accounting financial experts in audit </w:t>
      </w:r>
      <w:r w:rsidRPr="00B97064">
        <w:rPr>
          <w:rFonts w:cs="Arial"/>
          <w:szCs w:val="22"/>
          <w:lang w:val="en-GB"/>
        </w:rPr>
        <w:lastRenderedPageBreak/>
        <w:t>committees was found by DeFond et al. (2005), but this positive reaction only applied to firms with strong corporate governance. Krishnan</w:t>
      </w:r>
      <w:r w:rsidR="007F674E">
        <w:rPr>
          <w:rFonts w:cs="Arial"/>
          <w:szCs w:val="22"/>
          <w:lang w:val="en-GB"/>
        </w:rPr>
        <w:t xml:space="preserve"> and </w:t>
      </w:r>
      <w:r w:rsidRPr="00B97064">
        <w:rPr>
          <w:rFonts w:cs="Arial"/>
          <w:szCs w:val="22"/>
          <w:lang w:val="en-GB"/>
        </w:rPr>
        <w:t xml:space="preserve">Lee (2009) concluded that the higher the potential litigation risk, the more likely firms have accounting financial experts in their audit </w:t>
      </w:r>
      <w:r w:rsidR="000049D7" w:rsidRPr="00B97064">
        <w:rPr>
          <w:rFonts w:cs="Arial"/>
          <w:szCs w:val="22"/>
          <w:lang w:val="en-GB"/>
        </w:rPr>
        <w:t>committee. T</w:t>
      </w:r>
      <w:r w:rsidR="001700F8" w:rsidRPr="00B97064">
        <w:rPr>
          <w:rFonts w:cs="Arial"/>
          <w:szCs w:val="22"/>
          <w:lang w:val="en-GB"/>
        </w:rPr>
        <w:t xml:space="preserve">his again applies only to </w:t>
      </w:r>
      <w:r w:rsidRPr="00B97064">
        <w:rPr>
          <w:rFonts w:cs="Arial"/>
          <w:szCs w:val="22"/>
          <w:lang w:val="en-GB"/>
        </w:rPr>
        <w:t>firms with high corporate governance. Claessens et al. (1999) proved that there is a positive relation between cash flow rights and firm value, particularly for widely-held financial institutions</w:t>
      </w:r>
      <w:r w:rsidR="00096727" w:rsidRPr="00B97064">
        <w:rPr>
          <w:rFonts w:cs="Arial"/>
          <w:szCs w:val="22"/>
          <w:lang w:val="en-GB"/>
        </w:rPr>
        <w:t>; this study is in line with re research of La Porta et al. (2002) who also found a positive relation, particularly in countries with a low level of investor protection</w:t>
      </w:r>
      <w:r w:rsidRPr="00B97064">
        <w:rPr>
          <w:rFonts w:cs="Arial"/>
          <w:szCs w:val="22"/>
          <w:lang w:val="en-GB"/>
        </w:rPr>
        <w:t>.</w:t>
      </w:r>
    </w:p>
    <w:p w:rsidR="001700F8" w:rsidRPr="00B97064" w:rsidRDefault="001700F8" w:rsidP="00E8174D">
      <w:pPr>
        <w:rPr>
          <w:rFonts w:cs="Arial"/>
          <w:szCs w:val="22"/>
          <w:lang w:val="en-GB"/>
        </w:rPr>
      </w:pPr>
    </w:p>
    <w:p w:rsidR="007C7F32" w:rsidRPr="00B97064" w:rsidRDefault="007C7F32" w:rsidP="00E8174D">
      <w:pPr>
        <w:rPr>
          <w:rFonts w:cs="Arial"/>
          <w:szCs w:val="22"/>
          <w:lang w:val="en-GB"/>
        </w:rPr>
      </w:pPr>
      <w:r w:rsidRPr="00B97064">
        <w:rPr>
          <w:rFonts w:cs="Arial"/>
          <w:szCs w:val="22"/>
          <w:lang w:val="en-GB"/>
        </w:rPr>
        <w:t xml:space="preserve">Finally, the last section contains a </w:t>
      </w:r>
      <w:r w:rsidRPr="00B97064">
        <w:rPr>
          <w:lang w:val="en-GB"/>
        </w:rPr>
        <w:t>Summarizing table of all empirical research in this chapter.</w:t>
      </w:r>
    </w:p>
    <w:p w:rsidR="007C7F32" w:rsidRPr="00B97064" w:rsidRDefault="007C7F32" w:rsidP="00FB0455">
      <w:pPr>
        <w:pStyle w:val="Heading1"/>
        <w:rPr>
          <w:lang w:val="en-GB"/>
        </w:rPr>
      </w:pPr>
      <w:r w:rsidRPr="00B97064">
        <w:rPr>
          <w:lang w:val="en-GB"/>
        </w:rPr>
        <w:br w:type="page"/>
      </w:r>
      <w:bookmarkStart w:id="69" w:name="_Toc349585486"/>
      <w:r w:rsidRPr="00B97064">
        <w:rPr>
          <w:lang w:val="en-GB"/>
        </w:rPr>
        <w:lastRenderedPageBreak/>
        <w:t>4. Methodology</w:t>
      </w:r>
      <w:bookmarkEnd w:id="69"/>
    </w:p>
    <w:p w:rsidR="007C7F32" w:rsidRPr="00B97064" w:rsidRDefault="007C7F32" w:rsidP="00B00C52">
      <w:pPr>
        <w:pStyle w:val="Heading2"/>
        <w:rPr>
          <w:lang w:val="en-GB"/>
        </w:rPr>
      </w:pPr>
      <w:bookmarkStart w:id="70" w:name="_Toc349585487"/>
      <w:r w:rsidRPr="00B97064">
        <w:rPr>
          <w:lang w:val="en-GB"/>
        </w:rPr>
        <w:t>4.1 Introduction</w:t>
      </w:r>
      <w:bookmarkEnd w:id="70"/>
    </w:p>
    <w:p w:rsidR="007C7F32" w:rsidRPr="00B97064" w:rsidRDefault="007C7F32" w:rsidP="00A00F88">
      <w:pPr>
        <w:rPr>
          <w:lang w:val="en-GB"/>
        </w:rPr>
      </w:pPr>
      <w:r w:rsidRPr="00B97064">
        <w:rPr>
          <w:lang w:val="en-GB"/>
        </w:rPr>
        <w:t>This chapter will give an overview of the methodology of my research. First of all, the problem definition will be explained. Subsequently, the sample will be discussed. After that, the first part of my research will be explained. In this part, the relation between the amount of RPTs, the quality of disclosure and firm value will be investigated. Subsequently, the second part of my research will be explained. In this second part, the relation between corporate governance and ownership characteristics and the amount of RPTs will be examined. Thereafter, a panel data analysis of the first two parts of my research will be discussed. In this part, the regressions will be executed again. However, a panel regression model will be used, which may give other results. Subsequently, the third part of my research will be discussed. In this part, I will investigate the differences in the coefficients of the amount of RPTs and disclosure quality over time. In section eight, my hypotheses will be displayed. This chapter will be concluded with a short summary in section</w:t>
      </w:r>
      <w:r w:rsidR="002148FB" w:rsidRPr="00B97064">
        <w:rPr>
          <w:lang w:val="en-GB"/>
        </w:rPr>
        <w:t xml:space="preserve"> </w:t>
      </w:r>
      <w:r w:rsidR="00B1429E" w:rsidRPr="00B97064">
        <w:rPr>
          <w:lang w:val="en-GB"/>
        </w:rPr>
        <w:t>nine</w:t>
      </w:r>
      <w:r w:rsidR="002148FB" w:rsidRPr="00B97064">
        <w:rPr>
          <w:lang w:val="en-GB"/>
        </w:rPr>
        <w:t>.</w:t>
      </w:r>
    </w:p>
    <w:p w:rsidR="007C7F32" w:rsidRPr="00B97064" w:rsidRDefault="007C7F32" w:rsidP="008015D3">
      <w:pPr>
        <w:pStyle w:val="Heading2"/>
        <w:rPr>
          <w:lang w:val="en-GB"/>
        </w:rPr>
      </w:pPr>
      <w:bookmarkStart w:id="71" w:name="_Toc349585488"/>
      <w:r w:rsidRPr="00B97064">
        <w:rPr>
          <w:lang w:val="en-GB"/>
        </w:rPr>
        <w:t>4.2 Problem definition</w:t>
      </w:r>
      <w:bookmarkEnd w:id="71"/>
      <w:r w:rsidRPr="00B97064">
        <w:rPr>
          <w:lang w:val="en-GB"/>
        </w:rPr>
        <w:t xml:space="preserve"> </w:t>
      </w:r>
    </w:p>
    <w:p w:rsidR="007C7F32" w:rsidRPr="00B97064" w:rsidRDefault="007C7F32" w:rsidP="008575B2">
      <w:pPr>
        <w:rPr>
          <w:lang w:val="en-GB"/>
        </w:rPr>
      </w:pPr>
      <w:r w:rsidRPr="00B97064">
        <w:rPr>
          <w:lang w:val="en-GB"/>
        </w:rPr>
        <w:t xml:space="preserve">In this thesis, I </w:t>
      </w:r>
      <w:r w:rsidR="00C3548A" w:rsidRPr="00B97064">
        <w:rPr>
          <w:lang w:val="en-GB"/>
        </w:rPr>
        <w:t>study</w:t>
      </w:r>
      <w:r w:rsidRPr="00B97064">
        <w:rPr>
          <w:lang w:val="en-GB"/>
        </w:rPr>
        <w:t xml:space="preserve"> the relation between firm value, RPTs, disclosure level and corporate governance- and ownership characteristics. The ce</w:t>
      </w:r>
      <w:r w:rsidR="00CA3A7B" w:rsidRPr="00B97064">
        <w:rPr>
          <w:lang w:val="en-GB"/>
        </w:rPr>
        <w:t>ntral question in my thesis is:</w:t>
      </w:r>
    </w:p>
    <w:p w:rsidR="007C7F32" w:rsidRPr="00B97064" w:rsidRDefault="007C7F32" w:rsidP="008575B2">
      <w:pPr>
        <w:rPr>
          <w:i/>
          <w:lang w:val="en-GB"/>
        </w:rPr>
      </w:pPr>
      <w:r w:rsidRPr="00B97064">
        <w:rPr>
          <w:i/>
          <w:lang w:val="en-GB"/>
        </w:rPr>
        <w:t>“Is there a relation between the amount of RPTs and firm value and which firm characteristics affect the amount of RPTs?”</w:t>
      </w:r>
    </w:p>
    <w:p w:rsidR="007C7F32" w:rsidRPr="00B97064" w:rsidRDefault="007C7F32" w:rsidP="008575B2">
      <w:pPr>
        <w:rPr>
          <w:i/>
          <w:lang w:val="en-GB"/>
        </w:rPr>
      </w:pPr>
    </w:p>
    <w:p w:rsidR="007C7F32" w:rsidRPr="00B97064" w:rsidRDefault="007C7F32" w:rsidP="008575B2">
      <w:pPr>
        <w:rPr>
          <w:lang w:val="en-GB"/>
        </w:rPr>
      </w:pPr>
      <w:r w:rsidRPr="00B97064">
        <w:rPr>
          <w:lang w:val="en-GB"/>
        </w:rPr>
        <w:t>To give a final answer on this research question, I will split up my research in three parts. The first part of my research will be devoted to the answering of the following sub question:</w:t>
      </w:r>
    </w:p>
    <w:p w:rsidR="007C7F32" w:rsidRPr="00B97064" w:rsidRDefault="007C7F32" w:rsidP="008575B2">
      <w:pPr>
        <w:rPr>
          <w:i/>
          <w:lang w:val="en-GB"/>
        </w:rPr>
      </w:pPr>
      <w:r w:rsidRPr="00B97064">
        <w:rPr>
          <w:i/>
          <w:lang w:val="en-GB"/>
        </w:rPr>
        <w:t>“Is there a relation between the amount of RPTs, disclosure level on RPTs and firm value?”</w:t>
      </w:r>
    </w:p>
    <w:p w:rsidR="007C7F32" w:rsidRPr="00B97064" w:rsidRDefault="007C7F32" w:rsidP="008575B2">
      <w:pPr>
        <w:rPr>
          <w:i/>
          <w:lang w:val="en-GB"/>
        </w:rPr>
      </w:pPr>
    </w:p>
    <w:p w:rsidR="007C7F32" w:rsidRPr="00B97064" w:rsidRDefault="007C7F32" w:rsidP="008575B2">
      <w:pPr>
        <w:rPr>
          <w:lang w:val="en-GB"/>
        </w:rPr>
      </w:pPr>
      <w:r w:rsidRPr="00B97064">
        <w:rPr>
          <w:lang w:val="en-GB"/>
        </w:rPr>
        <w:t>The second part of my research will be devoted to the answering of the next sub question:</w:t>
      </w:r>
    </w:p>
    <w:p w:rsidR="007C7F32" w:rsidRPr="00B97064" w:rsidRDefault="007C7F32" w:rsidP="008575B2">
      <w:pPr>
        <w:rPr>
          <w:i/>
          <w:lang w:val="en-GB"/>
        </w:rPr>
      </w:pPr>
      <w:r w:rsidRPr="00B97064">
        <w:rPr>
          <w:i/>
          <w:lang w:val="en-GB"/>
        </w:rPr>
        <w:t>“Is there a relation between some corporate governance and ownership characteristics and the amount of RPTs?”</w:t>
      </w:r>
    </w:p>
    <w:p w:rsidR="007C7F32" w:rsidRPr="00B97064" w:rsidRDefault="007C7F32" w:rsidP="008575B2">
      <w:pPr>
        <w:rPr>
          <w:i/>
          <w:lang w:val="en-GB"/>
        </w:rPr>
      </w:pPr>
    </w:p>
    <w:p w:rsidR="007C7F32" w:rsidRPr="00B97064" w:rsidRDefault="007C7F32" w:rsidP="008575B2">
      <w:pPr>
        <w:rPr>
          <w:lang w:val="en-GB"/>
        </w:rPr>
      </w:pPr>
      <w:r w:rsidRPr="00B97064">
        <w:rPr>
          <w:lang w:val="en-GB"/>
        </w:rPr>
        <w:t xml:space="preserve">At this point, corporate governance and </w:t>
      </w:r>
      <w:r w:rsidR="009310B3" w:rsidRPr="00B97064">
        <w:rPr>
          <w:lang w:val="en-GB"/>
        </w:rPr>
        <w:t>ownership characteristics cover</w:t>
      </w:r>
      <w:r w:rsidRPr="00B97064">
        <w:rPr>
          <w:lang w:val="en-GB"/>
        </w:rPr>
        <w:t xml:space="preserve"> the size of the executive board as well as supervisory board, percentage cash flow rights of the main shareholder, ratio financial experts to total audit committee members, being second listed in the USA and being audited by a big </w:t>
      </w:r>
      <w:r w:rsidR="002D10C8" w:rsidRPr="00B97064">
        <w:rPr>
          <w:lang w:val="en-GB"/>
        </w:rPr>
        <w:t>4</w:t>
      </w:r>
      <w:r w:rsidRPr="00B97064">
        <w:rPr>
          <w:lang w:val="en-GB"/>
        </w:rPr>
        <w:t xml:space="preserve"> audit firm.</w:t>
      </w:r>
    </w:p>
    <w:p w:rsidR="00B1429E" w:rsidRPr="00B97064" w:rsidRDefault="00B1429E" w:rsidP="008575B2">
      <w:pPr>
        <w:rPr>
          <w:lang w:val="en-GB"/>
        </w:rPr>
      </w:pPr>
    </w:p>
    <w:p w:rsidR="00B1429E" w:rsidRPr="00B97064" w:rsidRDefault="00B1429E" w:rsidP="008575B2">
      <w:pPr>
        <w:rPr>
          <w:lang w:val="en-GB"/>
        </w:rPr>
      </w:pPr>
    </w:p>
    <w:p w:rsidR="007C7F32" w:rsidRPr="00B97064" w:rsidRDefault="007C7F32" w:rsidP="00A00F88">
      <w:pPr>
        <w:rPr>
          <w:lang w:val="en-GB"/>
        </w:rPr>
      </w:pPr>
      <w:r w:rsidRPr="00B97064">
        <w:rPr>
          <w:lang w:val="en-GB"/>
        </w:rPr>
        <w:lastRenderedPageBreak/>
        <w:t>The third part of my research will be devoted to the answering of following sub question:</w:t>
      </w:r>
    </w:p>
    <w:p w:rsidR="007C7F32" w:rsidRPr="00B97064" w:rsidRDefault="007C7F32" w:rsidP="009E7D5D">
      <w:pPr>
        <w:rPr>
          <w:i/>
          <w:lang w:val="en-GB"/>
        </w:rPr>
      </w:pPr>
      <w:r w:rsidRPr="00B97064">
        <w:rPr>
          <w:i/>
          <w:lang w:val="en-GB"/>
        </w:rPr>
        <w:t>“Is there a difference in mean and coefficient of the amount of RPTs as well as the disclosure level on RPTs between 2003 and 2009?”</w:t>
      </w:r>
    </w:p>
    <w:p w:rsidR="007C7F32" w:rsidRPr="00B97064" w:rsidRDefault="007C7F32" w:rsidP="004F6919">
      <w:pPr>
        <w:pStyle w:val="Heading2"/>
        <w:rPr>
          <w:lang w:val="en-GB"/>
        </w:rPr>
      </w:pPr>
      <w:r w:rsidRPr="00B97064">
        <w:rPr>
          <w:lang w:val="en-GB"/>
        </w:rPr>
        <w:t xml:space="preserve"> </w:t>
      </w:r>
      <w:bookmarkStart w:id="72" w:name="_Toc349585489"/>
      <w:r w:rsidRPr="00B97064">
        <w:rPr>
          <w:lang w:val="en-GB"/>
        </w:rPr>
        <w:t>4.3 Sample</w:t>
      </w:r>
      <w:bookmarkEnd w:id="72"/>
    </w:p>
    <w:p w:rsidR="001E79C9" w:rsidRPr="00B97064" w:rsidRDefault="007C7F32" w:rsidP="004F6919">
      <w:pPr>
        <w:rPr>
          <w:szCs w:val="22"/>
          <w:lang w:val="en-GB"/>
        </w:rPr>
      </w:pPr>
      <w:r w:rsidRPr="00B97064">
        <w:rPr>
          <w:szCs w:val="22"/>
          <w:lang w:val="en-GB"/>
        </w:rPr>
        <w:t xml:space="preserve">The </w:t>
      </w:r>
      <w:r w:rsidR="007553D8" w:rsidRPr="00B97064">
        <w:rPr>
          <w:szCs w:val="22"/>
          <w:lang w:val="en-GB"/>
        </w:rPr>
        <w:t xml:space="preserve">initial </w:t>
      </w:r>
      <w:r w:rsidRPr="00B97064">
        <w:rPr>
          <w:szCs w:val="22"/>
          <w:lang w:val="en-GB"/>
        </w:rPr>
        <w:t xml:space="preserve">sample of my research consists of the 118 largest firms listed on the Euronext Amsterdam in 2003 and 2009. </w:t>
      </w:r>
      <w:r w:rsidRPr="00B97064">
        <w:rPr>
          <w:lang w:val="en-GB"/>
        </w:rPr>
        <w:t xml:space="preserve">Since 2005, those firms are required to report in accordance with IFRS and since 2004, those firms are obliged to comply with the Dutch </w:t>
      </w:r>
      <w:r w:rsidR="00F44576" w:rsidRPr="00B97064">
        <w:rPr>
          <w:lang w:val="en-GB"/>
        </w:rPr>
        <w:t>c</w:t>
      </w:r>
      <w:r w:rsidRPr="00B97064">
        <w:rPr>
          <w:lang w:val="en-GB"/>
        </w:rPr>
        <w:t xml:space="preserve">orporate </w:t>
      </w:r>
      <w:r w:rsidR="00F44576" w:rsidRPr="00B97064">
        <w:rPr>
          <w:lang w:val="en-GB"/>
        </w:rPr>
        <w:t>g</w:t>
      </w:r>
      <w:r w:rsidRPr="00B97064">
        <w:rPr>
          <w:lang w:val="en-GB"/>
        </w:rPr>
        <w:t xml:space="preserve">overnance </w:t>
      </w:r>
      <w:r w:rsidR="00F44576" w:rsidRPr="00B97064">
        <w:rPr>
          <w:lang w:val="en-GB"/>
        </w:rPr>
        <w:t>c</w:t>
      </w:r>
      <w:r w:rsidRPr="00B97064">
        <w:rPr>
          <w:lang w:val="en-GB"/>
        </w:rPr>
        <w:t xml:space="preserve">ode. </w:t>
      </w:r>
      <w:r w:rsidRPr="00B97064">
        <w:rPr>
          <w:szCs w:val="22"/>
          <w:lang w:val="en-GB"/>
        </w:rPr>
        <w:t xml:space="preserve">I have chosen for </w:t>
      </w:r>
      <w:r w:rsidR="00C3548A" w:rsidRPr="00B97064">
        <w:rPr>
          <w:szCs w:val="22"/>
          <w:lang w:val="en-GB"/>
        </w:rPr>
        <w:t>these years</w:t>
      </w:r>
      <w:r w:rsidRPr="00B97064">
        <w:rPr>
          <w:szCs w:val="22"/>
          <w:lang w:val="en-GB"/>
        </w:rPr>
        <w:t xml:space="preserve"> because it covers the pre-corporate governance code time and</w:t>
      </w:r>
      <w:r w:rsidR="00B1429E" w:rsidRPr="00B97064">
        <w:rPr>
          <w:szCs w:val="22"/>
          <w:lang w:val="en-GB"/>
        </w:rPr>
        <w:t xml:space="preserve"> a year just after</w:t>
      </w:r>
      <w:r w:rsidRPr="00B97064">
        <w:rPr>
          <w:szCs w:val="22"/>
          <w:lang w:val="en-GB"/>
        </w:rPr>
        <w:t xml:space="preserve"> the introduction of the updated version of the code (code Frijns) in 2009. The size of firms is determined by the total assets of the firm. My sample consists of the 118 firms with the highest amount of total assets in</w:t>
      </w:r>
      <w:r w:rsidR="005A16AC" w:rsidRPr="00B97064">
        <w:rPr>
          <w:szCs w:val="22"/>
          <w:lang w:val="en-GB"/>
        </w:rPr>
        <w:t xml:space="preserve"> 2003 and</w:t>
      </w:r>
      <w:r w:rsidRPr="00B97064">
        <w:rPr>
          <w:szCs w:val="22"/>
          <w:lang w:val="en-GB"/>
        </w:rPr>
        <w:t xml:space="preserve"> 2009, based on the available data in </w:t>
      </w:r>
      <w:r w:rsidRPr="00B97064">
        <w:rPr>
          <w:i/>
          <w:szCs w:val="22"/>
          <w:lang w:val="en-GB"/>
        </w:rPr>
        <w:t xml:space="preserve">Orbis. </w:t>
      </w:r>
      <w:r w:rsidRPr="00B97064">
        <w:rPr>
          <w:szCs w:val="22"/>
          <w:lang w:val="en-GB"/>
        </w:rPr>
        <w:t xml:space="preserve">Since the market capitalisation of 2002 and 2003 is not available in </w:t>
      </w:r>
      <w:r w:rsidRPr="00B97064">
        <w:rPr>
          <w:i/>
          <w:szCs w:val="22"/>
          <w:lang w:val="en-GB"/>
        </w:rPr>
        <w:t>Orbis</w:t>
      </w:r>
      <w:r w:rsidRPr="00B97064">
        <w:rPr>
          <w:szCs w:val="22"/>
          <w:lang w:val="en-GB"/>
        </w:rPr>
        <w:t xml:space="preserve">, I use </w:t>
      </w:r>
      <w:r w:rsidRPr="00B97064">
        <w:rPr>
          <w:i/>
          <w:szCs w:val="22"/>
          <w:lang w:val="en-GB"/>
        </w:rPr>
        <w:t>Datastream</w:t>
      </w:r>
      <w:r w:rsidRPr="00B97064">
        <w:rPr>
          <w:szCs w:val="22"/>
          <w:lang w:val="en-GB"/>
        </w:rPr>
        <w:t xml:space="preserve"> to collect this data for the years 2002 and 2003. I collect the data on the disclosure of RPTs and corporate governance and ownership characteristics manually, since most of the data is not available in a database. I use search terms to find the desired information out of the extensive annual reports. Those search terms can be found in the a</w:t>
      </w:r>
      <w:r w:rsidR="001E79C9" w:rsidRPr="00B97064">
        <w:rPr>
          <w:szCs w:val="22"/>
          <w:lang w:val="en-GB"/>
        </w:rPr>
        <w:t>ppendix</w:t>
      </w:r>
      <w:r w:rsidRPr="00B97064">
        <w:rPr>
          <w:szCs w:val="22"/>
          <w:lang w:val="en-GB"/>
        </w:rPr>
        <w:t xml:space="preserve"> (</w:t>
      </w:r>
      <w:r w:rsidR="00944DD0" w:rsidRPr="00B97064">
        <w:rPr>
          <w:szCs w:val="22"/>
          <w:lang w:val="en-GB"/>
        </w:rPr>
        <w:t>s</w:t>
      </w:r>
      <w:r w:rsidRPr="00B97064">
        <w:rPr>
          <w:szCs w:val="22"/>
          <w:lang w:val="en-GB"/>
        </w:rPr>
        <w:t xml:space="preserve">ection </w:t>
      </w:r>
      <w:fldSimple w:instr=" REF _Ref341824721 \h  \* MERGEFORMAT ">
        <w:r w:rsidR="00944DD0" w:rsidRPr="00B97064">
          <w:rPr>
            <w:lang w:val="en-GB"/>
          </w:rPr>
          <w:t>10.1 Search terms</w:t>
        </w:r>
      </w:fldSimple>
      <w:r w:rsidRPr="00B97064">
        <w:rPr>
          <w:szCs w:val="22"/>
          <w:lang w:val="en-GB"/>
        </w:rPr>
        <w:t xml:space="preserve">). Directors’ remuneration is not taken into account in this research. I use </w:t>
      </w:r>
      <w:r w:rsidRPr="00B97064">
        <w:rPr>
          <w:i/>
          <w:szCs w:val="22"/>
          <w:lang w:val="en-GB"/>
        </w:rPr>
        <w:t>company.info</w:t>
      </w:r>
      <w:r w:rsidRPr="00B97064">
        <w:rPr>
          <w:szCs w:val="22"/>
          <w:lang w:val="en-GB"/>
        </w:rPr>
        <w:t xml:space="preserve"> to download the annual reports of the firms of my sample and </w:t>
      </w:r>
      <w:r w:rsidRPr="00B97064">
        <w:rPr>
          <w:i/>
          <w:szCs w:val="22"/>
          <w:lang w:val="en-GB"/>
        </w:rPr>
        <w:t>Orbis</w:t>
      </w:r>
      <w:r w:rsidRPr="00B97064">
        <w:rPr>
          <w:szCs w:val="22"/>
          <w:lang w:val="en-GB"/>
        </w:rPr>
        <w:t xml:space="preserve"> and </w:t>
      </w:r>
      <w:r w:rsidRPr="00B97064">
        <w:rPr>
          <w:i/>
          <w:szCs w:val="22"/>
          <w:lang w:val="en-GB"/>
        </w:rPr>
        <w:t>Datastream</w:t>
      </w:r>
      <w:r w:rsidRPr="00B97064">
        <w:rPr>
          <w:szCs w:val="22"/>
          <w:lang w:val="en-GB"/>
        </w:rPr>
        <w:t xml:space="preserve"> to get the remaining data (the control variables). In case of fiscal years which were not equal to a calendar year, I use the fiscal year 2002-2003 respectively 2008-2009.</w:t>
      </w:r>
    </w:p>
    <w:p w:rsidR="009310B3" w:rsidRPr="00B97064" w:rsidRDefault="009310B3" w:rsidP="004F6919">
      <w:pPr>
        <w:rPr>
          <w:szCs w:val="22"/>
          <w:lang w:val="en-GB"/>
        </w:rPr>
      </w:pPr>
    </w:p>
    <w:p w:rsidR="009310B3" w:rsidRPr="00B97064" w:rsidRDefault="009310B3" w:rsidP="004F6919">
      <w:pPr>
        <w:rPr>
          <w:szCs w:val="22"/>
          <w:lang w:val="en-GB"/>
        </w:rPr>
      </w:pPr>
      <w:r w:rsidRPr="00B97064">
        <w:rPr>
          <w:szCs w:val="22"/>
          <w:lang w:val="en-GB"/>
        </w:rPr>
        <w:t xml:space="preserve">The composition of my final sample will be discussed in section </w:t>
      </w:r>
      <w:fldSimple w:instr=" REF _Ref349387712 \h  \* MERGEFORMAT ">
        <w:r w:rsidRPr="00B97064">
          <w:rPr>
            <w:lang w:val="en-GB"/>
          </w:rPr>
          <w:t>4.9</w:t>
        </w:r>
      </w:fldSimple>
      <w:r w:rsidR="007553D8" w:rsidRPr="00B97064">
        <w:rPr>
          <w:szCs w:val="22"/>
          <w:lang w:val="en-GB"/>
        </w:rPr>
        <w:t>.</w:t>
      </w:r>
    </w:p>
    <w:p w:rsidR="007C7F32" w:rsidRPr="00B97064" w:rsidRDefault="007C7F32" w:rsidP="00EE69D3">
      <w:pPr>
        <w:pStyle w:val="Heading2"/>
        <w:rPr>
          <w:lang w:val="en-GB"/>
        </w:rPr>
      </w:pPr>
      <w:bookmarkStart w:id="73" w:name="_Ref345154381"/>
      <w:bookmarkStart w:id="74" w:name="_Toc349585490"/>
      <w:r w:rsidRPr="00B97064">
        <w:rPr>
          <w:lang w:val="en-GB"/>
        </w:rPr>
        <w:t>4.4 Research part I: Relation RPTs, disclosure quality and firm value</w:t>
      </w:r>
      <w:bookmarkEnd w:id="73"/>
      <w:bookmarkEnd w:id="74"/>
    </w:p>
    <w:p w:rsidR="007C7F32" w:rsidRPr="00B97064" w:rsidRDefault="007C7F32" w:rsidP="009749EA">
      <w:pPr>
        <w:rPr>
          <w:rFonts w:cs="Arial"/>
          <w:szCs w:val="22"/>
          <w:lang w:val="en-GB"/>
        </w:rPr>
      </w:pPr>
      <w:r w:rsidRPr="00B97064">
        <w:rPr>
          <w:rFonts w:cs="Arial"/>
          <w:szCs w:val="22"/>
          <w:lang w:val="en-GB"/>
        </w:rPr>
        <w:t xml:space="preserve">After some scandals like Enron, shareholders associate RPTs with fraudulent activities; they relate RPTs with expropriation of (minority) shareholders. Due to this negative association, entering into RPTs should have a negative effect on firm value. This negative effect has been previously proved by Kohlbeck and Mayhew (2010), </w:t>
      </w: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(2011) and Cheung et al. (2006).</w:t>
      </w:r>
    </w:p>
    <w:p w:rsidR="007C7F32" w:rsidRPr="00B97064" w:rsidRDefault="007C7F32" w:rsidP="009749EA">
      <w:pPr>
        <w:rPr>
          <w:rFonts w:cs="Arial"/>
          <w:szCs w:val="22"/>
          <w:lang w:val="en-GB"/>
        </w:rPr>
      </w:pPr>
    </w:p>
    <w:p w:rsidR="007C7F32" w:rsidRPr="00B97064" w:rsidRDefault="007C7F32" w:rsidP="009749EA">
      <w:pPr>
        <w:rPr>
          <w:rFonts w:cs="Arial"/>
          <w:szCs w:val="22"/>
          <w:lang w:val="en-GB"/>
        </w:rPr>
      </w:pPr>
      <w:r w:rsidRPr="00B97064">
        <w:rPr>
          <w:rFonts w:cs="Arial"/>
          <w:szCs w:val="22"/>
          <w:lang w:val="en-GB"/>
        </w:rPr>
        <w:t>This effect will be tested again for a sample of Euronext Amsterdam listed companies, by investigating the relation between the total amount of RPTs in which a firm have entered and firm value. The amount of RPTs is used as a proxy for the risk of expropriation. Firm value is measured by using Tobin’s Q (TQ) ratio (</w:t>
      </w:r>
      <w:r w:rsidR="00F65640" w:rsidRPr="00B97064">
        <w:rPr>
          <w:rFonts w:cs="Arial"/>
          <w:szCs w:val="22"/>
          <w:lang w:val="en-GB"/>
        </w:rPr>
        <w:t>[</w:t>
      </w:r>
      <w:r w:rsidRPr="00B97064">
        <w:rPr>
          <w:rFonts w:cs="Arial"/>
          <w:szCs w:val="22"/>
          <w:lang w:val="en-GB"/>
        </w:rPr>
        <w:t>market capitalisation + debt</w:t>
      </w:r>
      <w:r w:rsidR="00F65640" w:rsidRPr="00B97064">
        <w:rPr>
          <w:rFonts w:cs="Arial"/>
          <w:szCs w:val="22"/>
          <w:lang w:val="en-GB"/>
        </w:rPr>
        <w:t>]</w:t>
      </w:r>
      <w:r w:rsidRPr="00B97064">
        <w:rPr>
          <w:rFonts w:cs="Arial"/>
          <w:szCs w:val="22"/>
          <w:lang w:val="en-GB"/>
        </w:rPr>
        <w:t xml:space="preserve"> divided by total assets). The amounts of RPTs are collected manually from the annual reports of the 118 </w:t>
      </w:r>
      <w:r w:rsidRPr="00B97064">
        <w:rPr>
          <w:rFonts w:cs="Arial"/>
          <w:szCs w:val="22"/>
          <w:lang w:val="en-GB"/>
        </w:rPr>
        <w:lastRenderedPageBreak/>
        <w:t xml:space="preserve">largest Euronext listed firms. The total amount of RPTs is determined by summing the </w:t>
      </w:r>
      <w:r w:rsidR="00A94EF1" w:rsidRPr="00B97064">
        <w:rPr>
          <w:rFonts w:cs="Arial"/>
          <w:szCs w:val="22"/>
          <w:lang w:val="en-GB"/>
        </w:rPr>
        <w:t xml:space="preserve">absolute </w:t>
      </w:r>
      <w:r w:rsidRPr="00B97064">
        <w:rPr>
          <w:rFonts w:cs="Arial"/>
          <w:szCs w:val="22"/>
          <w:lang w:val="en-GB"/>
        </w:rPr>
        <w:t>amounts of RPTs with different categories of related parties as mentioned in the annual report.</w:t>
      </w:r>
    </w:p>
    <w:p w:rsidR="007C7F32" w:rsidRPr="00B97064" w:rsidRDefault="007C7F32" w:rsidP="009749EA">
      <w:pPr>
        <w:rPr>
          <w:rFonts w:cs="Arial"/>
          <w:szCs w:val="22"/>
          <w:lang w:val="en-GB"/>
        </w:rPr>
      </w:pPr>
    </w:p>
    <w:p w:rsidR="007C7F32" w:rsidRPr="00B97064" w:rsidRDefault="007C7F32" w:rsidP="00583A10">
      <w:pPr>
        <w:rPr>
          <w:rFonts w:cs="Arial"/>
          <w:szCs w:val="22"/>
          <w:lang w:val="en-GB"/>
        </w:rPr>
      </w:pPr>
      <w:r w:rsidRPr="00B97064">
        <w:rPr>
          <w:rFonts w:cs="Arial"/>
          <w:szCs w:val="22"/>
          <w:lang w:val="en-GB"/>
        </w:rPr>
        <w:t xml:space="preserve">The negative effect of RPTs on firm value may be partially </w:t>
      </w:r>
      <w:r w:rsidR="00B1429E" w:rsidRPr="00B97064">
        <w:rPr>
          <w:rFonts w:cs="Arial"/>
          <w:szCs w:val="22"/>
          <w:lang w:val="en-GB"/>
        </w:rPr>
        <w:t>mitigated</w:t>
      </w:r>
      <w:r w:rsidRPr="00B97064">
        <w:rPr>
          <w:rFonts w:cs="Arial"/>
          <w:szCs w:val="22"/>
          <w:lang w:val="en-GB"/>
        </w:rPr>
        <w:t xml:space="preserve"> by increasing the disclosure level of RPTs. </w:t>
      </w:r>
      <w:r w:rsidRPr="00B97064">
        <w:rPr>
          <w:lang w:val="en-GB"/>
        </w:rPr>
        <w:t>Botosan (</w:t>
      </w:r>
      <w:r w:rsidR="0059557F" w:rsidRPr="00B97064">
        <w:rPr>
          <w:lang w:val="en-GB"/>
        </w:rPr>
        <w:t>2006</w:t>
      </w:r>
      <w:r w:rsidRPr="00B97064">
        <w:rPr>
          <w:lang w:val="en-GB"/>
        </w:rPr>
        <w:t xml:space="preserve">) earlier </w:t>
      </w:r>
      <w:r w:rsidR="0059557F" w:rsidRPr="00B97064">
        <w:rPr>
          <w:lang w:val="en-GB"/>
        </w:rPr>
        <w:t xml:space="preserve">described </w:t>
      </w:r>
      <w:r w:rsidRPr="00B97064">
        <w:rPr>
          <w:lang w:val="en-GB"/>
        </w:rPr>
        <w:t>t</w:t>
      </w:r>
      <w:r w:rsidR="0059557F" w:rsidRPr="00B97064">
        <w:rPr>
          <w:lang w:val="en-GB"/>
        </w:rPr>
        <w:t xml:space="preserve">he </w:t>
      </w:r>
      <w:r w:rsidRPr="00B97064">
        <w:rPr>
          <w:lang w:val="en-GB"/>
        </w:rPr>
        <w:t>negative relation between disclosur</w:t>
      </w:r>
      <w:r w:rsidR="0059557F" w:rsidRPr="00B97064">
        <w:rPr>
          <w:lang w:val="en-GB"/>
        </w:rPr>
        <w:t xml:space="preserve">e level and the cost of capital. </w:t>
      </w:r>
      <w:r w:rsidRPr="00B97064">
        <w:rPr>
          <w:lang w:val="en-GB"/>
        </w:rPr>
        <w:t xml:space="preserve">La Porta et al. (2002) found that there is a negative relation between weak investor protection (risk of expropriation) and firm value. Furthermore, Ge et al. (2010) found that after the adoption of RPT fair value measurement regulation, </w:t>
      </w:r>
      <w:r w:rsidR="0059557F" w:rsidRPr="00B97064">
        <w:rPr>
          <w:lang w:val="en-GB"/>
        </w:rPr>
        <w:t>earnings were no longer devaluated</w:t>
      </w:r>
      <w:r w:rsidRPr="00B97064">
        <w:rPr>
          <w:lang w:val="en-GB"/>
        </w:rPr>
        <w:t xml:space="preserve">. </w:t>
      </w:r>
      <w:r w:rsidR="00761D41" w:rsidRPr="00B97064">
        <w:rPr>
          <w:lang w:val="en-GB"/>
        </w:rPr>
        <w:t>This may indicate that a higher disclosure level mitigates the negative effect of RPTs on firm value.</w:t>
      </w:r>
      <w:r w:rsidR="0059557F" w:rsidRPr="00B97064">
        <w:rPr>
          <w:lang w:val="en-GB"/>
        </w:rPr>
        <w:t xml:space="preserve"> </w:t>
      </w:r>
      <w:r w:rsidRPr="00B97064">
        <w:rPr>
          <w:lang w:val="en-GB"/>
        </w:rPr>
        <w:t xml:space="preserve">Combining those earlier conclusions, it is a logical assumption that </w:t>
      </w:r>
      <w:r w:rsidRPr="00B97064">
        <w:rPr>
          <w:rFonts w:cs="Arial"/>
          <w:szCs w:val="22"/>
          <w:lang w:val="en-GB"/>
        </w:rPr>
        <w:t xml:space="preserve">the expected negative effect of RPTs on firm value can be partially </w:t>
      </w:r>
      <w:r w:rsidR="00761D41" w:rsidRPr="00B97064">
        <w:rPr>
          <w:rFonts w:cs="Arial"/>
          <w:szCs w:val="22"/>
          <w:lang w:val="en-GB"/>
        </w:rPr>
        <w:t>mitigated</w:t>
      </w:r>
      <w:r w:rsidRPr="00B97064">
        <w:rPr>
          <w:rFonts w:cs="Arial"/>
          <w:szCs w:val="22"/>
          <w:lang w:val="en-GB"/>
        </w:rPr>
        <w:t xml:space="preserve"> by disclosing information on those transactions, since more transparency (partially) recovers the confidence of shareholders. This assumption will be investigated by </w:t>
      </w:r>
      <w:r w:rsidR="00761D41" w:rsidRPr="00B97064">
        <w:rPr>
          <w:rFonts w:cs="Arial"/>
          <w:szCs w:val="22"/>
          <w:lang w:val="en-GB"/>
        </w:rPr>
        <w:t>this</w:t>
      </w:r>
      <w:r w:rsidRPr="00B97064">
        <w:rPr>
          <w:rFonts w:cs="Arial"/>
          <w:szCs w:val="22"/>
          <w:lang w:val="en-GB"/>
        </w:rPr>
        <w:t xml:space="preserve"> research.</w:t>
      </w:r>
    </w:p>
    <w:p w:rsidR="007C7F32" w:rsidRPr="00B97064" w:rsidRDefault="007C7F32" w:rsidP="00583A10">
      <w:pPr>
        <w:rPr>
          <w:rFonts w:cs="Arial"/>
          <w:szCs w:val="22"/>
          <w:lang w:val="en-GB"/>
        </w:rPr>
      </w:pPr>
    </w:p>
    <w:p w:rsidR="007C7F32" w:rsidRPr="00B97064" w:rsidRDefault="007C7F32" w:rsidP="00583A10">
      <w:pPr>
        <w:rPr>
          <w:rFonts w:cs="Arial"/>
          <w:szCs w:val="22"/>
          <w:lang w:val="en-GB"/>
        </w:rPr>
      </w:pPr>
      <w:r w:rsidRPr="00B97064">
        <w:rPr>
          <w:rFonts w:cs="Arial"/>
          <w:szCs w:val="22"/>
          <w:lang w:val="en-GB"/>
        </w:rPr>
        <w:t>To determine the quality of disclosure (disclosure level), a disclosure study is conducted, based on the previously conducted disclosure</w:t>
      </w:r>
      <w:r w:rsidR="0059557F" w:rsidRPr="00B97064">
        <w:rPr>
          <w:rFonts w:cs="Arial"/>
          <w:szCs w:val="22"/>
          <w:lang w:val="en-GB"/>
        </w:rPr>
        <w:t>/compliance</w:t>
      </w:r>
      <w:r w:rsidRPr="00B97064">
        <w:rPr>
          <w:rFonts w:cs="Arial"/>
          <w:szCs w:val="22"/>
          <w:lang w:val="en-GB"/>
        </w:rPr>
        <w:t xml:space="preserve"> study concerning RPTs by Backhuijs</w:t>
      </w:r>
      <w:r w:rsidR="007F674E">
        <w:rPr>
          <w:rFonts w:cs="Arial"/>
          <w:szCs w:val="22"/>
          <w:lang w:val="en-GB"/>
        </w:rPr>
        <w:t xml:space="preserve"> and </w:t>
      </w:r>
      <w:proofErr w:type="spellStart"/>
      <w:r w:rsidRPr="00B97064">
        <w:rPr>
          <w:rFonts w:cs="Arial"/>
          <w:szCs w:val="22"/>
          <w:lang w:val="en-GB"/>
        </w:rPr>
        <w:t>Braam</w:t>
      </w:r>
      <w:proofErr w:type="spellEnd"/>
      <w:r w:rsidRPr="00B97064">
        <w:rPr>
          <w:rFonts w:cs="Arial"/>
          <w:szCs w:val="22"/>
          <w:lang w:val="en-GB"/>
        </w:rPr>
        <w:t xml:space="preserve"> (2009). </w:t>
      </w:r>
      <w:r w:rsidR="0059557F" w:rsidRPr="00B97064">
        <w:rPr>
          <w:rFonts w:cs="Arial"/>
          <w:szCs w:val="22"/>
          <w:lang w:val="en-GB"/>
        </w:rPr>
        <w:t>Generally, disclosure studies are</w:t>
      </w:r>
      <w:r w:rsidRPr="00B97064">
        <w:rPr>
          <w:rFonts w:cs="Arial"/>
          <w:szCs w:val="22"/>
          <w:lang w:val="en-GB"/>
        </w:rPr>
        <w:t xml:space="preserve"> based on the assumption that “</w:t>
      </w:r>
      <w:r w:rsidRPr="00B97064">
        <w:rPr>
          <w:rFonts w:cs="Arial"/>
          <w:i/>
          <w:szCs w:val="22"/>
          <w:lang w:val="en-GB"/>
        </w:rPr>
        <w:t xml:space="preserve">the amount of disclosure on specified topics proxies for the quality of disclosure” </w:t>
      </w:r>
      <w:r w:rsidR="00CA3A7B" w:rsidRPr="00B97064">
        <w:rPr>
          <w:rFonts w:cs="Arial"/>
          <w:szCs w:val="22"/>
          <w:lang w:val="en-GB"/>
        </w:rPr>
        <w:t>(Beattie et al., 2004, p. 210).</w:t>
      </w:r>
      <w:r w:rsidR="00761D41" w:rsidRPr="00B97064">
        <w:rPr>
          <w:rFonts w:cs="Arial"/>
          <w:szCs w:val="22"/>
          <w:lang w:val="en-GB"/>
        </w:rPr>
        <w:t xml:space="preserve"> This assumption also serves as basis of my disclosure study.</w:t>
      </w:r>
    </w:p>
    <w:p w:rsidR="007C7F32" w:rsidRPr="00B97064" w:rsidRDefault="007C7F32" w:rsidP="00583A10">
      <w:pPr>
        <w:rPr>
          <w:rFonts w:cs="Arial"/>
          <w:szCs w:val="22"/>
          <w:lang w:val="en-GB"/>
        </w:rPr>
      </w:pPr>
    </w:p>
    <w:p w:rsidR="007C7F32" w:rsidRPr="00B97064" w:rsidRDefault="007C7F32" w:rsidP="00583A10">
      <w:pPr>
        <w:rPr>
          <w:rFonts w:cs="Arial"/>
          <w:szCs w:val="22"/>
          <w:lang w:val="en-GB"/>
        </w:rPr>
      </w:pPr>
      <w:r w:rsidRPr="00B97064">
        <w:rPr>
          <w:rFonts w:cs="Arial"/>
          <w:szCs w:val="22"/>
          <w:lang w:val="en-GB"/>
        </w:rPr>
        <w:t>First of all, firms which stated that they did not enter into RPTs are eliminated from the sample, since the quality of their disclosure could not be tested. For the remaining firms, a grade from 1 to 11 is determined, depending on whether or not the disclosure on RPTs contained the following information elements:</w:t>
      </w:r>
    </w:p>
    <w:p w:rsidR="007C7F32" w:rsidRPr="00B97064" w:rsidRDefault="007C7F32" w:rsidP="00C140CF">
      <w:pPr>
        <w:numPr>
          <w:ilvl w:val="0"/>
          <w:numId w:val="5"/>
        </w:numPr>
        <w:rPr>
          <w:rFonts w:cs="Arial"/>
          <w:szCs w:val="22"/>
          <w:lang w:val="en-GB"/>
        </w:rPr>
      </w:pPr>
      <w:r w:rsidRPr="00B97064">
        <w:rPr>
          <w:rFonts w:cs="Arial"/>
          <w:szCs w:val="22"/>
          <w:lang w:val="en-GB"/>
        </w:rPr>
        <w:t>Entered into RPTs</w:t>
      </w:r>
    </w:p>
    <w:p w:rsidR="007C7F32" w:rsidRPr="00B97064" w:rsidRDefault="007C7F32" w:rsidP="00C140CF">
      <w:pPr>
        <w:numPr>
          <w:ilvl w:val="0"/>
          <w:numId w:val="5"/>
        </w:numPr>
        <w:rPr>
          <w:rFonts w:cs="Arial"/>
          <w:szCs w:val="22"/>
          <w:lang w:val="en-GB"/>
        </w:rPr>
      </w:pPr>
      <w:r w:rsidRPr="00B97064">
        <w:rPr>
          <w:rFonts w:cs="Arial"/>
          <w:szCs w:val="22"/>
          <w:lang w:val="en-GB"/>
        </w:rPr>
        <w:t>Amount of the transactions;</w:t>
      </w:r>
    </w:p>
    <w:p w:rsidR="007C7F32" w:rsidRPr="00B97064" w:rsidRDefault="007C7F32" w:rsidP="00C140CF">
      <w:pPr>
        <w:numPr>
          <w:ilvl w:val="0"/>
          <w:numId w:val="5"/>
        </w:numPr>
        <w:rPr>
          <w:rFonts w:cs="Arial"/>
          <w:szCs w:val="22"/>
          <w:lang w:val="en-GB"/>
        </w:rPr>
      </w:pPr>
      <w:r w:rsidRPr="00B97064">
        <w:rPr>
          <w:rFonts w:cs="Arial"/>
          <w:szCs w:val="22"/>
          <w:lang w:val="en-GB"/>
        </w:rPr>
        <w:t>Amount of outstanding balances;</w:t>
      </w:r>
    </w:p>
    <w:p w:rsidR="007C7F32" w:rsidRPr="00B97064" w:rsidRDefault="007C7F32" w:rsidP="00C140CF">
      <w:pPr>
        <w:numPr>
          <w:ilvl w:val="0"/>
          <w:numId w:val="5"/>
        </w:numPr>
        <w:rPr>
          <w:rFonts w:cs="Arial"/>
          <w:szCs w:val="22"/>
          <w:lang w:val="en-GB"/>
        </w:rPr>
      </w:pPr>
      <w:r w:rsidRPr="00B97064">
        <w:rPr>
          <w:rFonts w:cs="Arial"/>
          <w:szCs w:val="22"/>
          <w:lang w:val="en-GB"/>
        </w:rPr>
        <w:t>Commitments;</w:t>
      </w:r>
    </w:p>
    <w:p w:rsidR="007C7F32" w:rsidRPr="00B97064" w:rsidRDefault="007C7F32" w:rsidP="00C140CF">
      <w:pPr>
        <w:numPr>
          <w:ilvl w:val="0"/>
          <w:numId w:val="5"/>
        </w:numPr>
        <w:rPr>
          <w:rFonts w:cs="Arial"/>
          <w:szCs w:val="22"/>
          <w:lang w:val="en-GB"/>
        </w:rPr>
      </w:pPr>
      <w:r w:rsidRPr="00B97064">
        <w:rPr>
          <w:rFonts w:cs="Arial"/>
          <w:szCs w:val="22"/>
          <w:lang w:val="en-GB"/>
        </w:rPr>
        <w:t>Provisions of doubtful debts;</w:t>
      </w:r>
    </w:p>
    <w:p w:rsidR="007C7F32" w:rsidRPr="00B97064" w:rsidRDefault="007C7F32" w:rsidP="00C140CF">
      <w:pPr>
        <w:numPr>
          <w:ilvl w:val="0"/>
          <w:numId w:val="5"/>
        </w:numPr>
        <w:rPr>
          <w:rFonts w:cs="Arial"/>
          <w:szCs w:val="22"/>
          <w:lang w:val="en-GB"/>
        </w:rPr>
      </w:pPr>
      <w:r w:rsidRPr="00B97064">
        <w:rPr>
          <w:rFonts w:cs="Arial"/>
          <w:szCs w:val="22"/>
          <w:lang w:val="en-GB"/>
        </w:rPr>
        <w:t>Expenses in respect of doubtful debts;</w:t>
      </w:r>
    </w:p>
    <w:p w:rsidR="007C7F32" w:rsidRPr="00B97064" w:rsidRDefault="007C7F32" w:rsidP="00C140CF">
      <w:pPr>
        <w:numPr>
          <w:ilvl w:val="0"/>
          <w:numId w:val="5"/>
        </w:numPr>
        <w:rPr>
          <w:rFonts w:cs="Arial"/>
          <w:szCs w:val="22"/>
          <w:lang w:val="en-GB"/>
        </w:rPr>
      </w:pPr>
      <w:r w:rsidRPr="00B97064">
        <w:rPr>
          <w:rFonts w:cs="Arial"/>
          <w:szCs w:val="22"/>
          <w:lang w:val="en-GB"/>
        </w:rPr>
        <w:t>Separation of point 1 to 5 of</w:t>
      </w:r>
      <w:r w:rsidR="00CA3A7B" w:rsidRPr="00B97064">
        <w:rPr>
          <w:rFonts w:cs="Arial"/>
          <w:szCs w:val="22"/>
          <w:lang w:val="en-GB"/>
        </w:rPr>
        <w:t xml:space="preserve"> the following related parties:</w:t>
      </w:r>
    </w:p>
    <w:p w:rsidR="007C7F32" w:rsidRPr="00B97064" w:rsidRDefault="007C7F32" w:rsidP="00C140CF">
      <w:pPr>
        <w:numPr>
          <w:ilvl w:val="1"/>
          <w:numId w:val="4"/>
        </w:numPr>
        <w:rPr>
          <w:rFonts w:cs="Arial"/>
          <w:i/>
          <w:szCs w:val="22"/>
          <w:lang w:val="en-GB"/>
        </w:rPr>
      </w:pPr>
      <w:r w:rsidRPr="00B97064">
        <w:rPr>
          <w:rFonts w:cs="Arial"/>
          <w:i/>
          <w:szCs w:val="22"/>
          <w:lang w:val="en-GB"/>
        </w:rPr>
        <w:t>“parent;</w:t>
      </w:r>
    </w:p>
    <w:p w:rsidR="007C7F32" w:rsidRPr="00B97064" w:rsidRDefault="007C7F32" w:rsidP="00C140CF">
      <w:pPr>
        <w:numPr>
          <w:ilvl w:val="1"/>
          <w:numId w:val="4"/>
        </w:numPr>
        <w:rPr>
          <w:rFonts w:cs="Arial"/>
          <w:i/>
          <w:szCs w:val="22"/>
          <w:lang w:val="en-GB"/>
        </w:rPr>
      </w:pPr>
      <w:r w:rsidRPr="00B97064">
        <w:rPr>
          <w:rFonts w:cs="Arial"/>
          <w:i/>
          <w:szCs w:val="22"/>
          <w:lang w:val="en-GB"/>
        </w:rPr>
        <w:t>entities with joint control or significant influence over the reporting entity;</w:t>
      </w:r>
    </w:p>
    <w:p w:rsidR="007C7F32" w:rsidRPr="00B97064" w:rsidRDefault="00CA3A7B" w:rsidP="00C140CF">
      <w:pPr>
        <w:numPr>
          <w:ilvl w:val="1"/>
          <w:numId w:val="4"/>
        </w:numPr>
        <w:rPr>
          <w:rFonts w:cs="Arial"/>
          <w:i/>
          <w:szCs w:val="22"/>
          <w:lang w:val="en-GB"/>
        </w:rPr>
      </w:pPr>
      <w:r w:rsidRPr="00B97064">
        <w:rPr>
          <w:rFonts w:cs="Arial"/>
          <w:i/>
          <w:szCs w:val="22"/>
          <w:lang w:val="en-GB"/>
        </w:rPr>
        <w:t>subsidiaries;</w:t>
      </w:r>
    </w:p>
    <w:p w:rsidR="007C7F32" w:rsidRPr="00B97064" w:rsidRDefault="007C7F32" w:rsidP="00C140CF">
      <w:pPr>
        <w:numPr>
          <w:ilvl w:val="1"/>
          <w:numId w:val="4"/>
        </w:numPr>
        <w:rPr>
          <w:rFonts w:cs="Arial"/>
          <w:i/>
          <w:szCs w:val="22"/>
          <w:lang w:val="en-GB"/>
        </w:rPr>
      </w:pPr>
      <w:r w:rsidRPr="00B97064">
        <w:rPr>
          <w:rFonts w:cs="Arial"/>
          <w:i/>
          <w:szCs w:val="22"/>
          <w:lang w:val="en-GB"/>
        </w:rPr>
        <w:t>associates;</w:t>
      </w:r>
    </w:p>
    <w:p w:rsidR="007C7F32" w:rsidRPr="00B97064" w:rsidRDefault="007C7F32" w:rsidP="00C140CF">
      <w:pPr>
        <w:numPr>
          <w:ilvl w:val="1"/>
          <w:numId w:val="4"/>
        </w:numPr>
        <w:rPr>
          <w:rFonts w:cs="Arial"/>
          <w:i/>
          <w:szCs w:val="22"/>
          <w:lang w:val="en-GB"/>
        </w:rPr>
      </w:pPr>
      <w:r w:rsidRPr="00B97064">
        <w:rPr>
          <w:rFonts w:cs="Arial"/>
          <w:i/>
          <w:szCs w:val="22"/>
          <w:lang w:val="en-GB"/>
        </w:rPr>
        <w:lastRenderedPageBreak/>
        <w:t>joint ventures (in which the reporting entity is a venturer);</w:t>
      </w:r>
    </w:p>
    <w:p w:rsidR="007C7F32" w:rsidRPr="00B97064" w:rsidRDefault="007C7F32" w:rsidP="00C140CF">
      <w:pPr>
        <w:numPr>
          <w:ilvl w:val="1"/>
          <w:numId w:val="4"/>
        </w:numPr>
        <w:rPr>
          <w:rFonts w:cs="Arial"/>
          <w:i/>
          <w:szCs w:val="22"/>
          <w:lang w:val="en-GB"/>
        </w:rPr>
      </w:pPr>
      <w:r w:rsidRPr="00B97064">
        <w:rPr>
          <w:rFonts w:cs="Arial"/>
          <w:i/>
          <w:szCs w:val="22"/>
          <w:lang w:val="en-GB"/>
        </w:rPr>
        <w:t>key management of the reporting entity or his parent; or</w:t>
      </w:r>
    </w:p>
    <w:p w:rsidR="007C7F32" w:rsidRPr="00B97064" w:rsidRDefault="007C7F32" w:rsidP="00C140CF">
      <w:pPr>
        <w:numPr>
          <w:ilvl w:val="1"/>
          <w:numId w:val="4"/>
        </w:numPr>
        <w:rPr>
          <w:rFonts w:cs="Arial"/>
          <w:szCs w:val="22"/>
          <w:lang w:val="en-GB"/>
        </w:rPr>
      </w:pPr>
      <w:r w:rsidRPr="00B97064">
        <w:rPr>
          <w:rFonts w:cs="Arial"/>
          <w:i/>
          <w:szCs w:val="22"/>
          <w:lang w:val="en-GB"/>
        </w:rPr>
        <w:t>other related parties”</w:t>
      </w:r>
      <w:r w:rsidRPr="00B97064">
        <w:rPr>
          <w:rFonts w:cs="Arial"/>
          <w:szCs w:val="22"/>
          <w:lang w:val="en-GB"/>
        </w:rPr>
        <w:t xml:space="preserve"> (IAS 24.19) in so far as RPTs with those parties appear.</w:t>
      </w:r>
    </w:p>
    <w:p w:rsidR="007C7F32" w:rsidRPr="00B97064" w:rsidRDefault="007C7F32" w:rsidP="00C140CF">
      <w:pPr>
        <w:numPr>
          <w:ilvl w:val="0"/>
          <w:numId w:val="5"/>
        </w:numPr>
        <w:rPr>
          <w:rFonts w:cs="Arial"/>
          <w:i/>
          <w:szCs w:val="22"/>
          <w:lang w:val="en-GB"/>
        </w:rPr>
      </w:pPr>
      <w:r w:rsidRPr="00B97064">
        <w:rPr>
          <w:rFonts w:cs="Arial"/>
          <w:szCs w:val="22"/>
          <w:lang w:val="en-GB"/>
        </w:rPr>
        <w:t>Separation of the fol</w:t>
      </w:r>
      <w:r w:rsidR="00CA3A7B" w:rsidRPr="00B97064">
        <w:rPr>
          <w:rFonts w:cs="Arial"/>
          <w:szCs w:val="22"/>
          <w:lang w:val="en-GB"/>
        </w:rPr>
        <w:t>lowing type(s) of transactions:</w:t>
      </w:r>
    </w:p>
    <w:p w:rsidR="007C7F32" w:rsidRPr="00B97064" w:rsidRDefault="007C7F32" w:rsidP="00C140CF">
      <w:pPr>
        <w:numPr>
          <w:ilvl w:val="1"/>
          <w:numId w:val="4"/>
        </w:numPr>
        <w:rPr>
          <w:rFonts w:cs="Arial"/>
          <w:i/>
          <w:szCs w:val="22"/>
          <w:lang w:val="en-GB"/>
        </w:rPr>
      </w:pPr>
      <w:r w:rsidRPr="00B97064">
        <w:rPr>
          <w:rFonts w:cs="Arial"/>
          <w:i/>
          <w:szCs w:val="22"/>
          <w:lang w:val="en-GB"/>
        </w:rPr>
        <w:t>“purchases or sales of goods;</w:t>
      </w:r>
    </w:p>
    <w:p w:rsidR="007C7F32" w:rsidRPr="00B97064" w:rsidRDefault="007C7F32" w:rsidP="00C140CF">
      <w:pPr>
        <w:numPr>
          <w:ilvl w:val="1"/>
          <w:numId w:val="4"/>
        </w:numPr>
        <w:rPr>
          <w:rFonts w:cs="Arial"/>
          <w:i/>
          <w:szCs w:val="22"/>
          <w:lang w:val="en-GB"/>
        </w:rPr>
      </w:pPr>
      <w:r w:rsidRPr="00B97064">
        <w:rPr>
          <w:rFonts w:cs="Arial"/>
          <w:i/>
          <w:szCs w:val="22"/>
          <w:lang w:val="en-GB"/>
        </w:rPr>
        <w:t>purchases or sales of property and other assets;</w:t>
      </w:r>
    </w:p>
    <w:p w:rsidR="007C7F32" w:rsidRPr="00B97064" w:rsidRDefault="007C7F32" w:rsidP="00C140CF">
      <w:pPr>
        <w:numPr>
          <w:ilvl w:val="1"/>
          <w:numId w:val="4"/>
        </w:numPr>
        <w:rPr>
          <w:rFonts w:cs="Arial"/>
          <w:i/>
          <w:szCs w:val="22"/>
          <w:lang w:val="en-GB"/>
        </w:rPr>
      </w:pPr>
      <w:r w:rsidRPr="00B97064">
        <w:rPr>
          <w:rFonts w:cs="Arial"/>
          <w:i/>
          <w:szCs w:val="22"/>
          <w:lang w:val="en-GB"/>
        </w:rPr>
        <w:t>rend</w:t>
      </w:r>
      <w:r w:rsidR="00CA3A7B" w:rsidRPr="00B97064">
        <w:rPr>
          <w:rFonts w:cs="Arial"/>
          <w:i/>
          <w:szCs w:val="22"/>
          <w:lang w:val="en-GB"/>
        </w:rPr>
        <w:t>ering or receiving of services;</w:t>
      </w:r>
    </w:p>
    <w:p w:rsidR="007C7F32" w:rsidRPr="00B97064" w:rsidRDefault="007C7F32" w:rsidP="00C140CF">
      <w:pPr>
        <w:numPr>
          <w:ilvl w:val="1"/>
          <w:numId w:val="4"/>
        </w:numPr>
        <w:rPr>
          <w:rFonts w:cs="Arial"/>
          <w:i/>
          <w:szCs w:val="22"/>
          <w:lang w:val="en-GB"/>
        </w:rPr>
      </w:pPr>
      <w:r w:rsidRPr="00B97064">
        <w:rPr>
          <w:rFonts w:cs="Arial"/>
          <w:i/>
          <w:szCs w:val="22"/>
          <w:lang w:val="en-GB"/>
        </w:rPr>
        <w:t>leases;</w:t>
      </w:r>
    </w:p>
    <w:p w:rsidR="007C7F32" w:rsidRPr="00B97064" w:rsidRDefault="007C7F32" w:rsidP="00C140CF">
      <w:pPr>
        <w:numPr>
          <w:ilvl w:val="1"/>
          <w:numId w:val="4"/>
        </w:numPr>
        <w:rPr>
          <w:rFonts w:cs="Arial"/>
          <w:i/>
          <w:szCs w:val="22"/>
          <w:lang w:val="en-GB"/>
        </w:rPr>
      </w:pPr>
      <w:r w:rsidRPr="00B97064">
        <w:rPr>
          <w:rFonts w:cs="Arial"/>
          <w:i/>
          <w:szCs w:val="22"/>
          <w:lang w:val="en-GB"/>
        </w:rPr>
        <w:t>transfers of research and development;</w:t>
      </w:r>
    </w:p>
    <w:p w:rsidR="007C7F32" w:rsidRPr="00B97064" w:rsidRDefault="007C7F32" w:rsidP="00C140CF">
      <w:pPr>
        <w:numPr>
          <w:ilvl w:val="1"/>
          <w:numId w:val="4"/>
        </w:numPr>
        <w:rPr>
          <w:rFonts w:cs="Arial"/>
          <w:i/>
          <w:szCs w:val="22"/>
          <w:lang w:val="en-GB"/>
        </w:rPr>
      </w:pPr>
      <w:r w:rsidRPr="00B97064">
        <w:rPr>
          <w:rFonts w:cs="Arial"/>
          <w:i/>
          <w:szCs w:val="22"/>
          <w:lang w:val="en-GB"/>
        </w:rPr>
        <w:t>transfers under licence agreements;</w:t>
      </w:r>
    </w:p>
    <w:p w:rsidR="007C7F32" w:rsidRPr="00B97064" w:rsidRDefault="007C7F32" w:rsidP="00C140CF">
      <w:pPr>
        <w:numPr>
          <w:ilvl w:val="1"/>
          <w:numId w:val="4"/>
        </w:numPr>
        <w:rPr>
          <w:rFonts w:cs="Arial"/>
          <w:i/>
          <w:szCs w:val="22"/>
          <w:lang w:val="en-GB"/>
        </w:rPr>
      </w:pPr>
      <w:r w:rsidRPr="00B97064">
        <w:rPr>
          <w:rFonts w:cs="Arial"/>
          <w:i/>
          <w:szCs w:val="22"/>
          <w:lang w:val="en-GB"/>
        </w:rPr>
        <w:t>transfers under finance arrangements (including loans and equity contributions in cash or in kind);</w:t>
      </w:r>
    </w:p>
    <w:p w:rsidR="007C7F32" w:rsidRPr="00B97064" w:rsidRDefault="007C7F32" w:rsidP="00C140CF">
      <w:pPr>
        <w:numPr>
          <w:ilvl w:val="1"/>
          <w:numId w:val="4"/>
        </w:numPr>
        <w:rPr>
          <w:rFonts w:cs="Arial"/>
          <w:i/>
          <w:szCs w:val="22"/>
          <w:lang w:val="en-GB"/>
        </w:rPr>
      </w:pPr>
      <w:r w:rsidRPr="00B97064">
        <w:rPr>
          <w:rFonts w:cs="Arial"/>
          <w:i/>
          <w:szCs w:val="22"/>
          <w:lang w:val="en-GB"/>
        </w:rPr>
        <w:t>provision of guarantees or collateral;</w:t>
      </w:r>
    </w:p>
    <w:p w:rsidR="007C7F32" w:rsidRPr="00B97064" w:rsidRDefault="007C7F32" w:rsidP="00C140CF">
      <w:pPr>
        <w:numPr>
          <w:ilvl w:val="1"/>
          <w:numId w:val="4"/>
        </w:numPr>
        <w:rPr>
          <w:rFonts w:cs="Arial"/>
          <w:i/>
          <w:szCs w:val="22"/>
          <w:lang w:val="en-GB"/>
        </w:rPr>
      </w:pPr>
      <w:r w:rsidRPr="00B97064">
        <w:rPr>
          <w:rFonts w:cs="Arial"/>
          <w:i/>
          <w:szCs w:val="22"/>
          <w:lang w:val="en-GB"/>
        </w:rPr>
        <w:t>commitments to do something if a particular event occurs or does not occur in the future, including executory contracts (recognised and unrecognised); and</w:t>
      </w:r>
    </w:p>
    <w:p w:rsidR="007C7F32" w:rsidRPr="00B97064" w:rsidRDefault="007C7F32" w:rsidP="00C140CF">
      <w:pPr>
        <w:numPr>
          <w:ilvl w:val="1"/>
          <w:numId w:val="4"/>
        </w:numPr>
        <w:rPr>
          <w:rFonts w:cs="Arial"/>
          <w:i/>
          <w:szCs w:val="22"/>
          <w:lang w:val="en-GB"/>
        </w:rPr>
      </w:pPr>
      <w:r w:rsidRPr="00B97064">
        <w:rPr>
          <w:rFonts w:cs="Arial"/>
          <w:i/>
          <w:szCs w:val="22"/>
          <w:lang w:val="en-GB"/>
        </w:rPr>
        <w:t>settlement of liabilities on behalf of the entity or by the entity on behalf of that</w:t>
      </w:r>
    </w:p>
    <w:p w:rsidR="007C7F32" w:rsidRPr="00B97064" w:rsidRDefault="007C7F32" w:rsidP="004D5D67">
      <w:pPr>
        <w:ind w:left="1080" w:firstLine="336"/>
        <w:rPr>
          <w:rFonts w:cs="Arial"/>
          <w:i/>
          <w:szCs w:val="22"/>
          <w:lang w:val="en-GB"/>
        </w:rPr>
      </w:pPr>
      <w:r w:rsidRPr="00B97064">
        <w:rPr>
          <w:rFonts w:cs="Arial"/>
          <w:i/>
          <w:szCs w:val="22"/>
          <w:lang w:val="en-GB"/>
        </w:rPr>
        <w:t xml:space="preserve">related party” </w:t>
      </w:r>
      <w:r w:rsidRPr="00B97064">
        <w:rPr>
          <w:rFonts w:cs="Arial"/>
          <w:szCs w:val="22"/>
          <w:lang w:val="en-GB"/>
        </w:rPr>
        <w:t>(IAS 24.21) in so far as those types transactions appear;</w:t>
      </w:r>
    </w:p>
    <w:p w:rsidR="007C7F32" w:rsidRPr="00B97064" w:rsidRDefault="007C7F32" w:rsidP="00C140CF">
      <w:pPr>
        <w:numPr>
          <w:ilvl w:val="0"/>
          <w:numId w:val="5"/>
        </w:numPr>
        <w:rPr>
          <w:rFonts w:cs="Arial"/>
          <w:szCs w:val="22"/>
          <w:lang w:val="en-GB"/>
        </w:rPr>
      </w:pPr>
      <w:r w:rsidRPr="00B97064">
        <w:rPr>
          <w:rFonts w:cs="Arial"/>
          <w:szCs w:val="22"/>
          <w:lang w:val="en-GB"/>
        </w:rPr>
        <w:t>Whether or not the prices of the transactions were arm’s length prices;</w:t>
      </w:r>
    </w:p>
    <w:p w:rsidR="007C7F32" w:rsidRPr="00B97064" w:rsidRDefault="007C7F32" w:rsidP="00C140CF">
      <w:pPr>
        <w:numPr>
          <w:ilvl w:val="0"/>
          <w:numId w:val="5"/>
        </w:numPr>
        <w:rPr>
          <w:rFonts w:cs="Arial"/>
          <w:szCs w:val="22"/>
          <w:lang w:val="en-GB"/>
        </w:rPr>
      </w:pPr>
      <w:r w:rsidRPr="00B97064">
        <w:rPr>
          <w:rFonts w:cs="Arial"/>
          <w:szCs w:val="22"/>
          <w:lang w:val="en-GB"/>
        </w:rPr>
        <w:t>Security of outstanding balances;</w:t>
      </w:r>
    </w:p>
    <w:p w:rsidR="007C7F32" w:rsidRPr="00B97064" w:rsidRDefault="007C7F32" w:rsidP="00C140CF">
      <w:pPr>
        <w:numPr>
          <w:ilvl w:val="0"/>
          <w:numId w:val="5"/>
        </w:numPr>
        <w:rPr>
          <w:rFonts w:cs="Arial"/>
          <w:szCs w:val="22"/>
          <w:lang w:val="en-GB"/>
        </w:rPr>
      </w:pPr>
      <w:r w:rsidRPr="00B97064">
        <w:rPr>
          <w:rFonts w:cs="Arial"/>
          <w:szCs w:val="22"/>
          <w:lang w:val="en-GB"/>
        </w:rPr>
        <w:t>Information on tax risks concerning RPTs.</w:t>
      </w:r>
      <w:r w:rsidRPr="00B97064">
        <w:rPr>
          <w:rStyle w:val="FootnoteReference"/>
          <w:rFonts w:cs="Arial"/>
          <w:szCs w:val="22"/>
          <w:lang w:val="en-GB"/>
        </w:rPr>
        <w:footnoteReference w:id="15"/>
      </w:r>
    </w:p>
    <w:p w:rsidR="007C7F32" w:rsidRPr="00B97064" w:rsidRDefault="007C7F32" w:rsidP="001E05DC">
      <w:pPr>
        <w:rPr>
          <w:rFonts w:cs="Arial"/>
          <w:szCs w:val="22"/>
          <w:lang w:val="en-GB"/>
        </w:rPr>
      </w:pPr>
    </w:p>
    <w:p w:rsidR="007C7F32" w:rsidRPr="00B97064" w:rsidRDefault="007C7F32" w:rsidP="001E05DC">
      <w:pPr>
        <w:rPr>
          <w:rFonts w:cs="Arial"/>
          <w:szCs w:val="22"/>
          <w:lang w:val="en-GB"/>
        </w:rPr>
      </w:pPr>
      <w:r w:rsidRPr="00B97064">
        <w:rPr>
          <w:rFonts w:cs="Arial"/>
          <w:szCs w:val="22"/>
          <w:lang w:val="en-GB"/>
        </w:rPr>
        <w:t>Items 1 to 6 are mandatory disclosures under IAS 24. So, this part of the disclosure study can also be seen as a compliance study. Items 7 to 10 are voluntary disclosures. (IAS 24.21 only describes some examples of RPTs, which should be disclosed. However, reporting firms are not obliged to separate RPTs by type of transaction, as mentioned under item 7). The annual reports are screened by making use of search terms. Those terms can be found in the appendix of this thesis</w:t>
      </w:r>
      <w:r w:rsidR="0059557F" w:rsidRPr="00B97064">
        <w:rPr>
          <w:rFonts w:cs="Arial"/>
          <w:szCs w:val="22"/>
          <w:lang w:val="en-GB"/>
        </w:rPr>
        <w:t xml:space="preserve"> (section </w:t>
      </w:r>
      <w:fldSimple w:instr=" REF _Ref341824721 \h  \* MERGEFORMAT ">
        <w:r w:rsidR="004C718C" w:rsidRPr="00B97064">
          <w:rPr>
            <w:lang w:val="en-GB"/>
          </w:rPr>
          <w:t>10.1 Search terms</w:t>
        </w:r>
      </w:fldSimple>
      <w:r w:rsidR="0059557F" w:rsidRPr="00B97064">
        <w:rPr>
          <w:rFonts w:cs="Arial"/>
          <w:szCs w:val="22"/>
          <w:lang w:val="en-GB"/>
        </w:rPr>
        <w:t>)</w:t>
      </w:r>
      <w:r w:rsidRPr="00B97064">
        <w:rPr>
          <w:rFonts w:cs="Arial"/>
          <w:szCs w:val="22"/>
          <w:lang w:val="en-GB"/>
        </w:rPr>
        <w:t xml:space="preserve">. For all above mentioned information items which can be found in the disclosure regarding RPTs in the annual report, the firm gets one point. By summing the awarded points, a disclosure quality </w:t>
      </w:r>
      <w:r w:rsidR="008C2534" w:rsidRPr="00B97064">
        <w:rPr>
          <w:rFonts w:cs="Arial"/>
          <w:szCs w:val="22"/>
          <w:lang w:val="en-GB"/>
        </w:rPr>
        <w:t>score</w:t>
      </w:r>
      <w:r w:rsidRPr="00B97064">
        <w:rPr>
          <w:rFonts w:cs="Arial"/>
          <w:szCs w:val="22"/>
          <w:lang w:val="en-GB"/>
        </w:rPr>
        <w:t xml:space="preserve"> is determined. A higher score indicates higher disclosure quality. This score is thereafter divided by the total obtainable points</w:t>
      </w:r>
      <w:r w:rsidR="0059557F" w:rsidRPr="00B97064">
        <w:rPr>
          <w:rFonts w:cs="Arial"/>
          <w:szCs w:val="22"/>
          <w:lang w:val="en-GB"/>
        </w:rPr>
        <w:t xml:space="preserve"> (in t</w:t>
      </w:r>
      <w:r w:rsidR="006F1296" w:rsidRPr="00B97064">
        <w:rPr>
          <w:rFonts w:cs="Arial"/>
          <w:szCs w:val="22"/>
          <w:lang w:val="en-GB"/>
        </w:rPr>
        <w:t xml:space="preserve">his study </w:t>
      </w:r>
      <w:r w:rsidR="0059557F" w:rsidRPr="00B97064">
        <w:rPr>
          <w:rFonts w:cs="Arial"/>
          <w:szCs w:val="22"/>
          <w:lang w:val="en-GB"/>
        </w:rPr>
        <w:t>11 points)</w:t>
      </w:r>
      <w:r w:rsidRPr="00B97064">
        <w:rPr>
          <w:rFonts w:cs="Arial"/>
          <w:szCs w:val="22"/>
          <w:lang w:val="en-GB"/>
        </w:rPr>
        <w:t xml:space="preserve"> to determine the disclosure level of a firm.</w:t>
      </w:r>
    </w:p>
    <w:p w:rsidR="007C7F32" w:rsidRPr="00B97064" w:rsidRDefault="007C7F32" w:rsidP="001E05DC">
      <w:pPr>
        <w:rPr>
          <w:rFonts w:cs="Arial"/>
          <w:szCs w:val="22"/>
          <w:lang w:val="en-GB"/>
        </w:rPr>
      </w:pPr>
    </w:p>
    <w:p w:rsidR="007C7F32" w:rsidRPr="00B97064" w:rsidRDefault="007C7F32" w:rsidP="006D6F64">
      <w:pPr>
        <w:rPr>
          <w:rFonts w:cs="Arial"/>
          <w:szCs w:val="22"/>
          <w:lang w:val="en-GB"/>
        </w:rPr>
      </w:pPr>
      <w:r w:rsidRPr="00B97064">
        <w:rPr>
          <w:rFonts w:cs="Arial"/>
          <w:szCs w:val="22"/>
          <w:lang w:val="en-GB"/>
        </w:rPr>
        <w:t>As control variable, I used Tobin’s Q of the previous year (TQ</w:t>
      </w:r>
      <w:r w:rsidRPr="00B97064">
        <w:rPr>
          <w:rFonts w:cs="Arial"/>
          <w:szCs w:val="22"/>
          <w:vertAlign w:val="subscript"/>
          <w:lang w:val="en-GB"/>
        </w:rPr>
        <w:t>t-1</w:t>
      </w:r>
      <w:r w:rsidR="006F1296" w:rsidRPr="00B97064">
        <w:rPr>
          <w:rFonts w:cs="Arial"/>
          <w:szCs w:val="22"/>
          <w:lang w:val="en-GB"/>
        </w:rPr>
        <w:t>), since I expect</w:t>
      </w:r>
      <w:r w:rsidRPr="00B97064">
        <w:rPr>
          <w:rFonts w:cs="Arial"/>
          <w:szCs w:val="22"/>
          <w:lang w:val="en-GB"/>
        </w:rPr>
        <w:t xml:space="preserve"> firm value of </w:t>
      </w:r>
      <w:r w:rsidRPr="00B97064">
        <w:rPr>
          <w:rFonts w:cs="Arial"/>
          <w:szCs w:val="22"/>
          <w:lang w:val="en-GB"/>
        </w:rPr>
        <w:lastRenderedPageBreak/>
        <w:t>the previous year affects the firm value of the current year. I use a multiple regression to find out the relation between the explanatory variables (amount of RPTs and disclosure level) and the</w:t>
      </w:r>
      <w:r w:rsidR="00CA3A7B" w:rsidRPr="00B97064">
        <w:rPr>
          <w:rFonts w:cs="Arial"/>
          <w:szCs w:val="22"/>
          <w:lang w:val="en-GB"/>
        </w:rPr>
        <w:t xml:space="preserve"> response variable (Tobin’s Q).</w:t>
      </w:r>
    </w:p>
    <w:p w:rsidR="007C7F32" w:rsidRPr="00B97064" w:rsidRDefault="007C7F32" w:rsidP="006D6F64">
      <w:pPr>
        <w:rPr>
          <w:rFonts w:cs="Arial"/>
          <w:szCs w:val="22"/>
          <w:lang w:val="en-GB"/>
        </w:rPr>
      </w:pPr>
    </w:p>
    <w:p w:rsidR="007C7F32" w:rsidRPr="00B97064" w:rsidRDefault="007C7F32" w:rsidP="006D6F64">
      <w:pPr>
        <w:rPr>
          <w:rFonts w:cs="Arial"/>
          <w:szCs w:val="22"/>
          <w:lang w:val="en-GB"/>
        </w:rPr>
      </w:pPr>
      <w:r w:rsidRPr="00B97064">
        <w:rPr>
          <w:rFonts w:cs="Arial"/>
          <w:szCs w:val="22"/>
          <w:lang w:val="en-GB"/>
        </w:rPr>
        <w:t>This results in the following equation:</w:t>
      </w:r>
    </w:p>
    <w:p w:rsidR="007C7F32" w:rsidRPr="00B97064" w:rsidRDefault="007C7F32" w:rsidP="006D6F64">
      <w:pPr>
        <w:rPr>
          <w:lang w:val="en-GB"/>
        </w:rPr>
      </w:pPr>
    </w:p>
    <w:p w:rsidR="007C7F32" w:rsidRPr="00B97064" w:rsidRDefault="007C58A9" w:rsidP="00F6793A">
      <w:pPr>
        <w:rPr>
          <w:lang w:val="en-GB"/>
        </w:rPr>
      </w:pPr>
      <m:oMathPara>
        <m:oMathParaPr>
          <m:jc m:val="left"/>
        </m:oMathParaPr>
        <m:oMath>
          <m:r>
            <w:rPr>
              <w:rFonts w:ascii="Cambria Math" w:hAnsi="Cambria Math"/>
              <w:lang w:val="en-GB"/>
            </w:rPr>
            <m:t>TQ=</m:t>
          </m:r>
          <m:sSub>
            <m:sSubPr>
              <m:ctrlPr>
                <w:rPr>
                  <w:rFonts w:ascii="Cambria Math" w:hAnsi="Cambria Math"/>
                  <w:i/>
                  <w:lang w:val="en-GB"/>
                </w:rPr>
              </m:ctrlPr>
            </m:sSubPr>
            <m:e>
              <m:r>
                <w:rPr>
                  <w:rFonts w:ascii="Cambria Math" w:hAnsi="Cambria Math"/>
                  <w:lang w:val="en-GB"/>
                </w:rPr>
                <m:t>α</m:t>
              </m:r>
            </m:e>
            <m:sub>
              <m:r>
                <w:rPr>
                  <w:rFonts w:ascii="Cambria Math" w:hAnsi="Cambria Math"/>
                  <w:lang w:val="en-GB"/>
                </w:rPr>
                <m:t>0</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α</m:t>
              </m:r>
            </m:e>
            <m:sub>
              <m:r>
                <w:rPr>
                  <w:rFonts w:ascii="Cambria Math" w:hAnsi="Cambria Math"/>
                  <w:lang w:val="en-GB"/>
                </w:rPr>
                <m:t>1</m:t>
              </m:r>
            </m:sub>
          </m:sSub>
          <m:r>
            <w:rPr>
              <w:rFonts w:ascii="Cambria Math" w:hAnsi="Cambria Math"/>
              <w:lang w:val="en-GB"/>
            </w:rPr>
            <m:t>RPT+</m:t>
          </m:r>
          <m:sSub>
            <m:sSubPr>
              <m:ctrlPr>
                <w:rPr>
                  <w:rFonts w:ascii="Cambria Math" w:hAnsi="Cambria Math"/>
                  <w:i/>
                  <w:lang w:val="en-GB"/>
                </w:rPr>
              </m:ctrlPr>
            </m:sSubPr>
            <m:e>
              <m:r>
                <w:rPr>
                  <w:rFonts w:ascii="Cambria Math" w:hAnsi="Cambria Math"/>
                  <w:lang w:val="en-GB"/>
                </w:rPr>
                <m:t>α</m:t>
              </m:r>
            </m:e>
            <m:sub>
              <m:r>
                <w:rPr>
                  <w:rFonts w:ascii="Cambria Math" w:hAnsi="Cambria Math"/>
                  <w:lang w:val="en-GB"/>
                </w:rPr>
                <m:t>2</m:t>
              </m:r>
            </m:sub>
          </m:sSub>
          <m:r>
            <w:rPr>
              <w:rFonts w:ascii="Cambria Math" w:hAnsi="Cambria Math"/>
              <w:lang w:val="en-GB"/>
            </w:rPr>
            <m:t>DL+</m:t>
          </m:r>
          <m:sSub>
            <m:sSubPr>
              <m:ctrlPr>
                <w:rPr>
                  <w:rFonts w:ascii="Cambria Math" w:hAnsi="Cambria Math"/>
                  <w:i/>
                  <w:lang w:val="en-GB"/>
                </w:rPr>
              </m:ctrlPr>
            </m:sSubPr>
            <m:e>
              <m:r>
                <w:rPr>
                  <w:rFonts w:ascii="Cambria Math" w:hAnsi="Cambria Math"/>
                  <w:lang w:val="en-GB"/>
                </w:rPr>
                <m:t>α</m:t>
              </m:r>
            </m:e>
            <m:sub>
              <m:r>
                <w:rPr>
                  <w:rFonts w:ascii="Cambria Math" w:hAnsi="Cambria Math"/>
                  <w:lang w:val="en-GB"/>
                </w:rPr>
                <m:t>3</m:t>
              </m:r>
            </m:sub>
          </m:sSub>
          <m:sSub>
            <m:sSubPr>
              <m:ctrlPr>
                <w:rPr>
                  <w:rFonts w:ascii="Cambria Math" w:hAnsi="Cambria Math"/>
                  <w:i/>
                  <w:lang w:val="en-GB"/>
                </w:rPr>
              </m:ctrlPr>
            </m:sSubPr>
            <m:e>
              <m:r>
                <w:rPr>
                  <w:rFonts w:ascii="Cambria Math" w:hAnsi="Cambria Math"/>
                  <w:lang w:val="en-GB"/>
                </w:rPr>
                <m:t>CV</m:t>
              </m:r>
            </m:e>
            <m:sub>
              <m:r>
                <w:rPr>
                  <w:rFonts w:ascii="Cambria Math" w:hAnsi="Cambria Math"/>
                  <w:lang w:val="en-GB"/>
                </w:rPr>
                <m:t>1</m:t>
              </m:r>
            </m:sub>
          </m:sSub>
          <m:r>
            <w:rPr>
              <w:rFonts w:ascii="Cambria Math" w:hAnsi="Cambria Math"/>
              <w:lang w:val="en-GB"/>
            </w:rPr>
            <m:t>+ε</m:t>
          </m:r>
        </m:oMath>
      </m:oMathPara>
    </w:p>
    <w:p w:rsidR="007C7F32" w:rsidRPr="00B97064" w:rsidRDefault="007C7F32" w:rsidP="003F098E">
      <w:pPr>
        <w:rPr>
          <w:rFonts w:cs="Arial"/>
          <w:szCs w:val="22"/>
          <w:lang w:val="en-GB"/>
        </w:rPr>
      </w:pPr>
    </w:p>
    <w:p w:rsidR="0059557F" w:rsidRPr="00B97064" w:rsidRDefault="007C7F32" w:rsidP="0059557F">
      <w:pPr>
        <w:rPr>
          <w:rFonts w:cs="Arial"/>
          <w:szCs w:val="22"/>
          <w:lang w:val="en-GB"/>
        </w:rPr>
      </w:pPr>
      <w:r w:rsidRPr="00B97064">
        <w:rPr>
          <w:rFonts w:cs="Arial"/>
          <w:szCs w:val="22"/>
          <w:lang w:val="en-GB"/>
        </w:rPr>
        <w:t xml:space="preserve">Where </w:t>
      </w:r>
    </w:p>
    <w:p w:rsidR="0059557F" w:rsidRPr="00B97064" w:rsidRDefault="0059557F" w:rsidP="0059557F">
      <w:pPr>
        <w:rPr>
          <w:rFonts w:cs="Arial"/>
          <w:lang w:val="en-GB"/>
        </w:rPr>
      </w:pPr>
      <m:oMathPara>
        <m:oMathParaPr>
          <m:jc m:val="left"/>
        </m:oMathParaPr>
        <m:oMath>
          <m:r>
            <w:rPr>
              <w:rFonts w:ascii="Cambria Math" w:hAnsi="Cambria Math"/>
              <w:lang w:val="en-GB"/>
            </w:rPr>
            <m:t>TQ=the response variable Tobi</m:t>
          </m:r>
          <m:sSup>
            <m:sSupPr>
              <m:ctrlPr>
                <w:rPr>
                  <w:rFonts w:ascii="Cambria Math" w:hAnsi="Cambria Math"/>
                  <w:i/>
                  <w:lang w:val="en-GB"/>
                </w:rPr>
              </m:ctrlPr>
            </m:sSupPr>
            <m:e>
              <m:r>
                <w:rPr>
                  <w:rFonts w:ascii="Cambria Math" w:hAnsi="Cambria Math"/>
                  <w:lang w:val="en-GB"/>
                </w:rPr>
                <m:t>n</m:t>
              </m:r>
            </m:e>
            <m:sup>
              <m:r>
                <w:rPr>
                  <w:rFonts w:ascii="Cambria Math" w:hAnsi="Cambria Math"/>
                  <w:lang w:val="en-GB"/>
                </w:rPr>
                <m:t>'</m:t>
              </m:r>
            </m:sup>
          </m:sSup>
          <m:r>
            <w:rPr>
              <w:rFonts w:ascii="Cambria Math" w:hAnsi="Cambria Math"/>
              <w:lang w:val="en-GB"/>
            </w:rPr>
            <m:t>sQ</m:t>
          </m:r>
        </m:oMath>
      </m:oMathPara>
    </w:p>
    <w:p w:rsidR="0059557F" w:rsidRPr="00B97064" w:rsidRDefault="0059557F" w:rsidP="0059557F">
      <w:pPr>
        <w:rPr>
          <w:rFonts w:cs="Arial"/>
          <w:szCs w:val="22"/>
          <w:lang w:val="en-GB"/>
        </w:rPr>
      </w:pPr>
      <m:oMathPara>
        <m:oMathParaPr>
          <m:jc m:val="left"/>
        </m:oMathParaPr>
        <m:oMath>
          <m:r>
            <w:rPr>
              <w:rFonts w:ascii="Cambria Math" w:hAnsi="Cambria Math" w:cs="Arial"/>
              <w:szCs w:val="22"/>
              <w:lang w:val="en-GB"/>
            </w:rPr>
            <m:t>RPT=the amount of RPTs</m:t>
          </m:r>
        </m:oMath>
      </m:oMathPara>
    </w:p>
    <w:p w:rsidR="0059557F" w:rsidRPr="00B97064" w:rsidRDefault="0059557F" w:rsidP="0059557F">
      <w:pPr>
        <w:rPr>
          <w:rFonts w:cs="Arial"/>
          <w:szCs w:val="22"/>
          <w:lang w:val="en-GB"/>
        </w:rPr>
      </w:pPr>
      <m:oMathPara>
        <m:oMathParaPr>
          <m:jc m:val="left"/>
        </m:oMathParaPr>
        <m:oMath>
          <m:r>
            <w:rPr>
              <w:rFonts w:ascii="Cambria Math" w:hAnsi="Cambria Math" w:cs="Arial"/>
              <w:szCs w:val="22"/>
              <w:lang w:val="en-GB"/>
            </w:rPr>
            <m:t>DL=Disclosure Level, as determined by the conducted disclosure study</m:t>
          </m:r>
        </m:oMath>
      </m:oMathPara>
    </w:p>
    <w:p w:rsidR="0059557F" w:rsidRPr="00B97064" w:rsidRDefault="00E80C96" w:rsidP="0059557F">
      <w:pPr>
        <w:rPr>
          <w:rFonts w:cs="Arial"/>
          <w:szCs w:val="22"/>
          <w:lang w:val="en-GB"/>
        </w:rPr>
      </w:pPr>
      <m:oMathPara>
        <m:oMathParaPr>
          <m:jc m:val="left"/>
        </m:oMathParaPr>
        <m:oMath>
          <m:sSub>
            <m:sSubPr>
              <m:ctrlPr>
                <w:rPr>
                  <w:rFonts w:ascii="Cambria Math" w:hAnsi="Cambria Math" w:cs="Arial"/>
                  <w:i/>
                  <w:szCs w:val="22"/>
                  <w:lang w:val="en-GB"/>
                </w:rPr>
              </m:ctrlPr>
            </m:sSubPr>
            <m:e>
              <m:r>
                <w:rPr>
                  <w:rFonts w:ascii="Cambria Math" w:hAnsi="Cambria Math" w:cs="Arial"/>
                  <w:szCs w:val="22"/>
                  <w:lang w:val="en-GB"/>
                </w:rPr>
                <m:t>CV</m:t>
              </m:r>
            </m:e>
            <m:sub>
              <m:r>
                <w:rPr>
                  <w:rFonts w:ascii="Cambria Math" w:hAnsi="Cambria Math" w:cs="Arial"/>
                  <w:szCs w:val="22"/>
                  <w:lang w:val="en-GB"/>
                </w:rPr>
                <m:t>1</m:t>
              </m:r>
            </m:sub>
          </m:sSub>
          <m:r>
            <w:rPr>
              <w:rFonts w:ascii="Cambria Math" w:hAnsi="Cambria Math" w:cs="Arial"/>
              <w:szCs w:val="22"/>
              <w:lang w:val="en-GB"/>
            </w:rPr>
            <m:t>=</m:t>
          </m:r>
          <m:r>
            <w:rPr>
              <w:rFonts w:ascii="Cambria Math" w:hAnsi="Cambria Math"/>
              <w:lang w:val="en-GB"/>
            </w:rPr>
            <m:t>Control Variable 1 (</m:t>
          </m:r>
          <m:sSub>
            <m:sSubPr>
              <m:ctrlPr>
                <w:rPr>
                  <w:rFonts w:ascii="Cambria Math" w:hAnsi="Cambria Math"/>
                  <w:lang w:val="en-GB"/>
                </w:rPr>
              </m:ctrlPr>
            </m:sSubPr>
            <m:e>
              <m:r>
                <w:rPr>
                  <w:rFonts w:ascii="Cambria Math" w:hAnsi="Cambria Math"/>
                  <w:lang w:val="en-GB"/>
                </w:rPr>
                <m:t>TQ</m:t>
              </m:r>
            </m:e>
            <m:sub>
              <m:r>
                <w:rPr>
                  <w:rFonts w:ascii="Cambria Math" w:hAnsi="Cambria Math"/>
                  <w:lang w:val="en-GB"/>
                </w:rPr>
                <m:t>t-1</m:t>
              </m:r>
            </m:sub>
          </m:sSub>
          <m:r>
            <w:rPr>
              <w:rFonts w:ascii="Cambria Math" w:hAnsi="Cambria Math" w:cs="Arial"/>
              <w:szCs w:val="22"/>
              <w:lang w:val="en-GB"/>
            </w:rPr>
            <m:t>)</m:t>
          </m:r>
        </m:oMath>
      </m:oMathPara>
    </w:p>
    <w:p w:rsidR="007C7F32" w:rsidRPr="00B97064" w:rsidRDefault="007C7F32" w:rsidP="00583A10">
      <w:pPr>
        <w:pStyle w:val="Heading2"/>
        <w:rPr>
          <w:lang w:val="en-GB"/>
        </w:rPr>
      </w:pPr>
      <w:bookmarkStart w:id="75" w:name="_Ref345154387"/>
      <w:bookmarkStart w:id="76" w:name="_Toc349585491"/>
      <w:r w:rsidRPr="00B97064">
        <w:rPr>
          <w:lang w:val="en-GB"/>
        </w:rPr>
        <w:t>4.5 Research part II: Relation CGOCs and PRTs</w:t>
      </w:r>
      <w:bookmarkEnd w:id="75"/>
      <w:bookmarkEnd w:id="76"/>
    </w:p>
    <w:p w:rsidR="007C7F32" w:rsidRPr="00B97064" w:rsidRDefault="007C7F32" w:rsidP="006D6F64">
      <w:pPr>
        <w:rPr>
          <w:rFonts w:cs="Arial"/>
          <w:szCs w:val="22"/>
          <w:lang w:val="en-GB"/>
        </w:rPr>
      </w:pPr>
      <w:r w:rsidRPr="00B97064">
        <w:rPr>
          <w:rFonts w:cs="Arial"/>
          <w:szCs w:val="22"/>
          <w:lang w:val="en-GB"/>
        </w:rPr>
        <w:t>Secondly, I want to find out which corporate governance</w:t>
      </w:r>
      <w:r w:rsidR="006F1296" w:rsidRPr="00B97064">
        <w:rPr>
          <w:rFonts w:cs="Arial"/>
          <w:szCs w:val="22"/>
          <w:lang w:val="en-GB"/>
        </w:rPr>
        <w:t>-</w:t>
      </w:r>
      <w:r w:rsidRPr="00B97064">
        <w:rPr>
          <w:rFonts w:cs="Arial"/>
          <w:szCs w:val="22"/>
          <w:lang w:val="en-GB"/>
        </w:rPr>
        <w:t xml:space="preserve"> and ownership characteristics (CGOCs) affect the amount of RPTs. The following </w:t>
      </w:r>
      <w:r w:rsidR="006F1296" w:rsidRPr="00B97064">
        <w:rPr>
          <w:rFonts w:cs="Arial"/>
          <w:szCs w:val="22"/>
          <w:lang w:val="en-GB"/>
        </w:rPr>
        <w:t>CGOCs</w:t>
      </w:r>
      <w:r w:rsidRPr="00B97064">
        <w:rPr>
          <w:rFonts w:cs="Arial"/>
          <w:szCs w:val="22"/>
          <w:lang w:val="en-GB"/>
        </w:rPr>
        <w:t xml:space="preserve"> are tested:</w:t>
      </w:r>
    </w:p>
    <w:p w:rsidR="007C7F32" w:rsidRPr="00B97064" w:rsidRDefault="007C7F32" w:rsidP="00DB30FD">
      <w:pPr>
        <w:numPr>
          <w:ilvl w:val="0"/>
          <w:numId w:val="2"/>
        </w:numPr>
        <w:ind w:firstLine="0"/>
        <w:rPr>
          <w:rFonts w:cs="Arial"/>
          <w:szCs w:val="22"/>
          <w:lang w:val="en-GB"/>
        </w:rPr>
      </w:pPr>
      <w:r w:rsidRPr="00B97064">
        <w:rPr>
          <w:rFonts w:cs="Arial"/>
          <w:szCs w:val="22"/>
          <w:lang w:val="en-GB"/>
        </w:rPr>
        <w:t>Size of executive board (number of executive board members), (SEB);</w:t>
      </w:r>
    </w:p>
    <w:p w:rsidR="007C7F32" w:rsidRPr="00B97064" w:rsidRDefault="007C7F32" w:rsidP="00DB30FD">
      <w:pPr>
        <w:numPr>
          <w:ilvl w:val="0"/>
          <w:numId w:val="2"/>
        </w:numPr>
        <w:ind w:firstLine="0"/>
        <w:rPr>
          <w:rFonts w:cs="Arial"/>
          <w:szCs w:val="22"/>
          <w:lang w:val="en-GB"/>
        </w:rPr>
      </w:pPr>
      <w:r w:rsidRPr="00B97064">
        <w:rPr>
          <w:rFonts w:cs="Arial"/>
          <w:szCs w:val="22"/>
          <w:lang w:val="en-GB"/>
        </w:rPr>
        <w:t>Size of supervisory board (number of the supervisory board members) (SSB);</w:t>
      </w:r>
    </w:p>
    <w:p w:rsidR="007C7F32" w:rsidRPr="00B97064" w:rsidRDefault="007C7F32" w:rsidP="00DB30FD">
      <w:pPr>
        <w:numPr>
          <w:ilvl w:val="0"/>
          <w:numId w:val="2"/>
        </w:numPr>
        <w:ind w:firstLine="0"/>
        <w:rPr>
          <w:rFonts w:cs="Arial"/>
          <w:szCs w:val="22"/>
          <w:lang w:val="en-GB"/>
        </w:rPr>
      </w:pPr>
      <w:r w:rsidRPr="00B97064">
        <w:rPr>
          <w:rFonts w:cs="Arial"/>
          <w:szCs w:val="22"/>
          <w:lang w:val="en-GB"/>
        </w:rPr>
        <w:t>Ratio supervisory board and total board members (RATSB);</w:t>
      </w:r>
    </w:p>
    <w:p w:rsidR="007C7F32" w:rsidRPr="00B97064" w:rsidRDefault="007C7F32" w:rsidP="00550307">
      <w:pPr>
        <w:numPr>
          <w:ilvl w:val="0"/>
          <w:numId w:val="2"/>
        </w:numPr>
        <w:ind w:firstLine="0"/>
        <w:rPr>
          <w:rFonts w:cs="Arial"/>
          <w:szCs w:val="22"/>
          <w:lang w:val="en-GB"/>
        </w:rPr>
      </w:pPr>
      <w:r w:rsidRPr="00B97064">
        <w:rPr>
          <w:rFonts w:cs="Arial"/>
          <w:szCs w:val="22"/>
          <w:lang w:val="en-GB"/>
        </w:rPr>
        <w:t xml:space="preserve">Percentage of outstanding </w:t>
      </w:r>
      <w:r w:rsidR="00111F7E" w:rsidRPr="00B97064">
        <w:rPr>
          <w:rFonts w:cs="Arial"/>
          <w:szCs w:val="22"/>
          <w:lang w:val="en-GB"/>
        </w:rPr>
        <w:t xml:space="preserve">ordinary </w:t>
      </w:r>
      <w:r w:rsidRPr="00B97064">
        <w:rPr>
          <w:rFonts w:cs="Arial"/>
          <w:szCs w:val="22"/>
          <w:lang w:val="en-GB"/>
        </w:rPr>
        <w:t>shares of main shareholder (MAIN);</w:t>
      </w:r>
    </w:p>
    <w:p w:rsidR="00111F7E" w:rsidRPr="00B97064" w:rsidRDefault="007C7F32" w:rsidP="00111F7E">
      <w:pPr>
        <w:numPr>
          <w:ilvl w:val="0"/>
          <w:numId w:val="2"/>
        </w:numPr>
        <w:ind w:firstLine="0"/>
        <w:rPr>
          <w:rFonts w:cs="Arial"/>
          <w:szCs w:val="22"/>
          <w:lang w:val="en-GB"/>
        </w:rPr>
      </w:pPr>
      <w:r w:rsidRPr="00B97064">
        <w:rPr>
          <w:rFonts w:cs="Arial"/>
          <w:szCs w:val="22"/>
          <w:lang w:val="en-GB"/>
        </w:rPr>
        <w:t>Level of expertise of audit committee members (ratio</w:t>
      </w:r>
      <w:r w:rsidR="00111F7E" w:rsidRPr="00B97064">
        <w:rPr>
          <w:rFonts w:cs="Arial"/>
          <w:szCs w:val="22"/>
          <w:lang w:val="en-GB"/>
        </w:rPr>
        <w:t xml:space="preserve"> </w:t>
      </w:r>
      <w:r w:rsidRPr="00B97064">
        <w:rPr>
          <w:rFonts w:cs="Arial"/>
          <w:szCs w:val="22"/>
          <w:lang w:val="en-GB"/>
        </w:rPr>
        <w:t xml:space="preserve">financial experts and </w:t>
      </w:r>
    </w:p>
    <w:p w:rsidR="007C7F32" w:rsidRPr="00B97064" w:rsidRDefault="007C7F32" w:rsidP="00111F7E">
      <w:pPr>
        <w:ind w:left="360" w:firstLine="348"/>
        <w:rPr>
          <w:rFonts w:cs="Arial"/>
          <w:szCs w:val="22"/>
          <w:lang w:val="en-GB"/>
        </w:rPr>
      </w:pPr>
      <w:r w:rsidRPr="00B97064">
        <w:rPr>
          <w:rFonts w:cs="Arial"/>
          <w:szCs w:val="22"/>
          <w:lang w:val="en-GB"/>
        </w:rPr>
        <w:t>tot</w:t>
      </w:r>
      <w:r w:rsidR="00CA3A7B" w:rsidRPr="00B97064">
        <w:rPr>
          <w:rFonts w:cs="Arial"/>
          <w:szCs w:val="22"/>
          <w:lang w:val="en-GB"/>
        </w:rPr>
        <w:t>al audit</w:t>
      </w:r>
      <w:r w:rsidR="00111F7E" w:rsidRPr="00B97064">
        <w:rPr>
          <w:rFonts w:cs="Arial"/>
          <w:szCs w:val="22"/>
          <w:lang w:val="en-GB"/>
        </w:rPr>
        <w:t xml:space="preserve"> </w:t>
      </w:r>
      <w:r w:rsidRPr="00B97064">
        <w:rPr>
          <w:rFonts w:cs="Arial"/>
          <w:szCs w:val="22"/>
          <w:lang w:val="en-GB"/>
        </w:rPr>
        <w:t>committee members) (LEVEL);</w:t>
      </w:r>
    </w:p>
    <w:p w:rsidR="007C7F32" w:rsidRPr="00B97064" w:rsidRDefault="007C7F32" w:rsidP="00DB30FD">
      <w:pPr>
        <w:numPr>
          <w:ilvl w:val="0"/>
          <w:numId w:val="2"/>
        </w:numPr>
        <w:ind w:firstLine="0"/>
        <w:rPr>
          <w:rFonts w:cs="Arial"/>
          <w:szCs w:val="22"/>
          <w:lang w:val="en-GB"/>
        </w:rPr>
      </w:pPr>
      <w:r w:rsidRPr="00B97064">
        <w:rPr>
          <w:rFonts w:cs="Arial"/>
          <w:szCs w:val="22"/>
          <w:lang w:val="en-GB"/>
        </w:rPr>
        <w:t xml:space="preserve">Whether or not the company is also listed in the USA </w:t>
      </w:r>
      <w:r w:rsidR="00CA3A7B" w:rsidRPr="00B97064">
        <w:rPr>
          <w:rFonts w:cs="Arial"/>
          <w:szCs w:val="22"/>
          <w:lang w:val="en-GB"/>
        </w:rPr>
        <w:t>(strong shareholder protection)</w:t>
      </w:r>
    </w:p>
    <w:p w:rsidR="007C7F32" w:rsidRPr="00B97064" w:rsidRDefault="007C7F32" w:rsidP="00966BB5">
      <w:pPr>
        <w:ind w:left="360" w:firstLine="348"/>
        <w:rPr>
          <w:rFonts w:cs="Arial"/>
          <w:szCs w:val="22"/>
          <w:lang w:val="en-GB"/>
        </w:rPr>
      </w:pPr>
      <w:r w:rsidRPr="00B97064">
        <w:rPr>
          <w:rFonts w:cs="Arial"/>
          <w:szCs w:val="22"/>
          <w:lang w:val="en-GB"/>
        </w:rPr>
        <w:t>(USA);</w:t>
      </w:r>
    </w:p>
    <w:p w:rsidR="007C7F32" w:rsidRPr="00B97064" w:rsidRDefault="007C7F32" w:rsidP="00340DEB">
      <w:pPr>
        <w:numPr>
          <w:ilvl w:val="0"/>
          <w:numId w:val="2"/>
        </w:numPr>
        <w:ind w:firstLine="0"/>
        <w:rPr>
          <w:rFonts w:cs="Arial"/>
          <w:szCs w:val="22"/>
          <w:lang w:val="en-GB"/>
        </w:rPr>
      </w:pPr>
      <w:r w:rsidRPr="00B97064">
        <w:rPr>
          <w:rFonts w:cs="Arial"/>
          <w:szCs w:val="22"/>
          <w:lang w:val="en-GB"/>
        </w:rPr>
        <w:t xml:space="preserve">Whether or not the company is audited by one of the big </w:t>
      </w:r>
      <w:r w:rsidR="002D10C8" w:rsidRPr="00B97064">
        <w:rPr>
          <w:rFonts w:cs="Arial"/>
          <w:szCs w:val="22"/>
          <w:lang w:val="en-GB"/>
        </w:rPr>
        <w:t>4</w:t>
      </w:r>
      <w:r w:rsidRPr="00B97064">
        <w:rPr>
          <w:rFonts w:cs="Arial"/>
          <w:szCs w:val="22"/>
          <w:lang w:val="en-GB"/>
        </w:rPr>
        <w:t xml:space="preserve"> firms (BIG).</w:t>
      </w:r>
    </w:p>
    <w:p w:rsidR="007C7F32" w:rsidRPr="00B97064" w:rsidRDefault="007C7F32" w:rsidP="00CA3A7B">
      <w:pPr>
        <w:rPr>
          <w:rFonts w:cs="Arial"/>
          <w:szCs w:val="22"/>
          <w:lang w:val="en-GB"/>
        </w:rPr>
      </w:pPr>
    </w:p>
    <w:p w:rsidR="007C7F32" w:rsidRPr="00B97064" w:rsidRDefault="007C7F32" w:rsidP="00340DEB">
      <w:pPr>
        <w:rPr>
          <w:lang w:val="en-GB"/>
        </w:rPr>
      </w:pPr>
      <w:r w:rsidRPr="00B97064">
        <w:rPr>
          <w:rFonts w:cs="Arial"/>
          <w:szCs w:val="22"/>
          <w:lang w:val="en-GB"/>
        </w:rPr>
        <w:t>I expect some of above mentioned characteristics have a</w:t>
      </w:r>
      <w:r w:rsidR="008F2991" w:rsidRPr="00B97064">
        <w:rPr>
          <w:rFonts w:cs="Arial"/>
          <w:szCs w:val="22"/>
          <w:lang w:val="en-GB"/>
        </w:rPr>
        <w:t>n</w:t>
      </w:r>
      <w:r w:rsidRPr="00B97064">
        <w:rPr>
          <w:rFonts w:cs="Arial"/>
          <w:szCs w:val="22"/>
          <w:lang w:val="en-GB"/>
        </w:rPr>
        <w:t xml:space="preserve"> </w:t>
      </w:r>
      <w:r w:rsidR="001B7414" w:rsidRPr="00B97064">
        <w:rPr>
          <w:rFonts w:cs="Arial"/>
          <w:szCs w:val="22"/>
          <w:lang w:val="en-GB"/>
        </w:rPr>
        <w:t>inhibitory</w:t>
      </w:r>
      <w:r w:rsidRPr="00B97064">
        <w:rPr>
          <w:rFonts w:cs="Arial"/>
          <w:szCs w:val="22"/>
          <w:lang w:val="en-GB"/>
        </w:rPr>
        <w:t xml:space="preserve"> effect on the amount of RPTs</w:t>
      </w:r>
      <w:r w:rsidRPr="00B97064">
        <w:rPr>
          <w:lang w:val="en-GB"/>
        </w:rPr>
        <w:t>. Those characteristics are:</w:t>
      </w:r>
    </w:p>
    <w:p w:rsidR="007C7F32" w:rsidRPr="00B97064" w:rsidRDefault="007C7F32" w:rsidP="00C140CF">
      <w:pPr>
        <w:numPr>
          <w:ilvl w:val="0"/>
          <w:numId w:val="16"/>
        </w:numPr>
        <w:rPr>
          <w:lang w:val="en-GB"/>
        </w:rPr>
      </w:pPr>
      <w:r w:rsidRPr="00B97064">
        <w:rPr>
          <w:lang w:val="en-GB"/>
        </w:rPr>
        <w:t>Size of supervisory board;</w:t>
      </w:r>
    </w:p>
    <w:p w:rsidR="007C7F32" w:rsidRPr="00B97064" w:rsidRDefault="007C7F32" w:rsidP="00C140CF">
      <w:pPr>
        <w:numPr>
          <w:ilvl w:val="0"/>
          <w:numId w:val="17"/>
        </w:numPr>
        <w:rPr>
          <w:lang w:val="en-GB"/>
        </w:rPr>
      </w:pPr>
      <w:r w:rsidRPr="00B97064">
        <w:rPr>
          <w:lang w:val="en-GB"/>
        </w:rPr>
        <w:t xml:space="preserve">Ratio </w:t>
      </w:r>
      <w:r w:rsidRPr="00B97064">
        <w:rPr>
          <w:rFonts w:cs="Arial"/>
          <w:szCs w:val="22"/>
          <w:lang w:val="en-GB"/>
        </w:rPr>
        <w:t xml:space="preserve">supervisory board members </w:t>
      </w:r>
      <w:r w:rsidR="00111F7E" w:rsidRPr="00B97064">
        <w:rPr>
          <w:rFonts w:cs="Arial"/>
          <w:szCs w:val="22"/>
          <w:lang w:val="en-GB"/>
        </w:rPr>
        <w:t xml:space="preserve">and total </w:t>
      </w:r>
      <w:r w:rsidRPr="00B97064">
        <w:rPr>
          <w:rFonts w:cs="Arial"/>
          <w:szCs w:val="22"/>
          <w:lang w:val="en-GB"/>
        </w:rPr>
        <w:t>members</w:t>
      </w:r>
      <w:r w:rsidR="00111F7E" w:rsidRPr="00B97064">
        <w:rPr>
          <w:rFonts w:cs="Arial"/>
          <w:szCs w:val="22"/>
          <w:lang w:val="en-GB"/>
        </w:rPr>
        <w:t xml:space="preserve"> of both boards</w:t>
      </w:r>
      <w:r w:rsidRPr="00B97064">
        <w:rPr>
          <w:rFonts w:cs="Arial"/>
          <w:szCs w:val="22"/>
          <w:lang w:val="en-GB"/>
        </w:rPr>
        <w:t>;</w:t>
      </w:r>
    </w:p>
    <w:p w:rsidR="007C7F32" w:rsidRPr="00B97064" w:rsidRDefault="007C7F32" w:rsidP="00C140CF">
      <w:pPr>
        <w:numPr>
          <w:ilvl w:val="0"/>
          <w:numId w:val="18"/>
        </w:numPr>
        <w:rPr>
          <w:lang w:val="en-GB"/>
        </w:rPr>
      </w:pPr>
      <w:r w:rsidRPr="00B97064">
        <w:rPr>
          <w:lang w:val="en-GB"/>
        </w:rPr>
        <w:t>Level of expertise of the audit committee;</w:t>
      </w:r>
    </w:p>
    <w:p w:rsidR="007C7F32" w:rsidRPr="00B97064" w:rsidRDefault="007C7F32" w:rsidP="00C140CF">
      <w:pPr>
        <w:numPr>
          <w:ilvl w:val="0"/>
          <w:numId w:val="19"/>
        </w:numPr>
        <w:rPr>
          <w:lang w:val="en-GB"/>
        </w:rPr>
      </w:pPr>
      <w:r w:rsidRPr="00B97064">
        <w:rPr>
          <w:lang w:val="en-GB"/>
        </w:rPr>
        <w:t>Listed in the USA;</w:t>
      </w:r>
    </w:p>
    <w:p w:rsidR="007C7F32" w:rsidRPr="00B97064" w:rsidRDefault="007C7F32" w:rsidP="00C140CF">
      <w:pPr>
        <w:numPr>
          <w:ilvl w:val="0"/>
          <w:numId w:val="20"/>
        </w:numPr>
        <w:rPr>
          <w:lang w:val="en-GB"/>
        </w:rPr>
      </w:pPr>
      <w:r w:rsidRPr="00B97064">
        <w:rPr>
          <w:lang w:val="en-GB"/>
        </w:rPr>
        <w:t xml:space="preserve">Audited by one of the big </w:t>
      </w:r>
      <w:r w:rsidR="002D10C8" w:rsidRPr="00B97064">
        <w:rPr>
          <w:lang w:val="en-GB"/>
        </w:rPr>
        <w:t>4</w:t>
      </w:r>
      <w:r w:rsidRPr="00B97064">
        <w:rPr>
          <w:lang w:val="en-GB"/>
        </w:rPr>
        <w:t xml:space="preserve"> audit firms.</w:t>
      </w:r>
    </w:p>
    <w:p w:rsidR="007C7F32" w:rsidRPr="00B97064" w:rsidRDefault="007C7F32" w:rsidP="00340DEB">
      <w:pPr>
        <w:rPr>
          <w:rFonts w:cs="Arial"/>
          <w:szCs w:val="22"/>
          <w:lang w:val="en-GB"/>
        </w:rPr>
      </w:pPr>
      <w:r w:rsidRPr="00B97064">
        <w:rPr>
          <w:lang w:val="en-GB"/>
        </w:rPr>
        <w:t xml:space="preserve">I expect that a large supervisory board, a relative large supervisory board compared to total members of both boards and an audit committee with more financial experts lead to better supervision. Better supervision should lead to less risk of expropriation, since this </w:t>
      </w:r>
      <w:r w:rsidRPr="00B97064">
        <w:rPr>
          <w:lang w:val="en-GB"/>
        </w:rPr>
        <w:lastRenderedPageBreak/>
        <w:t>expropriation could be noticed by the supervisory board / audit committee. This should have a</w:t>
      </w:r>
      <w:r w:rsidR="008F2991" w:rsidRPr="00B97064">
        <w:rPr>
          <w:lang w:val="en-GB"/>
        </w:rPr>
        <w:t>n</w:t>
      </w:r>
      <w:r w:rsidRPr="00B97064">
        <w:rPr>
          <w:lang w:val="en-GB"/>
        </w:rPr>
        <w:t xml:space="preserve"> </w:t>
      </w:r>
      <w:r w:rsidR="008F2991" w:rsidRPr="00B97064">
        <w:rPr>
          <w:lang w:val="en-GB"/>
        </w:rPr>
        <w:t>inhibitory</w:t>
      </w:r>
      <w:r w:rsidRPr="00B97064">
        <w:rPr>
          <w:lang w:val="en-GB"/>
        </w:rPr>
        <w:t xml:space="preserve"> effect on the amount of RPTs, since the amount of RPTs is used as a proxy for the risk of expropriation. However, the negative relation between the presence of independent board members in a one tier board, the presence of audit committee and the </w:t>
      </w:r>
      <w:r w:rsidRPr="00B97064">
        <w:rPr>
          <w:i/>
          <w:lang w:val="en-GB"/>
        </w:rPr>
        <w:t>number</w:t>
      </w:r>
      <w:r w:rsidRPr="00B97064">
        <w:rPr>
          <w:lang w:val="en-GB"/>
        </w:rPr>
        <w:t xml:space="preserve"> of RPTs is contradicted by the study of </w:t>
      </w: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(2011); they concluded a positive relation between those variables and </w:t>
      </w:r>
      <w:r w:rsidRPr="00B97064">
        <w:rPr>
          <w:rFonts w:cs="Arial"/>
          <w:i/>
          <w:szCs w:val="22"/>
          <w:lang w:val="en-GB"/>
        </w:rPr>
        <w:t>the number of</w:t>
      </w:r>
      <w:r w:rsidRPr="00B97064">
        <w:rPr>
          <w:rFonts w:cs="Arial"/>
          <w:szCs w:val="22"/>
          <w:lang w:val="en-GB"/>
        </w:rPr>
        <w:t xml:space="preserve"> RPTs. Though, </w:t>
      </w:r>
      <w:r w:rsidRPr="00B97064">
        <w:rPr>
          <w:lang w:val="en-GB"/>
        </w:rPr>
        <w:t xml:space="preserve">Dayha et al. (2008) concluded that the </w:t>
      </w:r>
      <w:r w:rsidRPr="00B97064">
        <w:rPr>
          <w:rFonts w:cs="Arial"/>
          <w:szCs w:val="22"/>
          <w:lang w:val="en-GB"/>
        </w:rPr>
        <w:t>higher the proportion of non-affiliated board members, the less RPTs exists with controlling shareholders. Furthermore, DeFond et al. (2005) found a p</w:t>
      </w:r>
      <w:r w:rsidRPr="00B97064">
        <w:rPr>
          <w:lang w:val="en-GB"/>
        </w:rPr>
        <w:t>ositive market reaction of firms with strong corporate governance to the appointment of accounting financial experts audit committee members, regardless the audit committee includes a financial expert already. This may indicate that investors are better protected, which should have a mitigating effect on the amount of RPTs.</w:t>
      </w:r>
      <w:r w:rsidRPr="00B97064">
        <w:rPr>
          <w:rFonts w:cs="Arial"/>
          <w:szCs w:val="22"/>
          <w:lang w:val="en-GB"/>
        </w:rPr>
        <w:t xml:space="preserve"> So, the conclusions of the earlier conducted studies are not unambiguous.</w:t>
      </w:r>
    </w:p>
    <w:p w:rsidR="007C7F32" w:rsidRPr="00B97064" w:rsidRDefault="007C7F32" w:rsidP="00340DEB">
      <w:pPr>
        <w:rPr>
          <w:rFonts w:cs="Arial"/>
          <w:szCs w:val="22"/>
          <w:lang w:val="en-GB"/>
        </w:rPr>
      </w:pPr>
    </w:p>
    <w:p w:rsidR="007C7F32" w:rsidRPr="00B97064" w:rsidRDefault="007C7F32" w:rsidP="00340DEB">
      <w:pPr>
        <w:rPr>
          <w:rFonts w:cs="Arial"/>
          <w:szCs w:val="22"/>
          <w:lang w:val="en-GB"/>
        </w:rPr>
      </w:pPr>
      <w:r w:rsidRPr="00B97064">
        <w:rPr>
          <w:lang w:val="en-GB"/>
        </w:rPr>
        <w:t>Being also listed (second listing) in the USA indicates a higher level of shareholder protection, because US-listed firms are subjected to more and extensive regulation, which should better ensure the protection of shareholders. So, having a second listing i</w:t>
      </w:r>
      <w:r w:rsidR="00F742F9" w:rsidRPr="00B97064">
        <w:rPr>
          <w:lang w:val="en-GB"/>
        </w:rPr>
        <w:t xml:space="preserve">n the USA is expected to have an inhibitory </w:t>
      </w:r>
      <w:r w:rsidRPr="00B97064">
        <w:rPr>
          <w:lang w:val="en-GB"/>
        </w:rPr>
        <w:t xml:space="preserve">effect on the amount of RPTs. However, this negative relation between being listed in the USA and the amount of RPTs is contradicted by the study of </w:t>
      </w: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(2011); they found a positive relation between having a second listing in the USA and </w:t>
      </w:r>
      <w:r w:rsidRPr="00B97064">
        <w:rPr>
          <w:rFonts w:cs="Arial"/>
          <w:i/>
          <w:szCs w:val="22"/>
          <w:lang w:val="en-GB"/>
        </w:rPr>
        <w:t>the number of</w:t>
      </w:r>
      <w:r w:rsidRPr="00B97064">
        <w:rPr>
          <w:rFonts w:cs="Arial"/>
          <w:szCs w:val="22"/>
          <w:lang w:val="en-GB"/>
        </w:rPr>
        <w:t xml:space="preserve"> RPTs with subsidiaries and affiliated companies, no relation was found with other types of related parties.</w:t>
      </w:r>
    </w:p>
    <w:p w:rsidR="007C7F32" w:rsidRPr="00B97064" w:rsidRDefault="007C7F32" w:rsidP="00340DEB">
      <w:pPr>
        <w:rPr>
          <w:lang w:val="en-GB"/>
        </w:rPr>
      </w:pPr>
    </w:p>
    <w:p w:rsidR="007C7F32" w:rsidRPr="00B97064" w:rsidRDefault="007C7F32" w:rsidP="00340DEB">
      <w:pPr>
        <w:rPr>
          <w:lang w:val="en-GB"/>
        </w:rPr>
      </w:pPr>
      <w:r w:rsidRPr="00B97064">
        <w:rPr>
          <w:lang w:val="en-GB"/>
        </w:rPr>
        <w:t xml:space="preserve">Being audited by one of the big </w:t>
      </w:r>
      <w:r w:rsidR="002D10C8" w:rsidRPr="00B97064">
        <w:rPr>
          <w:lang w:val="en-GB"/>
        </w:rPr>
        <w:t>4</w:t>
      </w:r>
      <w:r w:rsidRPr="00B97064">
        <w:rPr>
          <w:lang w:val="en-GB"/>
        </w:rPr>
        <w:t xml:space="preserve"> audit firms should lead to higher audit quality</w:t>
      </w:r>
      <w:r w:rsidR="00F742F9" w:rsidRPr="00B97064">
        <w:rPr>
          <w:lang w:val="en-GB"/>
        </w:rPr>
        <w:t xml:space="preserve">, as explained by </w:t>
      </w:r>
      <w:proofErr w:type="spellStart"/>
      <w:r w:rsidR="00F742F9" w:rsidRPr="00B97064">
        <w:rPr>
          <w:lang w:val="en-GB"/>
        </w:rPr>
        <w:t>DeAngelo</w:t>
      </w:r>
      <w:proofErr w:type="spellEnd"/>
      <w:r w:rsidR="00F742F9" w:rsidRPr="00B97064">
        <w:rPr>
          <w:lang w:val="en-GB"/>
        </w:rPr>
        <w:t xml:space="preserve"> (1981) (section </w:t>
      </w:r>
      <w:fldSimple w:instr=" REF _Ref349394486 \h  \* MERGEFORMAT ">
        <w:r w:rsidR="004C718C" w:rsidRPr="00B97064">
          <w:rPr>
            <w:lang w:val="en-GB"/>
          </w:rPr>
          <w:t>3.8.4 Auditor type</w:t>
        </w:r>
      </w:fldSimple>
      <w:r w:rsidR="00F742F9" w:rsidRPr="00B97064">
        <w:rPr>
          <w:lang w:val="en-GB"/>
        </w:rPr>
        <w:t>)</w:t>
      </w:r>
      <w:r w:rsidRPr="00B97064">
        <w:rPr>
          <w:lang w:val="en-GB"/>
        </w:rPr>
        <w:t>. This should lead to less expropriation, since this is (earlier) noticed, which have a</w:t>
      </w:r>
      <w:r w:rsidR="00E911E8" w:rsidRPr="00B97064">
        <w:rPr>
          <w:lang w:val="en-GB"/>
        </w:rPr>
        <w:t>n</w:t>
      </w:r>
      <w:r w:rsidRPr="00B97064">
        <w:rPr>
          <w:lang w:val="en-GB"/>
        </w:rPr>
        <w:t xml:space="preserve"> </w:t>
      </w:r>
      <w:r w:rsidR="00E911E8" w:rsidRPr="00B97064">
        <w:rPr>
          <w:lang w:val="en-GB"/>
        </w:rPr>
        <w:t>inhibitory</w:t>
      </w:r>
      <w:r w:rsidRPr="00B97064">
        <w:rPr>
          <w:lang w:val="en-GB"/>
        </w:rPr>
        <w:t xml:space="preserve"> effect. So, being audited by a big </w:t>
      </w:r>
      <w:r w:rsidR="002D10C8" w:rsidRPr="00B97064">
        <w:rPr>
          <w:lang w:val="en-GB"/>
        </w:rPr>
        <w:t>4</w:t>
      </w:r>
      <w:r w:rsidRPr="00B97064">
        <w:rPr>
          <w:lang w:val="en-GB"/>
        </w:rPr>
        <w:t xml:space="preserve"> audit firm is expected to have a mitigating effect on the amount of RPTs, since this should reduce the risk of expropriation. This negative relation is confirmed by the study of </w:t>
      </w: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(2011).</w:t>
      </w:r>
    </w:p>
    <w:p w:rsidR="007C7F32" w:rsidRPr="00B97064" w:rsidRDefault="007C7F32" w:rsidP="00340DEB">
      <w:pPr>
        <w:rPr>
          <w:lang w:val="en-GB"/>
        </w:rPr>
      </w:pPr>
    </w:p>
    <w:p w:rsidR="007C44A4" w:rsidRPr="00B97064" w:rsidRDefault="007C44A4" w:rsidP="007C44A4">
      <w:pPr>
        <w:rPr>
          <w:lang w:val="en-GB"/>
        </w:rPr>
      </w:pPr>
      <w:r w:rsidRPr="00B97064">
        <w:rPr>
          <w:lang w:val="en-GB"/>
        </w:rPr>
        <w:t>In conclusion, above mentioned characteristics (size of the supervisory board, ratio supervisory and total board members, level of expertise of the audit committee, being (second) listed in the USA and being audited by a big 4 audit firm) are expected to decrease the amount of RPTs, since those characteristics decrease the risk of expropriation.</w:t>
      </w:r>
    </w:p>
    <w:p w:rsidR="007C44A4" w:rsidRPr="00B97064" w:rsidRDefault="007C44A4" w:rsidP="00340DEB">
      <w:pPr>
        <w:rPr>
          <w:lang w:val="en-GB"/>
        </w:rPr>
      </w:pPr>
    </w:p>
    <w:p w:rsidR="007C7F32" w:rsidRPr="00B97064" w:rsidRDefault="007C7F32" w:rsidP="00340DEB">
      <w:pPr>
        <w:rPr>
          <w:lang w:val="en-GB"/>
        </w:rPr>
      </w:pPr>
      <w:r w:rsidRPr="00B97064">
        <w:rPr>
          <w:rFonts w:cs="Arial"/>
          <w:szCs w:val="22"/>
          <w:lang w:val="en-GB"/>
        </w:rPr>
        <w:t>I expect some of above mentioned characteristics</w:t>
      </w:r>
      <w:r w:rsidR="00F742F9" w:rsidRPr="00B97064">
        <w:rPr>
          <w:lang w:val="en-GB"/>
        </w:rPr>
        <w:t xml:space="preserve"> have a</w:t>
      </w:r>
      <w:r w:rsidRPr="00B97064">
        <w:rPr>
          <w:lang w:val="en-GB"/>
        </w:rPr>
        <w:t xml:space="preserve"> </w:t>
      </w:r>
      <w:r w:rsidR="00F742F9" w:rsidRPr="00B97064">
        <w:rPr>
          <w:lang w:val="en-GB"/>
        </w:rPr>
        <w:t>stimulatory</w:t>
      </w:r>
      <w:r w:rsidRPr="00B97064">
        <w:rPr>
          <w:lang w:val="en-GB"/>
        </w:rPr>
        <w:t xml:space="preserve"> effect on the amount of RPTs. Those characteristics are:</w:t>
      </w:r>
    </w:p>
    <w:p w:rsidR="007C7F32" w:rsidRPr="00B97064" w:rsidRDefault="007C7F32" w:rsidP="00C140CF">
      <w:pPr>
        <w:numPr>
          <w:ilvl w:val="0"/>
          <w:numId w:val="21"/>
        </w:numPr>
        <w:rPr>
          <w:lang w:val="en-GB"/>
        </w:rPr>
      </w:pPr>
      <w:r w:rsidRPr="00B97064">
        <w:rPr>
          <w:lang w:val="en-GB"/>
        </w:rPr>
        <w:lastRenderedPageBreak/>
        <w:t>Size of the executive board;</w:t>
      </w:r>
    </w:p>
    <w:p w:rsidR="007C7F32" w:rsidRPr="00B97064" w:rsidRDefault="007C7F32" w:rsidP="00C140CF">
      <w:pPr>
        <w:numPr>
          <w:ilvl w:val="0"/>
          <w:numId w:val="22"/>
        </w:numPr>
        <w:rPr>
          <w:lang w:val="en-GB"/>
        </w:rPr>
      </w:pPr>
      <w:r w:rsidRPr="00B97064">
        <w:rPr>
          <w:lang w:val="en-GB"/>
        </w:rPr>
        <w:t>Percentage of outstanding</w:t>
      </w:r>
      <w:r w:rsidR="00E911E8" w:rsidRPr="00B97064">
        <w:rPr>
          <w:lang w:val="en-GB"/>
        </w:rPr>
        <w:t xml:space="preserve"> ordinary </w:t>
      </w:r>
      <w:r w:rsidRPr="00B97064">
        <w:rPr>
          <w:lang w:val="en-GB"/>
        </w:rPr>
        <w:t>shares of the main shareholder.</w:t>
      </w:r>
    </w:p>
    <w:p w:rsidR="007C7F32" w:rsidRPr="00B97064" w:rsidRDefault="007C7F32" w:rsidP="00CA3A7B">
      <w:pPr>
        <w:rPr>
          <w:highlight w:val="yellow"/>
          <w:lang w:val="en-GB"/>
        </w:rPr>
      </w:pPr>
    </w:p>
    <w:p w:rsidR="007C7F32" w:rsidRPr="00B97064" w:rsidRDefault="007C7F32" w:rsidP="001E05DC">
      <w:pPr>
        <w:rPr>
          <w:lang w:val="en-GB"/>
        </w:rPr>
      </w:pPr>
      <w:r w:rsidRPr="00B97064">
        <w:rPr>
          <w:lang w:val="en-GB"/>
        </w:rPr>
        <w:t>I expect that a large executive board bears a risk of collusion, which is an incentive to enter in</w:t>
      </w:r>
      <w:r w:rsidR="0080039A" w:rsidRPr="00B97064">
        <w:rPr>
          <w:lang w:val="en-GB"/>
        </w:rPr>
        <w:t>to</w:t>
      </w:r>
      <w:r w:rsidRPr="00B97064">
        <w:rPr>
          <w:lang w:val="en-GB"/>
        </w:rPr>
        <w:t xml:space="preserve"> RPTs, which increase the amount of RPTs. Due to a separation of duties within the board of directors as a result of a large board, some directors could collude together, or not all directors are aware of all affairs. This may result in the expropriation of firms’ resources. This positive relation between the size of the board of directors and </w:t>
      </w:r>
      <w:r w:rsidRPr="00B97064">
        <w:rPr>
          <w:i/>
          <w:lang w:val="en-GB"/>
        </w:rPr>
        <w:t>the number of</w:t>
      </w:r>
      <w:r w:rsidRPr="00B97064">
        <w:rPr>
          <w:lang w:val="en-GB"/>
        </w:rPr>
        <w:t xml:space="preserve"> RPTs is </w:t>
      </w:r>
      <w:r w:rsidR="00E911E8" w:rsidRPr="00B97064">
        <w:rPr>
          <w:lang w:val="en-GB"/>
        </w:rPr>
        <w:t xml:space="preserve">earlier </w:t>
      </w:r>
      <w:r w:rsidRPr="00B97064">
        <w:rPr>
          <w:lang w:val="en-GB"/>
        </w:rPr>
        <w:t xml:space="preserve">proved by </w:t>
      </w:r>
      <w:proofErr w:type="spellStart"/>
      <w:r w:rsidRPr="00B97064">
        <w:rPr>
          <w:lang w:val="en-GB"/>
        </w:rPr>
        <w:t>Nekhili</w:t>
      </w:r>
      <w:proofErr w:type="spellEnd"/>
      <w:r w:rsidR="007F674E">
        <w:rPr>
          <w:lang w:val="en-GB"/>
        </w:rPr>
        <w:t xml:space="preserve"> and </w:t>
      </w:r>
      <w:proofErr w:type="spellStart"/>
      <w:r w:rsidRPr="00B97064">
        <w:rPr>
          <w:lang w:val="en-GB"/>
        </w:rPr>
        <w:t>Cherif</w:t>
      </w:r>
      <w:proofErr w:type="spellEnd"/>
      <w:r w:rsidRPr="00B97064">
        <w:rPr>
          <w:lang w:val="en-GB"/>
        </w:rPr>
        <w:t xml:space="preserve"> (2011). However, in their case, the size of the board of directors in </w:t>
      </w:r>
      <w:r w:rsidR="00730E55" w:rsidRPr="00B97064">
        <w:rPr>
          <w:lang w:val="en-GB"/>
        </w:rPr>
        <w:t>a one tier system was tested.</w:t>
      </w:r>
    </w:p>
    <w:p w:rsidR="007C7F32" w:rsidRPr="00B97064" w:rsidRDefault="007C7F32" w:rsidP="001E05DC">
      <w:pPr>
        <w:rPr>
          <w:lang w:val="en-GB"/>
        </w:rPr>
      </w:pPr>
    </w:p>
    <w:p w:rsidR="007C7F32" w:rsidRPr="00B97064" w:rsidRDefault="007C7F32" w:rsidP="001E05DC">
      <w:pPr>
        <w:rPr>
          <w:lang w:val="en-GB"/>
        </w:rPr>
      </w:pPr>
      <w:r w:rsidRPr="00B97064">
        <w:rPr>
          <w:lang w:val="en-GB"/>
        </w:rPr>
        <w:t xml:space="preserve">Secondly, more voting rights compared to cash flow rights of the main shareholder or voting power of the main shareholder in general should lead to </w:t>
      </w:r>
      <w:r w:rsidR="00730E55" w:rsidRPr="00B97064">
        <w:rPr>
          <w:lang w:val="en-GB"/>
        </w:rPr>
        <w:t xml:space="preserve">a </w:t>
      </w:r>
      <w:r w:rsidRPr="00B97064">
        <w:rPr>
          <w:lang w:val="en-GB"/>
        </w:rPr>
        <w:t>higher risk of expropriation of the minority shareholder; the main shareholder might try to increase his yield by entering in</w:t>
      </w:r>
      <w:r w:rsidR="00730E55" w:rsidRPr="00B97064">
        <w:rPr>
          <w:lang w:val="en-GB"/>
        </w:rPr>
        <w:t>to</w:t>
      </w:r>
      <w:r w:rsidRPr="00B97064">
        <w:rPr>
          <w:lang w:val="en-GB"/>
        </w:rPr>
        <w:t xml:space="preserve"> RPTs with the firm. As a result, he gathered more than his fair share (based on his cash flow rights) at the cost of the minority shareholder. Since the percentage of voting rights of the main shareholder is not available for (most of) the companies of my sample, I use the percentage of ordinary shares as an approximation of the voting power of the main shareholder. </w:t>
      </w:r>
      <w:proofErr w:type="spellStart"/>
      <w:r w:rsidRPr="00B97064">
        <w:rPr>
          <w:lang w:val="en-GB"/>
        </w:rPr>
        <w:t>Nekhili</w:t>
      </w:r>
      <w:proofErr w:type="spellEnd"/>
      <w:r w:rsidR="007F674E">
        <w:rPr>
          <w:lang w:val="en-GB"/>
        </w:rPr>
        <w:t xml:space="preserve"> and </w:t>
      </w:r>
      <w:proofErr w:type="spellStart"/>
      <w:r w:rsidRPr="00B97064">
        <w:rPr>
          <w:lang w:val="en-GB"/>
        </w:rPr>
        <w:t>Cherif</w:t>
      </w:r>
      <w:proofErr w:type="spellEnd"/>
      <w:r w:rsidRPr="00B97064">
        <w:rPr>
          <w:lang w:val="en-GB"/>
        </w:rPr>
        <w:t xml:space="preserve"> (2011) showed previously a positive relation between the voting rights of the main shareholder and the number of RPTs. However, they did not found evidence for a positive relation between the separation of cash flow rights and voting power of the main shar</w:t>
      </w:r>
      <w:r w:rsidR="00730E55" w:rsidRPr="00B97064">
        <w:rPr>
          <w:lang w:val="en-GB"/>
        </w:rPr>
        <w:t>eholder and the number of RPTs.</w:t>
      </w:r>
    </w:p>
    <w:p w:rsidR="007C7F32" w:rsidRPr="00B97064" w:rsidRDefault="007C7F32" w:rsidP="001E05DC">
      <w:pPr>
        <w:rPr>
          <w:lang w:val="en-GB"/>
        </w:rPr>
      </w:pPr>
    </w:p>
    <w:p w:rsidR="007C7F32" w:rsidRPr="00B97064" w:rsidRDefault="007C7F32" w:rsidP="001E05DC">
      <w:pPr>
        <w:rPr>
          <w:lang w:val="en-GB"/>
        </w:rPr>
      </w:pPr>
      <w:r w:rsidRPr="00B97064">
        <w:rPr>
          <w:lang w:val="en-GB"/>
        </w:rPr>
        <w:t>In conclusion, above mentioned characteristics (size of the executive board and percentage of outstanding shares of the main shareholder) are expected to increase the amount of RPTs, since those characteristics increase the risk of expropriation.</w:t>
      </w:r>
    </w:p>
    <w:p w:rsidR="007C7F32" w:rsidRPr="00B97064" w:rsidRDefault="007C7F32" w:rsidP="001E05DC">
      <w:pPr>
        <w:rPr>
          <w:highlight w:val="yellow"/>
          <w:lang w:val="en-GB"/>
        </w:rPr>
      </w:pPr>
    </w:p>
    <w:p w:rsidR="007C7F32" w:rsidRPr="00B97064" w:rsidRDefault="007C7F32" w:rsidP="001E05DC">
      <w:pPr>
        <w:rPr>
          <w:rFonts w:cs="Arial"/>
          <w:szCs w:val="22"/>
          <w:lang w:val="en-GB"/>
        </w:rPr>
      </w:pPr>
      <w:r w:rsidRPr="00B97064">
        <w:rPr>
          <w:rFonts w:cs="Arial"/>
          <w:szCs w:val="22"/>
          <w:lang w:val="en-GB"/>
        </w:rPr>
        <w:t>As a control variable, the size of the company (natural logarithm of total assets) is used, since I expect firm size positively affects the amount of RPTs. Once again, I use a multiple regression to find out the relation between the explanatory variables (corporate governance and ownership characteristics) and the response variable (amount of RPTs).This results in the following equation:</w:t>
      </w:r>
    </w:p>
    <w:p w:rsidR="00297621" w:rsidRPr="00B97064" w:rsidRDefault="00297621" w:rsidP="001E05DC">
      <w:pPr>
        <w:rPr>
          <w:rFonts w:cs="Arial"/>
          <w:szCs w:val="22"/>
          <w:lang w:val="en-GB"/>
        </w:rPr>
      </w:pPr>
    </w:p>
    <w:p w:rsidR="007C7F32" w:rsidRPr="00B97064" w:rsidRDefault="007C58A9" w:rsidP="001E05DC">
      <w:pPr>
        <w:rPr>
          <w:rFonts w:cs="Arial"/>
          <w:szCs w:val="22"/>
          <w:lang w:val="en-GB"/>
        </w:rPr>
      </w:pPr>
      <m:oMathPara>
        <m:oMath>
          <m:r>
            <w:rPr>
              <w:rFonts w:ascii="Cambria Math" w:hAnsi="Cambria Math"/>
              <w:lang w:val="en-GB"/>
            </w:rPr>
            <m:t>RPT=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0</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1</m:t>
              </m:r>
            </m:sub>
          </m:sSub>
          <m:r>
            <w:rPr>
              <w:rFonts w:ascii="Cambria Math" w:hAnsi="Cambria Math"/>
              <w:lang w:val="en-GB"/>
            </w:rPr>
            <m:t>SEB+</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2</m:t>
              </m:r>
            </m:sub>
          </m:sSub>
          <m:r>
            <w:rPr>
              <w:rFonts w:ascii="Cambria Math" w:hAnsi="Cambria Math"/>
              <w:lang w:val="en-GB"/>
            </w:rPr>
            <m:t>SSB+</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3</m:t>
              </m:r>
            </m:sub>
          </m:sSub>
          <m:r>
            <w:rPr>
              <w:rFonts w:ascii="Cambria Math" w:hAnsi="Cambria Math"/>
              <w:lang w:val="en-GB"/>
            </w:rPr>
            <m:t>RATSB+</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4</m:t>
              </m:r>
            </m:sub>
          </m:sSub>
          <m:r>
            <w:rPr>
              <w:rFonts w:ascii="Cambria Math" w:hAnsi="Cambria Math"/>
              <w:lang w:val="en-GB"/>
            </w:rPr>
            <m:t>MAIN+</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5</m:t>
              </m:r>
            </m:sub>
          </m:sSub>
          <m:r>
            <w:rPr>
              <w:rFonts w:ascii="Cambria Math" w:hAnsi="Cambria Math"/>
              <w:lang w:val="en-GB"/>
            </w:rPr>
            <m:t>LEVEL+</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6</m:t>
              </m:r>
            </m:sub>
          </m:sSub>
          <m:r>
            <w:rPr>
              <w:rFonts w:ascii="Cambria Math" w:hAnsi="Cambria Math"/>
              <w:lang w:val="en-GB"/>
            </w:rPr>
            <m:t>USA+</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7</m:t>
              </m:r>
            </m:sub>
          </m:sSub>
          <m:r>
            <w:rPr>
              <w:rFonts w:ascii="Cambria Math" w:hAnsi="Cambria Math"/>
              <w:lang w:val="en-GB"/>
            </w:rPr>
            <m:t>BIG+</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8</m:t>
              </m:r>
            </m:sub>
          </m:sSub>
          <m:sSub>
            <m:sSubPr>
              <m:ctrlPr>
                <w:rPr>
                  <w:rFonts w:ascii="Cambria Math" w:hAnsi="Cambria Math"/>
                  <w:i/>
                  <w:lang w:val="en-GB"/>
                </w:rPr>
              </m:ctrlPr>
            </m:sSubPr>
            <m:e>
              <m:r>
                <w:rPr>
                  <w:rFonts w:ascii="Cambria Math" w:hAnsi="Cambria Math"/>
                  <w:lang w:val="en-GB"/>
                </w:rPr>
                <m:t>CV</m:t>
              </m:r>
            </m:e>
            <m:sub>
              <m:r>
                <w:rPr>
                  <w:rFonts w:ascii="Cambria Math" w:hAnsi="Cambria Math"/>
                  <w:lang w:val="en-GB"/>
                </w:rPr>
                <m:t>2</m:t>
              </m:r>
            </m:sub>
          </m:sSub>
          <m:r>
            <w:rPr>
              <w:rFonts w:ascii="Cambria Math" w:hAnsi="Cambria Math"/>
              <w:lang w:val="en-GB"/>
            </w:rPr>
            <m:t>+ε</m:t>
          </m:r>
        </m:oMath>
      </m:oMathPara>
    </w:p>
    <w:p w:rsidR="007C7F32" w:rsidRPr="00B97064" w:rsidRDefault="007C7F32" w:rsidP="003F098E">
      <w:pPr>
        <w:rPr>
          <w:rFonts w:cs="Arial"/>
          <w:szCs w:val="22"/>
          <w:lang w:val="en-GB"/>
        </w:rPr>
      </w:pPr>
    </w:p>
    <w:p w:rsidR="00380193" w:rsidRPr="00B97064" w:rsidRDefault="00380193" w:rsidP="003F098E">
      <w:pPr>
        <w:rPr>
          <w:rFonts w:cs="Arial"/>
          <w:szCs w:val="22"/>
          <w:lang w:val="en-GB"/>
        </w:rPr>
      </w:pPr>
    </w:p>
    <w:p w:rsidR="00E911E8" w:rsidRPr="00B97064" w:rsidRDefault="00E911E8" w:rsidP="003F098E">
      <w:pPr>
        <w:rPr>
          <w:rFonts w:cs="Arial"/>
          <w:szCs w:val="22"/>
          <w:lang w:val="en-GB"/>
        </w:rPr>
      </w:pPr>
    </w:p>
    <w:p w:rsidR="007C44A4" w:rsidRPr="00B97064" w:rsidRDefault="007C7F32" w:rsidP="003F098E">
      <w:pPr>
        <w:rPr>
          <w:rFonts w:cs="Arial"/>
          <w:szCs w:val="22"/>
          <w:lang w:val="en-GB"/>
        </w:rPr>
      </w:pPr>
      <w:r w:rsidRPr="00B97064">
        <w:rPr>
          <w:rFonts w:cs="Arial"/>
          <w:szCs w:val="22"/>
          <w:lang w:val="en-GB"/>
        </w:rPr>
        <w:lastRenderedPageBreak/>
        <w:t>Where</w:t>
      </w:r>
      <w:r w:rsidR="007C44A4" w:rsidRPr="00B97064">
        <w:rPr>
          <w:rFonts w:cs="Arial"/>
          <w:szCs w:val="22"/>
          <w:lang w:val="en-GB"/>
        </w:rPr>
        <w:t>:</w:t>
      </w:r>
    </w:p>
    <w:p w:rsidR="007C44A4" w:rsidRPr="00B97064" w:rsidRDefault="007C44A4" w:rsidP="003F098E">
      <w:pPr>
        <w:rPr>
          <w:rFonts w:cs="Arial"/>
          <w:szCs w:val="22"/>
          <w:lang w:val="en-GB"/>
        </w:rPr>
      </w:pPr>
      <m:oMathPara>
        <m:oMathParaPr>
          <m:jc m:val="left"/>
        </m:oMathParaPr>
        <m:oMath>
          <m:r>
            <w:rPr>
              <w:rFonts w:ascii="Cambria Math" w:hAnsi="Cambria Math" w:cs="Arial"/>
              <w:szCs w:val="22"/>
              <w:lang w:val="en-GB"/>
            </w:rPr>
            <m:t>RPT=the amount of RPTs</m:t>
          </m:r>
        </m:oMath>
      </m:oMathPara>
    </w:p>
    <w:p w:rsidR="007C44A4" w:rsidRPr="00B97064" w:rsidRDefault="007C44A4" w:rsidP="003F098E">
      <w:pPr>
        <w:rPr>
          <w:rFonts w:cs="Arial"/>
          <w:szCs w:val="22"/>
          <w:lang w:val="en-GB"/>
        </w:rPr>
      </w:pPr>
      <m:oMathPara>
        <m:oMathParaPr>
          <m:jc m:val="left"/>
        </m:oMathParaPr>
        <m:oMath>
          <m:r>
            <w:rPr>
              <w:rFonts w:ascii="Cambria Math" w:hAnsi="Cambria Math" w:cs="Arial"/>
              <w:szCs w:val="22"/>
              <w:lang w:val="en-GB"/>
            </w:rPr>
            <m:t>SEB=number of the executive board members</m:t>
          </m:r>
        </m:oMath>
      </m:oMathPara>
    </w:p>
    <w:p w:rsidR="007C44A4" w:rsidRPr="00B97064" w:rsidRDefault="007C44A4" w:rsidP="003F098E">
      <w:pPr>
        <w:rPr>
          <w:rFonts w:cs="Arial"/>
          <w:szCs w:val="22"/>
          <w:lang w:val="en-GB"/>
        </w:rPr>
      </w:pPr>
      <m:oMathPara>
        <m:oMathParaPr>
          <m:jc m:val="left"/>
        </m:oMathParaPr>
        <m:oMath>
          <m:r>
            <w:rPr>
              <w:rFonts w:ascii="Cambria Math" w:hAnsi="Cambria Math" w:cs="Arial"/>
              <w:szCs w:val="22"/>
              <w:lang w:val="en-GB"/>
            </w:rPr>
            <m:t>SSB=number of the supervisory board members</m:t>
          </m:r>
        </m:oMath>
      </m:oMathPara>
    </w:p>
    <w:p w:rsidR="007C44A4" w:rsidRPr="00B97064" w:rsidRDefault="007C44A4" w:rsidP="003F098E">
      <w:pPr>
        <w:rPr>
          <w:rFonts w:cs="Arial"/>
          <w:szCs w:val="22"/>
          <w:lang w:val="en-GB"/>
        </w:rPr>
      </w:pPr>
      <m:oMathPara>
        <m:oMathParaPr>
          <m:jc m:val="left"/>
        </m:oMathParaPr>
        <m:oMath>
          <m:r>
            <w:rPr>
              <w:rFonts w:ascii="Cambria Math" w:hAnsi="Cambria Math" w:cs="Arial"/>
              <w:szCs w:val="22"/>
              <w:lang w:val="en-GB"/>
            </w:rPr>
            <m:t>RATSB=</m:t>
          </m:r>
          <m:f>
            <m:fPr>
              <m:ctrlPr>
                <w:rPr>
                  <w:rFonts w:ascii="Cambria Math" w:hAnsi="Cambria Math" w:cs="Arial"/>
                  <w:i/>
                  <w:szCs w:val="22"/>
                  <w:lang w:val="en-GB"/>
                </w:rPr>
              </m:ctrlPr>
            </m:fPr>
            <m:num>
              <m:r>
                <w:rPr>
                  <w:rFonts w:ascii="Cambria Math" w:hAnsi="Cambria Math" w:cs="Arial"/>
                  <w:szCs w:val="22"/>
                  <w:lang w:val="en-GB"/>
                </w:rPr>
                <m:t>number of supervisory board members</m:t>
              </m:r>
            </m:num>
            <m:den>
              <m:r>
                <w:rPr>
                  <w:rFonts w:ascii="Cambria Math" w:hAnsi="Cambria Math" w:cs="Arial"/>
                  <w:szCs w:val="22"/>
                  <w:lang w:val="en-GB"/>
                </w:rPr>
                <m:t>total number of board members</m:t>
              </m:r>
            </m:den>
          </m:f>
        </m:oMath>
      </m:oMathPara>
    </w:p>
    <w:p w:rsidR="007C44A4" w:rsidRPr="00B97064" w:rsidRDefault="007C44A4" w:rsidP="003F098E">
      <w:pPr>
        <w:rPr>
          <w:rFonts w:cs="Arial"/>
          <w:szCs w:val="22"/>
          <w:lang w:val="en-GB"/>
        </w:rPr>
      </w:pPr>
      <m:oMathPara>
        <m:oMathParaPr>
          <m:jc m:val="left"/>
        </m:oMathParaPr>
        <m:oMath>
          <m:r>
            <w:rPr>
              <w:rFonts w:ascii="Cambria Math" w:hAnsi="Cambria Math" w:cs="Arial"/>
              <w:szCs w:val="22"/>
              <w:lang w:val="en-GB"/>
            </w:rPr>
            <m:t>MAIN=percentage of ordinary shares of the main shareholder</m:t>
          </m:r>
        </m:oMath>
      </m:oMathPara>
    </w:p>
    <w:p w:rsidR="007C44A4" w:rsidRPr="00B97064" w:rsidRDefault="007C44A4" w:rsidP="003F098E">
      <w:pPr>
        <w:rPr>
          <w:rFonts w:cs="Arial"/>
          <w:szCs w:val="22"/>
          <w:lang w:val="en-GB"/>
        </w:rPr>
      </w:pPr>
      <m:oMathPara>
        <m:oMathParaPr>
          <m:jc m:val="left"/>
        </m:oMathParaPr>
        <m:oMath>
          <m:r>
            <w:rPr>
              <w:rFonts w:ascii="Cambria Math" w:hAnsi="Cambria Math" w:cs="Arial"/>
              <w:szCs w:val="22"/>
              <w:lang w:val="en-GB"/>
            </w:rPr>
            <m:t>LEVEL=</m:t>
          </m:r>
          <m:f>
            <m:fPr>
              <m:ctrlPr>
                <w:rPr>
                  <w:rFonts w:ascii="Cambria Math" w:hAnsi="Cambria Math" w:cs="Arial"/>
                  <w:i/>
                  <w:szCs w:val="22"/>
                  <w:lang w:val="en-GB"/>
                </w:rPr>
              </m:ctrlPr>
            </m:fPr>
            <m:num>
              <m:r>
                <w:rPr>
                  <w:rFonts w:ascii="Cambria Math" w:hAnsi="Cambria Math" w:cs="Arial"/>
                  <w:szCs w:val="22"/>
                  <w:lang w:val="en-GB"/>
                </w:rPr>
                <m:t>number of financial experts</m:t>
              </m:r>
            </m:num>
            <m:den>
              <m:r>
                <w:rPr>
                  <w:rFonts w:ascii="Cambria Math" w:hAnsi="Cambria Math" w:cs="Arial"/>
                  <w:szCs w:val="22"/>
                  <w:lang w:val="en-GB"/>
                </w:rPr>
                <m:t>total number of audit committee members</m:t>
              </m:r>
            </m:den>
          </m:f>
        </m:oMath>
      </m:oMathPara>
    </w:p>
    <w:p w:rsidR="007C44A4" w:rsidRPr="00B97064" w:rsidRDefault="007C44A4" w:rsidP="003F098E">
      <w:pPr>
        <w:rPr>
          <w:rFonts w:cs="Arial"/>
          <w:szCs w:val="22"/>
          <w:lang w:val="en-GB"/>
        </w:rPr>
      </w:pPr>
      <m:oMathPara>
        <m:oMathParaPr>
          <m:jc m:val="left"/>
        </m:oMathParaPr>
        <m:oMath>
          <m:r>
            <w:rPr>
              <w:rFonts w:ascii="Cambria Math" w:hAnsi="Cambria Math" w:cs="Arial"/>
              <w:szCs w:val="22"/>
              <w:lang w:val="en-GB"/>
            </w:rPr>
            <m:t>USA=wheter the firm has a second listing in the USA (dummy variable)</m:t>
          </m:r>
        </m:oMath>
      </m:oMathPara>
    </w:p>
    <w:p w:rsidR="007C44A4" w:rsidRPr="00B97064" w:rsidRDefault="007C44A4" w:rsidP="003F098E">
      <w:pPr>
        <w:rPr>
          <w:rFonts w:cs="Arial"/>
          <w:szCs w:val="22"/>
          <w:lang w:val="en-GB"/>
        </w:rPr>
      </w:pPr>
      <m:oMathPara>
        <m:oMathParaPr>
          <m:jc m:val="left"/>
        </m:oMathParaPr>
        <m:oMath>
          <m:r>
            <w:rPr>
              <w:rFonts w:ascii="Cambria Math" w:hAnsi="Cambria Math" w:cs="Arial"/>
              <w:szCs w:val="22"/>
              <w:lang w:val="en-GB"/>
            </w:rPr>
            <m:t>BIG=whether the fi</m:t>
          </m:r>
          <m:r>
            <w:rPr>
              <w:rFonts w:ascii="Cambria Math" w:hAnsi="Cambria Math" w:cs="Arial"/>
              <w:szCs w:val="22"/>
              <w:lang w:val="en-GB"/>
            </w:rPr>
            <m:t>rm is audited by a big 4 audit firm (dummy variable)</m:t>
          </m:r>
        </m:oMath>
      </m:oMathPara>
    </w:p>
    <w:p w:rsidR="00947AEF" w:rsidRPr="00B97064" w:rsidRDefault="00E80C96" w:rsidP="003F098E">
      <w:pPr>
        <w:rPr>
          <w:rFonts w:cs="Arial"/>
          <w:szCs w:val="22"/>
          <w:lang w:val="en-GB"/>
        </w:rPr>
      </w:pPr>
      <m:oMathPara>
        <m:oMathParaPr>
          <m:jc m:val="left"/>
        </m:oMathParaPr>
        <m:oMath>
          <m:sSub>
            <m:sSubPr>
              <m:ctrlPr>
                <w:rPr>
                  <w:rFonts w:ascii="Cambria Math" w:hAnsi="Cambria Math" w:cs="Arial"/>
                  <w:i/>
                  <w:szCs w:val="22"/>
                  <w:lang w:val="en-GB"/>
                </w:rPr>
              </m:ctrlPr>
            </m:sSubPr>
            <m:e>
              <m:r>
                <w:rPr>
                  <w:rFonts w:ascii="Cambria Math" w:hAnsi="Cambria Math" w:cs="Arial"/>
                  <w:szCs w:val="22"/>
                  <w:lang w:val="en-GB"/>
                </w:rPr>
                <m:t>CV</m:t>
              </m:r>
            </m:e>
            <m:sub>
              <m:r>
                <w:rPr>
                  <w:rFonts w:ascii="Cambria Math" w:hAnsi="Cambria Math" w:cs="Arial"/>
                  <w:szCs w:val="22"/>
                  <w:lang w:val="en-GB"/>
                </w:rPr>
                <m:t>2</m:t>
              </m:r>
            </m:sub>
          </m:sSub>
          <m:r>
            <w:rPr>
              <w:rFonts w:ascii="Cambria Math" w:hAnsi="Cambria Math" w:cs="Arial"/>
              <w:szCs w:val="22"/>
              <w:lang w:val="en-GB"/>
            </w:rPr>
            <m:t>=Control Variable 2 (firm size, measured by natural logarithm of Total Assets)</m:t>
          </m:r>
        </m:oMath>
      </m:oMathPara>
    </w:p>
    <w:p w:rsidR="007C7F32" w:rsidRPr="00B97064" w:rsidRDefault="007C7F32" w:rsidP="006D0E45">
      <w:pPr>
        <w:pStyle w:val="Heading2"/>
        <w:rPr>
          <w:lang w:val="en-GB"/>
        </w:rPr>
      </w:pPr>
      <w:bookmarkStart w:id="77" w:name="_Ref345164387"/>
      <w:bookmarkStart w:id="78" w:name="_Toc349585492"/>
      <w:r w:rsidRPr="00B97064">
        <w:rPr>
          <w:lang w:val="en-GB"/>
        </w:rPr>
        <w:t>4.6 Panel data analysis research part I &amp; II</w:t>
      </w:r>
      <w:bookmarkEnd w:id="77"/>
      <w:bookmarkEnd w:id="78"/>
    </w:p>
    <w:p w:rsidR="007C7F32" w:rsidRPr="00B97064" w:rsidRDefault="007C7F32" w:rsidP="00B352DF">
      <w:pPr>
        <w:rPr>
          <w:rFonts w:cs="Arial"/>
          <w:szCs w:val="22"/>
          <w:lang w:val="en-GB"/>
        </w:rPr>
      </w:pPr>
      <w:r w:rsidRPr="00B97064">
        <w:rPr>
          <w:rFonts w:cs="Arial"/>
          <w:szCs w:val="22"/>
          <w:lang w:val="en-GB"/>
        </w:rPr>
        <w:t xml:space="preserve">After the execution of the ‘normal’ regressions for research part I and II as described </w:t>
      </w:r>
      <w:r w:rsidR="00E911E8" w:rsidRPr="00B97064">
        <w:rPr>
          <w:rFonts w:cs="Arial"/>
          <w:szCs w:val="22"/>
          <w:lang w:val="en-GB"/>
        </w:rPr>
        <w:t>in the previous sections</w:t>
      </w:r>
      <w:r w:rsidRPr="00B97064">
        <w:rPr>
          <w:rFonts w:cs="Arial"/>
          <w:szCs w:val="22"/>
          <w:lang w:val="en-GB"/>
        </w:rPr>
        <w:t xml:space="preserve">, I use another method to analyse my data; panel data analysis. This may give some other results than the normal regressions as discussed in section </w:t>
      </w:r>
      <w:fldSimple w:instr=" REF _Ref345154381 \h  \* MERGEFORMAT ">
        <w:r w:rsidR="004C718C" w:rsidRPr="00B97064">
          <w:rPr>
            <w:lang w:val="en-GB"/>
          </w:rPr>
          <w:t>4.4 Research part I: Relation RPTs, disclosure quality and firm value</w:t>
        </w:r>
      </w:fldSimple>
      <w:r w:rsidRPr="00B97064">
        <w:rPr>
          <w:rFonts w:cs="Arial"/>
          <w:szCs w:val="22"/>
          <w:lang w:val="en-GB"/>
        </w:rPr>
        <w:t xml:space="preserve"> and </w:t>
      </w:r>
      <w:fldSimple w:instr=" REF _Ref345154387 \h  \* MERGEFORMAT ">
        <w:r w:rsidR="004C718C" w:rsidRPr="00B97064">
          <w:rPr>
            <w:lang w:val="en-GB"/>
          </w:rPr>
          <w:t>4.5 Research part II: Relation CGOCs and PRTs</w:t>
        </w:r>
      </w:fldSimple>
      <w:r w:rsidRPr="00B97064">
        <w:rPr>
          <w:rFonts w:cs="Arial"/>
          <w:szCs w:val="22"/>
          <w:lang w:val="en-GB"/>
        </w:rPr>
        <w:t xml:space="preserve">. I merge my data of 2003 and 2009 </w:t>
      </w:r>
      <w:r w:rsidR="00F6793A" w:rsidRPr="00B97064">
        <w:rPr>
          <w:rFonts w:cs="Arial"/>
          <w:szCs w:val="22"/>
          <w:lang w:val="en-GB"/>
        </w:rPr>
        <w:t>in</w:t>
      </w:r>
      <w:r w:rsidRPr="00B97064">
        <w:rPr>
          <w:rFonts w:cs="Arial"/>
          <w:szCs w:val="22"/>
          <w:lang w:val="en-GB"/>
        </w:rPr>
        <w:t>to one dataset. This dataset consists of data of the same units (same Dutch listed firms) with repeated observations over different time periods</w:t>
      </w:r>
      <w:r w:rsidR="00F6793A" w:rsidRPr="00B97064">
        <w:rPr>
          <w:rFonts w:cs="Arial"/>
          <w:szCs w:val="22"/>
          <w:lang w:val="en-GB"/>
        </w:rPr>
        <w:t xml:space="preserve"> (years 2003 and 2009)</w:t>
      </w:r>
      <w:r w:rsidRPr="00B97064">
        <w:rPr>
          <w:rFonts w:cs="Arial"/>
          <w:szCs w:val="22"/>
          <w:lang w:val="en-GB"/>
        </w:rPr>
        <w:t xml:space="preserve">. The data is characterized by the fact that it has two dimensions; an individual dimension per firm (index </w:t>
      </w:r>
      <w:r w:rsidRPr="00B97064">
        <w:rPr>
          <w:rFonts w:cs="Arial"/>
          <w:i/>
          <w:szCs w:val="22"/>
          <w:lang w:val="en-GB"/>
        </w:rPr>
        <w:t>i</w:t>
      </w:r>
      <w:r w:rsidRPr="00B97064">
        <w:rPr>
          <w:rFonts w:cs="Arial"/>
          <w:szCs w:val="22"/>
          <w:lang w:val="en-GB"/>
        </w:rPr>
        <w:t xml:space="preserve">) and a time dimension (index </w:t>
      </w:r>
      <w:r w:rsidRPr="00B97064">
        <w:rPr>
          <w:rFonts w:cs="Arial"/>
          <w:i/>
          <w:szCs w:val="22"/>
          <w:lang w:val="en-GB"/>
        </w:rPr>
        <w:t>t</w:t>
      </w:r>
      <w:r w:rsidRPr="00B97064">
        <w:rPr>
          <w:rFonts w:cs="Arial"/>
          <w:szCs w:val="22"/>
          <w:lang w:val="en-GB"/>
        </w:rPr>
        <w:t>). There are two types of panel data models:</w:t>
      </w:r>
    </w:p>
    <w:p w:rsidR="007C7F32" w:rsidRPr="00B97064" w:rsidRDefault="007C7F32" w:rsidP="00B352DF">
      <w:pPr>
        <w:rPr>
          <w:rFonts w:cs="Arial"/>
          <w:szCs w:val="22"/>
          <w:lang w:val="en-GB"/>
        </w:rPr>
      </w:pPr>
    </w:p>
    <w:p w:rsidR="007C7F32" w:rsidRPr="00B97064" w:rsidRDefault="007C7F32" w:rsidP="00C140CF">
      <w:pPr>
        <w:numPr>
          <w:ilvl w:val="0"/>
          <w:numId w:val="70"/>
        </w:numPr>
        <w:rPr>
          <w:i/>
          <w:lang w:val="en-GB"/>
        </w:rPr>
      </w:pPr>
      <w:r w:rsidRPr="00B97064">
        <w:rPr>
          <w:i/>
          <w:lang w:val="en-GB"/>
        </w:rPr>
        <w:t>Random effects model:</w:t>
      </w:r>
    </w:p>
    <w:p w:rsidR="00225662" w:rsidRPr="00B97064" w:rsidRDefault="00225662" w:rsidP="00225662">
      <w:pPr>
        <w:ind w:left="720"/>
        <w:rPr>
          <w:i/>
          <w:lang w:val="en-GB"/>
        </w:rPr>
      </w:pPr>
    </w:p>
    <w:p w:rsidR="007C7F32" w:rsidRPr="00B97064" w:rsidRDefault="00E80C96" w:rsidP="00F6793A">
      <w:pPr>
        <w:ind w:left="708"/>
        <w:rPr>
          <w:i/>
          <w:lang w:val="en-GB"/>
        </w:rPr>
      </w:pPr>
      <m:oMathPara>
        <m:oMathParaPr>
          <m:jc m:val="left"/>
        </m:oMathParaPr>
        <m:oMath>
          <m:sSub>
            <m:sSubPr>
              <m:ctrlPr>
                <w:rPr>
                  <w:rFonts w:ascii="Cambria Math" w:hAnsi="Cambria Math"/>
                  <w:i/>
                  <w:lang w:val="en-GB"/>
                </w:rPr>
              </m:ctrlPr>
            </m:sSubPr>
            <m:e>
              <m:r>
                <w:rPr>
                  <w:rFonts w:ascii="Cambria Math" w:hAnsi="Cambria Math"/>
                  <w:lang w:val="en-GB"/>
                </w:rPr>
                <m:t>TQ</m:t>
              </m:r>
            </m:e>
            <m:sub>
              <m:r>
                <w:rPr>
                  <w:rFonts w:ascii="Cambria Math" w:hAnsi="Cambria Math"/>
                  <w:lang w:val="en-GB"/>
                </w:rPr>
                <m:t>it</m:t>
              </m:r>
            </m:sub>
          </m:sSub>
          <m:r>
            <w:rPr>
              <w:rFonts w:ascii="Cambria Math" w:hAnsi="Cambria Math"/>
              <w:lang w:val="en-GB"/>
            </w:rPr>
            <m:t>=α+</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1</m:t>
              </m:r>
            </m:sub>
          </m:sSub>
          <m:sSub>
            <m:sSubPr>
              <m:ctrlPr>
                <w:rPr>
                  <w:rFonts w:ascii="Cambria Math" w:hAnsi="Cambria Math"/>
                  <w:i/>
                  <w:lang w:val="en-GB"/>
                </w:rPr>
              </m:ctrlPr>
            </m:sSubPr>
            <m:e>
              <m:r>
                <w:rPr>
                  <w:rFonts w:ascii="Cambria Math" w:hAnsi="Cambria Math"/>
                  <w:lang w:val="en-GB"/>
                </w:rPr>
                <m:t>RPT</m:t>
              </m:r>
            </m:e>
            <m:sub>
              <m:r>
                <w:rPr>
                  <w:rFonts w:ascii="Cambria Math" w:hAnsi="Cambria Math"/>
                  <w:lang w:val="en-GB"/>
                </w:rPr>
                <m:t>it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2</m:t>
              </m:r>
            </m:sub>
          </m:sSub>
          <m:sSub>
            <m:sSubPr>
              <m:ctrlPr>
                <w:rPr>
                  <w:rFonts w:ascii="Cambria Math" w:hAnsi="Cambria Math"/>
                  <w:i/>
                  <w:lang w:val="en-GB"/>
                </w:rPr>
              </m:ctrlPr>
            </m:sSubPr>
            <m:e>
              <m:r>
                <w:rPr>
                  <w:rFonts w:ascii="Cambria Math" w:hAnsi="Cambria Math"/>
                  <w:lang w:val="en-GB"/>
                </w:rPr>
                <m:t>DL</m:t>
              </m:r>
            </m:e>
            <m:sub>
              <m:r>
                <w:rPr>
                  <w:rFonts w:ascii="Cambria Math" w:hAnsi="Cambria Math"/>
                  <w:lang w:val="en-GB"/>
                </w:rPr>
                <m:t>it</m:t>
              </m:r>
            </m:sub>
          </m:sSub>
          <m:r>
            <w:rPr>
              <w:rFonts w:ascii="Cambria Math" w:hAnsi="Cambria Math"/>
              <w:lang w:val="en-GB"/>
            </w:rPr>
            <m:t xml:space="preserve">+ </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3</m:t>
              </m:r>
            </m:sub>
          </m:sSub>
          <m:sSub>
            <m:sSubPr>
              <m:ctrlPr>
                <w:rPr>
                  <w:rFonts w:ascii="Cambria Math" w:hAnsi="Cambria Math"/>
                  <w:i/>
                  <w:lang w:val="en-GB"/>
                </w:rPr>
              </m:ctrlPr>
            </m:sSubPr>
            <m:e>
              <m:r>
                <w:rPr>
                  <w:rFonts w:ascii="Cambria Math" w:hAnsi="Cambria Math"/>
                  <w:lang w:val="en-GB"/>
                </w:rPr>
                <m:t>CV1</m:t>
              </m:r>
            </m:e>
            <m:sub>
              <m:r>
                <w:rPr>
                  <w:rFonts w:ascii="Cambria Math" w:hAnsi="Cambria Math"/>
                  <w:lang w:val="en-GB"/>
                </w:rPr>
                <m:t>it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it</m:t>
              </m:r>
            </m:sub>
          </m:sSub>
        </m:oMath>
      </m:oMathPara>
    </w:p>
    <w:p w:rsidR="007C7F32" w:rsidRPr="00B97064" w:rsidRDefault="007C7F32" w:rsidP="00B352DF">
      <w:pPr>
        <w:rPr>
          <w:rFonts w:cs="Arial"/>
          <w:lang w:val="en-GB"/>
        </w:rPr>
      </w:pPr>
    </w:p>
    <w:p w:rsidR="007C7F32" w:rsidRPr="00B97064" w:rsidRDefault="007C7F32" w:rsidP="00316C1A">
      <w:pPr>
        <w:jc w:val="left"/>
        <w:rPr>
          <w:rFonts w:cs="Arial"/>
          <w:lang w:val="en-GB"/>
        </w:rPr>
      </w:pPr>
      <w:r w:rsidRPr="00B97064">
        <w:rPr>
          <w:rFonts w:cs="Arial"/>
          <w:lang w:val="en-GB"/>
        </w:rPr>
        <w:t>Where:</w:t>
      </w:r>
      <w:r w:rsidRPr="00B97064">
        <w:rPr>
          <w:rFonts w:ascii="Cambria Math" w:hAnsi="Cambria Math"/>
          <w:lang w:val="en-GB"/>
        </w:rPr>
        <w:br/>
      </w:r>
      <m:oMathPara>
        <m:oMathParaPr>
          <m:jc m:val="left"/>
        </m:oMathParaPr>
        <m:oMath>
          <m:r>
            <w:rPr>
              <w:rFonts w:ascii="Cambria Math" w:hAnsi="Cambria Math"/>
              <w:lang w:val="en-GB"/>
            </w:rPr>
            <m:t>TQ=Tobi</m:t>
          </m:r>
          <m:sSup>
            <m:sSupPr>
              <m:ctrlPr>
                <w:rPr>
                  <w:rFonts w:ascii="Cambria Math" w:hAnsi="Cambria Math"/>
                  <w:i/>
                  <w:lang w:val="en-GB"/>
                </w:rPr>
              </m:ctrlPr>
            </m:sSupPr>
            <m:e>
              <m:r>
                <w:rPr>
                  <w:rFonts w:ascii="Cambria Math" w:hAnsi="Cambria Math"/>
                  <w:lang w:val="en-GB"/>
                </w:rPr>
                <m:t>n</m:t>
              </m:r>
            </m:e>
            <m:sup>
              <m:r>
                <w:rPr>
                  <w:rFonts w:ascii="Cambria Math" w:hAnsi="Cambria Math"/>
                  <w:lang w:val="en-GB"/>
                </w:rPr>
                <m:t>'</m:t>
              </m:r>
            </m:sup>
          </m:sSup>
          <m:r>
            <w:rPr>
              <w:rFonts w:ascii="Cambria Math" w:hAnsi="Cambria Math"/>
              <w:lang w:val="en-GB"/>
            </w:rPr>
            <m:t>s Q</m:t>
          </m:r>
        </m:oMath>
      </m:oMathPara>
    </w:p>
    <w:p w:rsidR="00225662" w:rsidRPr="00B97064" w:rsidRDefault="007C58A9" w:rsidP="00316C1A">
      <w:pPr>
        <w:jc w:val="left"/>
        <w:rPr>
          <w:lang w:val="en-GB"/>
        </w:rPr>
      </w:pPr>
      <m:oMathPara>
        <m:oMathParaPr>
          <m:jc m:val="left"/>
        </m:oMathParaPr>
        <m:oMath>
          <m:r>
            <w:rPr>
              <w:rFonts w:ascii="Cambria Math" w:hAnsi="Cambria Math"/>
              <w:lang w:val="en-GB"/>
            </w:rPr>
            <m:t>i=dutch listed firm</m:t>
          </m:r>
        </m:oMath>
      </m:oMathPara>
    </w:p>
    <w:p w:rsidR="007C7F32" w:rsidRPr="00B97064" w:rsidRDefault="007C58A9" w:rsidP="00316C1A">
      <w:pPr>
        <w:jc w:val="left"/>
        <w:rPr>
          <w:lang w:val="en-GB"/>
        </w:rPr>
      </w:pPr>
      <m:oMathPara>
        <m:oMathParaPr>
          <m:jc m:val="left"/>
        </m:oMathParaPr>
        <m:oMath>
          <m:r>
            <w:rPr>
              <w:rFonts w:ascii="Cambria Math" w:hAnsi="Cambria Math"/>
              <w:lang w:val="en-GB"/>
            </w:rPr>
            <m:t>t=year</m:t>
          </m:r>
        </m:oMath>
      </m:oMathPara>
    </w:p>
    <w:p w:rsidR="00225662" w:rsidRPr="00B97064" w:rsidRDefault="007C58A9" w:rsidP="00316C1A">
      <w:pPr>
        <w:jc w:val="left"/>
        <w:rPr>
          <w:lang w:val="en-GB"/>
        </w:rPr>
      </w:pPr>
      <m:oMathPara>
        <m:oMathParaPr>
          <m:jc m:val="left"/>
        </m:oMathParaPr>
        <m:oMath>
          <m:r>
            <w:rPr>
              <w:rFonts w:ascii="Cambria Math" w:hAnsi="Cambria Math"/>
              <w:lang w:val="en-GB"/>
            </w:rPr>
            <m:t>α=intercept</m:t>
          </m:r>
        </m:oMath>
      </m:oMathPara>
    </w:p>
    <w:p w:rsidR="00225662" w:rsidRPr="00B97064" w:rsidRDefault="007C58A9" w:rsidP="00316C1A">
      <w:pPr>
        <w:jc w:val="left"/>
        <w:rPr>
          <w:lang w:val="en-GB"/>
        </w:rPr>
      </w:pPr>
      <m:oMathPara>
        <m:oMathParaPr>
          <m:jc m:val="left"/>
        </m:oMathParaPr>
        <m:oMath>
          <m:r>
            <w:rPr>
              <w:rFonts w:ascii="Cambria Math" w:hAnsi="Cambria Math"/>
              <w:lang w:val="en-GB"/>
            </w:rPr>
            <m:t>β= coefficient</m:t>
          </m:r>
        </m:oMath>
      </m:oMathPara>
    </w:p>
    <w:p w:rsidR="00225662" w:rsidRPr="00B97064" w:rsidRDefault="007C58A9" w:rsidP="00316C1A">
      <w:pPr>
        <w:jc w:val="left"/>
        <w:rPr>
          <w:lang w:val="en-GB"/>
        </w:rPr>
      </w:pPr>
      <m:oMathPara>
        <m:oMathParaPr>
          <m:jc m:val="left"/>
        </m:oMathParaPr>
        <m:oMath>
          <m:r>
            <w:rPr>
              <w:rFonts w:ascii="Cambria Math" w:hAnsi="Cambria Math"/>
              <w:lang w:val="en-GB"/>
            </w:rPr>
            <m:t>RPT=amount of RPTS</m:t>
          </m:r>
        </m:oMath>
      </m:oMathPara>
    </w:p>
    <w:p w:rsidR="00225662" w:rsidRPr="00B97064" w:rsidRDefault="007C58A9" w:rsidP="00316C1A">
      <w:pPr>
        <w:jc w:val="left"/>
        <w:rPr>
          <w:lang w:val="en-GB"/>
        </w:rPr>
      </w:pPr>
      <m:oMathPara>
        <m:oMathParaPr>
          <m:jc m:val="left"/>
        </m:oMathParaPr>
        <m:oMath>
          <m:r>
            <w:rPr>
              <w:rFonts w:ascii="Cambria Math" w:hAnsi="Cambria Math"/>
              <w:lang w:val="en-GB"/>
            </w:rPr>
            <m:t>DL=disclosure level</m:t>
          </m:r>
        </m:oMath>
      </m:oMathPara>
    </w:p>
    <w:p w:rsidR="00225662" w:rsidRPr="00B97064" w:rsidRDefault="007C58A9" w:rsidP="00316C1A">
      <w:pPr>
        <w:jc w:val="left"/>
        <w:rPr>
          <w:lang w:val="en-GB"/>
        </w:rPr>
      </w:pPr>
      <m:oMathPara>
        <m:oMathParaPr>
          <m:jc m:val="left"/>
        </m:oMathParaPr>
        <m:oMath>
          <m:r>
            <w:rPr>
              <w:rFonts w:ascii="Cambria Math" w:hAnsi="Cambria Math"/>
              <w:lang w:val="en-GB"/>
            </w:rPr>
            <m:t>CV₁=control variable  1:</m:t>
          </m:r>
          <m:sSub>
            <m:sSubPr>
              <m:ctrlPr>
                <w:rPr>
                  <w:rFonts w:ascii="Cambria Math" w:hAnsi="Cambria Math"/>
                  <w:i/>
                  <w:lang w:val="en-GB"/>
                </w:rPr>
              </m:ctrlPr>
            </m:sSubPr>
            <m:e>
              <m:r>
                <w:rPr>
                  <w:rFonts w:ascii="Cambria Math" w:hAnsi="Cambria Math"/>
                  <w:lang w:val="en-GB"/>
                </w:rPr>
                <m:t>TQ</m:t>
              </m:r>
            </m:e>
            <m:sub>
              <m:r>
                <w:rPr>
                  <w:rFonts w:ascii="Cambria Math" w:hAnsi="Cambria Math"/>
                  <w:lang w:val="en-GB"/>
                </w:rPr>
                <m:t>t-1</m:t>
              </m:r>
            </m:sub>
          </m:sSub>
        </m:oMath>
      </m:oMathPara>
    </w:p>
    <w:p w:rsidR="00225662" w:rsidRPr="00B97064" w:rsidRDefault="00E80C96" w:rsidP="00316C1A">
      <w:pPr>
        <w:jc w:val="left"/>
        <w:rPr>
          <w:lang w:val="en-GB"/>
        </w:rPr>
      </w:pPr>
      <m:oMathPara>
        <m:oMathParaPr>
          <m:jc m:val="left"/>
        </m:oMathParaPr>
        <m:oMath>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it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μ</m:t>
              </m:r>
            </m:e>
            <m:sub>
              <m:r>
                <w:rPr>
                  <w:rFonts w:ascii="Cambria Math" w:hAnsi="Cambria Math"/>
                  <w:lang w:val="en-GB"/>
                </w:rPr>
                <m:t>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ε</m:t>
              </m:r>
            </m:e>
            <m:sub>
              <m:r>
                <w:rPr>
                  <w:rFonts w:ascii="Cambria Math" w:hAnsi="Cambria Math"/>
                  <w:lang w:val="en-GB"/>
                </w:rPr>
                <m:t>it</m:t>
              </m:r>
            </m:sub>
          </m:sSub>
          <m:r>
            <w:rPr>
              <w:rFonts w:ascii="Cambria Math" w:hAnsi="Cambria Math"/>
              <w:lang w:val="en-GB"/>
            </w:rPr>
            <m:t xml:space="preserve"> (between entity  respectively within entity error term)</m:t>
          </m:r>
        </m:oMath>
      </m:oMathPara>
    </w:p>
    <w:p w:rsidR="00225662" w:rsidRPr="00B97064" w:rsidRDefault="00225662" w:rsidP="00B352DF">
      <w:pPr>
        <w:rPr>
          <w:rFonts w:cs="Arial"/>
          <w:lang w:val="en-GB"/>
        </w:rPr>
      </w:pPr>
    </w:p>
    <w:p w:rsidR="007C7F32" w:rsidRPr="00B97064" w:rsidRDefault="007C7F32" w:rsidP="00B352DF">
      <w:pPr>
        <w:rPr>
          <w:rFonts w:cs="Arial"/>
          <w:lang w:val="en-GB"/>
        </w:rPr>
      </w:pPr>
      <w:r w:rsidRPr="00B97064">
        <w:rPr>
          <w:rFonts w:cs="Arial"/>
          <w:lang w:val="en-GB"/>
        </w:rPr>
        <w:t xml:space="preserve">This results in the final </w:t>
      </w:r>
      <w:r w:rsidR="00E911E8" w:rsidRPr="00B97064">
        <w:rPr>
          <w:rFonts w:cs="Arial"/>
          <w:lang w:val="en-GB"/>
        </w:rPr>
        <w:t xml:space="preserve">random effects model </w:t>
      </w:r>
      <w:r w:rsidRPr="00B97064">
        <w:rPr>
          <w:rFonts w:cs="Arial"/>
          <w:lang w:val="en-GB"/>
        </w:rPr>
        <w:t>equation:</w:t>
      </w:r>
    </w:p>
    <w:p w:rsidR="007C7F32" w:rsidRPr="00B97064" w:rsidRDefault="00E80C96" w:rsidP="00F6793A">
      <w:pPr>
        <w:ind w:left="708"/>
        <w:rPr>
          <w:lang w:val="en-GB"/>
        </w:rPr>
      </w:pPr>
      <m:oMathPara>
        <m:oMathParaPr>
          <m:jc m:val="left"/>
        </m:oMathParaPr>
        <m:oMath>
          <m:sSub>
            <m:sSubPr>
              <m:ctrlPr>
                <w:rPr>
                  <w:rFonts w:ascii="Cambria Math" w:hAnsi="Cambria Math"/>
                  <w:i/>
                  <w:lang w:val="en-GB"/>
                </w:rPr>
              </m:ctrlPr>
            </m:sSubPr>
            <m:e>
              <m:r>
                <w:rPr>
                  <w:rFonts w:ascii="Cambria Math" w:hAnsi="Cambria Math"/>
                  <w:lang w:val="en-GB"/>
                </w:rPr>
                <m:t>TQ</m:t>
              </m:r>
            </m:e>
            <m:sub>
              <m:r>
                <w:rPr>
                  <w:rFonts w:ascii="Cambria Math" w:hAnsi="Cambria Math"/>
                  <w:lang w:val="en-GB"/>
                </w:rPr>
                <m:t>it</m:t>
              </m:r>
            </m:sub>
          </m:sSub>
          <m:r>
            <w:rPr>
              <w:rFonts w:ascii="Cambria Math" w:hAnsi="Cambria Math"/>
              <w:lang w:val="en-GB"/>
            </w:rPr>
            <m:t>=α+</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1</m:t>
              </m:r>
            </m:sub>
          </m:sSub>
          <m:sSub>
            <m:sSubPr>
              <m:ctrlPr>
                <w:rPr>
                  <w:rFonts w:ascii="Cambria Math" w:hAnsi="Cambria Math"/>
                  <w:i/>
                  <w:lang w:val="en-GB"/>
                </w:rPr>
              </m:ctrlPr>
            </m:sSubPr>
            <m:e>
              <m:r>
                <w:rPr>
                  <w:rFonts w:ascii="Cambria Math" w:hAnsi="Cambria Math"/>
                  <w:lang w:val="en-GB"/>
                </w:rPr>
                <m:t>RPT</m:t>
              </m:r>
            </m:e>
            <m:sub>
              <m:r>
                <w:rPr>
                  <w:rFonts w:ascii="Cambria Math" w:hAnsi="Cambria Math"/>
                  <w:lang w:val="en-GB"/>
                </w:rPr>
                <m:t>it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2</m:t>
              </m:r>
            </m:sub>
          </m:sSub>
          <m:sSub>
            <m:sSubPr>
              <m:ctrlPr>
                <w:rPr>
                  <w:rFonts w:ascii="Cambria Math" w:hAnsi="Cambria Math"/>
                  <w:i/>
                  <w:lang w:val="en-GB"/>
                </w:rPr>
              </m:ctrlPr>
            </m:sSubPr>
            <m:e>
              <m:r>
                <w:rPr>
                  <w:rFonts w:ascii="Cambria Math" w:hAnsi="Cambria Math"/>
                  <w:lang w:val="en-GB"/>
                </w:rPr>
                <m:t>DL</m:t>
              </m:r>
            </m:e>
            <m:sub>
              <m:r>
                <w:rPr>
                  <w:rFonts w:ascii="Cambria Math" w:hAnsi="Cambria Math"/>
                  <w:lang w:val="en-GB"/>
                </w:rPr>
                <m:t>it</m:t>
              </m:r>
            </m:sub>
          </m:sSub>
          <m:r>
            <w:rPr>
              <w:rFonts w:ascii="Cambria Math" w:hAnsi="Cambria Math"/>
              <w:lang w:val="en-GB"/>
            </w:rPr>
            <m:t xml:space="preserve">+ </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3</m:t>
              </m:r>
            </m:sub>
          </m:sSub>
          <m:sSub>
            <m:sSubPr>
              <m:ctrlPr>
                <w:rPr>
                  <w:rFonts w:ascii="Cambria Math" w:hAnsi="Cambria Math"/>
                  <w:i/>
                  <w:lang w:val="en-GB"/>
                </w:rPr>
              </m:ctrlPr>
            </m:sSubPr>
            <m:e>
              <m:r>
                <w:rPr>
                  <w:rFonts w:ascii="Cambria Math" w:hAnsi="Cambria Math"/>
                  <w:lang w:val="en-GB"/>
                </w:rPr>
                <m:t>CV1</m:t>
              </m:r>
            </m:e>
            <m:sub>
              <m:r>
                <w:rPr>
                  <w:rFonts w:ascii="Cambria Math" w:hAnsi="Cambria Math"/>
                  <w:lang w:val="en-GB"/>
                </w:rPr>
                <m:t>it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μ</m:t>
              </m:r>
            </m:e>
            <m:sub>
              <m:r>
                <w:rPr>
                  <w:rFonts w:ascii="Cambria Math" w:hAnsi="Cambria Math"/>
                  <w:lang w:val="en-GB"/>
                </w:rPr>
                <m:t>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ε</m:t>
              </m:r>
            </m:e>
            <m:sub>
              <m:r>
                <w:rPr>
                  <w:rFonts w:ascii="Cambria Math" w:hAnsi="Cambria Math"/>
                  <w:lang w:val="en-GB"/>
                </w:rPr>
                <m:t>it</m:t>
              </m:r>
            </m:sub>
          </m:sSub>
        </m:oMath>
      </m:oMathPara>
    </w:p>
    <w:p w:rsidR="00316C1A" w:rsidRPr="00B97064" w:rsidRDefault="00316C1A" w:rsidP="00316C1A">
      <w:pPr>
        <w:rPr>
          <w:lang w:val="en-GB"/>
        </w:rPr>
      </w:pPr>
    </w:p>
    <w:p w:rsidR="00D7306A" w:rsidRPr="00B97064" w:rsidRDefault="00D7306A" w:rsidP="00D7306A">
      <w:pPr>
        <w:rPr>
          <w:lang w:val="en-GB"/>
        </w:rPr>
      </w:pPr>
      <w:r w:rsidRPr="00B97064">
        <w:rPr>
          <w:lang w:val="en-GB"/>
        </w:rPr>
        <w:t>Where:</w:t>
      </w:r>
    </w:p>
    <w:p w:rsidR="00D7306A" w:rsidRPr="00B97064" w:rsidRDefault="007C58A9" w:rsidP="00D7306A">
      <w:pPr>
        <w:rPr>
          <w:lang w:val="en-GB"/>
        </w:rPr>
      </w:pPr>
      <m:oMathPara>
        <m:oMathParaPr>
          <m:jc m:val="left"/>
        </m:oMathParaPr>
        <m:oMath>
          <m:r>
            <w:rPr>
              <w:rFonts w:ascii="Cambria Math" w:hAnsi="Cambria Math"/>
              <w:lang w:val="en-GB"/>
            </w:rPr>
            <m:t>μ=between entity error term</m:t>
          </m:r>
        </m:oMath>
      </m:oMathPara>
    </w:p>
    <w:p w:rsidR="00D7306A" w:rsidRPr="00B97064" w:rsidRDefault="007C58A9" w:rsidP="00D7306A">
      <w:pPr>
        <w:rPr>
          <w:lang w:val="en-GB"/>
        </w:rPr>
      </w:pPr>
      <m:oMathPara>
        <m:oMathParaPr>
          <m:jc m:val="left"/>
        </m:oMathParaPr>
        <m:oMath>
          <m:r>
            <w:rPr>
              <w:rFonts w:ascii="Cambria Math" w:hAnsi="Cambria Math"/>
              <w:lang w:val="en-GB"/>
            </w:rPr>
            <m:t>ε=within entity error term</m:t>
          </m:r>
        </m:oMath>
      </m:oMathPara>
    </w:p>
    <w:p w:rsidR="007C7F32" w:rsidRPr="00B97064" w:rsidRDefault="007C7F32" w:rsidP="00B352DF">
      <w:pPr>
        <w:rPr>
          <w:rFonts w:cs="Arial"/>
          <w:szCs w:val="22"/>
          <w:lang w:val="en-GB"/>
        </w:rPr>
      </w:pPr>
    </w:p>
    <w:p w:rsidR="007C7F32" w:rsidRPr="00B97064" w:rsidRDefault="007C7F32" w:rsidP="00C140CF">
      <w:pPr>
        <w:numPr>
          <w:ilvl w:val="0"/>
          <w:numId w:val="70"/>
        </w:numPr>
        <w:rPr>
          <w:bCs/>
          <w:i/>
          <w:lang w:val="en-GB"/>
        </w:rPr>
      </w:pPr>
      <w:r w:rsidRPr="00B97064">
        <w:rPr>
          <w:bCs/>
          <w:i/>
          <w:lang w:val="en-GB"/>
        </w:rPr>
        <w:t>Fixed effects model:</w:t>
      </w:r>
    </w:p>
    <w:p w:rsidR="007C7F32" w:rsidRPr="00B97064" w:rsidRDefault="007C7F32" w:rsidP="00E92DE2">
      <w:pPr>
        <w:ind w:left="720"/>
        <w:rPr>
          <w:bCs/>
          <w:i/>
          <w:lang w:val="en-GB"/>
        </w:rPr>
      </w:pPr>
    </w:p>
    <w:p w:rsidR="007C7F32" w:rsidRPr="00B97064" w:rsidRDefault="00E80C96" w:rsidP="00F6793A">
      <w:pPr>
        <w:ind w:left="708"/>
        <w:rPr>
          <w:i/>
          <w:lang w:val="en-GB"/>
        </w:rPr>
      </w:pPr>
      <m:oMathPara>
        <m:oMathParaPr>
          <m:jc m:val="left"/>
        </m:oMathParaPr>
        <m:oMath>
          <m:sSub>
            <m:sSubPr>
              <m:ctrlPr>
                <w:rPr>
                  <w:rFonts w:ascii="Cambria Math" w:hAnsi="Cambria Math"/>
                  <w:i/>
                  <w:lang w:val="en-GB"/>
                </w:rPr>
              </m:ctrlPr>
            </m:sSubPr>
            <m:e>
              <m:sSub>
                <m:sSubPr>
                  <m:ctrlPr>
                    <w:rPr>
                      <w:rFonts w:ascii="Cambria Math" w:hAnsi="Cambria Math"/>
                      <w:i/>
                      <w:lang w:val="en-GB"/>
                    </w:rPr>
                  </m:ctrlPr>
                </m:sSubPr>
                <m:e>
                  <m:r>
                    <w:rPr>
                      <w:rFonts w:ascii="Cambria Math" w:hAnsi="Cambria Math"/>
                      <w:lang w:val="en-GB"/>
                    </w:rPr>
                    <m:t>TQ</m:t>
                  </m:r>
                </m:e>
                <m:sub>
                  <m:r>
                    <w:rPr>
                      <w:rFonts w:ascii="Cambria Math" w:hAnsi="Cambria Math"/>
                      <w:lang w:val="en-GB"/>
                    </w:rPr>
                    <m:t>it</m:t>
                  </m:r>
                </m:sub>
              </m:sSub>
              <m:r>
                <w:rPr>
                  <w:rFonts w:ascii="Cambria Math" w:hAnsi="Cambria Math"/>
                  <w:lang w:val="en-GB"/>
                </w:rPr>
                <m:t>=α</m:t>
              </m:r>
            </m:e>
            <m:sub>
              <m:r>
                <w:rPr>
                  <w:rFonts w:ascii="Cambria Math" w:hAnsi="Cambria Math"/>
                  <w:lang w:val="en-GB"/>
                </w:rPr>
                <m:t>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1</m:t>
              </m:r>
            </m:sub>
          </m:sSub>
          <m:sSub>
            <m:sSubPr>
              <m:ctrlPr>
                <w:rPr>
                  <w:rFonts w:ascii="Cambria Math" w:hAnsi="Cambria Math"/>
                  <w:i/>
                  <w:lang w:val="en-GB"/>
                </w:rPr>
              </m:ctrlPr>
            </m:sSubPr>
            <m:e>
              <m:r>
                <w:rPr>
                  <w:rFonts w:ascii="Cambria Math" w:hAnsi="Cambria Math"/>
                  <w:lang w:val="en-GB"/>
                </w:rPr>
                <m:t>RPT</m:t>
              </m:r>
            </m:e>
            <m:sub>
              <m:r>
                <w:rPr>
                  <w:rFonts w:ascii="Cambria Math" w:hAnsi="Cambria Math"/>
                  <w:lang w:val="en-GB"/>
                </w:rPr>
                <m:t>it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2</m:t>
              </m:r>
            </m:sub>
          </m:sSub>
          <m:sSub>
            <m:sSubPr>
              <m:ctrlPr>
                <w:rPr>
                  <w:rFonts w:ascii="Cambria Math" w:hAnsi="Cambria Math"/>
                  <w:i/>
                  <w:lang w:val="en-GB"/>
                </w:rPr>
              </m:ctrlPr>
            </m:sSubPr>
            <m:e>
              <m:r>
                <w:rPr>
                  <w:rFonts w:ascii="Cambria Math" w:hAnsi="Cambria Math"/>
                  <w:lang w:val="en-GB"/>
                </w:rPr>
                <m:t>DL</m:t>
              </m:r>
            </m:e>
            <m:sub>
              <m:r>
                <w:rPr>
                  <w:rFonts w:ascii="Cambria Math" w:hAnsi="Cambria Math"/>
                  <w:lang w:val="en-GB"/>
                </w:rPr>
                <m:t>it</m:t>
              </m:r>
            </m:sub>
          </m:sSub>
          <m:r>
            <w:rPr>
              <w:rFonts w:ascii="Cambria Math" w:hAnsi="Cambria Math"/>
              <w:lang w:val="en-GB"/>
            </w:rPr>
            <m:t xml:space="preserve">+ </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3</m:t>
              </m:r>
            </m:sub>
          </m:sSub>
          <m:sSub>
            <m:sSubPr>
              <m:ctrlPr>
                <w:rPr>
                  <w:rFonts w:ascii="Cambria Math" w:hAnsi="Cambria Math"/>
                  <w:i/>
                  <w:lang w:val="en-GB"/>
                </w:rPr>
              </m:ctrlPr>
            </m:sSubPr>
            <m:e>
              <m:r>
                <w:rPr>
                  <w:rFonts w:ascii="Cambria Math" w:hAnsi="Cambria Math"/>
                  <w:lang w:val="en-GB"/>
                </w:rPr>
                <m:t>CV1</m:t>
              </m:r>
            </m:e>
            <m:sub>
              <m:r>
                <w:rPr>
                  <w:rFonts w:ascii="Cambria Math" w:hAnsi="Cambria Math"/>
                  <w:lang w:val="en-GB"/>
                </w:rPr>
                <m:t>it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ε</m:t>
              </m:r>
            </m:e>
            <m:sub>
              <m:r>
                <w:rPr>
                  <w:rFonts w:ascii="Cambria Math" w:hAnsi="Cambria Math"/>
                  <w:lang w:val="en-GB"/>
                </w:rPr>
                <m:t>it</m:t>
              </m:r>
            </m:sub>
          </m:sSub>
        </m:oMath>
      </m:oMathPara>
    </w:p>
    <w:p w:rsidR="00316C1A" w:rsidRPr="00B97064" w:rsidRDefault="00316C1A" w:rsidP="00316C1A">
      <w:pPr>
        <w:rPr>
          <w:bCs/>
          <w:i/>
          <w:lang w:val="en-GB"/>
        </w:rPr>
      </w:pPr>
    </w:p>
    <w:p w:rsidR="007C7F32" w:rsidRPr="00B97064" w:rsidRDefault="007C7F32" w:rsidP="00B352DF">
      <w:pPr>
        <w:rPr>
          <w:rFonts w:cs="Arial"/>
          <w:lang w:val="en-GB"/>
        </w:rPr>
      </w:pPr>
      <w:r w:rsidRPr="00B97064">
        <w:rPr>
          <w:lang w:val="en-GB"/>
        </w:rPr>
        <w:t>The random effects model assumes that the independent variables (RPT</w:t>
      </w:r>
      <w:r w:rsidRPr="00B97064">
        <w:rPr>
          <w:i/>
          <w:vertAlign w:val="subscript"/>
          <w:lang w:val="en-GB"/>
        </w:rPr>
        <w:t xml:space="preserve">it, </w:t>
      </w:r>
      <w:r w:rsidRPr="00B97064">
        <w:rPr>
          <w:lang w:val="en-GB"/>
        </w:rPr>
        <w:t>DL</w:t>
      </w:r>
      <w:r w:rsidRPr="00B97064">
        <w:rPr>
          <w:i/>
          <w:vertAlign w:val="subscript"/>
          <w:lang w:val="en-GB"/>
        </w:rPr>
        <w:t xml:space="preserve">it </w:t>
      </w:r>
      <w:r w:rsidRPr="00B97064">
        <w:rPr>
          <w:lang w:val="en-GB"/>
        </w:rPr>
        <w:t>and CV1</w:t>
      </w:r>
      <w:r w:rsidRPr="00B97064">
        <w:rPr>
          <w:i/>
          <w:vertAlign w:val="subscript"/>
          <w:lang w:val="en-GB"/>
        </w:rPr>
        <w:t>it</w:t>
      </w:r>
      <w:r w:rsidRPr="00B97064">
        <w:rPr>
          <w:i/>
          <w:lang w:val="en-GB"/>
        </w:rPr>
        <w:t xml:space="preserve"> </w:t>
      </w:r>
      <w:r w:rsidRPr="00B97064">
        <w:rPr>
          <w:lang w:val="en-GB"/>
        </w:rPr>
        <w:t xml:space="preserve">are strictly exogenous, which means that those could not be dependent of past, current or future values of the error term. So, in case of the random effects model, the independent variables should not be dependent of either </w:t>
      </w:r>
      <w:r w:rsidRPr="00B97064">
        <w:rPr>
          <w:rFonts w:cs="Arial"/>
          <w:lang w:val="en-GB"/>
        </w:rPr>
        <w:t>µ</w:t>
      </w:r>
      <w:r w:rsidRPr="00B97064">
        <w:rPr>
          <w:rFonts w:cs="Arial"/>
          <w:vertAlign w:val="subscript"/>
          <w:lang w:val="en-GB"/>
        </w:rPr>
        <w:t>i</w:t>
      </w:r>
      <w:r w:rsidRPr="00B97064">
        <w:rPr>
          <w:rFonts w:cs="Arial"/>
          <w:lang w:val="en-GB"/>
        </w:rPr>
        <w:t xml:space="preserve"> or ε</w:t>
      </w:r>
      <w:r w:rsidRPr="00B97064">
        <w:rPr>
          <w:rFonts w:cs="Arial"/>
          <w:vertAlign w:val="subscript"/>
          <w:lang w:val="en-GB"/>
        </w:rPr>
        <w:t>it</w:t>
      </w:r>
      <w:r w:rsidR="00231DB0" w:rsidRPr="00B97064">
        <w:rPr>
          <w:rFonts w:cs="Arial"/>
          <w:lang w:val="en-GB"/>
        </w:rPr>
        <w:t>, which together constitute</w:t>
      </w:r>
      <w:r w:rsidRPr="00B97064">
        <w:rPr>
          <w:rFonts w:cs="Arial"/>
          <w:lang w:val="en-GB"/>
        </w:rPr>
        <w:t xml:space="preserve"> the error term. However, it is doubtful whether one or more explanatory variables are independent of µ</w:t>
      </w:r>
      <w:r w:rsidRPr="00B97064">
        <w:rPr>
          <w:rFonts w:cs="Arial"/>
          <w:vertAlign w:val="subscript"/>
          <w:lang w:val="en-GB"/>
        </w:rPr>
        <w:t>i</w:t>
      </w:r>
      <w:r w:rsidRPr="00B97064">
        <w:rPr>
          <w:rFonts w:cs="Arial"/>
          <w:lang w:val="en-GB"/>
        </w:rPr>
        <w:t>. The fixed effects model deals with this problem by adding an individual intercept term (α</w:t>
      </w:r>
      <w:r w:rsidRPr="00B97064">
        <w:rPr>
          <w:rFonts w:cs="Arial"/>
          <w:vertAlign w:val="subscript"/>
          <w:lang w:val="en-GB"/>
        </w:rPr>
        <w:t>i</w:t>
      </w:r>
      <w:r w:rsidRPr="00B97064">
        <w:rPr>
          <w:rFonts w:cs="Arial"/>
          <w:lang w:val="en-GB"/>
        </w:rPr>
        <w:t>), which replaced the μ</w:t>
      </w:r>
      <w:r w:rsidRPr="00B97064">
        <w:rPr>
          <w:rFonts w:cs="Arial"/>
          <w:i/>
          <w:vertAlign w:val="subscript"/>
          <w:lang w:val="en-GB"/>
        </w:rPr>
        <w:t>i</w:t>
      </w:r>
      <w:r w:rsidRPr="00B97064">
        <w:rPr>
          <w:rFonts w:cs="Arial"/>
          <w:lang w:val="en-GB"/>
        </w:rPr>
        <w:t xml:space="preserve"> of the random effects model. </w:t>
      </w:r>
      <w:r w:rsidRPr="00B97064">
        <w:rPr>
          <w:lang w:val="en-GB"/>
        </w:rPr>
        <w:t>The fixed effects model assumes that all coefficients (</w:t>
      </w:r>
      <w:r w:rsidRPr="00B97064">
        <w:rPr>
          <w:rFonts w:cs="Arial"/>
          <w:lang w:val="en-GB"/>
        </w:rPr>
        <w:t>β</w:t>
      </w:r>
      <w:r w:rsidRPr="00B97064">
        <w:rPr>
          <w:rFonts w:cs="Arial"/>
          <w:vertAlign w:val="subscript"/>
          <w:lang w:val="en-GB"/>
        </w:rPr>
        <w:t>1</w:t>
      </w:r>
      <w:r w:rsidRPr="00B97064">
        <w:rPr>
          <w:rFonts w:cs="Arial"/>
          <w:lang w:val="en-GB"/>
        </w:rPr>
        <w:t>, β</w:t>
      </w:r>
      <w:r w:rsidRPr="00B97064">
        <w:rPr>
          <w:rFonts w:cs="Arial"/>
          <w:vertAlign w:val="subscript"/>
          <w:lang w:val="en-GB"/>
        </w:rPr>
        <w:t>2</w:t>
      </w:r>
      <w:r w:rsidRPr="00B97064">
        <w:rPr>
          <w:rFonts w:cs="Arial"/>
          <w:lang w:val="en-GB"/>
        </w:rPr>
        <w:t xml:space="preserve"> and β</w:t>
      </w:r>
      <w:r w:rsidRPr="00B97064">
        <w:rPr>
          <w:rFonts w:cs="Arial"/>
          <w:vertAlign w:val="subscript"/>
          <w:lang w:val="en-GB"/>
        </w:rPr>
        <w:t>3</w:t>
      </w:r>
      <w:r w:rsidR="00231DB0" w:rsidRPr="00B97064">
        <w:rPr>
          <w:rFonts w:cs="Arial"/>
          <w:lang w:val="en-GB"/>
        </w:rPr>
        <w:t>)</w:t>
      </w:r>
      <w:r w:rsidRPr="00B97064">
        <w:rPr>
          <w:rFonts w:cs="Arial"/>
          <w:lang w:val="en-GB"/>
        </w:rPr>
        <w:t xml:space="preserve"> are the same across both dimensions (index </w:t>
      </w:r>
      <w:r w:rsidRPr="00B97064">
        <w:rPr>
          <w:rFonts w:cs="Arial"/>
          <w:i/>
          <w:lang w:val="en-GB"/>
        </w:rPr>
        <w:t>i</w:t>
      </w:r>
      <w:r w:rsidRPr="00B97064">
        <w:rPr>
          <w:rFonts w:cs="Arial"/>
          <w:lang w:val="en-GB"/>
        </w:rPr>
        <w:t xml:space="preserve"> and index </w:t>
      </w:r>
      <w:r w:rsidRPr="00B97064">
        <w:rPr>
          <w:rFonts w:cs="Arial"/>
          <w:i/>
          <w:lang w:val="en-GB"/>
        </w:rPr>
        <w:t>t</w:t>
      </w:r>
      <w:r w:rsidR="00CA3A7B" w:rsidRPr="00B97064">
        <w:rPr>
          <w:rFonts w:cs="Arial"/>
          <w:lang w:val="en-GB"/>
        </w:rPr>
        <w:t>).</w:t>
      </w:r>
    </w:p>
    <w:p w:rsidR="00CA3A7B" w:rsidRPr="00B97064" w:rsidRDefault="00CA3A7B" w:rsidP="00B352DF">
      <w:pPr>
        <w:rPr>
          <w:rFonts w:cs="Arial"/>
          <w:lang w:val="en-GB"/>
        </w:rPr>
      </w:pPr>
    </w:p>
    <w:p w:rsidR="007C7F32" w:rsidRPr="00B97064" w:rsidRDefault="007C7F32" w:rsidP="00B352DF">
      <w:pPr>
        <w:rPr>
          <w:lang w:val="en-GB"/>
        </w:rPr>
      </w:pPr>
      <w:r w:rsidRPr="00B97064">
        <w:rPr>
          <w:lang w:val="en-GB"/>
        </w:rPr>
        <w:t xml:space="preserve">To determine which of above mentioned models should be used, the Hausman test should be conducted. This test tests whether the predictors’ </w:t>
      </w:r>
      <w:r w:rsidRPr="00B97064">
        <w:rPr>
          <w:rFonts w:cs="Arial"/>
          <w:lang w:val="en-GB"/>
        </w:rPr>
        <w:t>µ</w:t>
      </w:r>
      <w:r w:rsidRPr="00B97064">
        <w:rPr>
          <w:rFonts w:cs="Arial"/>
          <w:vertAlign w:val="subscript"/>
          <w:lang w:val="en-GB"/>
        </w:rPr>
        <w:t>i</w:t>
      </w:r>
      <w:r w:rsidRPr="00B97064">
        <w:rPr>
          <w:rFonts w:cs="Arial"/>
          <w:lang w:val="en-GB"/>
        </w:rPr>
        <w:t xml:space="preserve"> and the independent variables </w:t>
      </w:r>
      <w:r w:rsidRPr="00B97064">
        <w:rPr>
          <w:lang w:val="en-GB"/>
        </w:rPr>
        <w:t>are correlated. In case of correlation, the fixed effect model is the appropriate model. In case no correlation is proved, the random effects model can be used. The appropriate model</w:t>
      </w:r>
      <w:r w:rsidR="004F2919" w:rsidRPr="00B97064">
        <w:rPr>
          <w:lang w:val="en-GB"/>
        </w:rPr>
        <w:t xml:space="preserve"> (as determined by the conducted Hausman test)</w:t>
      </w:r>
      <w:r w:rsidRPr="00B97064">
        <w:rPr>
          <w:lang w:val="en-GB"/>
        </w:rPr>
        <w:t xml:space="preserve"> is used to </w:t>
      </w:r>
      <w:r w:rsidR="00CF757C" w:rsidRPr="00B97064">
        <w:rPr>
          <w:lang w:val="en-GB"/>
        </w:rPr>
        <w:t>conduct</w:t>
      </w:r>
      <w:r w:rsidRPr="00B97064">
        <w:rPr>
          <w:lang w:val="en-GB"/>
        </w:rPr>
        <w:t xml:space="preserve"> the panel regressions for research part I and II.</w:t>
      </w:r>
    </w:p>
    <w:p w:rsidR="007C7F32" w:rsidRPr="00B97064" w:rsidRDefault="007C7F32" w:rsidP="006D0E45">
      <w:pPr>
        <w:pStyle w:val="Heading2"/>
        <w:rPr>
          <w:lang w:val="en-GB"/>
        </w:rPr>
      </w:pPr>
      <w:bookmarkStart w:id="79" w:name="_Toc349585493"/>
      <w:r w:rsidRPr="00B97064">
        <w:rPr>
          <w:lang w:val="en-GB"/>
        </w:rPr>
        <w:t>4.7 Research part III: effectiveness Dutch corporate governance code</w:t>
      </w:r>
      <w:bookmarkEnd w:id="79"/>
    </w:p>
    <w:p w:rsidR="007C7F32" w:rsidRPr="00B97064" w:rsidRDefault="007C7F32" w:rsidP="00E92DE2">
      <w:pPr>
        <w:rPr>
          <w:rFonts w:cs="Arial"/>
          <w:szCs w:val="22"/>
          <w:lang w:val="en-GB"/>
        </w:rPr>
      </w:pPr>
      <w:r w:rsidRPr="00B97064">
        <w:rPr>
          <w:rFonts w:cs="Arial"/>
          <w:szCs w:val="22"/>
          <w:lang w:val="en-GB"/>
        </w:rPr>
        <w:t>Finally, I want to find out whether the Code Tabaksblat and</w:t>
      </w:r>
      <w:r w:rsidR="004F2919" w:rsidRPr="00B97064">
        <w:rPr>
          <w:rFonts w:cs="Arial"/>
          <w:szCs w:val="22"/>
          <w:lang w:val="en-GB"/>
        </w:rPr>
        <w:t xml:space="preserve"> </w:t>
      </w:r>
      <w:r w:rsidRPr="00B97064">
        <w:rPr>
          <w:rFonts w:cs="Arial"/>
          <w:szCs w:val="22"/>
          <w:lang w:val="en-GB"/>
        </w:rPr>
        <w:t>/</w:t>
      </w:r>
      <w:r w:rsidR="004F2919" w:rsidRPr="00B97064">
        <w:rPr>
          <w:rFonts w:cs="Arial"/>
          <w:szCs w:val="22"/>
          <w:lang w:val="en-GB"/>
        </w:rPr>
        <w:t xml:space="preserve"> </w:t>
      </w:r>
      <w:r w:rsidRPr="00B97064">
        <w:rPr>
          <w:rFonts w:cs="Arial"/>
          <w:szCs w:val="22"/>
          <w:lang w:val="en-GB"/>
        </w:rPr>
        <w:t>or the updated version of the code (Code Frijns) have a positive effect on the protection of (minority) shareholders. The d</w:t>
      </w:r>
      <w:r w:rsidR="00CA3A7B" w:rsidRPr="00B97064">
        <w:rPr>
          <w:rFonts w:cs="Arial"/>
          <w:szCs w:val="22"/>
          <w:lang w:val="en-GB"/>
        </w:rPr>
        <w:t>ata is split up into 2 periods:</w:t>
      </w:r>
    </w:p>
    <w:p w:rsidR="007C7F32" w:rsidRPr="00B97064" w:rsidRDefault="007C7F32" w:rsidP="00C140CF">
      <w:pPr>
        <w:widowControl/>
        <w:numPr>
          <w:ilvl w:val="0"/>
          <w:numId w:val="71"/>
        </w:numPr>
        <w:adjustRightInd/>
        <w:textAlignment w:val="auto"/>
        <w:rPr>
          <w:rFonts w:cs="Arial"/>
          <w:szCs w:val="22"/>
          <w:lang w:val="en-GB"/>
        </w:rPr>
      </w:pPr>
      <w:r w:rsidRPr="00B97064">
        <w:rPr>
          <w:rFonts w:cs="Arial"/>
          <w:szCs w:val="22"/>
          <w:lang w:val="en-GB"/>
        </w:rPr>
        <w:t>before the first Dutch corporate governance code came into force (2003);</w:t>
      </w:r>
    </w:p>
    <w:p w:rsidR="007C7F32" w:rsidRPr="00B97064" w:rsidRDefault="007C7F32" w:rsidP="00C140CF">
      <w:pPr>
        <w:widowControl/>
        <w:numPr>
          <w:ilvl w:val="0"/>
          <w:numId w:val="71"/>
        </w:numPr>
        <w:adjustRightInd/>
        <w:textAlignment w:val="auto"/>
        <w:rPr>
          <w:rFonts w:cs="Arial"/>
          <w:szCs w:val="22"/>
          <w:lang w:val="en-GB"/>
        </w:rPr>
      </w:pPr>
      <w:r w:rsidRPr="00B97064">
        <w:rPr>
          <w:rFonts w:cs="Arial"/>
          <w:szCs w:val="22"/>
          <w:lang w:val="en-GB"/>
        </w:rPr>
        <w:t>after the code Frijns came into force (2009).</w:t>
      </w:r>
    </w:p>
    <w:p w:rsidR="007C7F32" w:rsidRPr="00B97064" w:rsidRDefault="007C7F32" w:rsidP="00E92DE2">
      <w:pPr>
        <w:rPr>
          <w:rFonts w:cs="Arial"/>
          <w:szCs w:val="22"/>
          <w:lang w:val="en-GB"/>
        </w:rPr>
      </w:pPr>
    </w:p>
    <w:p w:rsidR="007C7F32" w:rsidRPr="00B97064" w:rsidRDefault="007C7F32" w:rsidP="00E92DE2">
      <w:pPr>
        <w:rPr>
          <w:rFonts w:cs="Arial"/>
          <w:szCs w:val="22"/>
          <w:lang w:val="en-GB"/>
        </w:rPr>
      </w:pPr>
      <w:r w:rsidRPr="00B97064">
        <w:rPr>
          <w:rFonts w:cs="Arial"/>
          <w:szCs w:val="22"/>
          <w:lang w:val="en-GB"/>
        </w:rPr>
        <w:t xml:space="preserve">I investigate whether the amount of RPTs has decreased over time. Besides this, I </w:t>
      </w:r>
      <w:r w:rsidRPr="00B97064">
        <w:rPr>
          <w:rFonts w:cs="Arial"/>
          <w:szCs w:val="22"/>
          <w:lang w:val="en-GB"/>
        </w:rPr>
        <w:lastRenderedPageBreak/>
        <w:t>investigate whether or not disclosure quality has increased over time. This is investigated by running T-tests. The Dutch corporate governance code should increase a firms’ transparency and thus limits the possibility of opportunistic behaviour. So, the code should result in less risk of expropriation. Since the amount of RPTs is a proxy for the risk of expropriation, the amount of RPTs should decrease over time. Besides this, the quality of disclosure should increase over time, due to the increased transparency of firms after the introduction of the code.</w:t>
      </w:r>
    </w:p>
    <w:p w:rsidR="007C7F32" w:rsidRPr="00B97064" w:rsidRDefault="007C7F32" w:rsidP="00E92DE2">
      <w:pPr>
        <w:rPr>
          <w:rFonts w:cs="Arial"/>
          <w:szCs w:val="22"/>
          <w:lang w:val="en-GB"/>
        </w:rPr>
      </w:pPr>
    </w:p>
    <w:p w:rsidR="007C7F32" w:rsidRPr="00B97064" w:rsidRDefault="007C7F32" w:rsidP="00E92DE2">
      <w:pPr>
        <w:rPr>
          <w:rFonts w:cs="Arial"/>
          <w:szCs w:val="22"/>
          <w:lang w:val="en-GB"/>
        </w:rPr>
      </w:pPr>
      <w:r w:rsidRPr="00B97064">
        <w:rPr>
          <w:rFonts w:cs="Arial"/>
          <w:szCs w:val="22"/>
          <w:lang w:val="en-GB"/>
        </w:rPr>
        <w:t xml:space="preserve">Subsequently, the effectiveness of the code is tested by comparing the coefficient of the explanatory variables </w:t>
      </w:r>
      <w:r w:rsidRPr="00B97064">
        <w:rPr>
          <w:rFonts w:cs="Arial"/>
          <w:i/>
          <w:szCs w:val="22"/>
          <w:lang w:val="en-GB"/>
        </w:rPr>
        <w:t>amount of RPTs</w:t>
      </w:r>
      <w:r w:rsidRPr="00B97064">
        <w:rPr>
          <w:rFonts w:cs="Arial"/>
          <w:szCs w:val="22"/>
          <w:lang w:val="en-GB"/>
        </w:rPr>
        <w:t xml:space="preserve"> and </w:t>
      </w:r>
      <w:r w:rsidRPr="00B97064">
        <w:rPr>
          <w:rFonts w:cs="Arial"/>
          <w:i/>
          <w:szCs w:val="22"/>
          <w:lang w:val="en-GB"/>
        </w:rPr>
        <w:t>Disclosure level</w:t>
      </w:r>
      <w:r w:rsidRPr="00B97064">
        <w:rPr>
          <w:rFonts w:cs="Arial"/>
          <w:szCs w:val="22"/>
          <w:lang w:val="en-GB"/>
        </w:rPr>
        <w:t xml:space="preserve"> in the different periods. I investigate whether or not the amount of RPTs (still) ha</w:t>
      </w:r>
      <w:r w:rsidR="00231DB0" w:rsidRPr="00B97064">
        <w:rPr>
          <w:rFonts w:cs="Arial"/>
          <w:szCs w:val="22"/>
          <w:lang w:val="en-GB"/>
        </w:rPr>
        <w:t>s</w:t>
      </w:r>
      <w:r w:rsidRPr="00B97064">
        <w:rPr>
          <w:rFonts w:cs="Arial"/>
          <w:szCs w:val="22"/>
          <w:lang w:val="en-GB"/>
        </w:rPr>
        <w:t xml:space="preserve"> a negative effect on firm value after the updated version (Code Frijns) came into effect and whether or not the negative effect diminished over time. This diminishing effect indicates that the corporate governance code resulted in an increase of investor protection; the explanatory power of RPTs (and thus risk of expropriation) decreased over time, so shareholders experienced RPTs less negative over time.</w:t>
      </w:r>
    </w:p>
    <w:p w:rsidR="007C7F32" w:rsidRPr="00B97064" w:rsidRDefault="007C7F32" w:rsidP="00E92DE2">
      <w:pPr>
        <w:rPr>
          <w:rFonts w:cs="Arial"/>
          <w:szCs w:val="22"/>
          <w:lang w:val="en-GB"/>
        </w:rPr>
      </w:pPr>
    </w:p>
    <w:p w:rsidR="007C7F32" w:rsidRPr="00B97064" w:rsidRDefault="007C7F32" w:rsidP="00E92DE2">
      <w:pPr>
        <w:rPr>
          <w:rFonts w:cs="Arial"/>
          <w:szCs w:val="22"/>
          <w:lang w:val="en-GB"/>
        </w:rPr>
      </w:pPr>
      <w:r w:rsidRPr="00B97064">
        <w:rPr>
          <w:rFonts w:cs="Arial"/>
          <w:szCs w:val="22"/>
          <w:lang w:val="en-GB"/>
        </w:rPr>
        <w:t>Besides this, I explore whet</w:t>
      </w:r>
      <w:r w:rsidR="004F2919" w:rsidRPr="00B97064">
        <w:rPr>
          <w:rFonts w:cs="Arial"/>
          <w:szCs w:val="22"/>
          <w:lang w:val="en-GB"/>
        </w:rPr>
        <w:t xml:space="preserve">her or not </w:t>
      </w:r>
      <w:r w:rsidRPr="00B97064">
        <w:rPr>
          <w:rFonts w:cs="Arial"/>
          <w:szCs w:val="22"/>
          <w:lang w:val="en-GB"/>
        </w:rPr>
        <w:t>disclosure level (still) ha</w:t>
      </w:r>
      <w:r w:rsidR="00231DB0" w:rsidRPr="00B97064">
        <w:rPr>
          <w:rFonts w:cs="Arial"/>
          <w:szCs w:val="22"/>
          <w:lang w:val="en-GB"/>
        </w:rPr>
        <w:t>s</w:t>
      </w:r>
      <w:r w:rsidRPr="00B97064">
        <w:rPr>
          <w:rFonts w:cs="Arial"/>
          <w:szCs w:val="22"/>
          <w:lang w:val="en-GB"/>
        </w:rPr>
        <w:t xml:space="preserve"> a positive effect on firm value (a mitigating effect of the negative effect of the amount of RPTs on firm value) after the Code Frijns came into force. Moreover, I investigate whether or not the positive effect increased over time. I expect this effect increased over time, since I expect disclosure quality increased, which strengthened the mitigating effect of disclosure quality.</w:t>
      </w:r>
    </w:p>
    <w:p w:rsidR="007C7F32" w:rsidRPr="00B97064" w:rsidRDefault="007C7F32" w:rsidP="00E92DE2">
      <w:pPr>
        <w:pStyle w:val="Heading2"/>
        <w:rPr>
          <w:szCs w:val="22"/>
          <w:lang w:val="en-GB"/>
        </w:rPr>
      </w:pPr>
      <w:bookmarkStart w:id="80" w:name="_Ref341713291"/>
      <w:bookmarkStart w:id="81" w:name="_Toc349585494"/>
      <w:r w:rsidRPr="00B97064">
        <w:rPr>
          <w:lang w:val="en-GB"/>
        </w:rPr>
        <w:t>4.8 Hypotheses</w:t>
      </w:r>
      <w:bookmarkEnd w:id="80"/>
      <w:bookmarkEnd w:id="81"/>
      <w:r w:rsidRPr="00B97064">
        <w:rPr>
          <w:lang w:val="en-GB"/>
        </w:rPr>
        <w:t xml:space="preserve"> </w:t>
      </w:r>
    </w:p>
    <w:p w:rsidR="007C7F32" w:rsidRPr="00B97064" w:rsidRDefault="007C7F32" w:rsidP="00E85B24">
      <w:pPr>
        <w:rPr>
          <w:lang w:val="en-GB"/>
        </w:rPr>
      </w:pPr>
      <w:r w:rsidRPr="00B97064">
        <w:rPr>
          <w:lang w:val="en-GB"/>
        </w:rPr>
        <w:t>My research tests the following 13 alternative hypotheses:</w:t>
      </w:r>
    </w:p>
    <w:p w:rsidR="007C7F32" w:rsidRPr="00B97064" w:rsidRDefault="007C7F32" w:rsidP="00E85B24">
      <w:pPr>
        <w:rPr>
          <w:lang w:val="en-GB"/>
        </w:rPr>
      </w:pPr>
    </w:p>
    <w:p w:rsidR="007C7F32" w:rsidRPr="00B97064" w:rsidRDefault="007C7F32" w:rsidP="00141285">
      <w:pPr>
        <w:rPr>
          <w:rFonts w:cs="Arial"/>
          <w:i/>
          <w:szCs w:val="22"/>
          <w:lang w:val="en-GB"/>
        </w:rPr>
      </w:pPr>
      <w:r w:rsidRPr="00B97064">
        <w:rPr>
          <w:rFonts w:cs="Arial"/>
          <w:i/>
          <w:szCs w:val="22"/>
          <w:lang w:val="en-GB"/>
        </w:rPr>
        <w:t>First part: Relation RPTs, disclosure level and firm value:</w:t>
      </w:r>
    </w:p>
    <w:p w:rsidR="007C7F32" w:rsidRPr="00B97064" w:rsidRDefault="007C7F32" w:rsidP="00DB30FD">
      <w:pPr>
        <w:numPr>
          <w:ilvl w:val="0"/>
          <w:numId w:val="1"/>
        </w:numPr>
        <w:rPr>
          <w:rFonts w:cs="Arial"/>
          <w:szCs w:val="22"/>
          <w:lang w:val="en-GB"/>
        </w:rPr>
      </w:pPr>
      <w:r w:rsidRPr="00B97064">
        <w:rPr>
          <w:rFonts w:cs="Arial"/>
          <w:szCs w:val="22"/>
          <w:lang w:val="en-GB"/>
        </w:rPr>
        <w:t>H</w:t>
      </w:r>
      <w:r w:rsidRPr="00B97064">
        <w:rPr>
          <w:rFonts w:cs="Arial"/>
          <w:szCs w:val="22"/>
          <w:vertAlign w:val="subscript"/>
          <w:lang w:val="en-GB"/>
        </w:rPr>
        <w:t>1</w:t>
      </w:r>
      <w:r w:rsidRPr="00B97064">
        <w:rPr>
          <w:rFonts w:cs="Arial"/>
          <w:szCs w:val="22"/>
          <w:lang w:val="en-GB"/>
        </w:rPr>
        <w:t>: The amount of RPTs negatively affects firm value.</w:t>
      </w:r>
    </w:p>
    <w:p w:rsidR="007C7F32" w:rsidRPr="00B97064" w:rsidRDefault="007C7F32" w:rsidP="00DB30FD">
      <w:pPr>
        <w:numPr>
          <w:ilvl w:val="0"/>
          <w:numId w:val="1"/>
        </w:numPr>
        <w:rPr>
          <w:rFonts w:cs="Arial"/>
          <w:szCs w:val="22"/>
          <w:lang w:val="en-GB"/>
        </w:rPr>
      </w:pPr>
      <w:r w:rsidRPr="00B97064">
        <w:rPr>
          <w:rFonts w:cs="Arial"/>
          <w:szCs w:val="22"/>
          <w:lang w:val="en-GB"/>
        </w:rPr>
        <w:t>H</w:t>
      </w:r>
      <w:r w:rsidRPr="00B97064">
        <w:rPr>
          <w:rFonts w:cs="Arial"/>
          <w:szCs w:val="22"/>
          <w:vertAlign w:val="subscript"/>
          <w:lang w:val="en-GB"/>
        </w:rPr>
        <w:t>1</w:t>
      </w:r>
      <w:r w:rsidRPr="00B97064">
        <w:rPr>
          <w:rFonts w:cs="Arial"/>
          <w:szCs w:val="22"/>
          <w:lang w:val="en-GB"/>
        </w:rPr>
        <w:t>: High disclosure level on RPTs mitigates the negative effect of RPTs on firm value.</w:t>
      </w:r>
    </w:p>
    <w:p w:rsidR="007C7F32" w:rsidRPr="00B97064" w:rsidRDefault="007C7F32" w:rsidP="00683405">
      <w:pPr>
        <w:rPr>
          <w:rFonts w:cs="Arial"/>
          <w:szCs w:val="22"/>
          <w:lang w:val="en-GB"/>
        </w:rPr>
      </w:pPr>
    </w:p>
    <w:p w:rsidR="007C7F32" w:rsidRPr="00B97064" w:rsidRDefault="007C7F32" w:rsidP="00141285">
      <w:pPr>
        <w:rPr>
          <w:rFonts w:cs="Arial"/>
          <w:i/>
          <w:szCs w:val="22"/>
          <w:lang w:val="en-GB"/>
        </w:rPr>
      </w:pPr>
      <w:r w:rsidRPr="00B97064">
        <w:rPr>
          <w:rFonts w:cs="Arial"/>
          <w:i/>
          <w:szCs w:val="22"/>
          <w:lang w:val="en-GB"/>
        </w:rPr>
        <w:t>Second part: Relation RPTs and Corporate Governance and Ownership Characteristics:</w:t>
      </w:r>
    </w:p>
    <w:p w:rsidR="007C7F32" w:rsidRPr="00B97064" w:rsidRDefault="007C7F32" w:rsidP="00DB30FD">
      <w:pPr>
        <w:numPr>
          <w:ilvl w:val="0"/>
          <w:numId w:val="1"/>
        </w:numPr>
        <w:rPr>
          <w:rFonts w:cs="Arial"/>
          <w:szCs w:val="22"/>
          <w:lang w:val="en-GB"/>
        </w:rPr>
      </w:pPr>
      <w:r w:rsidRPr="00B97064">
        <w:rPr>
          <w:rFonts w:cs="Arial"/>
          <w:szCs w:val="22"/>
          <w:lang w:val="en-GB"/>
        </w:rPr>
        <w:t>H</w:t>
      </w:r>
      <w:r w:rsidRPr="00B97064">
        <w:rPr>
          <w:rFonts w:cs="Arial"/>
          <w:szCs w:val="22"/>
          <w:vertAlign w:val="subscript"/>
          <w:lang w:val="en-GB"/>
        </w:rPr>
        <w:t>1</w:t>
      </w:r>
      <w:r w:rsidRPr="00B97064">
        <w:rPr>
          <w:rFonts w:cs="Arial"/>
          <w:szCs w:val="22"/>
          <w:lang w:val="en-GB"/>
        </w:rPr>
        <w:t>: A large executive board increases the amount of RPTs.</w:t>
      </w:r>
    </w:p>
    <w:p w:rsidR="007C7F32" w:rsidRPr="00B97064" w:rsidRDefault="007C7F32" w:rsidP="00DB30FD">
      <w:pPr>
        <w:numPr>
          <w:ilvl w:val="0"/>
          <w:numId w:val="1"/>
        </w:numPr>
        <w:rPr>
          <w:rFonts w:cs="Arial"/>
          <w:szCs w:val="22"/>
          <w:lang w:val="en-GB"/>
        </w:rPr>
      </w:pPr>
      <w:r w:rsidRPr="00B97064">
        <w:rPr>
          <w:rFonts w:cs="Arial"/>
          <w:szCs w:val="22"/>
          <w:lang w:val="en-GB"/>
        </w:rPr>
        <w:t>H</w:t>
      </w:r>
      <w:r w:rsidRPr="00B97064">
        <w:rPr>
          <w:rFonts w:cs="Arial"/>
          <w:szCs w:val="22"/>
          <w:vertAlign w:val="subscript"/>
          <w:lang w:val="en-GB"/>
        </w:rPr>
        <w:t>1</w:t>
      </w:r>
      <w:r w:rsidRPr="00B97064">
        <w:rPr>
          <w:rFonts w:cs="Arial"/>
          <w:szCs w:val="22"/>
          <w:lang w:val="en-GB"/>
        </w:rPr>
        <w:t>: A large supervisory board decreases the amount of RPTs.</w:t>
      </w:r>
    </w:p>
    <w:p w:rsidR="007C7F32" w:rsidRPr="00B97064" w:rsidRDefault="007C7F32" w:rsidP="00A60188">
      <w:pPr>
        <w:numPr>
          <w:ilvl w:val="0"/>
          <w:numId w:val="1"/>
        </w:numPr>
        <w:rPr>
          <w:rFonts w:cs="Arial"/>
          <w:szCs w:val="22"/>
          <w:lang w:val="en-GB"/>
        </w:rPr>
      </w:pPr>
      <w:r w:rsidRPr="00B97064">
        <w:rPr>
          <w:rFonts w:cs="Arial"/>
          <w:szCs w:val="22"/>
          <w:lang w:val="en-GB"/>
        </w:rPr>
        <w:t>H</w:t>
      </w:r>
      <w:r w:rsidRPr="00B97064">
        <w:rPr>
          <w:rFonts w:cs="Arial"/>
          <w:szCs w:val="22"/>
          <w:vertAlign w:val="subscript"/>
          <w:lang w:val="en-GB"/>
        </w:rPr>
        <w:t>1</w:t>
      </w:r>
      <w:r w:rsidRPr="00B97064">
        <w:rPr>
          <w:rFonts w:cs="Arial"/>
          <w:szCs w:val="22"/>
          <w:lang w:val="en-GB"/>
        </w:rPr>
        <w:t>: A high ratio of supervisory board members decreases the amount of RPTs.</w:t>
      </w:r>
    </w:p>
    <w:p w:rsidR="007C7F32" w:rsidRPr="00B97064" w:rsidRDefault="007C7F32" w:rsidP="00A60188">
      <w:pPr>
        <w:numPr>
          <w:ilvl w:val="0"/>
          <w:numId w:val="1"/>
        </w:numPr>
        <w:rPr>
          <w:rFonts w:cs="Arial"/>
          <w:szCs w:val="22"/>
          <w:lang w:val="en-GB"/>
        </w:rPr>
      </w:pPr>
      <w:r w:rsidRPr="00B97064">
        <w:rPr>
          <w:rFonts w:cs="Arial"/>
          <w:szCs w:val="22"/>
          <w:lang w:val="en-GB"/>
        </w:rPr>
        <w:t>H</w:t>
      </w:r>
      <w:r w:rsidRPr="00B97064">
        <w:rPr>
          <w:rFonts w:cs="Arial"/>
          <w:szCs w:val="22"/>
          <w:vertAlign w:val="subscript"/>
          <w:lang w:val="en-GB"/>
        </w:rPr>
        <w:t>1</w:t>
      </w:r>
      <w:r w:rsidRPr="00B97064">
        <w:rPr>
          <w:rFonts w:cs="Arial"/>
          <w:szCs w:val="22"/>
          <w:lang w:val="en-GB"/>
        </w:rPr>
        <w:t xml:space="preserve">: </w:t>
      </w:r>
      <w:r w:rsidR="004F2919" w:rsidRPr="00B97064">
        <w:rPr>
          <w:rFonts w:cs="Arial"/>
          <w:szCs w:val="22"/>
          <w:lang w:val="en-GB"/>
        </w:rPr>
        <w:t>A high percentage of ordinary shares</w:t>
      </w:r>
      <w:r w:rsidRPr="00B97064">
        <w:rPr>
          <w:rFonts w:cs="Arial"/>
          <w:szCs w:val="22"/>
          <w:lang w:val="en-GB"/>
        </w:rPr>
        <w:t xml:space="preserve"> of the main shareholder increases the amount of RPTs.</w:t>
      </w:r>
    </w:p>
    <w:p w:rsidR="007C7F32" w:rsidRPr="00B97064" w:rsidRDefault="007C7F32" w:rsidP="00A60188">
      <w:pPr>
        <w:numPr>
          <w:ilvl w:val="0"/>
          <w:numId w:val="1"/>
        </w:numPr>
        <w:rPr>
          <w:rFonts w:cs="Arial"/>
          <w:szCs w:val="22"/>
          <w:lang w:val="en-GB"/>
        </w:rPr>
      </w:pPr>
      <w:r w:rsidRPr="00B97064">
        <w:rPr>
          <w:rFonts w:cs="Arial"/>
          <w:szCs w:val="22"/>
          <w:lang w:val="en-GB"/>
        </w:rPr>
        <w:t>H</w:t>
      </w:r>
      <w:r w:rsidRPr="00B97064">
        <w:rPr>
          <w:rFonts w:cs="Arial"/>
          <w:szCs w:val="22"/>
          <w:vertAlign w:val="subscript"/>
          <w:lang w:val="en-GB"/>
        </w:rPr>
        <w:t>1</w:t>
      </w:r>
      <w:r w:rsidRPr="00B97064">
        <w:rPr>
          <w:rFonts w:cs="Arial"/>
          <w:szCs w:val="22"/>
          <w:lang w:val="en-GB"/>
        </w:rPr>
        <w:t>: A high level of expertise of the audit committee</w:t>
      </w:r>
      <w:r w:rsidR="00954679" w:rsidRPr="00B97064">
        <w:rPr>
          <w:rFonts w:cs="Arial"/>
          <w:szCs w:val="22"/>
          <w:lang w:val="en-GB"/>
        </w:rPr>
        <w:t xml:space="preserve"> (high financial expert ratio)</w:t>
      </w:r>
      <w:r w:rsidRPr="00B97064">
        <w:rPr>
          <w:rFonts w:cs="Arial"/>
          <w:szCs w:val="22"/>
          <w:lang w:val="en-GB"/>
        </w:rPr>
        <w:t xml:space="preserve"> </w:t>
      </w:r>
      <w:r w:rsidRPr="00B97064">
        <w:rPr>
          <w:rFonts w:cs="Arial"/>
          <w:szCs w:val="22"/>
          <w:lang w:val="en-GB"/>
        </w:rPr>
        <w:lastRenderedPageBreak/>
        <w:t>decreases the amount of RPTs.</w:t>
      </w:r>
    </w:p>
    <w:p w:rsidR="007C7F32" w:rsidRPr="00B97064" w:rsidRDefault="007C7F32" w:rsidP="00DB30FD">
      <w:pPr>
        <w:numPr>
          <w:ilvl w:val="0"/>
          <w:numId w:val="1"/>
        </w:numPr>
        <w:rPr>
          <w:rFonts w:cs="Arial"/>
          <w:szCs w:val="22"/>
          <w:lang w:val="en-GB"/>
        </w:rPr>
      </w:pPr>
      <w:r w:rsidRPr="00B97064">
        <w:rPr>
          <w:rFonts w:cs="Arial"/>
          <w:szCs w:val="22"/>
          <w:lang w:val="en-GB"/>
        </w:rPr>
        <w:t>H</w:t>
      </w:r>
      <w:r w:rsidRPr="00B97064">
        <w:rPr>
          <w:rFonts w:cs="Arial"/>
          <w:szCs w:val="22"/>
          <w:vertAlign w:val="subscript"/>
          <w:lang w:val="en-GB"/>
        </w:rPr>
        <w:t>1</w:t>
      </w:r>
      <w:r w:rsidRPr="00B97064">
        <w:rPr>
          <w:rFonts w:cs="Arial"/>
          <w:szCs w:val="22"/>
          <w:lang w:val="en-GB"/>
        </w:rPr>
        <w:t xml:space="preserve">: </w:t>
      </w:r>
      <w:r w:rsidR="00B04C24" w:rsidRPr="00B97064">
        <w:rPr>
          <w:rFonts w:cs="Arial"/>
          <w:szCs w:val="22"/>
          <w:lang w:val="en-GB"/>
        </w:rPr>
        <w:t>Second-l</w:t>
      </w:r>
      <w:r w:rsidRPr="00B97064">
        <w:rPr>
          <w:rFonts w:cs="Arial"/>
          <w:szCs w:val="22"/>
          <w:lang w:val="en-GB"/>
        </w:rPr>
        <w:t>isting in the USA decreases the amount of RPTs.</w:t>
      </w:r>
    </w:p>
    <w:p w:rsidR="007C7F32" w:rsidRPr="00B97064" w:rsidRDefault="007C7F32" w:rsidP="00DB30FD">
      <w:pPr>
        <w:numPr>
          <w:ilvl w:val="0"/>
          <w:numId w:val="1"/>
        </w:numPr>
        <w:rPr>
          <w:rFonts w:cs="Arial"/>
          <w:szCs w:val="22"/>
          <w:lang w:val="en-GB"/>
        </w:rPr>
      </w:pPr>
      <w:r w:rsidRPr="00B97064">
        <w:rPr>
          <w:rFonts w:cs="Arial"/>
          <w:szCs w:val="22"/>
          <w:lang w:val="en-GB"/>
        </w:rPr>
        <w:t>H</w:t>
      </w:r>
      <w:r w:rsidRPr="00B97064">
        <w:rPr>
          <w:rFonts w:cs="Arial"/>
          <w:szCs w:val="22"/>
          <w:vertAlign w:val="subscript"/>
          <w:lang w:val="en-GB"/>
        </w:rPr>
        <w:t>1</w:t>
      </w:r>
      <w:r w:rsidRPr="00B97064">
        <w:rPr>
          <w:rFonts w:cs="Arial"/>
          <w:szCs w:val="22"/>
          <w:lang w:val="en-GB"/>
        </w:rPr>
        <w:t xml:space="preserve">: Being audited by one of the big </w:t>
      </w:r>
      <w:r w:rsidR="002D10C8" w:rsidRPr="00B97064">
        <w:rPr>
          <w:rFonts w:cs="Arial"/>
          <w:szCs w:val="22"/>
          <w:lang w:val="en-GB"/>
        </w:rPr>
        <w:t>4</w:t>
      </w:r>
      <w:r w:rsidRPr="00B97064">
        <w:rPr>
          <w:rFonts w:cs="Arial"/>
          <w:szCs w:val="22"/>
          <w:lang w:val="en-GB"/>
        </w:rPr>
        <w:t xml:space="preserve"> audit firms decreases the amount of RPTs.</w:t>
      </w:r>
    </w:p>
    <w:p w:rsidR="007C7F32" w:rsidRPr="00B97064" w:rsidRDefault="007C7F32" w:rsidP="00141285">
      <w:pPr>
        <w:rPr>
          <w:rFonts w:cs="Arial"/>
          <w:i/>
          <w:szCs w:val="22"/>
          <w:lang w:val="en-GB"/>
        </w:rPr>
      </w:pPr>
    </w:p>
    <w:p w:rsidR="007C7F32" w:rsidRPr="00B97064" w:rsidRDefault="007C7F32" w:rsidP="00141285">
      <w:pPr>
        <w:rPr>
          <w:rFonts w:cs="Arial"/>
          <w:i/>
          <w:szCs w:val="22"/>
          <w:lang w:val="en-GB"/>
        </w:rPr>
      </w:pPr>
      <w:r w:rsidRPr="00B97064">
        <w:rPr>
          <w:rFonts w:cs="Arial"/>
          <w:i/>
          <w:szCs w:val="22"/>
          <w:lang w:val="en-GB"/>
        </w:rPr>
        <w:t>Third part: Relation Code Frijns, RPTs, disclosure quality &amp; company’s value:</w:t>
      </w:r>
    </w:p>
    <w:p w:rsidR="007C7F32" w:rsidRPr="00B97064" w:rsidRDefault="007C7F32" w:rsidP="00DB30FD">
      <w:pPr>
        <w:numPr>
          <w:ilvl w:val="0"/>
          <w:numId w:val="1"/>
        </w:numPr>
        <w:rPr>
          <w:rFonts w:cs="Arial"/>
          <w:szCs w:val="22"/>
          <w:lang w:val="en-GB"/>
        </w:rPr>
      </w:pPr>
      <w:bookmarkStart w:id="82" w:name="OLE_LINK1"/>
      <w:bookmarkStart w:id="83" w:name="OLE_LINK2"/>
      <w:bookmarkStart w:id="84" w:name="OLE_LINK5"/>
      <w:r w:rsidRPr="00B97064">
        <w:rPr>
          <w:rFonts w:cs="Arial"/>
          <w:szCs w:val="22"/>
          <w:lang w:val="en-GB"/>
        </w:rPr>
        <w:t>H</w:t>
      </w:r>
      <w:r w:rsidRPr="00B97064">
        <w:rPr>
          <w:rFonts w:cs="Arial"/>
          <w:szCs w:val="22"/>
          <w:vertAlign w:val="subscript"/>
          <w:lang w:val="en-GB"/>
        </w:rPr>
        <w:t>1</w:t>
      </w:r>
      <w:r w:rsidRPr="00B97064">
        <w:rPr>
          <w:rFonts w:cs="Arial"/>
          <w:szCs w:val="22"/>
          <w:lang w:val="en-GB"/>
        </w:rPr>
        <w:t xml:space="preserve">: </w:t>
      </w:r>
      <w:bookmarkEnd w:id="82"/>
      <w:bookmarkEnd w:id="83"/>
      <w:r w:rsidRPr="00B97064">
        <w:rPr>
          <w:rFonts w:cs="Arial"/>
          <w:szCs w:val="22"/>
          <w:lang w:val="en-GB"/>
        </w:rPr>
        <w:t>After Code Frijns came into force, the amount of RPTs has decreased.</w:t>
      </w:r>
    </w:p>
    <w:p w:rsidR="007C7F32" w:rsidRPr="00B97064" w:rsidRDefault="007C7F32" w:rsidP="00DB30FD">
      <w:pPr>
        <w:numPr>
          <w:ilvl w:val="0"/>
          <w:numId w:val="1"/>
        </w:numPr>
        <w:rPr>
          <w:rFonts w:cs="Arial"/>
          <w:szCs w:val="22"/>
          <w:lang w:val="en-GB"/>
        </w:rPr>
      </w:pPr>
      <w:r w:rsidRPr="00B97064">
        <w:rPr>
          <w:rFonts w:cs="Arial"/>
          <w:szCs w:val="22"/>
          <w:lang w:val="en-GB"/>
        </w:rPr>
        <w:t>H</w:t>
      </w:r>
      <w:r w:rsidRPr="00B97064">
        <w:rPr>
          <w:rFonts w:cs="Arial"/>
          <w:szCs w:val="22"/>
          <w:vertAlign w:val="subscript"/>
          <w:lang w:val="en-GB"/>
        </w:rPr>
        <w:t>1</w:t>
      </w:r>
      <w:r w:rsidRPr="00B97064">
        <w:rPr>
          <w:rFonts w:cs="Arial"/>
          <w:szCs w:val="22"/>
          <w:lang w:val="en-GB"/>
        </w:rPr>
        <w:t>: After Code Frijns came into force, disclosure quality has increased.</w:t>
      </w:r>
    </w:p>
    <w:p w:rsidR="007C7F32" w:rsidRPr="00B97064" w:rsidRDefault="007C7F32" w:rsidP="00DB30FD">
      <w:pPr>
        <w:numPr>
          <w:ilvl w:val="0"/>
          <w:numId w:val="1"/>
        </w:numPr>
        <w:rPr>
          <w:rFonts w:cs="Arial"/>
          <w:szCs w:val="22"/>
          <w:lang w:val="en-GB"/>
        </w:rPr>
      </w:pPr>
      <w:r w:rsidRPr="00B97064">
        <w:rPr>
          <w:rFonts w:cs="Arial"/>
          <w:szCs w:val="22"/>
          <w:lang w:val="en-GB"/>
        </w:rPr>
        <w:t>H</w:t>
      </w:r>
      <w:r w:rsidRPr="00B97064">
        <w:rPr>
          <w:rFonts w:cs="Arial"/>
          <w:szCs w:val="22"/>
          <w:vertAlign w:val="subscript"/>
          <w:lang w:val="en-GB"/>
        </w:rPr>
        <w:t>1</w:t>
      </w:r>
      <w:r w:rsidRPr="00B97064">
        <w:rPr>
          <w:rFonts w:cs="Arial"/>
          <w:szCs w:val="22"/>
          <w:lang w:val="en-GB"/>
        </w:rPr>
        <w:t>: After Code Frijns came into force, the negative effect of RPTs on firm value diminished.</w:t>
      </w:r>
    </w:p>
    <w:p w:rsidR="007C7F32" w:rsidRPr="00B97064" w:rsidRDefault="007C7F32" w:rsidP="00DB30FD">
      <w:pPr>
        <w:numPr>
          <w:ilvl w:val="0"/>
          <w:numId w:val="1"/>
        </w:numPr>
        <w:rPr>
          <w:rFonts w:cs="Arial"/>
          <w:szCs w:val="22"/>
          <w:lang w:val="en-GB"/>
        </w:rPr>
      </w:pPr>
      <w:r w:rsidRPr="00B97064">
        <w:rPr>
          <w:rFonts w:cs="Arial"/>
          <w:szCs w:val="22"/>
          <w:lang w:val="en-GB"/>
        </w:rPr>
        <w:t>H</w:t>
      </w:r>
      <w:r w:rsidRPr="00B97064">
        <w:rPr>
          <w:rFonts w:cs="Arial"/>
          <w:szCs w:val="22"/>
          <w:vertAlign w:val="subscript"/>
          <w:lang w:val="en-GB"/>
        </w:rPr>
        <w:t>1</w:t>
      </w:r>
      <w:r w:rsidRPr="00B97064">
        <w:rPr>
          <w:rFonts w:cs="Arial"/>
          <w:szCs w:val="22"/>
          <w:lang w:val="en-GB"/>
        </w:rPr>
        <w:t>: After Code Frijns came into force, the positive effect of disclosure quality on firm value increased.</w:t>
      </w:r>
    </w:p>
    <w:p w:rsidR="00744E1A" w:rsidRPr="00B97064" w:rsidRDefault="00744E1A" w:rsidP="00744E1A">
      <w:pPr>
        <w:pStyle w:val="Heading2"/>
        <w:rPr>
          <w:lang w:val="en-GB"/>
        </w:rPr>
      </w:pPr>
      <w:bookmarkStart w:id="85" w:name="_Toc349585495"/>
      <w:r w:rsidRPr="00B97064">
        <w:rPr>
          <w:lang w:val="en-GB"/>
        </w:rPr>
        <w:t>4.</w:t>
      </w:r>
      <w:r w:rsidR="00B5578E" w:rsidRPr="00B97064">
        <w:rPr>
          <w:lang w:val="en-GB"/>
        </w:rPr>
        <w:t>9</w:t>
      </w:r>
      <w:r w:rsidRPr="00B97064">
        <w:rPr>
          <w:lang w:val="en-GB"/>
        </w:rPr>
        <w:t xml:space="preserve"> Summary</w:t>
      </w:r>
      <w:bookmarkEnd w:id="85"/>
    </w:p>
    <w:p w:rsidR="00744E1A" w:rsidRPr="00B97064" w:rsidRDefault="00744E1A" w:rsidP="00744E1A">
      <w:pPr>
        <w:rPr>
          <w:rFonts w:cs="Arial"/>
          <w:szCs w:val="22"/>
          <w:lang w:val="en-GB"/>
        </w:rPr>
      </w:pPr>
      <w:r w:rsidRPr="00B97064">
        <w:rPr>
          <w:rFonts w:cs="Arial"/>
          <w:szCs w:val="22"/>
          <w:lang w:val="en-GB"/>
        </w:rPr>
        <w:t>This chapter described the research method. The research consisted of three parts. The first part is about the relation between the amount of RPTs, disclosure level a</w:t>
      </w:r>
      <w:r w:rsidR="00DC59B1" w:rsidRPr="00B97064">
        <w:rPr>
          <w:rFonts w:cs="Arial"/>
          <w:szCs w:val="22"/>
          <w:lang w:val="en-GB"/>
        </w:rPr>
        <w:t>nd firm value. The second part</w:t>
      </w:r>
      <w:r w:rsidRPr="00B97064">
        <w:rPr>
          <w:rFonts w:cs="Arial"/>
          <w:szCs w:val="22"/>
          <w:lang w:val="en-GB"/>
        </w:rPr>
        <w:t xml:space="preserve"> regards the relationship between some corporate governance and ownership characteristics and RPTs. After this, the first two parts are repeated by using another model: a panel regression model. Finally, the last part of the research investigates the differences between the explanatory variables over time and the explanatory power of those variables. This chapter discussed the relationships between the variables in detail, as well as the corresponding hypotheses. </w:t>
      </w:r>
      <w:r w:rsidR="00271590" w:rsidRPr="00B97064">
        <w:rPr>
          <w:rFonts w:cs="Arial"/>
          <w:szCs w:val="22"/>
          <w:lang w:val="en-GB"/>
        </w:rPr>
        <w:t>The next chapter will give an overview of the data collection process, the final sample composition and the transformation of the data</w:t>
      </w:r>
      <w:r w:rsidRPr="00B97064">
        <w:rPr>
          <w:rFonts w:cs="Arial"/>
          <w:szCs w:val="22"/>
          <w:lang w:val="en-GB"/>
        </w:rPr>
        <w:t>.</w:t>
      </w:r>
    </w:p>
    <w:p w:rsidR="00744E1A" w:rsidRPr="00B97064" w:rsidRDefault="00744E1A">
      <w:pPr>
        <w:widowControl/>
        <w:adjustRightInd/>
        <w:spacing w:line="240" w:lineRule="auto"/>
        <w:jc w:val="left"/>
        <w:textAlignment w:val="auto"/>
        <w:rPr>
          <w:rFonts w:cs="Arial"/>
          <w:szCs w:val="22"/>
          <w:lang w:val="en-GB"/>
        </w:rPr>
      </w:pPr>
      <w:r w:rsidRPr="00B97064">
        <w:rPr>
          <w:rFonts w:cs="Arial"/>
          <w:szCs w:val="22"/>
          <w:lang w:val="en-GB"/>
        </w:rPr>
        <w:br w:type="page"/>
      </w:r>
    </w:p>
    <w:p w:rsidR="00744E1A" w:rsidRPr="00B97064" w:rsidRDefault="00744E1A" w:rsidP="004C718C">
      <w:pPr>
        <w:pStyle w:val="Heading1"/>
        <w:rPr>
          <w:lang w:val="en-GB"/>
        </w:rPr>
      </w:pPr>
      <w:bookmarkStart w:id="86" w:name="_Toc349585496"/>
      <w:r w:rsidRPr="00B97064">
        <w:rPr>
          <w:lang w:val="en-GB"/>
        </w:rPr>
        <w:lastRenderedPageBreak/>
        <w:t>5. Data collection and data transformation</w:t>
      </w:r>
      <w:bookmarkEnd w:id="86"/>
    </w:p>
    <w:p w:rsidR="00744E1A" w:rsidRPr="00B97064" w:rsidRDefault="00744E1A" w:rsidP="004C718C">
      <w:pPr>
        <w:pStyle w:val="Heading2"/>
        <w:rPr>
          <w:lang w:val="en-GB"/>
        </w:rPr>
      </w:pPr>
      <w:bookmarkStart w:id="87" w:name="_Toc349585497"/>
      <w:bookmarkStart w:id="88" w:name="_Ref349387712"/>
      <w:r w:rsidRPr="00B97064">
        <w:rPr>
          <w:lang w:val="en-GB"/>
        </w:rPr>
        <w:t>5.1 Introduction</w:t>
      </w:r>
      <w:bookmarkEnd w:id="87"/>
    </w:p>
    <w:p w:rsidR="00744E1A" w:rsidRPr="00B97064" w:rsidRDefault="00744E1A" w:rsidP="00744E1A">
      <w:pPr>
        <w:rPr>
          <w:lang w:val="en-GB"/>
        </w:rPr>
      </w:pPr>
      <w:r w:rsidRPr="00B97064">
        <w:rPr>
          <w:lang w:val="en-GB"/>
        </w:rPr>
        <w:t xml:space="preserve">The previous chapter gave an overview of the methodology used to conduct </w:t>
      </w:r>
      <w:r w:rsidR="00DC59B1" w:rsidRPr="00B97064">
        <w:rPr>
          <w:lang w:val="en-GB"/>
        </w:rPr>
        <w:t>the</w:t>
      </w:r>
      <w:r w:rsidRPr="00B97064">
        <w:rPr>
          <w:lang w:val="en-GB"/>
        </w:rPr>
        <w:t xml:space="preserve"> research. This chapter will give an overview of the data collection process and the composition of the final sample. Subsequently, it will discuss </w:t>
      </w:r>
      <w:r w:rsidR="00FC7665" w:rsidRPr="00B97064">
        <w:rPr>
          <w:lang w:val="en-GB"/>
        </w:rPr>
        <w:t>the transformation process of the data. Finally, a short summary will be given.</w:t>
      </w:r>
    </w:p>
    <w:p w:rsidR="00362C77" w:rsidRPr="00B97064" w:rsidRDefault="00FC7665" w:rsidP="004C718C">
      <w:pPr>
        <w:pStyle w:val="Heading2"/>
        <w:rPr>
          <w:lang w:val="en-GB"/>
        </w:rPr>
      </w:pPr>
      <w:bookmarkStart w:id="89" w:name="_Ref349405527"/>
      <w:bookmarkStart w:id="90" w:name="_Toc349585498"/>
      <w:r w:rsidRPr="00B97064">
        <w:rPr>
          <w:lang w:val="en-GB"/>
        </w:rPr>
        <w:t>5.2</w:t>
      </w:r>
      <w:r w:rsidR="00362C77" w:rsidRPr="00B97064">
        <w:rPr>
          <w:lang w:val="en-GB"/>
        </w:rPr>
        <w:t xml:space="preserve"> </w:t>
      </w:r>
      <w:r w:rsidR="001209C5" w:rsidRPr="00B97064">
        <w:rPr>
          <w:lang w:val="en-GB"/>
        </w:rPr>
        <w:t>Data collection and final sample composition</w:t>
      </w:r>
      <w:bookmarkEnd w:id="88"/>
      <w:bookmarkEnd w:id="89"/>
      <w:bookmarkEnd w:id="90"/>
    </w:p>
    <w:p w:rsidR="00362C77" w:rsidRPr="00B97064" w:rsidRDefault="00362C77" w:rsidP="00362C77">
      <w:pPr>
        <w:rPr>
          <w:szCs w:val="22"/>
          <w:lang w:val="en-GB"/>
        </w:rPr>
      </w:pPr>
      <w:bookmarkStart w:id="91" w:name="_Ref341779127"/>
      <w:bookmarkEnd w:id="84"/>
      <w:r w:rsidRPr="00B97064">
        <w:rPr>
          <w:szCs w:val="22"/>
          <w:lang w:val="en-GB"/>
        </w:rPr>
        <w:t>My initial sample consist</w:t>
      </w:r>
      <w:r w:rsidR="00954679" w:rsidRPr="00B97064">
        <w:rPr>
          <w:szCs w:val="22"/>
          <w:lang w:val="en-GB"/>
        </w:rPr>
        <w:t>ed</w:t>
      </w:r>
      <w:r w:rsidRPr="00B97064">
        <w:rPr>
          <w:szCs w:val="22"/>
          <w:lang w:val="en-GB"/>
        </w:rPr>
        <w:t xml:space="preserve"> of the 118 largest Dutch listed firms according to the </w:t>
      </w:r>
      <w:r w:rsidRPr="00B97064">
        <w:rPr>
          <w:i/>
          <w:szCs w:val="22"/>
          <w:lang w:val="en-GB"/>
        </w:rPr>
        <w:t>Orbis</w:t>
      </w:r>
      <w:r w:rsidRPr="00B97064">
        <w:rPr>
          <w:szCs w:val="22"/>
          <w:lang w:val="en-GB"/>
        </w:rPr>
        <w:t xml:space="preserve"> database. The selection criteria for my initial sample were:</w:t>
      </w:r>
    </w:p>
    <w:p w:rsidR="00362C77" w:rsidRPr="00B97064" w:rsidRDefault="00362C77" w:rsidP="00C140CF">
      <w:pPr>
        <w:numPr>
          <w:ilvl w:val="0"/>
          <w:numId w:val="16"/>
        </w:numPr>
        <w:rPr>
          <w:szCs w:val="22"/>
          <w:lang w:val="en-GB"/>
        </w:rPr>
      </w:pPr>
      <w:r w:rsidRPr="00B97064">
        <w:rPr>
          <w:szCs w:val="22"/>
          <w:lang w:val="en-GB"/>
        </w:rPr>
        <w:t>All active companies or companies with an unknown status;</w:t>
      </w:r>
    </w:p>
    <w:p w:rsidR="00362C77" w:rsidRPr="00B97064" w:rsidRDefault="00362C77" w:rsidP="00C140CF">
      <w:pPr>
        <w:numPr>
          <w:ilvl w:val="0"/>
          <w:numId w:val="16"/>
        </w:numPr>
        <w:rPr>
          <w:szCs w:val="22"/>
          <w:lang w:val="en-GB"/>
        </w:rPr>
      </w:pPr>
      <w:r w:rsidRPr="00B97064">
        <w:rPr>
          <w:szCs w:val="22"/>
          <w:lang w:val="en-GB"/>
        </w:rPr>
        <w:t>Main stock exchange: Euronext Amsterdam;</w:t>
      </w:r>
    </w:p>
    <w:p w:rsidR="00362C77" w:rsidRPr="00B97064" w:rsidRDefault="00362C77" w:rsidP="00C140CF">
      <w:pPr>
        <w:numPr>
          <w:ilvl w:val="0"/>
          <w:numId w:val="16"/>
        </w:numPr>
        <w:rPr>
          <w:szCs w:val="22"/>
          <w:lang w:val="en-GB"/>
        </w:rPr>
      </w:pPr>
      <w:r w:rsidRPr="00B97064">
        <w:rPr>
          <w:szCs w:val="22"/>
          <w:lang w:val="en-GB"/>
        </w:rPr>
        <w:t>Total assets (in EUR): periods 2003 and 2009, top 250.</w:t>
      </w:r>
    </w:p>
    <w:p w:rsidR="00362C77" w:rsidRPr="00B97064" w:rsidRDefault="00362C77" w:rsidP="00362C77">
      <w:pPr>
        <w:rPr>
          <w:szCs w:val="22"/>
          <w:lang w:val="en-GB"/>
        </w:rPr>
      </w:pPr>
    </w:p>
    <w:p w:rsidR="00362C77" w:rsidRPr="00B97064" w:rsidRDefault="00362C77" w:rsidP="00362C77">
      <w:pPr>
        <w:rPr>
          <w:szCs w:val="22"/>
          <w:lang w:val="en-GB"/>
        </w:rPr>
      </w:pPr>
      <w:r w:rsidRPr="00B97064">
        <w:rPr>
          <w:szCs w:val="22"/>
          <w:lang w:val="en-GB"/>
        </w:rPr>
        <w:t xml:space="preserve">After that, </w:t>
      </w:r>
      <w:r w:rsidR="001209C5" w:rsidRPr="00B97064">
        <w:rPr>
          <w:szCs w:val="22"/>
          <w:lang w:val="en-GB"/>
        </w:rPr>
        <w:t>I eliminated</w:t>
      </w:r>
      <w:r w:rsidRPr="00B97064">
        <w:rPr>
          <w:szCs w:val="22"/>
          <w:lang w:val="en-GB"/>
        </w:rPr>
        <w:t xml:space="preserve"> 19 firms manually, because those firms were listed on the Euronext for only one of both years. This selection was based on IPO date and delisted date data according to the </w:t>
      </w:r>
      <w:r w:rsidRPr="00B97064">
        <w:rPr>
          <w:i/>
          <w:szCs w:val="22"/>
          <w:lang w:val="en-GB"/>
        </w:rPr>
        <w:t>Orbis</w:t>
      </w:r>
      <w:r w:rsidRPr="00B97064">
        <w:rPr>
          <w:szCs w:val="22"/>
          <w:lang w:val="en-GB"/>
        </w:rPr>
        <w:t xml:space="preserve"> database. </w:t>
      </w:r>
      <w:r w:rsidR="00E837FC" w:rsidRPr="00B97064">
        <w:rPr>
          <w:rFonts w:cs="Arial"/>
          <w:szCs w:val="22"/>
          <w:lang w:val="en-GB"/>
        </w:rPr>
        <w:t xml:space="preserve">Those firms were eliminated from my data, since I want to compile a panel dataset; the dataset should contain repeated observations on the same units (Verbeek, 2011). </w:t>
      </w:r>
      <w:r w:rsidRPr="00B97064">
        <w:rPr>
          <w:szCs w:val="22"/>
          <w:lang w:val="en-GB"/>
        </w:rPr>
        <w:t xml:space="preserve">After this </w:t>
      </w:r>
      <w:r w:rsidR="001209C5" w:rsidRPr="00B97064">
        <w:rPr>
          <w:szCs w:val="22"/>
          <w:lang w:val="en-GB"/>
        </w:rPr>
        <w:t>elimination</w:t>
      </w:r>
      <w:r w:rsidRPr="00B97064">
        <w:rPr>
          <w:szCs w:val="22"/>
          <w:lang w:val="en-GB"/>
        </w:rPr>
        <w:t>, 99 companies remained in my sample.</w:t>
      </w:r>
    </w:p>
    <w:p w:rsidR="00362C77" w:rsidRPr="00B97064" w:rsidRDefault="00362C77" w:rsidP="00362C77">
      <w:pPr>
        <w:rPr>
          <w:szCs w:val="22"/>
          <w:lang w:val="en-GB"/>
        </w:rPr>
      </w:pPr>
    </w:p>
    <w:p w:rsidR="009310B3" w:rsidRPr="00B97064" w:rsidRDefault="00362C77" w:rsidP="00362C77">
      <w:pPr>
        <w:rPr>
          <w:szCs w:val="22"/>
          <w:lang w:val="en-GB"/>
        </w:rPr>
      </w:pPr>
      <w:r w:rsidRPr="00B97064">
        <w:rPr>
          <w:szCs w:val="22"/>
          <w:lang w:val="en-GB"/>
        </w:rPr>
        <w:t xml:space="preserve">For 1 company, no annual report was available at </w:t>
      </w:r>
      <w:r w:rsidRPr="00B97064">
        <w:rPr>
          <w:i/>
          <w:szCs w:val="22"/>
          <w:lang w:val="en-GB"/>
        </w:rPr>
        <w:t>company.info</w:t>
      </w:r>
      <w:r w:rsidR="00B3086F" w:rsidRPr="00B97064">
        <w:rPr>
          <w:i/>
          <w:szCs w:val="22"/>
          <w:lang w:val="en-GB"/>
        </w:rPr>
        <w:t xml:space="preserve"> </w:t>
      </w:r>
      <w:r w:rsidR="00B3086F" w:rsidRPr="00B97064">
        <w:rPr>
          <w:lang w:val="en-GB"/>
        </w:rPr>
        <w:t>(Nieuwe Steen Investments N.V.)</w:t>
      </w:r>
      <w:r w:rsidR="001209C5" w:rsidRPr="00B97064">
        <w:rPr>
          <w:i/>
          <w:szCs w:val="22"/>
          <w:lang w:val="en-GB"/>
        </w:rPr>
        <w:t>.</w:t>
      </w:r>
      <w:r w:rsidR="001209C5" w:rsidRPr="00B97064">
        <w:rPr>
          <w:szCs w:val="22"/>
          <w:lang w:val="en-GB"/>
        </w:rPr>
        <w:t xml:space="preserve"> So, after the elimination of this company, my final sample consisted of 98 firms.</w:t>
      </w:r>
      <w:r w:rsidR="009310B3" w:rsidRPr="00B97064">
        <w:rPr>
          <w:szCs w:val="22"/>
          <w:lang w:val="en-GB"/>
        </w:rPr>
        <w:t xml:space="preserve"> The composition of my </w:t>
      </w:r>
      <w:r w:rsidR="00DC59B1" w:rsidRPr="00B97064">
        <w:rPr>
          <w:szCs w:val="22"/>
          <w:lang w:val="en-GB"/>
        </w:rPr>
        <w:t>sample</w:t>
      </w:r>
      <w:r w:rsidR="009310B3" w:rsidRPr="00B97064">
        <w:rPr>
          <w:szCs w:val="22"/>
          <w:lang w:val="en-GB"/>
        </w:rPr>
        <w:t xml:space="preserve"> is summari</w:t>
      </w:r>
      <w:r w:rsidR="0059557F" w:rsidRPr="00B97064">
        <w:rPr>
          <w:szCs w:val="22"/>
          <w:lang w:val="en-GB"/>
        </w:rPr>
        <w:t>s</w:t>
      </w:r>
      <w:r w:rsidR="009310B3" w:rsidRPr="00B97064">
        <w:rPr>
          <w:szCs w:val="22"/>
          <w:lang w:val="en-GB"/>
        </w:rPr>
        <w:t>ed in the following table:</w:t>
      </w:r>
    </w:p>
    <w:tbl>
      <w:tblPr>
        <w:tblW w:w="7340" w:type="dxa"/>
        <w:tblInd w:w="93" w:type="dxa"/>
        <w:tblLook w:val="04A0"/>
      </w:tblPr>
      <w:tblGrid>
        <w:gridCol w:w="6140"/>
        <w:gridCol w:w="1200"/>
      </w:tblGrid>
      <w:tr w:rsidR="009310B3" w:rsidRPr="00B97064" w:rsidTr="009310B3">
        <w:trPr>
          <w:trHeight w:val="420"/>
        </w:trPr>
        <w:tc>
          <w:tcPr>
            <w:tcW w:w="6140" w:type="dxa"/>
            <w:tcBorders>
              <w:top w:val="single" w:sz="8" w:space="0" w:color="auto"/>
              <w:left w:val="single" w:sz="8" w:space="0" w:color="auto"/>
              <w:bottom w:val="nil"/>
              <w:right w:val="nil"/>
            </w:tcBorders>
            <w:shd w:val="clear" w:color="000000" w:fill="1F497D"/>
            <w:vAlign w:val="center"/>
            <w:hideMark/>
          </w:tcPr>
          <w:p w:rsidR="009310B3" w:rsidRPr="00B97064" w:rsidRDefault="009310B3" w:rsidP="009310B3">
            <w:pPr>
              <w:widowControl/>
              <w:adjustRightInd/>
              <w:spacing w:line="240" w:lineRule="auto"/>
              <w:jc w:val="left"/>
              <w:textAlignment w:val="auto"/>
              <w:rPr>
                <w:rFonts w:ascii="Verdana" w:hAnsi="Verdana" w:cs="Arial"/>
                <w:b/>
                <w:bCs/>
                <w:color w:val="FFFFFF"/>
                <w:sz w:val="16"/>
                <w:szCs w:val="16"/>
                <w:lang w:val="en-GB" w:eastAsia="en-US"/>
              </w:rPr>
            </w:pPr>
            <w:r w:rsidRPr="00B97064">
              <w:rPr>
                <w:rFonts w:ascii="Verdana" w:hAnsi="Verdana" w:cs="Arial"/>
                <w:b/>
                <w:bCs/>
                <w:color w:val="FFFFFF"/>
                <w:sz w:val="16"/>
                <w:szCs w:val="16"/>
                <w:lang w:val="en-GB" w:eastAsia="en-US"/>
              </w:rPr>
              <w:t>Sample composition</w:t>
            </w:r>
          </w:p>
        </w:tc>
        <w:tc>
          <w:tcPr>
            <w:tcW w:w="1200" w:type="dxa"/>
            <w:tcBorders>
              <w:top w:val="single" w:sz="8" w:space="0" w:color="auto"/>
              <w:left w:val="nil"/>
              <w:bottom w:val="nil"/>
              <w:right w:val="single" w:sz="8" w:space="0" w:color="auto"/>
            </w:tcBorders>
            <w:shd w:val="clear" w:color="000000" w:fill="1F497D"/>
            <w:vAlign w:val="center"/>
            <w:hideMark/>
          </w:tcPr>
          <w:p w:rsidR="009310B3" w:rsidRPr="00B97064" w:rsidRDefault="009310B3" w:rsidP="009310B3">
            <w:pPr>
              <w:widowControl/>
              <w:adjustRightInd/>
              <w:spacing w:line="240" w:lineRule="auto"/>
              <w:jc w:val="left"/>
              <w:textAlignment w:val="auto"/>
              <w:rPr>
                <w:rFonts w:ascii="Verdana" w:hAnsi="Verdana" w:cs="Arial"/>
                <w:b/>
                <w:bCs/>
                <w:color w:val="FFFFFF"/>
                <w:sz w:val="16"/>
                <w:szCs w:val="16"/>
                <w:lang w:val="en-GB" w:eastAsia="en-US"/>
              </w:rPr>
            </w:pPr>
            <w:r w:rsidRPr="00B97064">
              <w:rPr>
                <w:rFonts w:ascii="Verdana" w:hAnsi="Verdana" w:cs="Arial"/>
                <w:b/>
                <w:bCs/>
                <w:color w:val="FFFFFF"/>
                <w:sz w:val="16"/>
                <w:szCs w:val="16"/>
                <w:lang w:val="en-GB" w:eastAsia="en-US"/>
              </w:rPr>
              <w:t>Number of firms</w:t>
            </w:r>
          </w:p>
        </w:tc>
      </w:tr>
      <w:tr w:rsidR="009310B3" w:rsidRPr="00B97064" w:rsidTr="009310B3">
        <w:trPr>
          <w:trHeight w:val="330"/>
        </w:trPr>
        <w:tc>
          <w:tcPr>
            <w:tcW w:w="6140" w:type="dxa"/>
            <w:tcBorders>
              <w:top w:val="nil"/>
              <w:left w:val="single" w:sz="8" w:space="0" w:color="auto"/>
              <w:bottom w:val="nil"/>
              <w:right w:val="nil"/>
            </w:tcBorders>
            <w:shd w:val="clear" w:color="000000" w:fill="FFFFFF"/>
            <w:noWrap/>
            <w:vAlign w:val="bottom"/>
            <w:hideMark/>
          </w:tcPr>
          <w:p w:rsidR="009310B3" w:rsidRPr="00B97064" w:rsidRDefault="00370E41" w:rsidP="009310B3">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Initial</w:t>
            </w:r>
            <w:r w:rsidR="009310B3" w:rsidRPr="00B97064">
              <w:rPr>
                <w:rFonts w:cs="Arial"/>
                <w:color w:val="000000"/>
                <w:sz w:val="20"/>
                <w:szCs w:val="20"/>
                <w:lang w:val="en-GB" w:eastAsia="en-US"/>
              </w:rPr>
              <w:t xml:space="preserve"> Orbis sample</w:t>
            </w:r>
          </w:p>
        </w:tc>
        <w:tc>
          <w:tcPr>
            <w:tcW w:w="1200" w:type="dxa"/>
            <w:tcBorders>
              <w:top w:val="nil"/>
              <w:left w:val="nil"/>
              <w:bottom w:val="nil"/>
              <w:right w:val="single" w:sz="8" w:space="0" w:color="auto"/>
            </w:tcBorders>
            <w:shd w:val="clear" w:color="000000" w:fill="FFFFFF"/>
            <w:noWrap/>
            <w:vAlign w:val="bottom"/>
            <w:hideMark/>
          </w:tcPr>
          <w:p w:rsidR="009310B3" w:rsidRPr="00B97064" w:rsidRDefault="009310B3" w:rsidP="009310B3">
            <w:pPr>
              <w:widowControl/>
              <w:adjustRightInd/>
              <w:spacing w:line="240" w:lineRule="auto"/>
              <w:jc w:val="right"/>
              <w:textAlignment w:val="auto"/>
              <w:rPr>
                <w:rFonts w:cs="Arial"/>
                <w:color w:val="000000"/>
                <w:sz w:val="20"/>
                <w:szCs w:val="20"/>
                <w:lang w:val="en-GB" w:eastAsia="en-US"/>
              </w:rPr>
            </w:pPr>
            <w:r w:rsidRPr="00B97064">
              <w:rPr>
                <w:rFonts w:cs="Arial"/>
                <w:color w:val="000000"/>
                <w:sz w:val="20"/>
                <w:szCs w:val="20"/>
                <w:lang w:val="en-GB" w:eastAsia="en-US"/>
              </w:rPr>
              <w:t>118</w:t>
            </w:r>
          </w:p>
        </w:tc>
      </w:tr>
      <w:tr w:rsidR="009310B3" w:rsidRPr="00B97064" w:rsidTr="009310B3">
        <w:trPr>
          <w:trHeight w:val="330"/>
        </w:trPr>
        <w:tc>
          <w:tcPr>
            <w:tcW w:w="6140" w:type="dxa"/>
            <w:tcBorders>
              <w:top w:val="nil"/>
              <w:left w:val="single" w:sz="8" w:space="0" w:color="auto"/>
              <w:bottom w:val="nil"/>
              <w:right w:val="nil"/>
            </w:tcBorders>
            <w:shd w:val="clear" w:color="000000" w:fill="8DB4E3"/>
            <w:vAlign w:val="bottom"/>
            <w:hideMark/>
          </w:tcPr>
          <w:p w:rsidR="009310B3" w:rsidRPr="00B97064" w:rsidRDefault="009310B3" w:rsidP="009310B3">
            <w:pPr>
              <w:widowControl/>
              <w:adjustRightInd/>
              <w:spacing w:line="240" w:lineRule="auto"/>
              <w:jc w:val="left"/>
              <w:textAlignment w:val="auto"/>
              <w:rPr>
                <w:rFonts w:cs="Arial"/>
                <w:sz w:val="20"/>
                <w:szCs w:val="20"/>
                <w:lang w:val="en-GB" w:eastAsia="en-US"/>
              </w:rPr>
            </w:pPr>
            <w:r w:rsidRPr="00B97064">
              <w:rPr>
                <w:rFonts w:cs="Arial"/>
                <w:sz w:val="20"/>
                <w:szCs w:val="20"/>
                <w:lang w:val="en-GB" w:eastAsia="en-US"/>
              </w:rPr>
              <w:t>Elimination of firms which were only listed in one of both years</w:t>
            </w:r>
          </w:p>
        </w:tc>
        <w:tc>
          <w:tcPr>
            <w:tcW w:w="1200" w:type="dxa"/>
            <w:tcBorders>
              <w:top w:val="nil"/>
              <w:left w:val="nil"/>
              <w:bottom w:val="nil"/>
              <w:right w:val="single" w:sz="8" w:space="0" w:color="auto"/>
            </w:tcBorders>
            <w:shd w:val="clear" w:color="000000" w:fill="8DB4E3"/>
            <w:vAlign w:val="bottom"/>
            <w:hideMark/>
          </w:tcPr>
          <w:p w:rsidR="009310B3" w:rsidRPr="00B97064" w:rsidRDefault="00DC59B1" w:rsidP="00DC59B1">
            <w:pPr>
              <w:widowControl/>
              <w:adjustRightInd/>
              <w:spacing w:line="240" w:lineRule="auto"/>
              <w:jc w:val="right"/>
              <w:textAlignment w:val="auto"/>
              <w:rPr>
                <w:rFonts w:cs="Arial"/>
                <w:color w:val="FF0000"/>
                <w:sz w:val="20"/>
                <w:szCs w:val="20"/>
                <w:lang w:val="en-GB" w:eastAsia="en-US"/>
              </w:rPr>
            </w:pPr>
            <w:r w:rsidRPr="00B97064">
              <w:rPr>
                <w:rFonts w:cs="Arial"/>
                <w:color w:val="FF0000"/>
                <w:sz w:val="20"/>
                <w:szCs w:val="20"/>
                <w:lang w:val="en-GB" w:eastAsia="en-US"/>
              </w:rPr>
              <w:t>-/-</w:t>
            </w:r>
            <w:r w:rsidR="009310B3" w:rsidRPr="00B97064">
              <w:rPr>
                <w:rFonts w:cs="Arial"/>
                <w:color w:val="FF0000"/>
                <w:sz w:val="20"/>
                <w:szCs w:val="20"/>
                <w:lang w:val="en-GB" w:eastAsia="en-US"/>
              </w:rPr>
              <w:t>19</w:t>
            </w:r>
          </w:p>
        </w:tc>
      </w:tr>
      <w:tr w:rsidR="009310B3" w:rsidRPr="00B97064" w:rsidTr="009310B3">
        <w:trPr>
          <w:trHeight w:val="330"/>
        </w:trPr>
        <w:tc>
          <w:tcPr>
            <w:tcW w:w="6140" w:type="dxa"/>
            <w:tcBorders>
              <w:top w:val="nil"/>
              <w:left w:val="single" w:sz="8" w:space="0" w:color="auto"/>
              <w:bottom w:val="nil"/>
              <w:right w:val="nil"/>
            </w:tcBorders>
            <w:shd w:val="clear" w:color="000000" w:fill="FFFFFF"/>
            <w:noWrap/>
            <w:vAlign w:val="bottom"/>
            <w:hideMark/>
          </w:tcPr>
          <w:p w:rsidR="009310B3" w:rsidRPr="00B97064" w:rsidRDefault="009310B3" w:rsidP="009310B3">
            <w:pPr>
              <w:widowControl/>
              <w:adjustRightInd/>
              <w:spacing w:line="240" w:lineRule="auto"/>
              <w:jc w:val="left"/>
              <w:textAlignment w:val="auto"/>
              <w:rPr>
                <w:rFonts w:cs="Arial"/>
                <w:sz w:val="20"/>
                <w:szCs w:val="20"/>
                <w:lang w:val="en-GB" w:eastAsia="en-US"/>
              </w:rPr>
            </w:pPr>
            <w:r w:rsidRPr="00B97064">
              <w:rPr>
                <w:rFonts w:cs="Arial"/>
                <w:sz w:val="20"/>
                <w:szCs w:val="20"/>
                <w:lang w:val="en-GB" w:eastAsia="en-US"/>
              </w:rPr>
              <w:t>Elimination of firm for which no annual reports were available</w:t>
            </w:r>
          </w:p>
        </w:tc>
        <w:tc>
          <w:tcPr>
            <w:tcW w:w="1200" w:type="dxa"/>
            <w:tcBorders>
              <w:top w:val="nil"/>
              <w:left w:val="nil"/>
              <w:bottom w:val="double" w:sz="6" w:space="0" w:color="auto"/>
              <w:right w:val="single" w:sz="8" w:space="0" w:color="auto"/>
            </w:tcBorders>
            <w:shd w:val="clear" w:color="000000" w:fill="FFFFFF"/>
            <w:vAlign w:val="bottom"/>
            <w:hideMark/>
          </w:tcPr>
          <w:p w:rsidR="009310B3" w:rsidRPr="00B97064" w:rsidRDefault="00DC59B1" w:rsidP="00DC59B1">
            <w:pPr>
              <w:widowControl/>
              <w:adjustRightInd/>
              <w:spacing w:line="240" w:lineRule="auto"/>
              <w:jc w:val="right"/>
              <w:textAlignment w:val="auto"/>
              <w:rPr>
                <w:rFonts w:cs="Arial"/>
                <w:color w:val="FF0000"/>
                <w:sz w:val="20"/>
                <w:szCs w:val="20"/>
                <w:lang w:val="en-GB" w:eastAsia="en-US"/>
              </w:rPr>
            </w:pPr>
            <w:r w:rsidRPr="00B97064">
              <w:rPr>
                <w:rFonts w:cs="Arial"/>
                <w:color w:val="FF0000"/>
                <w:sz w:val="20"/>
                <w:szCs w:val="20"/>
                <w:lang w:val="en-GB" w:eastAsia="en-US"/>
              </w:rPr>
              <w:t>-/-</w:t>
            </w:r>
            <w:r w:rsidR="009310B3" w:rsidRPr="00B97064">
              <w:rPr>
                <w:rFonts w:cs="Arial"/>
                <w:color w:val="FF0000"/>
                <w:sz w:val="20"/>
                <w:szCs w:val="20"/>
                <w:lang w:val="en-GB" w:eastAsia="en-US"/>
              </w:rPr>
              <w:t>1</w:t>
            </w:r>
          </w:p>
        </w:tc>
      </w:tr>
      <w:tr w:rsidR="009310B3" w:rsidRPr="00B97064" w:rsidTr="009310B3">
        <w:trPr>
          <w:trHeight w:val="330"/>
        </w:trPr>
        <w:tc>
          <w:tcPr>
            <w:tcW w:w="6140" w:type="dxa"/>
            <w:tcBorders>
              <w:top w:val="nil"/>
              <w:left w:val="single" w:sz="8" w:space="0" w:color="auto"/>
              <w:bottom w:val="single" w:sz="8" w:space="0" w:color="auto"/>
              <w:right w:val="nil"/>
            </w:tcBorders>
            <w:shd w:val="clear" w:color="000000" w:fill="8DB4E3"/>
            <w:vAlign w:val="bottom"/>
            <w:hideMark/>
          </w:tcPr>
          <w:p w:rsidR="009310B3" w:rsidRPr="00B97064" w:rsidRDefault="009310B3" w:rsidP="009310B3">
            <w:pPr>
              <w:widowControl/>
              <w:adjustRightInd/>
              <w:spacing w:line="240" w:lineRule="auto"/>
              <w:jc w:val="left"/>
              <w:textAlignment w:val="auto"/>
              <w:rPr>
                <w:rFonts w:cs="Arial"/>
                <w:b/>
                <w:bCs/>
                <w:color w:val="000000"/>
                <w:sz w:val="20"/>
                <w:szCs w:val="20"/>
                <w:lang w:val="en-GB" w:eastAsia="en-US"/>
              </w:rPr>
            </w:pPr>
            <w:r w:rsidRPr="00B97064">
              <w:rPr>
                <w:rFonts w:cs="Arial"/>
                <w:b/>
                <w:bCs/>
                <w:color w:val="000000"/>
                <w:sz w:val="20"/>
                <w:szCs w:val="20"/>
                <w:lang w:val="en-GB" w:eastAsia="en-US"/>
              </w:rPr>
              <w:t>Final sample</w:t>
            </w:r>
          </w:p>
        </w:tc>
        <w:tc>
          <w:tcPr>
            <w:tcW w:w="1200" w:type="dxa"/>
            <w:tcBorders>
              <w:top w:val="nil"/>
              <w:left w:val="nil"/>
              <w:bottom w:val="single" w:sz="8" w:space="0" w:color="auto"/>
              <w:right w:val="single" w:sz="8" w:space="0" w:color="auto"/>
            </w:tcBorders>
            <w:shd w:val="clear" w:color="000000" w:fill="8DB4E3"/>
            <w:vAlign w:val="bottom"/>
            <w:hideMark/>
          </w:tcPr>
          <w:p w:rsidR="009310B3" w:rsidRPr="00B97064" w:rsidRDefault="009310B3" w:rsidP="009310B3">
            <w:pPr>
              <w:widowControl/>
              <w:adjustRightInd/>
              <w:spacing w:line="240" w:lineRule="auto"/>
              <w:jc w:val="right"/>
              <w:textAlignment w:val="auto"/>
              <w:rPr>
                <w:rFonts w:cs="Arial"/>
                <w:b/>
                <w:bCs/>
                <w:color w:val="000000"/>
                <w:sz w:val="20"/>
                <w:szCs w:val="20"/>
                <w:lang w:val="en-GB" w:eastAsia="en-US"/>
              </w:rPr>
            </w:pPr>
            <w:r w:rsidRPr="00B97064">
              <w:rPr>
                <w:rFonts w:cs="Arial"/>
                <w:b/>
                <w:bCs/>
                <w:color w:val="000000"/>
                <w:sz w:val="20"/>
                <w:szCs w:val="20"/>
                <w:lang w:val="en-GB" w:eastAsia="en-US"/>
              </w:rPr>
              <w:t>98</w:t>
            </w:r>
          </w:p>
        </w:tc>
      </w:tr>
    </w:tbl>
    <w:p w:rsidR="009310B3" w:rsidRPr="00B97064" w:rsidRDefault="009310B3" w:rsidP="009310B3">
      <w:pPr>
        <w:pStyle w:val="Caption"/>
        <w:rPr>
          <w:color w:val="auto"/>
          <w:szCs w:val="22"/>
          <w:lang w:val="en-GB"/>
        </w:rPr>
      </w:pPr>
      <w:bookmarkStart w:id="92" w:name="_Toc349585540"/>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7</w:t>
      </w:r>
      <w:r w:rsidR="00E80C96" w:rsidRPr="00B97064">
        <w:rPr>
          <w:lang w:val="en-GB"/>
        </w:rPr>
        <w:fldChar w:fldCharType="end"/>
      </w:r>
      <w:r w:rsidRPr="00B97064">
        <w:rPr>
          <w:lang w:val="en-GB"/>
        </w:rPr>
        <w:t>: Sample composition</w:t>
      </w:r>
      <w:bookmarkEnd w:id="92"/>
    </w:p>
    <w:p w:rsidR="009310B3" w:rsidRPr="00B97064" w:rsidRDefault="009310B3" w:rsidP="00362C77">
      <w:pPr>
        <w:rPr>
          <w:szCs w:val="22"/>
          <w:lang w:val="en-GB"/>
        </w:rPr>
      </w:pPr>
    </w:p>
    <w:p w:rsidR="00362C77" w:rsidRPr="00B97064" w:rsidRDefault="001209C5" w:rsidP="00362C77">
      <w:pPr>
        <w:rPr>
          <w:szCs w:val="22"/>
          <w:lang w:val="en-GB"/>
        </w:rPr>
      </w:pPr>
      <w:r w:rsidRPr="00B97064">
        <w:rPr>
          <w:szCs w:val="22"/>
          <w:lang w:val="en-GB"/>
        </w:rPr>
        <w:t>A list of all the firms in my sample could be found in the appendix (section</w:t>
      </w:r>
      <w:r w:rsidR="004C718C" w:rsidRPr="00B97064">
        <w:rPr>
          <w:szCs w:val="22"/>
          <w:lang w:val="en-GB"/>
        </w:rPr>
        <w:t xml:space="preserve"> </w:t>
      </w:r>
      <w:fldSimple w:instr=" REF _Ref349584664 \h  \* MERGEFORMAT ">
        <w:r w:rsidR="004C718C" w:rsidRPr="00B97064">
          <w:rPr>
            <w:lang w:val="en-GB"/>
          </w:rPr>
          <w:t>10.2 Composition of final sample</w:t>
        </w:r>
      </w:fldSimple>
      <w:r w:rsidRPr="00B97064">
        <w:rPr>
          <w:szCs w:val="22"/>
          <w:lang w:val="en-GB"/>
        </w:rPr>
        <w:t>).</w:t>
      </w:r>
    </w:p>
    <w:p w:rsidR="007C7F32" w:rsidRPr="00B97064" w:rsidRDefault="00FC7665" w:rsidP="004C718C">
      <w:pPr>
        <w:pStyle w:val="Heading2"/>
        <w:rPr>
          <w:lang w:val="en-GB"/>
        </w:rPr>
      </w:pPr>
      <w:bookmarkStart w:id="93" w:name="_Toc349585499"/>
      <w:r w:rsidRPr="00B97064">
        <w:rPr>
          <w:lang w:val="en-GB"/>
        </w:rPr>
        <w:t>5.3</w:t>
      </w:r>
      <w:r w:rsidR="007C7F32" w:rsidRPr="00B97064">
        <w:rPr>
          <w:lang w:val="en-GB"/>
        </w:rPr>
        <w:t xml:space="preserve"> Data transformation</w:t>
      </w:r>
      <w:bookmarkEnd w:id="91"/>
      <w:bookmarkEnd w:id="93"/>
    </w:p>
    <w:p w:rsidR="007C7F32" w:rsidRPr="00B97064" w:rsidRDefault="007C7F32" w:rsidP="00B07654">
      <w:pPr>
        <w:rPr>
          <w:lang w:val="en-GB"/>
        </w:rPr>
      </w:pPr>
      <w:r w:rsidRPr="00B97064">
        <w:rPr>
          <w:lang w:val="en-GB"/>
        </w:rPr>
        <w:t xml:space="preserve">After the collection of the data, the data </w:t>
      </w:r>
      <w:r w:rsidR="00954679" w:rsidRPr="00B97064">
        <w:rPr>
          <w:lang w:val="en-GB"/>
        </w:rPr>
        <w:t>was</w:t>
      </w:r>
      <w:r w:rsidRPr="00B97064">
        <w:rPr>
          <w:lang w:val="en-GB"/>
        </w:rPr>
        <w:t xml:space="preserve"> transformed into the final dataset. First of all, Tobin’s Q </w:t>
      </w:r>
      <w:r w:rsidR="00954679" w:rsidRPr="00B97064">
        <w:rPr>
          <w:lang w:val="en-GB"/>
        </w:rPr>
        <w:t>was</w:t>
      </w:r>
      <w:r w:rsidRPr="00B97064">
        <w:rPr>
          <w:lang w:val="en-GB"/>
        </w:rPr>
        <w:t xml:space="preserve"> calculated for the years 2002, 2003, 2008 and 2009 using the following </w:t>
      </w:r>
      <w:r w:rsidRPr="00B97064">
        <w:rPr>
          <w:lang w:val="en-GB"/>
        </w:rPr>
        <w:lastRenderedPageBreak/>
        <w:t>formula:</w:t>
      </w:r>
    </w:p>
    <w:p w:rsidR="007C7F32" w:rsidRPr="00B97064" w:rsidRDefault="007C58A9" w:rsidP="002B6EF0">
      <w:pPr>
        <w:rPr>
          <w:lang w:val="en-GB"/>
        </w:rPr>
      </w:pPr>
      <m:oMathPara>
        <m:oMathParaPr>
          <m:jc m:val="left"/>
        </m:oMathParaPr>
        <m:oMath>
          <m:r>
            <w:rPr>
              <w:rFonts w:ascii="Cambria Math" w:hAnsi="Cambria Math" w:cs="Cambria Math"/>
              <w:lang w:val="en-GB"/>
            </w:rPr>
            <m:t>TQ</m:t>
          </m:r>
          <m:r>
            <m:rPr>
              <m:sty m:val="p"/>
            </m:rPr>
            <w:rPr>
              <w:rFonts w:ascii="Cambria Math" w:hAnsi="Cambria Math" w:cs="Cambria Math"/>
              <w:lang w:val="en-GB"/>
            </w:rPr>
            <m:t>=</m:t>
          </m:r>
          <m:f>
            <m:fPr>
              <m:ctrlPr>
                <w:rPr>
                  <w:rFonts w:ascii="Cambria Math" w:hAnsi="Cambria Math"/>
                  <w:lang w:val="en-GB"/>
                </w:rPr>
              </m:ctrlPr>
            </m:fPr>
            <m:num>
              <m:d>
                <m:dPr>
                  <m:ctrlPr>
                    <w:rPr>
                      <w:rFonts w:ascii="Cambria Math" w:hAnsi="Cambria Math" w:cs="Cambria Math"/>
                      <w:lang w:val="en-GB"/>
                    </w:rPr>
                  </m:ctrlPr>
                </m:dPr>
                <m:e>
                  <m:r>
                    <m:rPr>
                      <m:sty m:val="p"/>
                    </m:rPr>
                    <w:rPr>
                      <w:rFonts w:ascii="Cambria Math" w:hAnsi="Cambria Math" w:cs="Cambria Math"/>
                      <w:lang w:val="en-GB"/>
                    </w:rPr>
                    <m:t>Market capitilisation in millions*1,000,000</m:t>
                  </m:r>
                </m:e>
              </m:d>
              <m:r>
                <m:rPr>
                  <m:sty m:val="p"/>
                </m:rPr>
                <w:rPr>
                  <w:rFonts w:ascii="Cambria Math" w:hAnsi="Cambria Math" w:cs="Cambria Math"/>
                  <w:lang w:val="en-GB"/>
                </w:rPr>
                <m:t>+</m:t>
              </m:r>
              <m:r>
                <m:rPr>
                  <m:sty m:val="p"/>
                </m:rPr>
                <w:rPr>
                  <w:rFonts w:ascii="Cambria Math" w:hAnsi="Cambria Math"/>
                  <w:lang w:val="en-GB"/>
                </w:rPr>
                <m:t>Total Liabilities and debt</m:t>
              </m:r>
            </m:num>
            <m:den>
              <m:r>
                <m:rPr>
                  <m:sty m:val="p"/>
                </m:rPr>
                <w:rPr>
                  <w:rFonts w:ascii="Cambria Math" w:hAnsi="Cambria Math" w:cs="Cambria Math"/>
                  <w:lang w:val="en-GB"/>
                </w:rPr>
                <m:t>Total Assets</m:t>
              </m:r>
            </m:den>
          </m:f>
        </m:oMath>
      </m:oMathPara>
    </w:p>
    <w:p w:rsidR="00744E1A" w:rsidRPr="00B97064" w:rsidRDefault="00744E1A" w:rsidP="00B07654">
      <w:pPr>
        <w:rPr>
          <w:lang w:val="en-GB"/>
        </w:rPr>
      </w:pPr>
    </w:p>
    <w:p w:rsidR="007C7F32" w:rsidRPr="00B97064" w:rsidRDefault="007C7F32" w:rsidP="00B07654">
      <w:pPr>
        <w:rPr>
          <w:lang w:val="en-GB"/>
        </w:rPr>
      </w:pPr>
      <w:r w:rsidRPr="00B97064">
        <w:rPr>
          <w:lang w:val="en-GB"/>
        </w:rPr>
        <w:t xml:space="preserve">Tobin’s Q for the years 2002 and 2008 serve as </w:t>
      </w:r>
      <w:r w:rsidRPr="00B97064">
        <w:rPr>
          <w:rFonts w:cs="Arial"/>
          <w:szCs w:val="22"/>
          <w:lang w:val="en-GB"/>
        </w:rPr>
        <w:t>CV</w:t>
      </w:r>
      <w:r w:rsidRPr="00B97064">
        <w:rPr>
          <w:rFonts w:cs="Arial"/>
          <w:szCs w:val="22"/>
          <w:vertAlign w:val="subscript"/>
          <w:lang w:val="en-GB"/>
        </w:rPr>
        <w:t>1</w:t>
      </w:r>
      <w:r w:rsidRPr="00B97064">
        <w:rPr>
          <w:lang w:val="en-GB"/>
        </w:rPr>
        <w:t>, Tobin’s Q for the years 2003 and 2009 serve as dependent variable in the first part of my research.</w:t>
      </w:r>
    </w:p>
    <w:p w:rsidR="007C7F32" w:rsidRPr="00B97064" w:rsidRDefault="007C7F32" w:rsidP="00B07654">
      <w:pPr>
        <w:rPr>
          <w:lang w:val="en-GB"/>
        </w:rPr>
      </w:pPr>
    </w:p>
    <w:p w:rsidR="007C7F32" w:rsidRPr="00B97064" w:rsidRDefault="007C7F32" w:rsidP="00B07654">
      <w:pPr>
        <w:rPr>
          <w:lang w:val="en-GB"/>
        </w:rPr>
      </w:pPr>
      <w:r w:rsidRPr="00B97064">
        <w:rPr>
          <w:lang w:val="en-GB"/>
        </w:rPr>
        <w:t>Furthermore, I collect</w:t>
      </w:r>
      <w:r w:rsidR="00744E1A" w:rsidRPr="00B97064">
        <w:rPr>
          <w:lang w:val="en-GB"/>
        </w:rPr>
        <w:t>ed</w:t>
      </w:r>
      <w:r w:rsidRPr="00B97064">
        <w:rPr>
          <w:lang w:val="en-GB"/>
        </w:rPr>
        <w:t xml:space="preserve"> the data about the disclosure on RPTs manually. I explore</w:t>
      </w:r>
      <w:r w:rsidR="00744E1A" w:rsidRPr="00B97064">
        <w:rPr>
          <w:lang w:val="en-GB"/>
        </w:rPr>
        <w:t>d</w:t>
      </w:r>
      <w:r w:rsidRPr="00B97064">
        <w:rPr>
          <w:lang w:val="en-GB"/>
        </w:rPr>
        <w:t xml:space="preserve"> for every firm whether or not th</w:t>
      </w:r>
      <w:r w:rsidR="00231DB0" w:rsidRPr="00B97064">
        <w:rPr>
          <w:lang w:val="en-GB"/>
        </w:rPr>
        <w:t>eir</w:t>
      </w:r>
      <w:r w:rsidRPr="00B97064">
        <w:rPr>
          <w:lang w:val="en-GB"/>
        </w:rPr>
        <w:t xml:space="preserve"> disclosure consists of the 11 information elements. For every information element which </w:t>
      </w:r>
      <w:r w:rsidR="00744E1A" w:rsidRPr="00B97064">
        <w:rPr>
          <w:lang w:val="en-GB"/>
        </w:rPr>
        <w:t>was</w:t>
      </w:r>
      <w:r w:rsidRPr="00B97064">
        <w:rPr>
          <w:lang w:val="en-GB"/>
        </w:rPr>
        <w:t xml:space="preserve"> found in their disclosure, the firm achieve</w:t>
      </w:r>
      <w:r w:rsidR="00DC59B1" w:rsidRPr="00B97064">
        <w:rPr>
          <w:lang w:val="en-GB"/>
        </w:rPr>
        <w:t>d</w:t>
      </w:r>
      <w:r w:rsidRPr="00B97064">
        <w:rPr>
          <w:lang w:val="en-GB"/>
        </w:rPr>
        <w:t xml:space="preserve"> 1 point. To determine the disclosure level on RPTs, I sum</w:t>
      </w:r>
      <w:r w:rsidR="00FC7665" w:rsidRPr="00B97064">
        <w:rPr>
          <w:lang w:val="en-GB"/>
        </w:rPr>
        <w:t>med</w:t>
      </w:r>
      <w:r w:rsidRPr="00B97064">
        <w:rPr>
          <w:lang w:val="en-GB"/>
        </w:rPr>
        <w:t xml:space="preserve"> the total achieved points. Besides this, I determine</w:t>
      </w:r>
      <w:r w:rsidR="00FC7665" w:rsidRPr="00B97064">
        <w:rPr>
          <w:lang w:val="en-GB"/>
        </w:rPr>
        <w:t>d</w:t>
      </w:r>
      <w:r w:rsidRPr="00B97064">
        <w:rPr>
          <w:lang w:val="en-GB"/>
        </w:rPr>
        <w:t xml:space="preserve"> how many points a firm c</w:t>
      </w:r>
      <w:r w:rsidR="00FC7665" w:rsidRPr="00B97064">
        <w:rPr>
          <w:lang w:val="en-GB"/>
        </w:rPr>
        <w:t>ould</w:t>
      </w:r>
      <w:r w:rsidRPr="00B97064">
        <w:rPr>
          <w:lang w:val="en-GB"/>
        </w:rPr>
        <w:t xml:space="preserve"> achieve. Firms which disclose</w:t>
      </w:r>
      <w:r w:rsidR="00FC7665" w:rsidRPr="00B97064">
        <w:rPr>
          <w:lang w:val="en-GB"/>
        </w:rPr>
        <w:t>d</w:t>
      </w:r>
      <w:r w:rsidRPr="00B97064">
        <w:rPr>
          <w:lang w:val="en-GB"/>
        </w:rPr>
        <w:t xml:space="preserve"> that they d</w:t>
      </w:r>
      <w:r w:rsidR="00FC7665" w:rsidRPr="00B97064">
        <w:rPr>
          <w:lang w:val="en-GB"/>
        </w:rPr>
        <w:t>id</w:t>
      </w:r>
      <w:r w:rsidRPr="00B97064">
        <w:rPr>
          <w:lang w:val="en-GB"/>
        </w:rPr>
        <w:t xml:space="preserve"> not enter into RPTs c</w:t>
      </w:r>
      <w:r w:rsidR="00FC7665" w:rsidRPr="00B97064">
        <w:rPr>
          <w:lang w:val="en-GB"/>
        </w:rPr>
        <w:t>ould</w:t>
      </w:r>
      <w:r w:rsidRPr="00B97064">
        <w:rPr>
          <w:lang w:val="en-GB"/>
        </w:rPr>
        <w:t xml:space="preserve"> maximall</w:t>
      </w:r>
      <w:r w:rsidR="00FC7665" w:rsidRPr="00B97064">
        <w:rPr>
          <w:lang w:val="en-GB"/>
        </w:rPr>
        <w:t>y achieve 1 point, since they did</w:t>
      </w:r>
      <w:r w:rsidRPr="00B97064">
        <w:rPr>
          <w:lang w:val="en-GB"/>
        </w:rPr>
        <w:t xml:space="preserve"> not have to disclose further information. Since those firms always achieve the maximum achievable points, no final disclosure level ratio </w:t>
      </w:r>
      <w:r w:rsidR="00FC7665" w:rsidRPr="00B97064">
        <w:rPr>
          <w:lang w:val="en-GB"/>
        </w:rPr>
        <w:t>was</w:t>
      </w:r>
      <w:r w:rsidRPr="00B97064">
        <w:rPr>
          <w:lang w:val="en-GB"/>
        </w:rPr>
        <w:t xml:space="preserve"> determined for those firms (the cells are left black). Firms which disclose</w:t>
      </w:r>
      <w:r w:rsidR="00FC7665" w:rsidRPr="00B97064">
        <w:rPr>
          <w:lang w:val="en-GB"/>
        </w:rPr>
        <w:t>d</w:t>
      </w:r>
      <w:r w:rsidRPr="00B97064">
        <w:rPr>
          <w:lang w:val="en-GB"/>
        </w:rPr>
        <w:t xml:space="preserve"> no information about RPTs at all also g</w:t>
      </w:r>
      <w:r w:rsidR="00FC7665" w:rsidRPr="00B97064">
        <w:rPr>
          <w:lang w:val="en-GB"/>
        </w:rPr>
        <w:t>o</w:t>
      </w:r>
      <w:r w:rsidRPr="00B97064">
        <w:rPr>
          <w:lang w:val="en-GB"/>
        </w:rPr>
        <w:t>t no final disclosure level ratio. Firms which disclose</w:t>
      </w:r>
      <w:r w:rsidR="00FC7665" w:rsidRPr="00B97064">
        <w:rPr>
          <w:lang w:val="en-GB"/>
        </w:rPr>
        <w:t>d</w:t>
      </w:r>
      <w:r w:rsidRPr="00B97064">
        <w:rPr>
          <w:lang w:val="en-GB"/>
        </w:rPr>
        <w:t xml:space="preserve"> that they enter into RPTs c</w:t>
      </w:r>
      <w:r w:rsidR="00FC7665" w:rsidRPr="00B97064">
        <w:rPr>
          <w:lang w:val="en-GB"/>
        </w:rPr>
        <w:t>ould</w:t>
      </w:r>
      <w:r w:rsidRPr="00B97064">
        <w:rPr>
          <w:lang w:val="en-GB"/>
        </w:rPr>
        <w:t xml:space="preserve"> maximally achieve 11 points, since those firms ha</w:t>
      </w:r>
      <w:r w:rsidR="00FC7665" w:rsidRPr="00B97064">
        <w:rPr>
          <w:lang w:val="en-GB"/>
        </w:rPr>
        <w:t>d</w:t>
      </w:r>
      <w:r w:rsidRPr="00B97064">
        <w:rPr>
          <w:lang w:val="en-GB"/>
        </w:rPr>
        <w:t xml:space="preserve"> the ability to give further information about the transactions. For those firms, a disclosure level ratio</w:t>
      </w:r>
      <w:r w:rsidR="00FC7665" w:rsidRPr="00B97064">
        <w:rPr>
          <w:lang w:val="en-GB"/>
        </w:rPr>
        <w:t xml:space="preserve"> was</w:t>
      </w:r>
      <w:r w:rsidRPr="00B97064">
        <w:rPr>
          <w:lang w:val="en-GB"/>
        </w:rPr>
        <w:t xml:space="preserve"> determined by dividing the achieved points by eleven. The disclosure level ratio </w:t>
      </w:r>
      <w:r w:rsidR="00FC7665" w:rsidRPr="00B97064">
        <w:rPr>
          <w:lang w:val="en-GB"/>
        </w:rPr>
        <w:t>was</w:t>
      </w:r>
      <w:r w:rsidRPr="00B97064">
        <w:rPr>
          <w:lang w:val="en-GB"/>
        </w:rPr>
        <w:t xml:space="preserve"> determined for the years 2003 as well as 2009.</w:t>
      </w:r>
    </w:p>
    <w:p w:rsidR="007C7F32" w:rsidRPr="00B97064" w:rsidRDefault="007C7F32" w:rsidP="00B07654">
      <w:pPr>
        <w:rPr>
          <w:lang w:val="en-GB"/>
        </w:rPr>
      </w:pPr>
    </w:p>
    <w:p w:rsidR="007C7F32" w:rsidRPr="00B97064" w:rsidRDefault="007C7F32" w:rsidP="00B07654">
      <w:pPr>
        <w:rPr>
          <w:lang w:val="en-GB"/>
        </w:rPr>
      </w:pPr>
      <w:r w:rsidRPr="00B97064">
        <w:rPr>
          <w:lang w:val="en-GB"/>
        </w:rPr>
        <w:t xml:space="preserve">Also the level of expertise of the audit committee </w:t>
      </w:r>
      <w:r w:rsidR="00FC7665" w:rsidRPr="00B97064">
        <w:rPr>
          <w:lang w:val="en-GB"/>
        </w:rPr>
        <w:t>had to</w:t>
      </w:r>
      <w:r w:rsidRPr="00B97064">
        <w:rPr>
          <w:lang w:val="en-GB"/>
        </w:rPr>
        <w:t xml:space="preserve"> be determined from the collected data. Since only firms with a supervisory board of at least four members should have a separated audit committee</w:t>
      </w:r>
      <w:r w:rsidRPr="00B97064">
        <w:rPr>
          <w:rStyle w:val="FootnoteReference"/>
          <w:lang w:val="en-GB"/>
        </w:rPr>
        <w:footnoteReference w:id="16"/>
      </w:r>
      <w:r w:rsidRPr="00B97064">
        <w:rPr>
          <w:lang w:val="en-GB"/>
        </w:rPr>
        <w:t xml:space="preserve">, only for these firms an expertise level </w:t>
      </w:r>
      <w:r w:rsidR="00FC7665" w:rsidRPr="00B97064">
        <w:rPr>
          <w:lang w:val="en-GB"/>
        </w:rPr>
        <w:t>was determined. This was</w:t>
      </w:r>
      <w:r w:rsidRPr="00B97064">
        <w:rPr>
          <w:lang w:val="en-GB"/>
        </w:rPr>
        <w:t xml:space="preserve"> achieved by dividing the number of financial experts of the audit committee by the number of total audit committee members. In case the supervisory board consist</w:t>
      </w:r>
      <w:r w:rsidR="00FC7665" w:rsidRPr="00B97064">
        <w:rPr>
          <w:lang w:val="en-GB"/>
        </w:rPr>
        <w:t xml:space="preserve">ed </w:t>
      </w:r>
      <w:r w:rsidRPr="00B97064">
        <w:rPr>
          <w:lang w:val="en-GB"/>
        </w:rPr>
        <w:t>of at least four members</w:t>
      </w:r>
      <w:r w:rsidR="003A61AC" w:rsidRPr="00B97064">
        <w:rPr>
          <w:lang w:val="en-GB"/>
        </w:rPr>
        <w:t>,</w:t>
      </w:r>
      <w:r w:rsidRPr="00B97064">
        <w:rPr>
          <w:lang w:val="en-GB"/>
        </w:rPr>
        <w:t xml:space="preserve"> but no information about the audit committee and/or financial expert could be found in the annual report, the expert level </w:t>
      </w:r>
      <w:r w:rsidR="00FC7665" w:rsidRPr="00B97064">
        <w:rPr>
          <w:lang w:val="en-GB"/>
        </w:rPr>
        <w:t>was</w:t>
      </w:r>
      <w:r w:rsidRPr="00B97064">
        <w:rPr>
          <w:lang w:val="en-GB"/>
        </w:rPr>
        <w:t xml:space="preserve"> set on zero. For firms with a supervisory board of less than four members or firms with an unknown number of supervisory board members, no expertise level </w:t>
      </w:r>
      <w:r w:rsidR="00FC7665" w:rsidRPr="00B97064">
        <w:rPr>
          <w:lang w:val="en-GB"/>
        </w:rPr>
        <w:t>was</w:t>
      </w:r>
      <w:r w:rsidRPr="00B97064">
        <w:rPr>
          <w:lang w:val="en-GB"/>
        </w:rPr>
        <w:t xml:space="preserve"> determined. The corporate governance code came into force in 2004, so it was not mandatory to have a separated audit committee in 2003. However, to keep the data comparable, the expertise level </w:t>
      </w:r>
      <w:r w:rsidR="00FC7665" w:rsidRPr="00B97064">
        <w:rPr>
          <w:lang w:val="en-GB"/>
        </w:rPr>
        <w:t>was</w:t>
      </w:r>
      <w:r w:rsidRPr="00B97064">
        <w:rPr>
          <w:lang w:val="en-GB"/>
        </w:rPr>
        <w:t xml:space="preserve"> determined in the same way for 2003.</w:t>
      </w:r>
    </w:p>
    <w:p w:rsidR="007C7F32" w:rsidRPr="00B97064" w:rsidRDefault="007C7F32" w:rsidP="00B07654">
      <w:pPr>
        <w:rPr>
          <w:lang w:val="en-GB"/>
        </w:rPr>
      </w:pPr>
    </w:p>
    <w:p w:rsidR="007C7F32" w:rsidRPr="00B97064" w:rsidRDefault="007C7F32" w:rsidP="00B07654">
      <w:pPr>
        <w:rPr>
          <w:rFonts w:cs="Arial"/>
          <w:szCs w:val="22"/>
          <w:lang w:val="en-GB"/>
        </w:rPr>
      </w:pPr>
      <w:r w:rsidRPr="00B97064">
        <w:rPr>
          <w:lang w:val="en-GB"/>
        </w:rPr>
        <w:t xml:space="preserve">Besides the expertise level of the audit committee, the natural logarithm of Total Assets </w:t>
      </w:r>
      <w:r w:rsidR="00FC7665" w:rsidRPr="00B97064">
        <w:rPr>
          <w:lang w:val="en-GB"/>
        </w:rPr>
        <w:t xml:space="preserve">was </w:t>
      </w:r>
      <w:r w:rsidRPr="00B97064">
        <w:rPr>
          <w:lang w:val="en-GB"/>
        </w:rPr>
        <w:lastRenderedPageBreak/>
        <w:t>calculated for the years 2003 and 2009, which serve</w:t>
      </w:r>
      <w:r w:rsidR="00FC7665" w:rsidRPr="00B97064">
        <w:rPr>
          <w:lang w:val="en-GB"/>
        </w:rPr>
        <w:t>s</w:t>
      </w:r>
      <w:r w:rsidRPr="00B97064">
        <w:rPr>
          <w:lang w:val="en-GB"/>
        </w:rPr>
        <w:t xml:space="preserve"> as </w:t>
      </w:r>
      <w:r w:rsidRPr="00B97064">
        <w:rPr>
          <w:rFonts w:cs="Arial"/>
          <w:szCs w:val="22"/>
          <w:lang w:val="en-GB"/>
        </w:rPr>
        <w:t>CV</w:t>
      </w:r>
      <w:r w:rsidRPr="00B97064">
        <w:rPr>
          <w:rFonts w:cs="Arial"/>
          <w:szCs w:val="22"/>
          <w:vertAlign w:val="subscript"/>
          <w:lang w:val="en-GB"/>
        </w:rPr>
        <w:t>2</w:t>
      </w:r>
      <w:r w:rsidRPr="00B97064">
        <w:rPr>
          <w:rFonts w:cs="Arial"/>
          <w:szCs w:val="22"/>
          <w:lang w:val="en-GB"/>
        </w:rPr>
        <w:t xml:space="preserve">. Furthermore, the data about the auditor type (big </w:t>
      </w:r>
      <w:r w:rsidR="002D10C8" w:rsidRPr="00B97064">
        <w:rPr>
          <w:rFonts w:cs="Arial"/>
          <w:szCs w:val="22"/>
          <w:lang w:val="en-GB"/>
        </w:rPr>
        <w:t>4</w:t>
      </w:r>
      <w:r w:rsidRPr="00B97064">
        <w:rPr>
          <w:rFonts w:cs="Arial"/>
          <w:szCs w:val="22"/>
          <w:lang w:val="en-GB"/>
        </w:rPr>
        <w:t xml:space="preserve"> or non-big </w:t>
      </w:r>
      <w:r w:rsidR="002D10C8" w:rsidRPr="00B97064">
        <w:rPr>
          <w:rFonts w:cs="Arial"/>
          <w:szCs w:val="22"/>
          <w:lang w:val="en-GB"/>
        </w:rPr>
        <w:t>4</w:t>
      </w:r>
      <w:r w:rsidRPr="00B97064">
        <w:rPr>
          <w:rFonts w:cs="Arial"/>
          <w:szCs w:val="22"/>
          <w:lang w:val="en-GB"/>
        </w:rPr>
        <w:t>) and whether the firm ha</w:t>
      </w:r>
      <w:r w:rsidR="003A61AC" w:rsidRPr="00B97064">
        <w:rPr>
          <w:rFonts w:cs="Arial"/>
          <w:szCs w:val="22"/>
          <w:lang w:val="en-GB"/>
        </w:rPr>
        <w:t>d</w:t>
      </w:r>
      <w:r w:rsidRPr="00B97064">
        <w:rPr>
          <w:rFonts w:cs="Arial"/>
          <w:szCs w:val="22"/>
          <w:lang w:val="en-GB"/>
        </w:rPr>
        <w:t xml:space="preserve"> a second listing in the USA </w:t>
      </w:r>
      <w:r w:rsidR="00FC7665" w:rsidRPr="00B97064">
        <w:rPr>
          <w:rFonts w:cs="Arial"/>
          <w:szCs w:val="22"/>
          <w:lang w:val="en-GB"/>
        </w:rPr>
        <w:t>was</w:t>
      </w:r>
      <w:r w:rsidRPr="00B97064">
        <w:rPr>
          <w:rFonts w:cs="Arial"/>
          <w:szCs w:val="22"/>
          <w:lang w:val="en-GB"/>
        </w:rPr>
        <w:t xml:space="preserve"> transformed into a dummy variable. ‘Yes’ is transformed into a 1 an</w:t>
      </w:r>
      <w:r w:rsidR="00CA3A7B" w:rsidRPr="00B97064">
        <w:rPr>
          <w:rFonts w:cs="Arial"/>
          <w:szCs w:val="22"/>
          <w:lang w:val="en-GB"/>
        </w:rPr>
        <w:t>d ‘No’ is transformed into a 0.</w:t>
      </w:r>
    </w:p>
    <w:p w:rsidR="00E837FC" w:rsidRPr="00B97064" w:rsidRDefault="00E837FC" w:rsidP="00B07654">
      <w:pPr>
        <w:rPr>
          <w:rFonts w:cs="Arial"/>
          <w:szCs w:val="22"/>
          <w:lang w:val="en-GB"/>
        </w:rPr>
      </w:pPr>
    </w:p>
    <w:p w:rsidR="007C7F32" w:rsidRPr="00B97064" w:rsidRDefault="007C7F32" w:rsidP="00B07654">
      <w:pPr>
        <w:rPr>
          <w:rFonts w:cs="Arial"/>
          <w:szCs w:val="22"/>
          <w:lang w:val="en-GB"/>
        </w:rPr>
      </w:pPr>
      <w:r w:rsidRPr="00B97064">
        <w:rPr>
          <w:rFonts w:cs="Arial"/>
          <w:szCs w:val="22"/>
          <w:lang w:val="en-GB"/>
        </w:rPr>
        <w:t>This</w:t>
      </w:r>
      <w:r w:rsidR="00E837FC" w:rsidRPr="00B97064">
        <w:rPr>
          <w:rFonts w:cs="Arial"/>
          <w:szCs w:val="22"/>
          <w:lang w:val="en-GB"/>
        </w:rPr>
        <w:t xml:space="preserve"> transformed</w:t>
      </w:r>
      <w:r w:rsidRPr="00B97064">
        <w:rPr>
          <w:rFonts w:cs="Arial"/>
          <w:szCs w:val="22"/>
          <w:lang w:val="en-GB"/>
        </w:rPr>
        <w:t xml:space="preserve"> data </w:t>
      </w:r>
      <w:r w:rsidR="00FC7665" w:rsidRPr="00B97064">
        <w:rPr>
          <w:rFonts w:cs="Arial"/>
          <w:szCs w:val="22"/>
          <w:lang w:val="en-GB"/>
        </w:rPr>
        <w:t>is</w:t>
      </w:r>
      <w:r w:rsidRPr="00B97064">
        <w:rPr>
          <w:rFonts w:cs="Arial"/>
          <w:szCs w:val="22"/>
          <w:lang w:val="en-GB"/>
        </w:rPr>
        <w:t xml:space="preserve"> used for the statistical analysis. The results of this statistical analysis can be found in the next chapter.</w:t>
      </w:r>
    </w:p>
    <w:p w:rsidR="007C7F32" w:rsidRPr="00B97064" w:rsidRDefault="00FC7665" w:rsidP="004C718C">
      <w:pPr>
        <w:pStyle w:val="Heading2"/>
        <w:rPr>
          <w:lang w:val="en-GB"/>
        </w:rPr>
      </w:pPr>
      <w:bookmarkStart w:id="94" w:name="_Toc349585500"/>
      <w:r w:rsidRPr="00B97064">
        <w:rPr>
          <w:lang w:val="en-GB"/>
        </w:rPr>
        <w:t>5</w:t>
      </w:r>
      <w:r w:rsidR="007C7F32" w:rsidRPr="00B97064">
        <w:rPr>
          <w:lang w:val="en-GB"/>
        </w:rPr>
        <w:t>.</w:t>
      </w:r>
      <w:r w:rsidRPr="00B97064">
        <w:rPr>
          <w:lang w:val="en-GB"/>
        </w:rPr>
        <w:t>4</w:t>
      </w:r>
      <w:r w:rsidR="007C7F32" w:rsidRPr="00B97064">
        <w:rPr>
          <w:lang w:val="en-GB"/>
        </w:rPr>
        <w:t xml:space="preserve"> Summary</w:t>
      </w:r>
      <w:bookmarkEnd w:id="94"/>
    </w:p>
    <w:p w:rsidR="007C7F32" w:rsidRPr="00B97064" w:rsidRDefault="007C7F32" w:rsidP="0052255E">
      <w:pPr>
        <w:rPr>
          <w:rFonts w:cs="Arial"/>
          <w:szCs w:val="22"/>
          <w:lang w:val="en-GB"/>
        </w:rPr>
      </w:pPr>
      <w:r w:rsidRPr="00B97064">
        <w:rPr>
          <w:rFonts w:cs="Arial"/>
          <w:szCs w:val="22"/>
          <w:lang w:val="en-GB"/>
        </w:rPr>
        <w:t xml:space="preserve">This chapter described </w:t>
      </w:r>
      <w:r w:rsidR="00FC7665" w:rsidRPr="00B97064">
        <w:rPr>
          <w:rFonts w:cs="Arial"/>
          <w:szCs w:val="22"/>
          <w:lang w:val="en-GB"/>
        </w:rPr>
        <w:t xml:space="preserve">an overview of the data collection process and the final composition of my sample. Furthermore, it gave an overview of the data transformation process; </w:t>
      </w:r>
      <w:r w:rsidRPr="00B97064">
        <w:rPr>
          <w:rFonts w:cs="Arial"/>
          <w:szCs w:val="22"/>
          <w:lang w:val="en-GB"/>
        </w:rPr>
        <w:t xml:space="preserve">the raw data should be transformed </w:t>
      </w:r>
      <w:r w:rsidR="003A61AC" w:rsidRPr="00B97064">
        <w:rPr>
          <w:rFonts w:cs="Arial"/>
          <w:szCs w:val="22"/>
          <w:lang w:val="en-GB"/>
        </w:rPr>
        <w:t>in</w:t>
      </w:r>
      <w:r w:rsidRPr="00B97064">
        <w:rPr>
          <w:rFonts w:cs="Arial"/>
          <w:szCs w:val="22"/>
          <w:lang w:val="en-GB"/>
        </w:rPr>
        <w:t xml:space="preserve">to a final dataset. Some ratios were calculated, some </w:t>
      </w:r>
      <w:r w:rsidR="003A61AC" w:rsidRPr="00B97064">
        <w:rPr>
          <w:rFonts w:cs="Arial"/>
          <w:szCs w:val="22"/>
          <w:lang w:val="en-GB"/>
        </w:rPr>
        <w:t>data was transformed into dummy variables</w:t>
      </w:r>
      <w:r w:rsidRPr="00B97064">
        <w:rPr>
          <w:rFonts w:cs="Arial"/>
          <w:szCs w:val="22"/>
          <w:lang w:val="en-GB"/>
        </w:rPr>
        <w:t xml:space="preserve">. The final dataset </w:t>
      </w:r>
      <w:r w:rsidR="00271590" w:rsidRPr="00B97064">
        <w:rPr>
          <w:rFonts w:cs="Arial"/>
          <w:szCs w:val="22"/>
          <w:lang w:val="en-GB"/>
        </w:rPr>
        <w:t>is</w:t>
      </w:r>
      <w:r w:rsidRPr="00B97064">
        <w:rPr>
          <w:rFonts w:cs="Arial"/>
          <w:szCs w:val="22"/>
          <w:lang w:val="en-GB"/>
        </w:rPr>
        <w:t xml:space="preserve"> used for the statistical analysis. The results of my research and the analysis of those results will be discussed in the next chapter</w:t>
      </w:r>
      <w:r w:rsidR="00271590" w:rsidRPr="00B97064">
        <w:rPr>
          <w:rFonts w:cs="Arial"/>
          <w:szCs w:val="22"/>
          <w:lang w:val="en-GB"/>
        </w:rPr>
        <w:t>s</w:t>
      </w:r>
      <w:r w:rsidRPr="00B97064">
        <w:rPr>
          <w:rFonts w:cs="Arial"/>
          <w:szCs w:val="22"/>
          <w:lang w:val="en-GB"/>
        </w:rPr>
        <w:t>.</w:t>
      </w:r>
    </w:p>
    <w:p w:rsidR="007C7F32" w:rsidRPr="00B97064" w:rsidRDefault="007C7F32" w:rsidP="0097051B">
      <w:pPr>
        <w:pStyle w:val="Heading1"/>
        <w:rPr>
          <w:lang w:val="en-GB"/>
        </w:rPr>
      </w:pPr>
      <w:r w:rsidRPr="00B97064">
        <w:rPr>
          <w:color w:val="auto"/>
          <w:lang w:val="en-GB"/>
        </w:rPr>
        <w:br w:type="page"/>
      </w:r>
      <w:bookmarkStart w:id="95" w:name="_Toc349585501"/>
      <w:r w:rsidR="001F76A6" w:rsidRPr="00B97064">
        <w:rPr>
          <w:lang w:val="en-GB"/>
        </w:rPr>
        <w:lastRenderedPageBreak/>
        <w:t>6</w:t>
      </w:r>
      <w:r w:rsidRPr="00B97064">
        <w:rPr>
          <w:lang w:val="en-GB"/>
        </w:rPr>
        <w:t>. Empirical results</w:t>
      </w:r>
      <w:bookmarkEnd w:id="95"/>
    </w:p>
    <w:p w:rsidR="007C7F32" w:rsidRPr="00B97064" w:rsidRDefault="001F76A6" w:rsidP="000A50C2">
      <w:pPr>
        <w:pStyle w:val="Heading2"/>
        <w:rPr>
          <w:lang w:val="en-GB"/>
        </w:rPr>
      </w:pPr>
      <w:bookmarkStart w:id="96" w:name="_Toc349585502"/>
      <w:r w:rsidRPr="00B97064">
        <w:rPr>
          <w:lang w:val="en-GB"/>
        </w:rPr>
        <w:t>6</w:t>
      </w:r>
      <w:r w:rsidR="007C7F32" w:rsidRPr="00B97064">
        <w:rPr>
          <w:lang w:val="en-GB"/>
        </w:rPr>
        <w:t>.1 Introduction</w:t>
      </w:r>
      <w:bookmarkEnd w:id="96"/>
    </w:p>
    <w:p w:rsidR="007C7F32" w:rsidRPr="00B97064" w:rsidRDefault="007C7F32" w:rsidP="00E1710E">
      <w:pPr>
        <w:rPr>
          <w:lang w:val="en-GB"/>
        </w:rPr>
      </w:pPr>
      <w:r w:rsidRPr="00B97064">
        <w:rPr>
          <w:lang w:val="en-GB"/>
        </w:rPr>
        <w:t>This chapter covers the results of my research</w:t>
      </w:r>
      <w:r w:rsidR="005F09BE" w:rsidRPr="00B97064">
        <w:rPr>
          <w:lang w:val="en-GB"/>
        </w:rPr>
        <w:t xml:space="preserve"> and the analysis of those results</w:t>
      </w:r>
      <w:r w:rsidRPr="00B97064">
        <w:rPr>
          <w:lang w:val="en-GB"/>
        </w:rPr>
        <w:t>. First of all, a summary of my variables and my data will be given.</w:t>
      </w:r>
      <w:r w:rsidR="007C185A" w:rsidRPr="00B97064">
        <w:rPr>
          <w:lang w:val="en-GB"/>
        </w:rPr>
        <w:t xml:space="preserve"> This part includes the results of the conducted disclosure study.</w:t>
      </w:r>
      <w:r w:rsidRPr="00B97064">
        <w:rPr>
          <w:lang w:val="en-GB"/>
        </w:rPr>
        <w:t xml:space="preserve"> After that, the results of the first part of my research will be explained; this part investigates the relation between firm value (TQ), the amount of RPTs and disclosure level. Subsequently, the results of the second part of my research will be discussed; this part is about the relation between RPTs and some corporate governance</w:t>
      </w:r>
      <w:r w:rsidR="007C185A" w:rsidRPr="00B97064">
        <w:rPr>
          <w:lang w:val="en-GB"/>
        </w:rPr>
        <w:t>-</w:t>
      </w:r>
      <w:r w:rsidRPr="00B97064">
        <w:rPr>
          <w:lang w:val="en-GB"/>
        </w:rPr>
        <w:t xml:space="preserve"> and ownership characteristics. After that, the results of the conducted panel data regression will be explained. In section seven, the results of the final part of my research will be discussed. This part covers a comparison of the years 2003 and 2009 with regard to the amount of RPTs, disclosure level and the negative- respectively positive effect of those variables on firm value. At the end of all sections, the alternative hypotheses of section </w:t>
      </w:r>
      <w:fldSimple w:instr=" REF _Ref341713291 \h  \* MERGEFORMAT ">
        <w:r w:rsidR="004C718C" w:rsidRPr="00B97064">
          <w:rPr>
            <w:lang w:val="en-GB"/>
          </w:rPr>
          <w:t>4.8 Hypotheses</w:t>
        </w:r>
      </w:fldSimple>
      <w:r w:rsidRPr="00B97064">
        <w:rPr>
          <w:lang w:val="en-GB"/>
        </w:rPr>
        <w:t xml:space="preserve"> will be confirmed or rejected. Section eight will be devoted to the limitations of my research. This chapter will again be concluded with a summary.</w:t>
      </w:r>
    </w:p>
    <w:p w:rsidR="007C7F32" w:rsidRPr="00B97064" w:rsidRDefault="001F76A6" w:rsidP="00DF0890">
      <w:pPr>
        <w:pStyle w:val="Heading2"/>
        <w:rPr>
          <w:lang w:val="en-GB"/>
        </w:rPr>
      </w:pPr>
      <w:bookmarkStart w:id="97" w:name="_Toc349585503"/>
      <w:r w:rsidRPr="00B97064">
        <w:rPr>
          <w:lang w:val="en-GB"/>
        </w:rPr>
        <w:t>6</w:t>
      </w:r>
      <w:r w:rsidR="007C7F32" w:rsidRPr="00B97064">
        <w:rPr>
          <w:lang w:val="en-GB"/>
        </w:rPr>
        <w:t>.2 Summary of variables</w:t>
      </w:r>
      <w:bookmarkEnd w:id="97"/>
    </w:p>
    <w:p w:rsidR="007C1E91" w:rsidRPr="00B97064" w:rsidRDefault="007C7F32" w:rsidP="00091129">
      <w:pPr>
        <w:rPr>
          <w:lang w:val="en-GB"/>
        </w:rPr>
      </w:pPr>
      <w:r w:rsidRPr="00B97064">
        <w:rPr>
          <w:lang w:val="en-GB"/>
        </w:rPr>
        <w:t>As described in section</w:t>
      </w:r>
      <w:r w:rsidR="00C11E17" w:rsidRPr="00B97064">
        <w:rPr>
          <w:lang w:val="en-GB"/>
        </w:rPr>
        <w:t xml:space="preserve"> </w:t>
      </w:r>
      <w:fldSimple w:instr=" REF _Ref349405527 \h  \* MERGEFORMAT ">
        <w:r w:rsidR="004C718C" w:rsidRPr="00B97064">
          <w:rPr>
            <w:lang w:val="en-GB"/>
          </w:rPr>
          <w:t>5.2 Data collection and final sample composition</w:t>
        </w:r>
      </w:fldSimple>
      <w:r w:rsidR="008A31A0" w:rsidRPr="00B97064">
        <w:rPr>
          <w:lang w:val="en-GB"/>
        </w:rPr>
        <w:t>,</w:t>
      </w:r>
      <w:r w:rsidRPr="00B97064">
        <w:rPr>
          <w:lang w:val="en-GB"/>
        </w:rPr>
        <w:t xml:space="preserve"> the final sample consisted of the 9</w:t>
      </w:r>
      <w:r w:rsidR="008A31A0" w:rsidRPr="00B97064">
        <w:rPr>
          <w:lang w:val="en-GB"/>
        </w:rPr>
        <w:t>8</w:t>
      </w:r>
      <w:r w:rsidRPr="00B97064">
        <w:rPr>
          <w:lang w:val="en-GB"/>
        </w:rPr>
        <w:t xml:space="preserve"> largest</w:t>
      </w:r>
      <w:r w:rsidR="00CA3A7B" w:rsidRPr="00B97064">
        <w:rPr>
          <w:lang w:val="en-GB"/>
        </w:rPr>
        <w:t xml:space="preserve"> Euronext Amsterdam listed firms</w:t>
      </w:r>
      <w:r w:rsidRPr="00B97064">
        <w:rPr>
          <w:lang w:val="en-GB"/>
        </w:rPr>
        <w:t xml:space="preserve">. Firm size was measured by Total Assets in </w:t>
      </w:r>
      <w:r w:rsidR="005A16AC" w:rsidRPr="00B97064">
        <w:rPr>
          <w:lang w:val="en-GB"/>
        </w:rPr>
        <w:t xml:space="preserve">2003 and </w:t>
      </w:r>
      <w:r w:rsidRPr="00B97064">
        <w:rPr>
          <w:lang w:val="en-GB"/>
        </w:rPr>
        <w:t xml:space="preserve">2009. The sample included only firms which were listed in 2003 and 2009, not firms which were listed in only one of those years. For this sample, data of different variables was collected. The data was mainly hand collected, since most of the data was not available in databases. Only some data for the calculation of Tobin’s Q ratio and firm size are collected from </w:t>
      </w:r>
      <w:r w:rsidRPr="00B97064">
        <w:rPr>
          <w:i/>
          <w:lang w:val="en-GB"/>
        </w:rPr>
        <w:t>Orbis</w:t>
      </w:r>
      <w:r w:rsidRPr="00B97064">
        <w:rPr>
          <w:lang w:val="en-GB"/>
        </w:rPr>
        <w:t xml:space="preserve"> and </w:t>
      </w:r>
      <w:r w:rsidRPr="00B97064">
        <w:rPr>
          <w:i/>
          <w:lang w:val="en-GB"/>
        </w:rPr>
        <w:t xml:space="preserve">Datastream. </w:t>
      </w:r>
      <w:r w:rsidRPr="00B97064">
        <w:rPr>
          <w:lang w:val="en-GB"/>
        </w:rPr>
        <w:t>An overview of all used variables in this study can be found in the figure below:</w:t>
      </w:r>
    </w:p>
    <w:p w:rsidR="007C1E91" w:rsidRPr="00B97064" w:rsidRDefault="007C1E91">
      <w:pPr>
        <w:widowControl/>
        <w:adjustRightInd/>
        <w:spacing w:line="240" w:lineRule="auto"/>
        <w:jc w:val="left"/>
        <w:textAlignment w:val="auto"/>
        <w:rPr>
          <w:lang w:val="en-GB"/>
        </w:rPr>
      </w:pPr>
      <w:r w:rsidRPr="00B97064">
        <w:rPr>
          <w:lang w:val="en-GB"/>
        </w:rPr>
        <w:br w:type="page"/>
      </w:r>
    </w:p>
    <w:tbl>
      <w:tblPr>
        <w:tblW w:w="8080" w:type="dxa"/>
        <w:tblInd w:w="93" w:type="dxa"/>
        <w:tblLook w:val="04A0"/>
      </w:tblPr>
      <w:tblGrid>
        <w:gridCol w:w="2445"/>
        <w:gridCol w:w="2880"/>
        <w:gridCol w:w="1195"/>
        <w:gridCol w:w="1560"/>
      </w:tblGrid>
      <w:tr w:rsidR="00B3086F" w:rsidRPr="00B97064" w:rsidTr="00B3086F">
        <w:trPr>
          <w:trHeight w:val="480"/>
        </w:trPr>
        <w:tc>
          <w:tcPr>
            <w:tcW w:w="2445" w:type="dxa"/>
            <w:tcBorders>
              <w:top w:val="single" w:sz="8" w:space="0" w:color="auto"/>
              <w:left w:val="single" w:sz="8" w:space="0" w:color="auto"/>
              <w:bottom w:val="nil"/>
              <w:right w:val="nil"/>
            </w:tcBorders>
            <w:shd w:val="clear" w:color="000000" w:fill="1F497D"/>
            <w:vAlign w:val="center"/>
            <w:hideMark/>
          </w:tcPr>
          <w:p w:rsidR="00B3086F" w:rsidRPr="00B97064" w:rsidRDefault="00B3086F" w:rsidP="00B3086F">
            <w:pPr>
              <w:widowControl/>
              <w:adjustRightInd/>
              <w:spacing w:line="240" w:lineRule="auto"/>
              <w:jc w:val="left"/>
              <w:textAlignment w:val="auto"/>
              <w:rPr>
                <w:rFonts w:ascii="Verdana" w:hAnsi="Verdana" w:cs="Arial"/>
                <w:b/>
                <w:bCs/>
                <w:color w:val="FFFFFF"/>
                <w:sz w:val="16"/>
                <w:szCs w:val="16"/>
                <w:lang w:val="en-GB" w:eastAsia="en-US"/>
              </w:rPr>
            </w:pPr>
            <w:r w:rsidRPr="00B97064">
              <w:rPr>
                <w:rFonts w:ascii="Verdana" w:hAnsi="Verdana" w:cs="Arial"/>
                <w:b/>
                <w:bCs/>
                <w:color w:val="FFFFFF"/>
                <w:sz w:val="16"/>
                <w:szCs w:val="16"/>
                <w:lang w:val="en-GB" w:eastAsia="en-US"/>
              </w:rPr>
              <w:lastRenderedPageBreak/>
              <w:t>Explanatory influence</w:t>
            </w:r>
          </w:p>
        </w:tc>
        <w:tc>
          <w:tcPr>
            <w:tcW w:w="2880" w:type="dxa"/>
            <w:tcBorders>
              <w:top w:val="single" w:sz="8" w:space="0" w:color="auto"/>
              <w:left w:val="nil"/>
              <w:bottom w:val="nil"/>
              <w:right w:val="nil"/>
            </w:tcBorders>
            <w:shd w:val="clear" w:color="000000" w:fill="1F497D"/>
            <w:vAlign w:val="center"/>
            <w:hideMark/>
          </w:tcPr>
          <w:p w:rsidR="00B3086F" w:rsidRPr="00B97064" w:rsidRDefault="00B3086F" w:rsidP="00B3086F">
            <w:pPr>
              <w:widowControl/>
              <w:adjustRightInd/>
              <w:spacing w:line="240" w:lineRule="auto"/>
              <w:jc w:val="left"/>
              <w:textAlignment w:val="auto"/>
              <w:rPr>
                <w:rFonts w:ascii="Verdana" w:hAnsi="Verdana" w:cs="Arial"/>
                <w:b/>
                <w:bCs/>
                <w:color w:val="FFFFFF"/>
                <w:sz w:val="16"/>
                <w:szCs w:val="16"/>
                <w:lang w:val="en-GB" w:eastAsia="en-US"/>
              </w:rPr>
            </w:pPr>
            <w:r w:rsidRPr="00B97064">
              <w:rPr>
                <w:rFonts w:ascii="Verdana" w:hAnsi="Verdana" w:cs="Arial"/>
                <w:b/>
                <w:bCs/>
                <w:color w:val="FFFFFF"/>
                <w:sz w:val="16"/>
                <w:szCs w:val="16"/>
                <w:lang w:val="en-GB" w:eastAsia="en-US"/>
              </w:rPr>
              <w:t>Variable</w:t>
            </w:r>
          </w:p>
        </w:tc>
        <w:tc>
          <w:tcPr>
            <w:tcW w:w="1195" w:type="dxa"/>
            <w:tcBorders>
              <w:top w:val="single" w:sz="8" w:space="0" w:color="auto"/>
              <w:left w:val="nil"/>
              <w:bottom w:val="nil"/>
              <w:right w:val="nil"/>
            </w:tcBorders>
            <w:shd w:val="clear" w:color="000000" w:fill="1F497D"/>
            <w:vAlign w:val="center"/>
            <w:hideMark/>
          </w:tcPr>
          <w:p w:rsidR="00B3086F" w:rsidRPr="00B97064" w:rsidRDefault="00B3086F" w:rsidP="00B3086F">
            <w:pPr>
              <w:widowControl/>
              <w:adjustRightInd/>
              <w:spacing w:line="240" w:lineRule="auto"/>
              <w:jc w:val="left"/>
              <w:textAlignment w:val="auto"/>
              <w:rPr>
                <w:rFonts w:ascii="Verdana" w:hAnsi="Verdana" w:cs="Arial"/>
                <w:b/>
                <w:bCs/>
                <w:color w:val="FFFFFF"/>
                <w:sz w:val="16"/>
                <w:szCs w:val="16"/>
                <w:lang w:val="en-GB" w:eastAsia="en-US"/>
              </w:rPr>
            </w:pPr>
            <w:r w:rsidRPr="00B97064">
              <w:rPr>
                <w:rFonts w:ascii="Verdana" w:hAnsi="Verdana" w:cs="Arial"/>
                <w:b/>
                <w:bCs/>
                <w:color w:val="FFFFFF"/>
                <w:sz w:val="16"/>
                <w:szCs w:val="16"/>
                <w:lang w:val="en-GB" w:eastAsia="en-US"/>
              </w:rPr>
              <w:t>Acronym</w:t>
            </w:r>
          </w:p>
        </w:tc>
        <w:tc>
          <w:tcPr>
            <w:tcW w:w="1560" w:type="dxa"/>
            <w:tcBorders>
              <w:top w:val="single" w:sz="8" w:space="0" w:color="auto"/>
              <w:left w:val="nil"/>
              <w:bottom w:val="nil"/>
              <w:right w:val="single" w:sz="8" w:space="0" w:color="auto"/>
            </w:tcBorders>
            <w:shd w:val="clear" w:color="000000" w:fill="1F497D"/>
            <w:vAlign w:val="center"/>
            <w:hideMark/>
          </w:tcPr>
          <w:p w:rsidR="00B3086F" w:rsidRPr="00B97064" w:rsidRDefault="00B3086F" w:rsidP="00B3086F">
            <w:pPr>
              <w:widowControl/>
              <w:adjustRightInd/>
              <w:spacing w:line="240" w:lineRule="auto"/>
              <w:jc w:val="left"/>
              <w:textAlignment w:val="auto"/>
              <w:rPr>
                <w:rFonts w:ascii="Verdana" w:hAnsi="Verdana" w:cs="Arial"/>
                <w:b/>
                <w:bCs/>
                <w:color w:val="FFFFFF"/>
                <w:sz w:val="16"/>
                <w:szCs w:val="16"/>
                <w:lang w:val="en-GB" w:eastAsia="en-US"/>
              </w:rPr>
            </w:pPr>
            <w:r w:rsidRPr="00B97064">
              <w:rPr>
                <w:rFonts w:ascii="Verdana" w:hAnsi="Verdana" w:cs="Arial"/>
                <w:b/>
                <w:bCs/>
                <w:color w:val="FFFFFF"/>
                <w:sz w:val="16"/>
                <w:szCs w:val="16"/>
                <w:lang w:val="en-GB" w:eastAsia="en-US"/>
              </w:rPr>
              <w:t>Variable Type</w:t>
            </w:r>
          </w:p>
        </w:tc>
      </w:tr>
      <w:tr w:rsidR="00B3086F" w:rsidRPr="00B97064" w:rsidTr="00B3086F">
        <w:trPr>
          <w:trHeight w:val="330"/>
        </w:trPr>
        <w:tc>
          <w:tcPr>
            <w:tcW w:w="2445" w:type="dxa"/>
            <w:tcBorders>
              <w:top w:val="nil"/>
              <w:left w:val="single" w:sz="8" w:space="0" w:color="auto"/>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b/>
                <w:bCs/>
                <w:color w:val="000000"/>
                <w:sz w:val="20"/>
                <w:szCs w:val="20"/>
                <w:lang w:val="en-GB" w:eastAsia="en-US"/>
              </w:rPr>
            </w:pPr>
            <w:r w:rsidRPr="00B97064">
              <w:rPr>
                <w:rFonts w:cs="Arial"/>
                <w:b/>
                <w:bCs/>
                <w:color w:val="000000"/>
                <w:sz w:val="20"/>
                <w:szCs w:val="20"/>
                <w:lang w:val="en-GB" w:eastAsia="en-US"/>
              </w:rPr>
              <w:t>Firm value</w:t>
            </w:r>
          </w:p>
        </w:tc>
        <w:tc>
          <w:tcPr>
            <w:tcW w:w="2880" w:type="dxa"/>
            <w:tcBorders>
              <w:top w:val="nil"/>
              <w:left w:val="nil"/>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 xml:space="preserve">Tobin´s Q ratio </w:t>
            </w:r>
          </w:p>
        </w:tc>
        <w:tc>
          <w:tcPr>
            <w:tcW w:w="1195" w:type="dxa"/>
            <w:tcBorders>
              <w:top w:val="nil"/>
              <w:left w:val="nil"/>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TQ</w:t>
            </w:r>
          </w:p>
        </w:tc>
        <w:tc>
          <w:tcPr>
            <w:tcW w:w="1560" w:type="dxa"/>
            <w:tcBorders>
              <w:top w:val="nil"/>
              <w:left w:val="nil"/>
              <w:bottom w:val="nil"/>
              <w:right w:val="single" w:sz="8" w:space="0" w:color="auto"/>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Continuous</w:t>
            </w:r>
          </w:p>
        </w:tc>
      </w:tr>
      <w:tr w:rsidR="00B3086F" w:rsidRPr="00B97064" w:rsidTr="00B3086F">
        <w:trPr>
          <w:trHeight w:val="330"/>
        </w:trPr>
        <w:tc>
          <w:tcPr>
            <w:tcW w:w="2445" w:type="dxa"/>
            <w:tcBorders>
              <w:top w:val="nil"/>
              <w:left w:val="single" w:sz="8" w:space="0" w:color="auto"/>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b/>
                <w:bCs/>
                <w:color w:val="000000"/>
                <w:sz w:val="20"/>
                <w:szCs w:val="20"/>
                <w:lang w:val="en-GB" w:eastAsia="en-US"/>
              </w:rPr>
            </w:pPr>
            <w:r w:rsidRPr="00B97064">
              <w:rPr>
                <w:rFonts w:cs="Arial"/>
                <w:b/>
                <w:bCs/>
                <w:color w:val="000000"/>
                <w:sz w:val="20"/>
                <w:szCs w:val="20"/>
                <w:lang w:val="en-GB" w:eastAsia="en-US"/>
              </w:rPr>
              <w:t>Expropriation</w:t>
            </w:r>
          </w:p>
        </w:tc>
        <w:tc>
          <w:tcPr>
            <w:tcW w:w="2880" w:type="dxa"/>
            <w:tcBorders>
              <w:top w:val="nil"/>
              <w:left w:val="nil"/>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Amount of RPTs</w:t>
            </w:r>
          </w:p>
        </w:tc>
        <w:tc>
          <w:tcPr>
            <w:tcW w:w="1195" w:type="dxa"/>
            <w:tcBorders>
              <w:top w:val="nil"/>
              <w:left w:val="nil"/>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RPT</w:t>
            </w:r>
          </w:p>
        </w:tc>
        <w:tc>
          <w:tcPr>
            <w:tcW w:w="1560" w:type="dxa"/>
            <w:tcBorders>
              <w:top w:val="nil"/>
              <w:left w:val="nil"/>
              <w:bottom w:val="nil"/>
              <w:right w:val="single" w:sz="8" w:space="0" w:color="auto"/>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Continuous</w:t>
            </w:r>
          </w:p>
        </w:tc>
      </w:tr>
      <w:tr w:rsidR="00B3086F" w:rsidRPr="00B97064" w:rsidTr="00B3086F">
        <w:trPr>
          <w:trHeight w:val="330"/>
        </w:trPr>
        <w:tc>
          <w:tcPr>
            <w:tcW w:w="2445" w:type="dxa"/>
            <w:tcBorders>
              <w:top w:val="nil"/>
              <w:left w:val="single" w:sz="8" w:space="0" w:color="auto"/>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b/>
                <w:bCs/>
                <w:color w:val="000000"/>
                <w:sz w:val="20"/>
                <w:szCs w:val="20"/>
                <w:lang w:val="en-GB" w:eastAsia="en-US"/>
              </w:rPr>
            </w:pPr>
            <w:r w:rsidRPr="00B97064">
              <w:rPr>
                <w:rFonts w:cs="Arial"/>
                <w:b/>
                <w:bCs/>
                <w:color w:val="000000"/>
                <w:sz w:val="20"/>
                <w:szCs w:val="20"/>
                <w:lang w:val="en-GB" w:eastAsia="en-US"/>
              </w:rPr>
              <w:t>Transparency</w:t>
            </w:r>
          </w:p>
        </w:tc>
        <w:tc>
          <w:tcPr>
            <w:tcW w:w="2880" w:type="dxa"/>
            <w:tcBorders>
              <w:top w:val="nil"/>
              <w:left w:val="nil"/>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Disclosure level</w:t>
            </w:r>
          </w:p>
        </w:tc>
        <w:tc>
          <w:tcPr>
            <w:tcW w:w="1195" w:type="dxa"/>
            <w:tcBorders>
              <w:top w:val="nil"/>
              <w:left w:val="nil"/>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DL</w:t>
            </w:r>
          </w:p>
        </w:tc>
        <w:tc>
          <w:tcPr>
            <w:tcW w:w="1560" w:type="dxa"/>
            <w:tcBorders>
              <w:top w:val="nil"/>
              <w:left w:val="nil"/>
              <w:bottom w:val="nil"/>
              <w:right w:val="single" w:sz="8" w:space="0" w:color="auto"/>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Continuous</w:t>
            </w:r>
          </w:p>
        </w:tc>
      </w:tr>
      <w:tr w:rsidR="00B3086F" w:rsidRPr="00B97064" w:rsidTr="00B3086F">
        <w:trPr>
          <w:trHeight w:val="630"/>
        </w:trPr>
        <w:tc>
          <w:tcPr>
            <w:tcW w:w="2445" w:type="dxa"/>
            <w:tcBorders>
              <w:top w:val="nil"/>
              <w:left w:val="single" w:sz="8" w:space="0" w:color="auto"/>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b/>
                <w:bCs/>
                <w:color w:val="000000"/>
                <w:sz w:val="20"/>
                <w:szCs w:val="20"/>
                <w:lang w:val="en-GB" w:eastAsia="en-US"/>
              </w:rPr>
            </w:pPr>
            <w:r w:rsidRPr="00B97064">
              <w:rPr>
                <w:rFonts w:cs="Arial"/>
                <w:b/>
                <w:bCs/>
                <w:color w:val="000000"/>
                <w:sz w:val="20"/>
                <w:szCs w:val="20"/>
                <w:lang w:val="en-GB" w:eastAsia="en-US"/>
              </w:rPr>
              <w:t>Corporate governance and ownership characteristics</w:t>
            </w:r>
          </w:p>
        </w:tc>
        <w:tc>
          <w:tcPr>
            <w:tcW w:w="2880" w:type="dxa"/>
            <w:tcBorders>
              <w:top w:val="nil"/>
              <w:left w:val="nil"/>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Number of executive board members</w:t>
            </w:r>
          </w:p>
        </w:tc>
        <w:tc>
          <w:tcPr>
            <w:tcW w:w="1195" w:type="dxa"/>
            <w:tcBorders>
              <w:top w:val="nil"/>
              <w:left w:val="nil"/>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SEB</w:t>
            </w:r>
          </w:p>
        </w:tc>
        <w:tc>
          <w:tcPr>
            <w:tcW w:w="1560" w:type="dxa"/>
            <w:tcBorders>
              <w:top w:val="nil"/>
              <w:left w:val="nil"/>
              <w:bottom w:val="nil"/>
              <w:right w:val="single" w:sz="8" w:space="0" w:color="auto"/>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Continuous</w:t>
            </w:r>
          </w:p>
        </w:tc>
      </w:tr>
      <w:tr w:rsidR="00B3086F" w:rsidRPr="00B97064" w:rsidTr="00B3086F">
        <w:trPr>
          <w:trHeight w:val="630"/>
        </w:trPr>
        <w:tc>
          <w:tcPr>
            <w:tcW w:w="2445" w:type="dxa"/>
            <w:tcBorders>
              <w:top w:val="nil"/>
              <w:left w:val="single" w:sz="8" w:space="0" w:color="auto"/>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 </w:t>
            </w:r>
          </w:p>
        </w:tc>
        <w:tc>
          <w:tcPr>
            <w:tcW w:w="2880" w:type="dxa"/>
            <w:tcBorders>
              <w:top w:val="nil"/>
              <w:left w:val="nil"/>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Number of supervisory board members</w:t>
            </w:r>
          </w:p>
        </w:tc>
        <w:tc>
          <w:tcPr>
            <w:tcW w:w="1195" w:type="dxa"/>
            <w:tcBorders>
              <w:top w:val="nil"/>
              <w:left w:val="nil"/>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SSB</w:t>
            </w:r>
          </w:p>
        </w:tc>
        <w:tc>
          <w:tcPr>
            <w:tcW w:w="1560" w:type="dxa"/>
            <w:tcBorders>
              <w:top w:val="nil"/>
              <w:left w:val="nil"/>
              <w:bottom w:val="nil"/>
              <w:right w:val="single" w:sz="8" w:space="0" w:color="auto"/>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Continuous</w:t>
            </w:r>
          </w:p>
        </w:tc>
      </w:tr>
      <w:tr w:rsidR="00B3086F" w:rsidRPr="00B97064" w:rsidTr="00B3086F">
        <w:trPr>
          <w:trHeight w:val="630"/>
        </w:trPr>
        <w:tc>
          <w:tcPr>
            <w:tcW w:w="2445" w:type="dxa"/>
            <w:tcBorders>
              <w:top w:val="nil"/>
              <w:left w:val="single" w:sz="8" w:space="0" w:color="auto"/>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 </w:t>
            </w:r>
          </w:p>
        </w:tc>
        <w:tc>
          <w:tcPr>
            <w:tcW w:w="2880" w:type="dxa"/>
            <w:tcBorders>
              <w:top w:val="nil"/>
              <w:left w:val="nil"/>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Ratio supervisory board/total board members</w:t>
            </w:r>
          </w:p>
        </w:tc>
        <w:tc>
          <w:tcPr>
            <w:tcW w:w="1195" w:type="dxa"/>
            <w:tcBorders>
              <w:top w:val="nil"/>
              <w:left w:val="nil"/>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RATSB</w:t>
            </w:r>
          </w:p>
        </w:tc>
        <w:tc>
          <w:tcPr>
            <w:tcW w:w="1560" w:type="dxa"/>
            <w:tcBorders>
              <w:top w:val="nil"/>
              <w:left w:val="nil"/>
              <w:bottom w:val="nil"/>
              <w:right w:val="single" w:sz="8" w:space="0" w:color="auto"/>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Continuous</w:t>
            </w:r>
          </w:p>
        </w:tc>
      </w:tr>
      <w:tr w:rsidR="00B3086F" w:rsidRPr="00B97064" w:rsidTr="00B3086F">
        <w:trPr>
          <w:trHeight w:val="630"/>
        </w:trPr>
        <w:tc>
          <w:tcPr>
            <w:tcW w:w="2445" w:type="dxa"/>
            <w:tcBorders>
              <w:top w:val="nil"/>
              <w:left w:val="single" w:sz="8" w:space="0" w:color="auto"/>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 </w:t>
            </w:r>
          </w:p>
        </w:tc>
        <w:tc>
          <w:tcPr>
            <w:tcW w:w="2880" w:type="dxa"/>
            <w:tcBorders>
              <w:top w:val="nil"/>
              <w:left w:val="nil"/>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Percentage of outstanding shares main shareholder</w:t>
            </w:r>
          </w:p>
        </w:tc>
        <w:tc>
          <w:tcPr>
            <w:tcW w:w="1195" w:type="dxa"/>
            <w:tcBorders>
              <w:top w:val="nil"/>
              <w:left w:val="nil"/>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MAIN</w:t>
            </w:r>
          </w:p>
        </w:tc>
        <w:tc>
          <w:tcPr>
            <w:tcW w:w="1560" w:type="dxa"/>
            <w:tcBorders>
              <w:top w:val="nil"/>
              <w:left w:val="nil"/>
              <w:bottom w:val="nil"/>
              <w:right w:val="single" w:sz="8" w:space="0" w:color="auto"/>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Continuous</w:t>
            </w:r>
          </w:p>
        </w:tc>
      </w:tr>
      <w:tr w:rsidR="00B3086F" w:rsidRPr="00B97064" w:rsidTr="00B3086F">
        <w:trPr>
          <w:trHeight w:val="630"/>
        </w:trPr>
        <w:tc>
          <w:tcPr>
            <w:tcW w:w="2445" w:type="dxa"/>
            <w:tcBorders>
              <w:top w:val="nil"/>
              <w:left w:val="single" w:sz="8" w:space="0" w:color="auto"/>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 </w:t>
            </w:r>
          </w:p>
        </w:tc>
        <w:tc>
          <w:tcPr>
            <w:tcW w:w="2880" w:type="dxa"/>
            <w:tcBorders>
              <w:top w:val="nil"/>
              <w:left w:val="nil"/>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Level of expertise audit committee</w:t>
            </w:r>
          </w:p>
        </w:tc>
        <w:tc>
          <w:tcPr>
            <w:tcW w:w="1195" w:type="dxa"/>
            <w:tcBorders>
              <w:top w:val="nil"/>
              <w:left w:val="nil"/>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LEVEL</w:t>
            </w:r>
          </w:p>
        </w:tc>
        <w:tc>
          <w:tcPr>
            <w:tcW w:w="1560" w:type="dxa"/>
            <w:tcBorders>
              <w:top w:val="nil"/>
              <w:left w:val="nil"/>
              <w:bottom w:val="nil"/>
              <w:right w:val="single" w:sz="8" w:space="0" w:color="auto"/>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Continuous</w:t>
            </w:r>
          </w:p>
        </w:tc>
      </w:tr>
      <w:tr w:rsidR="00B3086F" w:rsidRPr="00B97064" w:rsidTr="00B3086F">
        <w:trPr>
          <w:trHeight w:val="630"/>
        </w:trPr>
        <w:tc>
          <w:tcPr>
            <w:tcW w:w="2445" w:type="dxa"/>
            <w:tcBorders>
              <w:top w:val="nil"/>
              <w:left w:val="single" w:sz="8" w:space="0" w:color="auto"/>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 </w:t>
            </w:r>
          </w:p>
        </w:tc>
        <w:tc>
          <w:tcPr>
            <w:tcW w:w="2880" w:type="dxa"/>
            <w:tcBorders>
              <w:top w:val="nil"/>
              <w:left w:val="nil"/>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Second listing in the USA</w:t>
            </w:r>
          </w:p>
        </w:tc>
        <w:tc>
          <w:tcPr>
            <w:tcW w:w="1195" w:type="dxa"/>
            <w:tcBorders>
              <w:top w:val="nil"/>
              <w:left w:val="nil"/>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USA</w:t>
            </w:r>
          </w:p>
        </w:tc>
        <w:tc>
          <w:tcPr>
            <w:tcW w:w="1560" w:type="dxa"/>
            <w:tcBorders>
              <w:top w:val="nil"/>
              <w:left w:val="nil"/>
              <w:bottom w:val="nil"/>
              <w:right w:val="single" w:sz="8" w:space="0" w:color="auto"/>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Categorical (Binary)</w:t>
            </w:r>
          </w:p>
        </w:tc>
      </w:tr>
      <w:tr w:rsidR="00B3086F" w:rsidRPr="00B97064" w:rsidTr="00B3086F">
        <w:trPr>
          <w:trHeight w:val="630"/>
        </w:trPr>
        <w:tc>
          <w:tcPr>
            <w:tcW w:w="2445" w:type="dxa"/>
            <w:tcBorders>
              <w:top w:val="nil"/>
              <w:left w:val="single" w:sz="8" w:space="0" w:color="auto"/>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 </w:t>
            </w:r>
          </w:p>
        </w:tc>
        <w:tc>
          <w:tcPr>
            <w:tcW w:w="2880" w:type="dxa"/>
            <w:tcBorders>
              <w:top w:val="nil"/>
              <w:left w:val="nil"/>
              <w:bottom w:val="nil"/>
              <w:right w:val="nil"/>
            </w:tcBorders>
            <w:shd w:val="clear" w:color="000000" w:fill="8DB4E3"/>
            <w:vAlign w:val="center"/>
            <w:hideMark/>
          </w:tcPr>
          <w:p w:rsidR="00B3086F" w:rsidRPr="00B97064" w:rsidRDefault="00B3086F" w:rsidP="0061221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 xml:space="preserve">Being audited by a big </w:t>
            </w:r>
            <w:r w:rsidR="0061221F" w:rsidRPr="00B97064">
              <w:rPr>
                <w:rFonts w:cs="Arial"/>
                <w:color w:val="000000"/>
                <w:sz w:val="20"/>
                <w:szCs w:val="20"/>
                <w:lang w:val="en-GB" w:eastAsia="en-US"/>
              </w:rPr>
              <w:t>4</w:t>
            </w:r>
            <w:r w:rsidRPr="00B97064">
              <w:rPr>
                <w:rFonts w:cs="Arial"/>
                <w:color w:val="000000"/>
                <w:sz w:val="20"/>
                <w:szCs w:val="20"/>
                <w:lang w:val="en-GB" w:eastAsia="en-US"/>
              </w:rPr>
              <w:t xml:space="preserve"> audit firm</w:t>
            </w:r>
          </w:p>
        </w:tc>
        <w:tc>
          <w:tcPr>
            <w:tcW w:w="1195" w:type="dxa"/>
            <w:tcBorders>
              <w:top w:val="nil"/>
              <w:left w:val="nil"/>
              <w:bottom w:val="nil"/>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BIG</w:t>
            </w:r>
          </w:p>
        </w:tc>
        <w:tc>
          <w:tcPr>
            <w:tcW w:w="1560" w:type="dxa"/>
            <w:tcBorders>
              <w:top w:val="nil"/>
              <w:left w:val="nil"/>
              <w:bottom w:val="nil"/>
              <w:right w:val="single" w:sz="8" w:space="0" w:color="auto"/>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Categorical (Binary)</w:t>
            </w:r>
          </w:p>
        </w:tc>
      </w:tr>
      <w:tr w:rsidR="00B3086F" w:rsidRPr="00B97064" w:rsidTr="00B3086F">
        <w:trPr>
          <w:trHeight w:val="330"/>
        </w:trPr>
        <w:tc>
          <w:tcPr>
            <w:tcW w:w="2445" w:type="dxa"/>
            <w:tcBorders>
              <w:top w:val="nil"/>
              <w:left w:val="single" w:sz="8" w:space="0" w:color="auto"/>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b/>
                <w:bCs/>
                <w:color w:val="000000"/>
                <w:sz w:val="20"/>
                <w:szCs w:val="20"/>
                <w:lang w:val="en-GB" w:eastAsia="en-US"/>
              </w:rPr>
            </w:pPr>
            <w:r w:rsidRPr="00B97064">
              <w:rPr>
                <w:rFonts w:cs="Arial"/>
                <w:b/>
                <w:bCs/>
                <w:color w:val="000000"/>
                <w:sz w:val="20"/>
                <w:szCs w:val="20"/>
                <w:lang w:val="en-GB" w:eastAsia="en-US"/>
              </w:rPr>
              <w:t>Control variables</w:t>
            </w:r>
          </w:p>
        </w:tc>
        <w:tc>
          <w:tcPr>
            <w:tcW w:w="2880" w:type="dxa"/>
            <w:tcBorders>
              <w:top w:val="nil"/>
              <w:left w:val="nil"/>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Tobin´s Q ratio t-1</w:t>
            </w:r>
          </w:p>
        </w:tc>
        <w:tc>
          <w:tcPr>
            <w:tcW w:w="1195" w:type="dxa"/>
            <w:tcBorders>
              <w:top w:val="nil"/>
              <w:left w:val="nil"/>
              <w:bottom w:val="nil"/>
              <w:right w:val="nil"/>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CV</w:t>
            </w:r>
            <w:r w:rsidRPr="00B97064">
              <w:rPr>
                <w:rFonts w:cs="Arial"/>
                <w:color w:val="000000"/>
                <w:sz w:val="20"/>
                <w:szCs w:val="20"/>
                <w:vertAlign w:val="subscript"/>
                <w:lang w:val="en-GB" w:eastAsia="en-US"/>
              </w:rPr>
              <w:t>1</w:t>
            </w:r>
          </w:p>
        </w:tc>
        <w:tc>
          <w:tcPr>
            <w:tcW w:w="1560" w:type="dxa"/>
            <w:tcBorders>
              <w:top w:val="nil"/>
              <w:left w:val="nil"/>
              <w:bottom w:val="nil"/>
              <w:right w:val="single" w:sz="8" w:space="0" w:color="auto"/>
            </w:tcBorders>
            <w:shd w:val="clear" w:color="000000" w:fill="FFFFFF"/>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Continuous</w:t>
            </w:r>
          </w:p>
        </w:tc>
      </w:tr>
      <w:tr w:rsidR="00B3086F" w:rsidRPr="00B97064" w:rsidTr="00B3086F">
        <w:trPr>
          <w:trHeight w:val="330"/>
        </w:trPr>
        <w:tc>
          <w:tcPr>
            <w:tcW w:w="2445" w:type="dxa"/>
            <w:tcBorders>
              <w:top w:val="nil"/>
              <w:left w:val="single" w:sz="8" w:space="0" w:color="auto"/>
              <w:bottom w:val="single" w:sz="8" w:space="0" w:color="auto"/>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 </w:t>
            </w:r>
          </w:p>
        </w:tc>
        <w:tc>
          <w:tcPr>
            <w:tcW w:w="2880" w:type="dxa"/>
            <w:tcBorders>
              <w:top w:val="nil"/>
              <w:left w:val="nil"/>
              <w:bottom w:val="single" w:sz="8" w:space="0" w:color="auto"/>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Firm Size</w:t>
            </w:r>
          </w:p>
        </w:tc>
        <w:tc>
          <w:tcPr>
            <w:tcW w:w="1195" w:type="dxa"/>
            <w:tcBorders>
              <w:top w:val="nil"/>
              <w:left w:val="nil"/>
              <w:bottom w:val="single" w:sz="8" w:space="0" w:color="auto"/>
              <w:right w:val="nil"/>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CV</w:t>
            </w:r>
            <w:r w:rsidRPr="00B97064">
              <w:rPr>
                <w:rFonts w:cs="Arial"/>
                <w:color w:val="000000"/>
                <w:sz w:val="20"/>
                <w:szCs w:val="20"/>
                <w:vertAlign w:val="subscript"/>
                <w:lang w:val="en-GB" w:eastAsia="en-US"/>
              </w:rPr>
              <w:t>2</w:t>
            </w:r>
          </w:p>
        </w:tc>
        <w:tc>
          <w:tcPr>
            <w:tcW w:w="1560" w:type="dxa"/>
            <w:tcBorders>
              <w:top w:val="nil"/>
              <w:left w:val="nil"/>
              <w:bottom w:val="single" w:sz="8" w:space="0" w:color="auto"/>
              <w:right w:val="single" w:sz="8" w:space="0" w:color="auto"/>
            </w:tcBorders>
            <w:shd w:val="clear" w:color="000000" w:fill="8DB4E3"/>
            <w:vAlign w:val="center"/>
            <w:hideMark/>
          </w:tcPr>
          <w:p w:rsidR="00B3086F" w:rsidRPr="00B97064" w:rsidRDefault="00B3086F" w:rsidP="00B3086F">
            <w:pPr>
              <w:widowControl/>
              <w:adjustRightInd/>
              <w:spacing w:line="240" w:lineRule="auto"/>
              <w:jc w:val="left"/>
              <w:textAlignment w:val="auto"/>
              <w:rPr>
                <w:rFonts w:cs="Arial"/>
                <w:color w:val="000000"/>
                <w:sz w:val="20"/>
                <w:szCs w:val="20"/>
                <w:lang w:val="en-GB" w:eastAsia="en-US"/>
              </w:rPr>
            </w:pPr>
            <w:r w:rsidRPr="00B97064">
              <w:rPr>
                <w:rFonts w:cs="Arial"/>
                <w:color w:val="000000"/>
                <w:sz w:val="20"/>
                <w:szCs w:val="20"/>
                <w:lang w:val="en-GB" w:eastAsia="en-US"/>
              </w:rPr>
              <w:t>Continuous</w:t>
            </w:r>
          </w:p>
        </w:tc>
      </w:tr>
    </w:tbl>
    <w:p w:rsidR="007C7F32" w:rsidRPr="00B97064" w:rsidRDefault="007C7F32" w:rsidP="00C01C75">
      <w:pPr>
        <w:pStyle w:val="Caption"/>
        <w:rPr>
          <w:lang w:val="en-GB"/>
        </w:rPr>
      </w:pPr>
      <w:bookmarkStart w:id="98" w:name="_Ref341779427"/>
      <w:bookmarkStart w:id="99" w:name="_Toc349585541"/>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7C185A" w:rsidRPr="00B97064">
        <w:rPr>
          <w:noProof/>
          <w:lang w:val="en-GB"/>
        </w:rPr>
        <w:t>8</w:t>
      </w:r>
      <w:r w:rsidR="00E80C96" w:rsidRPr="00B97064">
        <w:rPr>
          <w:lang w:val="en-GB"/>
        </w:rPr>
        <w:fldChar w:fldCharType="end"/>
      </w:r>
      <w:r w:rsidRPr="00B97064">
        <w:rPr>
          <w:lang w:val="en-GB"/>
        </w:rPr>
        <w:t>: Overview of variables</w:t>
      </w:r>
      <w:bookmarkEnd w:id="98"/>
      <w:bookmarkEnd w:id="99"/>
    </w:p>
    <w:p w:rsidR="007C7F32" w:rsidRPr="00B97064" w:rsidRDefault="001F76A6" w:rsidP="00957865">
      <w:pPr>
        <w:pStyle w:val="Heading2"/>
        <w:rPr>
          <w:lang w:val="en-GB"/>
        </w:rPr>
      </w:pPr>
      <w:bookmarkStart w:id="100" w:name="_Toc349585504"/>
      <w:r w:rsidRPr="00B97064">
        <w:rPr>
          <w:lang w:val="en-GB"/>
        </w:rPr>
        <w:t>6</w:t>
      </w:r>
      <w:r w:rsidR="007C7F32" w:rsidRPr="00B97064">
        <w:rPr>
          <w:lang w:val="en-GB"/>
        </w:rPr>
        <w:t>.3 Descriptive statistics</w:t>
      </w:r>
      <w:bookmarkEnd w:id="100"/>
    </w:p>
    <w:p w:rsidR="00C269AF" w:rsidRPr="00B97064" w:rsidRDefault="007C7F32" w:rsidP="00907CFD">
      <w:pPr>
        <w:rPr>
          <w:lang w:val="en-GB"/>
        </w:rPr>
      </w:pPr>
      <w:r w:rsidRPr="00B97064">
        <w:rPr>
          <w:lang w:val="en-GB"/>
        </w:rPr>
        <w:t>This section describes the co</w:t>
      </w:r>
      <w:r w:rsidR="00AB4BD5" w:rsidRPr="00B97064">
        <w:rPr>
          <w:lang w:val="en-GB"/>
        </w:rPr>
        <w:t>llected data of 2003 and 2009. As mentioned before, t</w:t>
      </w:r>
      <w:r w:rsidRPr="00B97064">
        <w:rPr>
          <w:lang w:val="en-GB"/>
        </w:rPr>
        <w:t xml:space="preserve">he </w:t>
      </w:r>
      <w:r w:rsidR="00B3086F" w:rsidRPr="00B97064">
        <w:rPr>
          <w:lang w:val="en-GB"/>
        </w:rPr>
        <w:t xml:space="preserve">final </w:t>
      </w:r>
      <w:r w:rsidRPr="00B97064">
        <w:rPr>
          <w:lang w:val="en-GB"/>
        </w:rPr>
        <w:t xml:space="preserve">sample consisted of </w:t>
      </w:r>
      <w:r w:rsidR="007C185A" w:rsidRPr="00B97064">
        <w:rPr>
          <w:lang w:val="en-GB"/>
        </w:rPr>
        <w:t xml:space="preserve">the </w:t>
      </w:r>
      <w:r w:rsidRPr="00B97064">
        <w:rPr>
          <w:lang w:val="en-GB"/>
        </w:rPr>
        <w:t>9</w:t>
      </w:r>
      <w:r w:rsidR="00B3086F" w:rsidRPr="00B97064">
        <w:rPr>
          <w:lang w:val="en-GB"/>
        </w:rPr>
        <w:t>8</w:t>
      </w:r>
      <w:r w:rsidR="007C185A" w:rsidRPr="00B97064">
        <w:rPr>
          <w:lang w:val="en-GB"/>
        </w:rPr>
        <w:t xml:space="preserve"> largest</w:t>
      </w:r>
      <w:r w:rsidRPr="00B97064">
        <w:rPr>
          <w:lang w:val="en-GB"/>
        </w:rPr>
        <w:t xml:space="preserve"> Euronext listed firms. A distinction is made between the years 2003 and 2009. A list of all the firms of my sample can be found in the appendix in section </w:t>
      </w:r>
      <w:fldSimple w:instr=" REF _Ref349584795 \h  \* MERGEFORMAT ">
        <w:r w:rsidR="004C718C" w:rsidRPr="00B97064">
          <w:rPr>
            <w:lang w:val="en-GB"/>
          </w:rPr>
          <w:t>10.2 Composition of final sample</w:t>
        </w:r>
      </w:fldSimple>
      <w:r w:rsidR="007C185A" w:rsidRPr="00B97064">
        <w:rPr>
          <w:lang w:val="en-GB"/>
        </w:rPr>
        <w:t xml:space="preserve">. </w:t>
      </w:r>
      <w:r w:rsidRPr="00B97064">
        <w:rPr>
          <w:lang w:val="en-GB"/>
        </w:rPr>
        <w:t xml:space="preserve">I used </w:t>
      </w:r>
      <w:r w:rsidRPr="00B97064">
        <w:rPr>
          <w:i/>
          <w:lang w:val="en-GB"/>
        </w:rPr>
        <w:t>Stata</w:t>
      </w:r>
      <w:r w:rsidRPr="00B97064">
        <w:rPr>
          <w:lang w:val="en-GB"/>
        </w:rPr>
        <w:t xml:space="preserve"> and </w:t>
      </w:r>
      <w:r w:rsidRPr="00B97064">
        <w:rPr>
          <w:i/>
          <w:lang w:val="en-GB"/>
        </w:rPr>
        <w:t xml:space="preserve">SPSS </w:t>
      </w:r>
      <w:r w:rsidRPr="00B97064">
        <w:rPr>
          <w:lang w:val="en-GB"/>
        </w:rPr>
        <w:t>to analyse my data.</w:t>
      </w:r>
    </w:p>
    <w:p w:rsidR="00C269AF" w:rsidRPr="00B97064" w:rsidRDefault="00C269AF" w:rsidP="00C269AF">
      <w:pPr>
        <w:pStyle w:val="Heading3"/>
        <w:rPr>
          <w:lang w:val="en-GB"/>
        </w:rPr>
      </w:pPr>
      <w:bookmarkStart w:id="101" w:name="_Ref349407840"/>
      <w:bookmarkStart w:id="102" w:name="_Toc349585505"/>
      <w:r w:rsidRPr="00B97064">
        <w:rPr>
          <w:lang w:val="en-GB"/>
        </w:rPr>
        <w:t>6.3.1 Disclosure study</w:t>
      </w:r>
      <w:bookmarkEnd w:id="101"/>
      <w:bookmarkEnd w:id="102"/>
    </w:p>
    <w:p w:rsidR="00477775" w:rsidRPr="00B97064" w:rsidRDefault="00C269AF" w:rsidP="00477775">
      <w:pPr>
        <w:rPr>
          <w:lang w:val="en-GB" w:eastAsia="en-US"/>
        </w:rPr>
      </w:pPr>
      <w:r w:rsidRPr="00B97064">
        <w:rPr>
          <w:lang w:val="en-GB" w:eastAsia="en-US"/>
        </w:rPr>
        <w:t xml:space="preserve">An important part of my research was the conducted disclosure study. For the years 2003 as well as the year 2009, the disclosure level in the field of RPTs was determined </w:t>
      </w:r>
      <w:r w:rsidR="00477775" w:rsidRPr="00B97064">
        <w:rPr>
          <w:lang w:val="en-GB" w:eastAsia="en-US"/>
        </w:rPr>
        <w:t>for the companies of my sample. The results of the disclosure study of 2003 as well as 2009 are shown below:</w:t>
      </w:r>
    </w:p>
    <w:p w:rsidR="00477775" w:rsidRPr="00B97064" w:rsidRDefault="00477775" w:rsidP="00C269AF">
      <w:pPr>
        <w:rPr>
          <w:lang w:val="en-GB" w:eastAsia="en-US"/>
        </w:rPr>
      </w:pPr>
      <w:r w:rsidRPr="00B97064">
        <w:rPr>
          <w:noProof/>
          <w:lang w:val="en-US" w:eastAsia="en-US"/>
        </w:rPr>
        <w:lastRenderedPageBreak/>
        <w:drawing>
          <wp:inline distT="0" distB="0" distL="0" distR="0">
            <wp:extent cx="5702841" cy="2514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829"/>
                    <a:stretch/>
                  </pic:blipFill>
                  <pic:spPr bwMode="auto">
                    <a:xfrm>
                      <a:off x="0" y="0"/>
                      <a:ext cx="5711121" cy="251825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477775" w:rsidRPr="00B97064" w:rsidRDefault="00477775" w:rsidP="00477775">
      <w:pPr>
        <w:pStyle w:val="Caption"/>
        <w:rPr>
          <w:lang w:val="en-GB" w:eastAsia="en-US"/>
        </w:rPr>
      </w:pPr>
      <w:bookmarkStart w:id="103" w:name="_Toc349585542"/>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9</w:t>
      </w:r>
      <w:r w:rsidR="00E80C96" w:rsidRPr="00B97064">
        <w:rPr>
          <w:lang w:val="en-GB"/>
        </w:rPr>
        <w:fldChar w:fldCharType="end"/>
      </w:r>
      <w:r w:rsidRPr="00B97064">
        <w:rPr>
          <w:lang w:val="en-GB"/>
        </w:rPr>
        <w:t xml:space="preserve">: </w:t>
      </w:r>
      <w:r w:rsidR="00B5578E" w:rsidRPr="00B97064">
        <w:rPr>
          <w:lang w:val="en-GB"/>
        </w:rPr>
        <w:t>Results d</w:t>
      </w:r>
      <w:r w:rsidRPr="00B97064">
        <w:rPr>
          <w:lang w:val="en-GB"/>
        </w:rPr>
        <w:t>isclosure study 2003 and 2009</w:t>
      </w:r>
      <w:bookmarkEnd w:id="103"/>
    </w:p>
    <w:p w:rsidR="00477775" w:rsidRPr="00B97064" w:rsidRDefault="00477775" w:rsidP="00C269AF">
      <w:pPr>
        <w:rPr>
          <w:lang w:val="en-GB" w:eastAsia="en-US"/>
        </w:rPr>
      </w:pPr>
    </w:p>
    <w:p w:rsidR="00A21A05" w:rsidRPr="00B97064" w:rsidRDefault="00C269AF" w:rsidP="00477775">
      <w:pPr>
        <w:rPr>
          <w:lang w:val="en-GB"/>
        </w:rPr>
      </w:pPr>
      <w:r w:rsidRPr="00B97064">
        <w:rPr>
          <w:lang w:val="en-GB" w:eastAsia="en-US"/>
        </w:rPr>
        <w:t xml:space="preserve">For the year 2003, 31 (31.6%) of the 98 companies of my sample disclosed whether or not they entered into RPTs. </w:t>
      </w:r>
      <w:r w:rsidR="00477775" w:rsidRPr="00B97064">
        <w:rPr>
          <w:lang w:val="en-GB"/>
        </w:rPr>
        <w:t>Only 1 of these 31 firm</w:t>
      </w:r>
      <w:r w:rsidR="00A21A05" w:rsidRPr="00B97064">
        <w:rPr>
          <w:lang w:val="en-GB"/>
        </w:rPr>
        <w:t>s mentioned they did not enter</w:t>
      </w:r>
      <w:r w:rsidR="00477775" w:rsidRPr="00B97064">
        <w:rPr>
          <w:lang w:val="en-GB"/>
        </w:rPr>
        <w:t xml:space="preserve"> into RPTs. So, for this firm no disclosure level ratio is determined.</w:t>
      </w:r>
      <w:r w:rsidR="003770C6" w:rsidRPr="00B97064">
        <w:rPr>
          <w:lang w:val="en-GB"/>
        </w:rPr>
        <w:t xml:space="preserve"> The other 30 companies (30.6% of the total sample)</w:t>
      </w:r>
      <w:r w:rsidR="00A21A05" w:rsidRPr="00B97064">
        <w:rPr>
          <w:lang w:val="en-GB"/>
        </w:rPr>
        <w:t xml:space="preserve"> did enter into RPTs.</w:t>
      </w:r>
      <w:r w:rsidR="00477775" w:rsidRPr="00B97064">
        <w:rPr>
          <w:lang w:val="en-GB"/>
        </w:rPr>
        <w:t xml:space="preserve"> </w:t>
      </w:r>
      <w:r w:rsidR="00A21A05" w:rsidRPr="00B97064">
        <w:rPr>
          <w:lang w:val="en-GB"/>
        </w:rPr>
        <w:t xml:space="preserve">Of those 30 companies, 20 companies (66.6% of the RPT companies) disclosed the amount of RPTs. So, in total, 21 of the 31 firms of the sample (21.2% of the total sample) disclosed </w:t>
      </w:r>
      <w:r w:rsidR="00A21A05" w:rsidRPr="00B97064">
        <w:rPr>
          <w:i/>
          <w:lang w:val="en-GB"/>
        </w:rPr>
        <w:t>the amount</w:t>
      </w:r>
      <w:r w:rsidR="00A21A05" w:rsidRPr="00B97064">
        <w:rPr>
          <w:lang w:val="en-GB"/>
        </w:rPr>
        <w:t xml:space="preserve"> of RPTs in their annual report of 2003 (including 1 company which disclosed an amount of 0).</w:t>
      </w:r>
    </w:p>
    <w:p w:rsidR="00477775" w:rsidRPr="00B97064" w:rsidRDefault="00477775" w:rsidP="00C269AF">
      <w:pPr>
        <w:rPr>
          <w:lang w:val="en-GB" w:eastAsia="en-US"/>
        </w:rPr>
      </w:pPr>
    </w:p>
    <w:p w:rsidR="00477775" w:rsidRPr="00B97064" w:rsidRDefault="00477775" w:rsidP="00477775">
      <w:pPr>
        <w:rPr>
          <w:lang w:val="en-GB"/>
        </w:rPr>
      </w:pPr>
      <w:r w:rsidRPr="00B97064">
        <w:rPr>
          <w:lang w:val="en-GB" w:eastAsia="en-US"/>
        </w:rPr>
        <w:t>For the year 2009, 74 (75.5%) of the 98 companies of my sample disclosed whether or not they entered into RPTs. Of those companies, 9 companies disclosed they did not enter into RPTs.</w:t>
      </w:r>
      <w:r w:rsidR="003770C6" w:rsidRPr="00B97064">
        <w:rPr>
          <w:lang w:val="en-GB" w:eastAsia="en-US"/>
        </w:rPr>
        <w:t xml:space="preserve"> So, again, for those 9 firms, no disclosure level ratio is determined. </w:t>
      </w:r>
      <w:r w:rsidRPr="00B97064">
        <w:rPr>
          <w:lang w:val="en-GB" w:eastAsia="en-US"/>
        </w:rPr>
        <w:t>The other 65 companies (66.2% of the total sample) did enter into RPTs. Of those 65 companies, 52 companies (80% of the RPT companies) disclosed the amount of RPTs.</w:t>
      </w:r>
      <w:r w:rsidR="00AB4BD5" w:rsidRPr="00B97064">
        <w:rPr>
          <w:lang w:val="en-GB"/>
        </w:rPr>
        <w:t xml:space="preserve"> So, </w:t>
      </w:r>
      <w:r w:rsidR="00A21A05" w:rsidRPr="00B97064">
        <w:rPr>
          <w:lang w:val="en-GB"/>
        </w:rPr>
        <w:t xml:space="preserve">in total, </w:t>
      </w:r>
      <w:r w:rsidRPr="00B97064">
        <w:rPr>
          <w:lang w:val="en-GB"/>
        </w:rPr>
        <w:t xml:space="preserve">61 of these 74 firms of the sample (62.2% of the total sample) disclosed the </w:t>
      </w:r>
      <w:r w:rsidRPr="00B97064">
        <w:rPr>
          <w:i/>
          <w:lang w:val="en-GB"/>
        </w:rPr>
        <w:t>amount</w:t>
      </w:r>
      <w:r w:rsidRPr="00B97064">
        <w:rPr>
          <w:lang w:val="en-GB"/>
        </w:rPr>
        <w:t xml:space="preserve"> of RPTs in their annual report of 2009 (including 9 companies which disclosed an amount of 0).</w:t>
      </w:r>
    </w:p>
    <w:p w:rsidR="007C7F32" w:rsidRPr="00B97064" w:rsidRDefault="001F76A6" w:rsidP="00F542A6">
      <w:pPr>
        <w:pStyle w:val="Heading3"/>
        <w:rPr>
          <w:noProof/>
          <w:lang w:val="en-GB" w:eastAsia="en-US"/>
        </w:rPr>
      </w:pPr>
      <w:bookmarkStart w:id="104" w:name="_Toc349585506"/>
      <w:r w:rsidRPr="00B97064">
        <w:rPr>
          <w:noProof/>
          <w:lang w:val="en-GB" w:eastAsia="en-US"/>
        </w:rPr>
        <w:t>6</w:t>
      </w:r>
      <w:r w:rsidR="007C7F32" w:rsidRPr="00B97064">
        <w:rPr>
          <w:noProof/>
          <w:lang w:val="en-GB" w:eastAsia="en-US"/>
        </w:rPr>
        <w:t>.3.</w:t>
      </w:r>
      <w:r w:rsidR="00E03E46" w:rsidRPr="00B97064">
        <w:rPr>
          <w:noProof/>
          <w:lang w:val="en-GB" w:eastAsia="en-US"/>
        </w:rPr>
        <w:t>2</w:t>
      </w:r>
      <w:r w:rsidR="007C7F32" w:rsidRPr="00B97064">
        <w:rPr>
          <w:noProof/>
          <w:lang w:val="en-GB" w:eastAsia="en-US"/>
        </w:rPr>
        <w:t xml:space="preserve"> Descriptive statistics 2003</w:t>
      </w:r>
      <w:bookmarkEnd w:id="104"/>
    </w:p>
    <w:p w:rsidR="000463E4" w:rsidRPr="00B97064" w:rsidRDefault="007C7F32" w:rsidP="00F1437B">
      <w:pPr>
        <w:rPr>
          <w:lang w:val="en-GB"/>
        </w:rPr>
      </w:pPr>
      <w:r w:rsidRPr="00B97064">
        <w:rPr>
          <w:lang w:val="en-GB"/>
        </w:rPr>
        <w:t>The correlation matrix below shows the correlation between all variables for the year 2003:</w:t>
      </w:r>
    </w:p>
    <w:p w:rsidR="007C7F32" w:rsidRPr="00B97064" w:rsidRDefault="00C269AF" w:rsidP="00C269AF">
      <w:pPr>
        <w:widowControl/>
        <w:adjustRightInd/>
        <w:spacing w:line="240" w:lineRule="auto"/>
        <w:jc w:val="left"/>
        <w:textAlignment w:val="auto"/>
        <w:rPr>
          <w:lang w:val="en-GB"/>
        </w:rPr>
      </w:pPr>
      <w:r w:rsidRPr="00B97064">
        <w:rPr>
          <w:noProof/>
          <w:lang w:val="en-US" w:eastAsia="en-US"/>
        </w:rPr>
        <w:lastRenderedPageBreak/>
        <w:drawing>
          <wp:inline distT="0" distB="0" distL="0" distR="0">
            <wp:extent cx="5758815" cy="2417964"/>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758815" cy="2417964"/>
                    </a:xfrm>
                    <a:prstGeom prst="rect">
                      <a:avLst/>
                    </a:prstGeom>
                  </pic:spPr>
                </pic:pic>
              </a:graphicData>
            </a:graphic>
          </wp:inline>
        </w:drawing>
      </w:r>
    </w:p>
    <w:p w:rsidR="007C7F32" w:rsidRPr="00B97064" w:rsidRDefault="007C7F32" w:rsidP="007569C6">
      <w:pPr>
        <w:pStyle w:val="Caption"/>
        <w:rPr>
          <w:lang w:val="en-GB"/>
        </w:rPr>
      </w:pPr>
      <w:bookmarkStart w:id="105" w:name="_Toc349585543"/>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10</w:t>
      </w:r>
      <w:r w:rsidR="00E80C96" w:rsidRPr="00B97064">
        <w:rPr>
          <w:lang w:val="en-GB"/>
        </w:rPr>
        <w:fldChar w:fldCharType="end"/>
      </w:r>
      <w:r w:rsidRPr="00B97064">
        <w:rPr>
          <w:lang w:val="en-GB"/>
        </w:rPr>
        <w:t>: Correlation matrix variables year 2003</w:t>
      </w:r>
      <w:bookmarkEnd w:id="105"/>
    </w:p>
    <w:p w:rsidR="007C7F32" w:rsidRPr="00B97064" w:rsidRDefault="007C7F32" w:rsidP="00F1437B">
      <w:pPr>
        <w:rPr>
          <w:noProof/>
          <w:lang w:val="en-GB" w:eastAsia="en-US"/>
        </w:rPr>
      </w:pPr>
    </w:p>
    <w:p w:rsidR="007C7F32" w:rsidRPr="00B97064" w:rsidRDefault="002B0F52" w:rsidP="00F1437B">
      <w:pPr>
        <w:rPr>
          <w:noProof/>
          <w:lang w:val="en-GB" w:eastAsia="en-US"/>
        </w:rPr>
      </w:pPr>
      <w:r w:rsidRPr="00B97064">
        <w:rPr>
          <w:noProof/>
          <w:lang w:val="en-GB" w:eastAsia="en-US"/>
        </w:rPr>
        <w:t>Due to high collinea</w:t>
      </w:r>
      <w:r w:rsidR="007C7F32" w:rsidRPr="00B97064">
        <w:rPr>
          <w:noProof/>
          <w:lang w:val="en-GB" w:eastAsia="en-US"/>
        </w:rPr>
        <w:t xml:space="preserve">rity, </w:t>
      </w:r>
      <w:r w:rsidR="007C7F32" w:rsidRPr="00B97064">
        <w:rPr>
          <w:i/>
          <w:noProof/>
          <w:lang w:val="en-GB" w:eastAsia="en-US"/>
        </w:rPr>
        <w:t xml:space="preserve">Stata </w:t>
      </w:r>
      <w:r w:rsidR="00E03E46" w:rsidRPr="00B97064">
        <w:rPr>
          <w:noProof/>
          <w:lang w:val="en-GB" w:eastAsia="en-US"/>
        </w:rPr>
        <w:t>ommitted a</w:t>
      </w:r>
      <w:r w:rsidR="007C7F32" w:rsidRPr="00B97064">
        <w:rPr>
          <w:noProof/>
          <w:lang w:val="en-GB" w:eastAsia="en-US"/>
        </w:rPr>
        <w:t>lready the BIG variable for the year 2003 (high correlation between BIG and CV2). This variable will be not taken into account in the multiple regression analysis in 2003.</w:t>
      </w:r>
    </w:p>
    <w:p w:rsidR="007C7F32" w:rsidRPr="00B97064" w:rsidRDefault="007C7F32" w:rsidP="00F542A6">
      <w:pPr>
        <w:rPr>
          <w:lang w:val="en-GB"/>
        </w:rPr>
      </w:pPr>
    </w:p>
    <w:p w:rsidR="007C7F32" w:rsidRPr="00B97064" w:rsidRDefault="007C7F32" w:rsidP="00F542A6">
      <w:pPr>
        <w:rPr>
          <w:lang w:val="en-GB"/>
        </w:rPr>
      </w:pPr>
      <w:r w:rsidRPr="00B97064">
        <w:rPr>
          <w:lang w:val="en-GB"/>
        </w:rPr>
        <w:t xml:space="preserve">The </w:t>
      </w:r>
      <w:r w:rsidR="00E03E46" w:rsidRPr="00B97064">
        <w:rPr>
          <w:lang w:val="en-GB"/>
        </w:rPr>
        <w:t xml:space="preserve">results of the </w:t>
      </w:r>
      <w:r w:rsidRPr="00B97064">
        <w:rPr>
          <w:lang w:val="en-GB"/>
        </w:rPr>
        <w:t>disclosure study</w:t>
      </w:r>
      <w:r w:rsidR="00E03E46" w:rsidRPr="00B97064">
        <w:rPr>
          <w:lang w:val="en-GB"/>
        </w:rPr>
        <w:t xml:space="preserve"> of 2003, as showed in the previous section,</w:t>
      </w:r>
      <w:r w:rsidRPr="00B97064">
        <w:rPr>
          <w:lang w:val="en-GB"/>
        </w:rPr>
        <w:t xml:space="preserve"> w</w:t>
      </w:r>
      <w:r w:rsidR="00E03E46" w:rsidRPr="00B97064">
        <w:rPr>
          <w:lang w:val="en-GB"/>
        </w:rPr>
        <w:t>ere</w:t>
      </w:r>
      <w:r w:rsidRPr="00B97064">
        <w:rPr>
          <w:lang w:val="en-GB"/>
        </w:rPr>
        <w:t xml:space="preserve"> used for the determination of the disclosure level ratio of all companies</w:t>
      </w:r>
      <w:r w:rsidR="00E03E46" w:rsidRPr="00B97064">
        <w:rPr>
          <w:lang w:val="en-GB"/>
        </w:rPr>
        <w:t xml:space="preserve"> for the year 2003</w:t>
      </w:r>
      <w:r w:rsidRPr="00B97064">
        <w:rPr>
          <w:lang w:val="en-GB"/>
        </w:rPr>
        <w:t>. This ratio was one of the independent variables of the first part of the research. The table below contains a summary of the data of the first part of my research for the year 2003:</w:t>
      </w:r>
    </w:p>
    <w:p w:rsidR="007C7F32" w:rsidRPr="00B97064" w:rsidRDefault="007C58A9" w:rsidP="00F542A6">
      <w:pPr>
        <w:rPr>
          <w:lang w:val="en-GB"/>
        </w:rPr>
      </w:pPr>
      <w:r w:rsidRPr="00B97064">
        <w:rPr>
          <w:noProof/>
          <w:lang w:val="en-US" w:eastAsia="en-US"/>
        </w:rPr>
        <w:drawing>
          <wp:inline distT="0" distB="0" distL="0" distR="0">
            <wp:extent cx="4953000" cy="1181100"/>
            <wp:effectExtent l="1905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a:srcRect l="9293" t="10141" r="7375" b="11394"/>
                    <a:stretch>
                      <a:fillRect/>
                    </a:stretch>
                  </pic:blipFill>
                  <pic:spPr bwMode="auto">
                    <a:xfrm>
                      <a:off x="0" y="0"/>
                      <a:ext cx="4953000" cy="1181100"/>
                    </a:xfrm>
                    <a:prstGeom prst="rect">
                      <a:avLst/>
                    </a:prstGeom>
                    <a:noFill/>
                    <a:ln w="9525">
                      <a:noFill/>
                      <a:miter lim="800000"/>
                      <a:headEnd/>
                      <a:tailEnd/>
                    </a:ln>
                  </pic:spPr>
                </pic:pic>
              </a:graphicData>
            </a:graphic>
          </wp:inline>
        </w:drawing>
      </w:r>
    </w:p>
    <w:p w:rsidR="007C7F32" w:rsidRPr="00B97064" w:rsidRDefault="007C7F32" w:rsidP="00C01C75">
      <w:pPr>
        <w:pStyle w:val="Caption"/>
        <w:rPr>
          <w:lang w:val="en-GB"/>
        </w:rPr>
      </w:pPr>
      <w:bookmarkStart w:id="106" w:name="_Toc349585544"/>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11</w:t>
      </w:r>
      <w:r w:rsidR="00E80C96" w:rsidRPr="00B97064">
        <w:rPr>
          <w:lang w:val="en-GB"/>
        </w:rPr>
        <w:fldChar w:fldCharType="end"/>
      </w:r>
      <w:r w:rsidRPr="00B97064">
        <w:rPr>
          <w:lang w:val="en-GB"/>
        </w:rPr>
        <w:t>: Descriptive statistics research part I year 2003</w:t>
      </w:r>
      <w:bookmarkEnd w:id="106"/>
    </w:p>
    <w:p w:rsidR="007C7F32" w:rsidRPr="00B97064" w:rsidRDefault="007C7F32" w:rsidP="00F1437B">
      <w:pPr>
        <w:rPr>
          <w:lang w:val="en-GB"/>
        </w:rPr>
      </w:pPr>
    </w:p>
    <w:p w:rsidR="007C7F32" w:rsidRPr="00B97064" w:rsidRDefault="007C7F32" w:rsidP="00F1437B">
      <w:pPr>
        <w:rPr>
          <w:lang w:val="en-GB"/>
        </w:rPr>
      </w:pPr>
      <w:r w:rsidRPr="00B97064">
        <w:rPr>
          <w:lang w:val="en-GB"/>
        </w:rPr>
        <w:t xml:space="preserve">As mentioned </w:t>
      </w:r>
      <w:r w:rsidR="00E03E46" w:rsidRPr="00B97064">
        <w:rPr>
          <w:lang w:val="en-GB"/>
        </w:rPr>
        <w:t>in the previous section</w:t>
      </w:r>
      <w:r w:rsidRPr="00B97064">
        <w:rPr>
          <w:lang w:val="en-GB"/>
        </w:rPr>
        <w:t>, only 31 of the 98 firms of the sample (31.6%) mentioned in their annual report of 2003 whether or not they entered into RPTs. Only 1 of these 31 firms mentioned they did not entered into RPTs. So, for this firm no disclosure level ratio is determined. The other</w:t>
      </w:r>
      <w:r w:rsidR="00E03E46" w:rsidRPr="00B97064">
        <w:rPr>
          <w:lang w:val="en-GB"/>
        </w:rPr>
        <w:t xml:space="preserve"> 30</w:t>
      </w:r>
      <w:r w:rsidRPr="00B97064">
        <w:rPr>
          <w:lang w:val="en-GB"/>
        </w:rPr>
        <w:t xml:space="preserve"> firms could obtain a maximum of 11 points. The disclosure of these firms consisted of at least 2 information elements (minimum disclosure level ratio of 0.182) and maximum 8 information elements (maximum disclosure level ratio of 0.727). Only 21 of the 31 firms of the sample (21.2% of the total sample) disclosed the </w:t>
      </w:r>
      <w:r w:rsidRPr="00B97064">
        <w:rPr>
          <w:i/>
          <w:lang w:val="en-GB"/>
        </w:rPr>
        <w:t>amount</w:t>
      </w:r>
      <w:r w:rsidRPr="00B97064">
        <w:rPr>
          <w:lang w:val="en-GB"/>
        </w:rPr>
        <w:t xml:space="preserve"> of RPTs in their annual report of 2003 (including 1 company which disclosed an amount of 0).</w:t>
      </w:r>
    </w:p>
    <w:p w:rsidR="007C7F32" w:rsidRPr="00B97064" w:rsidRDefault="007C7F32" w:rsidP="00F1437B">
      <w:pPr>
        <w:rPr>
          <w:lang w:val="en-GB"/>
        </w:rPr>
      </w:pPr>
    </w:p>
    <w:p w:rsidR="00773EB5" w:rsidRPr="00B97064" w:rsidRDefault="00773EB5" w:rsidP="00F1437B">
      <w:pPr>
        <w:rPr>
          <w:lang w:val="en-GB"/>
        </w:rPr>
      </w:pPr>
    </w:p>
    <w:p w:rsidR="007C7F32" w:rsidRPr="00B97064" w:rsidRDefault="007C7F32" w:rsidP="00F1437B">
      <w:pPr>
        <w:rPr>
          <w:lang w:val="en-GB"/>
        </w:rPr>
      </w:pPr>
      <w:r w:rsidRPr="00B97064">
        <w:rPr>
          <w:lang w:val="en-GB"/>
        </w:rPr>
        <w:lastRenderedPageBreak/>
        <w:t>The second part of my research was aimed to investigate the relation between the amount of RPTs and some corporate governance and ownership characteristics. The table below contains a summary of the collected data of this part of the research</w:t>
      </w:r>
      <w:r w:rsidR="0038599A" w:rsidRPr="00B97064">
        <w:rPr>
          <w:lang w:val="en-GB"/>
        </w:rPr>
        <w:t xml:space="preserve"> for the year 2003</w:t>
      </w:r>
      <w:r w:rsidRPr="00B97064">
        <w:rPr>
          <w:lang w:val="en-GB"/>
        </w:rPr>
        <w:t>:</w:t>
      </w:r>
    </w:p>
    <w:p w:rsidR="007C7F32" w:rsidRPr="00B97064" w:rsidRDefault="007C58A9" w:rsidP="00F1437B">
      <w:pPr>
        <w:rPr>
          <w:lang w:val="en-GB"/>
        </w:rPr>
      </w:pPr>
      <w:r w:rsidRPr="00B97064">
        <w:rPr>
          <w:noProof/>
          <w:lang w:val="en-US" w:eastAsia="en-US"/>
        </w:rPr>
        <w:drawing>
          <wp:inline distT="0" distB="0" distL="0" distR="0">
            <wp:extent cx="4229100" cy="1857375"/>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a:srcRect l="10464" t="7234" r="12694" b="8086"/>
                    <a:stretch>
                      <a:fillRect/>
                    </a:stretch>
                  </pic:blipFill>
                  <pic:spPr bwMode="auto">
                    <a:xfrm>
                      <a:off x="0" y="0"/>
                      <a:ext cx="4229100" cy="1857375"/>
                    </a:xfrm>
                    <a:prstGeom prst="rect">
                      <a:avLst/>
                    </a:prstGeom>
                    <a:noFill/>
                    <a:ln w="9525">
                      <a:noFill/>
                      <a:miter lim="800000"/>
                      <a:headEnd/>
                      <a:tailEnd/>
                    </a:ln>
                  </pic:spPr>
                </pic:pic>
              </a:graphicData>
            </a:graphic>
          </wp:inline>
        </w:drawing>
      </w:r>
    </w:p>
    <w:p w:rsidR="007C7F32" w:rsidRPr="00B97064" w:rsidRDefault="007C7F32" w:rsidP="00C01C75">
      <w:pPr>
        <w:pStyle w:val="Caption"/>
        <w:rPr>
          <w:lang w:val="en-GB"/>
        </w:rPr>
      </w:pPr>
      <w:bookmarkStart w:id="107" w:name="_Toc349585545"/>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12</w:t>
      </w:r>
      <w:r w:rsidR="00E80C96" w:rsidRPr="00B97064">
        <w:rPr>
          <w:lang w:val="en-GB"/>
        </w:rPr>
        <w:fldChar w:fldCharType="end"/>
      </w:r>
      <w:r w:rsidRPr="00B97064">
        <w:rPr>
          <w:lang w:val="en-GB"/>
        </w:rPr>
        <w:t>: Descriptive statistics research part II year 2003</w:t>
      </w:r>
      <w:bookmarkEnd w:id="107"/>
    </w:p>
    <w:p w:rsidR="007C7F32" w:rsidRPr="00B97064" w:rsidRDefault="007C7F32" w:rsidP="00F1437B">
      <w:pPr>
        <w:rPr>
          <w:lang w:val="en-GB"/>
        </w:rPr>
      </w:pPr>
    </w:p>
    <w:p w:rsidR="007C7F32" w:rsidRPr="00B97064" w:rsidRDefault="007C7F32" w:rsidP="00F1437B">
      <w:pPr>
        <w:rPr>
          <w:lang w:val="en-GB"/>
        </w:rPr>
      </w:pPr>
      <w:r w:rsidRPr="00B97064">
        <w:rPr>
          <w:lang w:val="en-GB"/>
        </w:rPr>
        <w:t>The annual reports of 2003 consisted in 96 cases the number of supervisory board members. Of those firms, 70 firms have a supervisory board of at least 4 members, so a separated audit committee would be obliged from 2004. To make the data of 2003 and 2009 comparable, the level of expertise of the audit committee is determined as if an audit committee is already required for supervisory boards consisting of 4 or more members for the year 2003. So, for those firms, the level of expertise of this audit committee is determined by calculating the ratio of financial experts/total audit committee members. In case no separated audit committee and/or financial experts are mentioned in the annual report, the ratio is determined at 0.</w:t>
      </w:r>
    </w:p>
    <w:p w:rsidR="007C7F32" w:rsidRPr="00B97064" w:rsidRDefault="001F76A6" w:rsidP="007569C6">
      <w:pPr>
        <w:pStyle w:val="Heading3"/>
        <w:rPr>
          <w:noProof/>
          <w:lang w:val="en-GB" w:eastAsia="en-US"/>
        </w:rPr>
      </w:pPr>
      <w:bookmarkStart w:id="108" w:name="_Toc349585507"/>
      <w:r w:rsidRPr="00B97064">
        <w:rPr>
          <w:noProof/>
          <w:lang w:val="en-GB" w:eastAsia="en-US"/>
        </w:rPr>
        <w:t>6</w:t>
      </w:r>
      <w:r w:rsidR="007C7F32" w:rsidRPr="00B97064">
        <w:rPr>
          <w:noProof/>
          <w:lang w:val="en-GB" w:eastAsia="en-US"/>
        </w:rPr>
        <w:t>.3.</w:t>
      </w:r>
      <w:r w:rsidR="00413652" w:rsidRPr="00B97064">
        <w:rPr>
          <w:noProof/>
          <w:lang w:val="en-GB" w:eastAsia="en-US"/>
        </w:rPr>
        <w:t>3</w:t>
      </w:r>
      <w:r w:rsidR="007C7F32" w:rsidRPr="00B97064">
        <w:rPr>
          <w:noProof/>
          <w:lang w:val="en-GB" w:eastAsia="en-US"/>
        </w:rPr>
        <w:t xml:space="preserve"> Descriptive statistics 2009</w:t>
      </w:r>
      <w:bookmarkEnd w:id="108"/>
    </w:p>
    <w:p w:rsidR="007C7F32" w:rsidRPr="00B97064" w:rsidRDefault="007C7F32" w:rsidP="00F1437B">
      <w:pPr>
        <w:rPr>
          <w:lang w:val="en-GB"/>
        </w:rPr>
      </w:pPr>
      <w:r w:rsidRPr="00B97064">
        <w:rPr>
          <w:lang w:val="en-GB"/>
        </w:rPr>
        <w:t>The correlation matrix below shows the correlation between all variables for the year 2009:</w:t>
      </w:r>
    </w:p>
    <w:p w:rsidR="007C7F32" w:rsidRPr="00B97064" w:rsidRDefault="007C58A9" w:rsidP="00F1437B">
      <w:pPr>
        <w:rPr>
          <w:lang w:val="en-GB"/>
        </w:rPr>
      </w:pPr>
      <w:r w:rsidRPr="00B97064">
        <w:rPr>
          <w:noProof/>
          <w:lang w:val="en-US" w:eastAsia="en-US"/>
        </w:rPr>
        <w:drawing>
          <wp:inline distT="0" distB="0" distL="0" distR="0">
            <wp:extent cx="5534025" cy="2428875"/>
            <wp:effectExtent l="1905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a:srcRect l="7053" t="5080" r="7535"/>
                    <a:stretch>
                      <a:fillRect/>
                    </a:stretch>
                  </pic:blipFill>
                  <pic:spPr bwMode="auto">
                    <a:xfrm>
                      <a:off x="0" y="0"/>
                      <a:ext cx="5534025" cy="2428875"/>
                    </a:xfrm>
                    <a:prstGeom prst="rect">
                      <a:avLst/>
                    </a:prstGeom>
                    <a:noFill/>
                    <a:ln w="9525">
                      <a:noFill/>
                      <a:miter lim="800000"/>
                      <a:headEnd/>
                      <a:tailEnd/>
                    </a:ln>
                  </pic:spPr>
                </pic:pic>
              </a:graphicData>
            </a:graphic>
          </wp:inline>
        </w:drawing>
      </w:r>
    </w:p>
    <w:p w:rsidR="007C7F32" w:rsidRPr="00B97064" w:rsidRDefault="007C7F32" w:rsidP="007569C6">
      <w:pPr>
        <w:pStyle w:val="Caption"/>
        <w:rPr>
          <w:lang w:val="en-GB"/>
        </w:rPr>
      </w:pPr>
      <w:bookmarkStart w:id="109" w:name="_Toc349585546"/>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13</w:t>
      </w:r>
      <w:r w:rsidR="00E80C96" w:rsidRPr="00B97064">
        <w:rPr>
          <w:lang w:val="en-GB"/>
        </w:rPr>
        <w:fldChar w:fldCharType="end"/>
      </w:r>
      <w:r w:rsidRPr="00B97064">
        <w:rPr>
          <w:lang w:val="en-GB"/>
        </w:rPr>
        <w:t>: Correlation matrix variables year 2009</w:t>
      </w:r>
      <w:bookmarkEnd w:id="109"/>
    </w:p>
    <w:p w:rsidR="007C7F32" w:rsidRPr="00B97064" w:rsidRDefault="007C7F32" w:rsidP="00F1437B">
      <w:pPr>
        <w:rPr>
          <w:noProof/>
          <w:lang w:val="en-GB" w:eastAsia="en-US"/>
        </w:rPr>
      </w:pPr>
    </w:p>
    <w:p w:rsidR="007C7F32" w:rsidRPr="00B97064" w:rsidRDefault="007C7F32" w:rsidP="00F1437B">
      <w:pPr>
        <w:rPr>
          <w:noProof/>
          <w:lang w:val="en-GB" w:eastAsia="en-US"/>
        </w:rPr>
      </w:pPr>
      <w:r w:rsidRPr="00B97064">
        <w:rPr>
          <w:noProof/>
          <w:lang w:val="en-GB" w:eastAsia="en-US"/>
        </w:rPr>
        <w:lastRenderedPageBreak/>
        <w:t>For the y</w:t>
      </w:r>
      <w:r w:rsidR="00231DB0" w:rsidRPr="00B97064">
        <w:rPr>
          <w:noProof/>
          <w:lang w:val="en-GB" w:eastAsia="en-US"/>
        </w:rPr>
        <w:t>ear 2009, there is no high colli</w:t>
      </w:r>
      <w:r w:rsidRPr="00B97064">
        <w:rPr>
          <w:noProof/>
          <w:lang w:val="en-GB" w:eastAsia="en-US"/>
        </w:rPr>
        <w:t>nearity</w:t>
      </w:r>
      <w:r w:rsidR="001A53EF" w:rsidRPr="00B97064">
        <w:rPr>
          <w:noProof/>
          <w:lang w:val="en-GB" w:eastAsia="en-US"/>
        </w:rPr>
        <w:t xml:space="preserve"> between</w:t>
      </w:r>
      <w:r w:rsidRPr="00B97064">
        <w:rPr>
          <w:noProof/>
          <w:lang w:val="en-GB" w:eastAsia="en-US"/>
        </w:rPr>
        <w:t xml:space="preserve"> BIG and other independent variables, so this time, BIG is taken into account in the multiple regression.</w:t>
      </w:r>
    </w:p>
    <w:p w:rsidR="007C7F32" w:rsidRPr="00B97064" w:rsidRDefault="007C7F32" w:rsidP="0038599A">
      <w:pPr>
        <w:rPr>
          <w:lang w:val="en-GB"/>
        </w:rPr>
      </w:pPr>
    </w:p>
    <w:p w:rsidR="0038599A" w:rsidRPr="00B97064" w:rsidRDefault="0038599A" w:rsidP="0038599A">
      <w:pPr>
        <w:rPr>
          <w:lang w:val="en-GB"/>
        </w:rPr>
      </w:pPr>
      <w:r w:rsidRPr="00B97064">
        <w:rPr>
          <w:lang w:val="en-GB"/>
        </w:rPr>
        <w:t>The table below contains a summary of the data of the first part of my research for the year 2009:</w:t>
      </w:r>
    </w:p>
    <w:p w:rsidR="007C7F32" w:rsidRPr="00B97064" w:rsidRDefault="007C58A9" w:rsidP="00B631DD">
      <w:pPr>
        <w:rPr>
          <w:lang w:val="en-GB" w:eastAsia="en-US"/>
        </w:rPr>
      </w:pPr>
      <w:r w:rsidRPr="00B97064">
        <w:rPr>
          <w:noProof/>
          <w:lang w:val="en-US" w:eastAsia="en-US"/>
        </w:rPr>
        <w:drawing>
          <wp:inline distT="0" distB="0" distL="0" distR="0">
            <wp:extent cx="4829175" cy="1285875"/>
            <wp:effectExtent l="1905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srcRect l="9772" t="9372" r="8490" b="11124"/>
                    <a:stretch>
                      <a:fillRect/>
                    </a:stretch>
                  </pic:blipFill>
                  <pic:spPr bwMode="auto">
                    <a:xfrm>
                      <a:off x="0" y="0"/>
                      <a:ext cx="4829175" cy="1285875"/>
                    </a:xfrm>
                    <a:prstGeom prst="rect">
                      <a:avLst/>
                    </a:prstGeom>
                    <a:noFill/>
                    <a:ln w="9525">
                      <a:noFill/>
                      <a:miter lim="800000"/>
                      <a:headEnd/>
                      <a:tailEnd/>
                    </a:ln>
                  </pic:spPr>
                </pic:pic>
              </a:graphicData>
            </a:graphic>
          </wp:inline>
        </w:drawing>
      </w:r>
    </w:p>
    <w:p w:rsidR="007C7F32" w:rsidRPr="00B97064" w:rsidRDefault="007C7F32" w:rsidP="004C0D9A">
      <w:pPr>
        <w:pStyle w:val="Caption"/>
        <w:rPr>
          <w:lang w:val="en-GB"/>
        </w:rPr>
      </w:pPr>
      <w:bookmarkStart w:id="110" w:name="_Toc349585547"/>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14</w:t>
      </w:r>
      <w:r w:rsidR="00E80C96" w:rsidRPr="00B97064">
        <w:rPr>
          <w:lang w:val="en-GB"/>
        </w:rPr>
        <w:fldChar w:fldCharType="end"/>
      </w:r>
      <w:r w:rsidRPr="00B97064">
        <w:rPr>
          <w:lang w:val="en-GB"/>
        </w:rPr>
        <w:t>: Descriptive statistics research part I year 2009</w:t>
      </w:r>
      <w:bookmarkEnd w:id="110"/>
    </w:p>
    <w:p w:rsidR="0038599A" w:rsidRPr="00B97064" w:rsidRDefault="0038599A" w:rsidP="0038599A">
      <w:pPr>
        <w:rPr>
          <w:lang w:val="en-GB"/>
        </w:rPr>
      </w:pPr>
    </w:p>
    <w:p w:rsidR="007C7F32" w:rsidRPr="00B97064" w:rsidRDefault="0038599A" w:rsidP="00392B63">
      <w:pPr>
        <w:rPr>
          <w:lang w:val="en-GB"/>
        </w:rPr>
      </w:pPr>
      <w:r w:rsidRPr="00B97064">
        <w:rPr>
          <w:lang w:val="en-GB"/>
        </w:rPr>
        <w:t xml:space="preserve">As mentioned in section </w:t>
      </w:r>
      <w:fldSimple w:instr=" REF _Ref349407840 \h  \* MERGEFORMAT ">
        <w:r w:rsidR="004C718C" w:rsidRPr="00B97064">
          <w:rPr>
            <w:lang w:val="en-GB"/>
          </w:rPr>
          <w:t>6.3.1 Disclosure study</w:t>
        </w:r>
      </w:fldSimple>
      <w:r w:rsidRPr="00B97064">
        <w:rPr>
          <w:lang w:val="en-GB" w:eastAsia="en-US"/>
        </w:rPr>
        <w:t>, for the year 2009, 74 of the 98 companies of my sample</w:t>
      </w:r>
      <w:r w:rsidR="00A22BAF" w:rsidRPr="00B97064">
        <w:rPr>
          <w:lang w:val="en-GB" w:eastAsia="en-US"/>
        </w:rPr>
        <w:t xml:space="preserve"> (75.5%)</w:t>
      </w:r>
      <w:r w:rsidRPr="00B97064">
        <w:rPr>
          <w:lang w:val="en-GB" w:eastAsia="en-US"/>
        </w:rPr>
        <w:t xml:space="preserve"> disclosed whether or not they entered into RPTs. Of those companies, 9 companies disclosed they did not enter into RPTs.</w:t>
      </w:r>
      <w:r w:rsidR="00A22BAF" w:rsidRPr="00B97064">
        <w:rPr>
          <w:lang w:val="en-GB" w:eastAsia="en-US"/>
        </w:rPr>
        <w:t xml:space="preserve"> So, for those firms, no disclosure level ratio was determined.</w:t>
      </w:r>
      <w:r w:rsidRPr="00B97064">
        <w:rPr>
          <w:lang w:val="en-GB" w:eastAsia="en-US"/>
        </w:rPr>
        <w:t xml:space="preserve"> The other 65 companies </w:t>
      </w:r>
      <w:r w:rsidR="00A22BAF" w:rsidRPr="00B97064">
        <w:rPr>
          <w:lang w:val="en-GB" w:eastAsia="en-US"/>
        </w:rPr>
        <w:t>could again obtain 11 points</w:t>
      </w:r>
      <w:r w:rsidRPr="00B97064">
        <w:rPr>
          <w:lang w:val="en-GB" w:eastAsia="en-US"/>
        </w:rPr>
        <w:t xml:space="preserve">. </w:t>
      </w:r>
      <w:r w:rsidR="007C7F32" w:rsidRPr="00B97064">
        <w:rPr>
          <w:lang w:val="en-GB"/>
        </w:rPr>
        <w:t>The disclosure of the</w:t>
      </w:r>
      <w:r w:rsidR="00A22BAF" w:rsidRPr="00B97064">
        <w:rPr>
          <w:lang w:val="en-GB"/>
        </w:rPr>
        <w:t>se</w:t>
      </w:r>
      <w:r w:rsidR="007C7F32" w:rsidRPr="00B97064">
        <w:rPr>
          <w:lang w:val="en-GB"/>
        </w:rPr>
        <w:t xml:space="preserve"> firms consisted of at least 1 information element (minimum disclosure level ratio of 0.091) and maximum 8 information elements (maximum disclosure level ratio of 0.727). 61 of the 74 firms of the sample (62.2% of the total sample) disclosed the </w:t>
      </w:r>
      <w:r w:rsidR="007C7F32" w:rsidRPr="00B97064">
        <w:rPr>
          <w:i/>
          <w:lang w:val="en-GB"/>
        </w:rPr>
        <w:t>amount</w:t>
      </w:r>
      <w:r w:rsidR="007C7F32" w:rsidRPr="00B97064">
        <w:rPr>
          <w:lang w:val="en-GB"/>
        </w:rPr>
        <w:t xml:space="preserve"> of RPTs in their annual report of 2009 (including 9 companies which disclosed an amount of 0).</w:t>
      </w:r>
    </w:p>
    <w:p w:rsidR="0038599A" w:rsidRPr="00B97064" w:rsidRDefault="0038599A" w:rsidP="00392B63">
      <w:pPr>
        <w:rPr>
          <w:lang w:val="en-GB" w:eastAsia="en-US"/>
        </w:rPr>
      </w:pPr>
    </w:p>
    <w:p w:rsidR="0038599A" w:rsidRPr="00B97064" w:rsidRDefault="0038599A" w:rsidP="00392B63">
      <w:pPr>
        <w:rPr>
          <w:lang w:val="en-GB" w:eastAsia="en-US"/>
        </w:rPr>
      </w:pPr>
      <w:r w:rsidRPr="00B97064">
        <w:rPr>
          <w:lang w:val="en-GB"/>
        </w:rPr>
        <w:t>The table below contains a summary of the collected data of the second part of the research for the year 2009:</w:t>
      </w:r>
    </w:p>
    <w:p w:rsidR="007C7F32" w:rsidRPr="00B97064" w:rsidRDefault="007C58A9" w:rsidP="00392B63">
      <w:pPr>
        <w:rPr>
          <w:lang w:val="en-GB"/>
        </w:rPr>
      </w:pPr>
      <w:r w:rsidRPr="00B97064">
        <w:rPr>
          <w:noProof/>
          <w:lang w:val="en-US" w:eastAsia="en-US"/>
        </w:rPr>
        <w:drawing>
          <wp:inline distT="0" distB="0" distL="0" distR="0">
            <wp:extent cx="4829175" cy="1857375"/>
            <wp:effectExtent l="1905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
                    <a:srcRect l="8975" t="7147" r="11383" b="7973"/>
                    <a:stretch>
                      <a:fillRect/>
                    </a:stretch>
                  </pic:blipFill>
                  <pic:spPr bwMode="auto">
                    <a:xfrm>
                      <a:off x="0" y="0"/>
                      <a:ext cx="4829175" cy="1857375"/>
                    </a:xfrm>
                    <a:prstGeom prst="rect">
                      <a:avLst/>
                    </a:prstGeom>
                    <a:noFill/>
                    <a:ln w="9525">
                      <a:noFill/>
                      <a:miter lim="800000"/>
                      <a:headEnd/>
                      <a:tailEnd/>
                    </a:ln>
                  </pic:spPr>
                </pic:pic>
              </a:graphicData>
            </a:graphic>
          </wp:inline>
        </w:drawing>
      </w:r>
    </w:p>
    <w:p w:rsidR="007C7F32" w:rsidRPr="00B97064" w:rsidRDefault="007C7F32" w:rsidP="004C0D9A">
      <w:pPr>
        <w:pStyle w:val="Caption"/>
        <w:rPr>
          <w:lang w:val="en-GB"/>
        </w:rPr>
      </w:pPr>
      <w:bookmarkStart w:id="111" w:name="_Toc349585548"/>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15</w:t>
      </w:r>
      <w:r w:rsidR="00E80C96" w:rsidRPr="00B97064">
        <w:rPr>
          <w:lang w:val="en-GB"/>
        </w:rPr>
        <w:fldChar w:fldCharType="end"/>
      </w:r>
      <w:r w:rsidRPr="00B97064">
        <w:rPr>
          <w:lang w:val="en-GB"/>
        </w:rPr>
        <w:t>: Descriptive statistics research part II year 2009</w:t>
      </w:r>
      <w:bookmarkEnd w:id="111"/>
    </w:p>
    <w:p w:rsidR="007C7F32" w:rsidRPr="00B97064" w:rsidRDefault="007C7F32" w:rsidP="00E9209F">
      <w:pPr>
        <w:rPr>
          <w:lang w:val="en-GB"/>
        </w:rPr>
      </w:pPr>
    </w:p>
    <w:p w:rsidR="007C7F32" w:rsidRPr="00B97064" w:rsidRDefault="007C7F32" w:rsidP="00E9209F">
      <w:pPr>
        <w:rPr>
          <w:lang w:val="en-GB"/>
        </w:rPr>
      </w:pPr>
      <w:r w:rsidRPr="00B97064">
        <w:rPr>
          <w:lang w:val="en-GB"/>
        </w:rPr>
        <w:t xml:space="preserve">The annual reports of 2009 consisted in 97 cases the number of supervisory board members. Of those firms, 72 firms have a supervisory board of at least 4 members, so a separated audit committee is mandatory. For those firms, the level of expertise of this audit </w:t>
      </w:r>
      <w:r w:rsidRPr="00B97064">
        <w:rPr>
          <w:lang w:val="en-GB"/>
        </w:rPr>
        <w:lastRenderedPageBreak/>
        <w:t>committee is determined by calculating the ratio of financial experts</w:t>
      </w:r>
      <w:r w:rsidR="001A53EF" w:rsidRPr="00B97064">
        <w:rPr>
          <w:lang w:val="en-GB"/>
        </w:rPr>
        <w:t xml:space="preserve"> </w:t>
      </w:r>
      <w:r w:rsidRPr="00B97064">
        <w:rPr>
          <w:lang w:val="en-GB"/>
        </w:rPr>
        <w:t>/</w:t>
      </w:r>
      <w:r w:rsidR="001A53EF" w:rsidRPr="00B97064">
        <w:rPr>
          <w:lang w:val="en-GB"/>
        </w:rPr>
        <w:t xml:space="preserve"> </w:t>
      </w:r>
      <w:r w:rsidRPr="00B97064">
        <w:rPr>
          <w:lang w:val="en-GB"/>
        </w:rPr>
        <w:t>total audit committee members. Again, in case no separated audit committee and/or financial experts are mentioned in the annual report, the ratio is determined at 0.</w:t>
      </w:r>
    </w:p>
    <w:p w:rsidR="00C37DF1" w:rsidRPr="00B97064" w:rsidRDefault="00413652" w:rsidP="00C37DF1">
      <w:pPr>
        <w:pStyle w:val="Heading3"/>
        <w:rPr>
          <w:lang w:val="en-GB"/>
        </w:rPr>
      </w:pPr>
      <w:bookmarkStart w:id="112" w:name="_Toc349585508"/>
      <w:r w:rsidRPr="00B97064">
        <w:rPr>
          <w:lang w:val="en-GB"/>
        </w:rPr>
        <w:t>6.3.4 Dummy variables</w:t>
      </w:r>
      <w:bookmarkEnd w:id="112"/>
    </w:p>
    <w:p w:rsidR="004C4A8A" w:rsidRPr="00B97064" w:rsidRDefault="004C4A8A" w:rsidP="004C4A8A">
      <w:pPr>
        <w:rPr>
          <w:lang w:val="en-GB"/>
        </w:rPr>
      </w:pPr>
      <w:r w:rsidRPr="00B97064">
        <w:rPr>
          <w:lang w:val="en-GB"/>
        </w:rPr>
        <w:t xml:space="preserve">Two of the variables of the second part of my research are dummy variables. The dummy variables are visualized </w:t>
      </w:r>
      <w:r w:rsidR="001A53EF" w:rsidRPr="00B97064">
        <w:rPr>
          <w:lang w:val="en-GB"/>
        </w:rPr>
        <w:t>by</w:t>
      </w:r>
      <w:r w:rsidRPr="00B97064">
        <w:rPr>
          <w:lang w:val="en-GB"/>
        </w:rPr>
        <w:t xml:space="preserve"> the tables below:</w:t>
      </w:r>
    </w:p>
    <w:p w:rsidR="00443964" w:rsidRPr="00B97064" w:rsidRDefault="00443964" w:rsidP="00C37DF1">
      <w:pPr>
        <w:widowControl/>
        <w:adjustRightInd/>
        <w:spacing w:line="240" w:lineRule="auto"/>
        <w:jc w:val="left"/>
        <w:textAlignment w:val="auto"/>
        <w:rPr>
          <w:lang w:val="en-GB"/>
        </w:rPr>
        <w:sectPr w:rsidR="00443964" w:rsidRPr="00B97064" w:rsidSect="00C37DF1">
          <w:pgSz w:w="11905" w:h="16837"/>
          <w:pgMar w:top="1418" w:right="1418" w:bottom="1418" w:left="1418" w:header="709" w:footer="709" w:gutter="0"/>
          <w:cols w:space="708"/>
          <w:noEndnote/>
          <w:titlePg/>
          <w:docGrid w:linePitch="326"/>
        </w:sectPr>
      </w:pPr>
    </w:p>
    <w:p w:rsidR="00C37DF1" w:rsidRPr="00B97064" w:rsidRDefault="00443964" w:rsidP="00C37DF1">
      <w:pPr>
        <w:rPr>
          <w:lang w:val="en-GB"/>
        </w:rPr>
      </w:pPr>
      <w:r w:rsidRPr="00B97064">
        <w:rPr>
          <w:noProof/>
          <w:lang w:val="en-US" w:eastAsia="en-US"/>
        </w:rPr>
        <w:lastRenderedPageBreak/>
        <w:drawing>
          <wp:inline distT="0" distB="0" distL="0" distR="0">
            <wp:extent cx="2581275" cy="12096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581275" cy="1209675"/>
                    </a:xfrm>
                    <a:prstGeom prst="rect">
                      <a:avLst/>
                    </a:prstGeom>
                  </pic:spPr>
                </pic:pic>
              </a:graphicData>
            </a:graphic>
          </wp:inline>
        </w:drawing>
      </w:r>
    </w:p>
    <w:p w:rsidR="00C37DF1" w:rsidRPr="00B97064" w:rsidRDefault="00C37DF1" w:rsidP="00C37DF1">
      <w:pPr>
        <w:pStyle w:val="Caption"/>
        <w:rPr>
          <w:lang w:val="en-GB"/>
        </w:rPr>
      </w:pPr>
      <w:bookmarkStart w:id="113" w:name="_Toc349585549"/>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16</w:t>
      </w:r>
      <w:r w:rsidR="00E80C96" w:rsidRPr="00B97064">
        <w:rPr>
          <w:lang w:val="en-GB"/>
        </w:rPr>
        <w:fldChar w:fldCharType="end"/>
      </w:r>
      <w:r w:rsidRPr="00B97064">
        <w:rPr>
          <w:lang w:val="en-GB"/>
        </w:rPr>
        <w:t>: Second listing</w:t>
      </w:r>
      <w:bookmarkEnd w:id="113"/>
    </w:p>
    <w:p w:rsidR="00C37DF1" w:rsidRPr="00B97064" w:rsidRDefault="00443964" w:rsidP="00C37DF1">
      <w:pPr>
        <w:rPr>
          <w:lang w:val="en-GB"/>
        </w:rPr>
      </w:pPr>
      <w:r w:rsidRPr="00B97064">
        <w:rPr>
          <w:noProof/>
          <w:lang w:val="en-US" w:eastAsia="en-US"/>
        </w:rPr>
        <w:lastRenderedPageBreak/>
        <w:drawing>
          <wp:inline distT="0" distB="0" distL="0" distR="0">
            <wp:extent cx="2581275" cy="12096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581275" cy="1209675"/>
                    </a:xfrm>
                    <a:prstGeom prst="rect">
                      <a:avLst/>
                    </a:prstGeom>
                  </pic:spPr>
                </pic:pic>
              </a:graphicData>
            </a:graphic>
          </wp:inline>
        </w:drawing>
      </w:r>
    </w:p>
    <w:p w:rsidR="00C37DF1" w:rsidRPr="00B97064" w:rsidRDefault="00C37DF1" w:rsidP="00C37DF1">
      <w:pPr>
        <w:pStyle w:val="Caption"/>
        <w:rPr>
          <w:lang w:val="en-GB"/>
        </w:rPr>
      </w:pPr>
      <w:bookmarkStart w:id="114" w:name="_Toc349585550"/>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17</w:t>
      </w:r>
      <w:r w:rsidR="00E80C96" w:rsidRPr="00B97064">
        <w:rPr>
          <w:lang w:val="en-GB"/>
        </w:rPr>
        <w:fldChar w:fldCharType="end"/>
      </w:r>
      <w:r w:rsidRPr="00B97064">
        <w:rPr>
          <w:lang w:val="en-GB"/>
        </w:rPr>
        <w:t>: Auditor type</w:t>
      </w:r>
      <w:bookmarkEnd w:id="114"/>
    </w:p>
    <w:p w:rsidR="00C37DF1" w:rsidRPr="00B97064" w:rsidRDefault="00C37DF1" w:rsidP="00C37DF1">
      <w:pPr>
        <w:widowControl/>
        <w:adjustRightInd/>
        <w:spacing w:line="240" w:lineRule="auto"/>
        <w:jc w:val="left"/>
        <w:textAlignment w:val="auto"/>
        <w:rPr>
          <w:lang w:val="en-GB"/>
        </w:rPr>
      </w:pPr>
    </w:p>
    <w:p w:rsidR="00C37DF1" w:rsidRPr="00B97064" w:rsidRDefault="00C37DF1" w:rsidP="00413652">
      <w:pPr>
        <w:rPr>
          <w:lang w:val="en-GB"/>
        </w:rPr>
        <w:sectPr w:rsidR="00C37DF1" w:rsidRPr="00B97064" w:rsidSect="00C37DF1">
          <w:type w:val="continuous"/>
          <w:pgSz w:w="11905" w:h="16837"/>
          <w:pgMar w:top="1418" w:right="1418" w:bottom="1418" w:left="1418" w:header="709" w:footer="709" w:gutter="0"/>
          <w:cols w:num="2" w:space="708"/>
          <w:noEndnote/>
          <w:titlePg/>
          <w:docGrid w:linePitch="326"/>
        </w:sectPr>
      </w:pPr>
    </w:p>
    <w:p w:rsidR="004C4A8A" w:rsidRPr="00B97064" w:rsidRDefault="004C4A8A" w:rsidP="00413652">
      <w:pPr>
        <w:rPr>
          <w:lang w:val="en-GB"/>
        </w:rPr>
      </w:pPr>
      <w:r w:rsidRPr="00B97064">
        <w:rPr>
          <w:lang w:val="en-GB"/>
        </w:rPr>
        <w:lastRenderedPageBreak/>
        <w:t>For the year 2003, o</w:t>
      </w:r>
      <w:r w:rsidR="00413652" w:rsidRPr="00B97064">
        <w:rPr>
          <w:lang w:val="en-GB"/>
        </w:rPr>
        <w:t>nly 14 (14</w:t>
      </w:r>
      <w:r w:rsidR="00443964" w:rsidRPr="00B97064">
        <w:rPr>
          <w:lang w:val="en-GB"/>
        </w:rPr>
        <w:t>.3</w:t>
      </w:r>
      <w:r w:rsidR="00413652" w:rsidRPr="00B97064">
        <w:rPr>
          <w:lang w:val="en-GB"/>
        </w:rPr>
        <w:t>%) of the firms have a second listing in the USA, and 89 firms (9</w:t>
      </w:r>
      <w:r w:rsidR="00443964" w:rsidRPr="00B97064">
        <w:rPr>
          <w:lang w:val="en-GB"/>
        </w:rPr>
        <w:t>0.8</w:t>
      </w:r>
      <w:r w:rsidR="00413652" w:rsidRPr="00B97064">
        <w:rPr>
          <w:lang w:val="en-GB"/>
        </w:rPr>
        <w:t xml:space="preserve">%) is audited by one of the </w:t>
      </w:r>
      <w:r w:rsidR="0061221F" w:rsidRPr="00B97064">
        <w:rPr>
          <w:lang w:val="en-GB"/>
        </w:rPr>
        <w:t>b</w:t>
      </w:r>
      <w:r w:rsidR="00413652" w:rsidRPr="00B97064">
        <w:rPr>
          <w:lang w:val="en-GB"/>
        </w:rPr>
        <w:t>ig 4 firms; KPMG serves the highest part of the firms of my sample (28 firms, 28</w:t>
      </w:r>
      <w:r w:rsidR="00443964" w:rsidRPr="00B97064">
        <w:rPr>
          <w:lang w:val="en-GB"/>
        </w:rPr>
        <w:t>.6</w:t>
      </w:r>
      <w:r w:rsidR="00413652" w:rsidRPr="00B97064">
        <w:rPr>
          <w:lang w:val="en-GB"/>
        </w:rPr>
        <w:t>% of the total sample).</w:t>
      </w:r>
      <w:r w:rsidRPr="00B97064">
        <w:rPr>
          <w:lang w:val="en-GB"/>
        </w:rPr>
        <w:t xml:space="preserve"> For the year 2009, only 7 (7.1 %) of the firms have a second listing in the USA, and 83 firms (84.7%) is audited by one of the </w:t>
      </w:r>
      <w:r w:rsidR="0061221F" w:rsidRPr="00B97064">
        <w:rPr>
          <w:lang w:val="en-GB"/>
        </w:rPr>
        <w:t>b</w:t>
      </w:r>
      <w:r w:rsidRPr="00B97064">
        <w:rPr>
          <w:lang w:val="en-GB"/>
        </w:rPr>
        <w:t>ig 4 firms; KPMG again serves the highest part of the firms of my sample (30 firms, 30.6% of the total sample).</w:t>
      </w:r>
    </w:p>
    <w:p w:rsidR="004C4A8A" w:rsidRPr="00B97064" w:rsidRDefault="004C4A8A" w:rsidP="00413652">
      <w:pPr>
        <w:rPr>
          <w:lang w:val="en-GB"/>
        </w:rPr>
      </w:pPr>
    </w:p>
    <w:p w:rsidR="00413652" w:rsidRPr="00B97064" w:rsidRDefault="00413652" w:rsidP="00413652">
      <w:pPr>
        <w:rPr>
          <w:lang w:val="en-GB"/>
        </w:rPr>
      </w:pPr>
      <w:r w:rsidRPr="00B97064">
        <w:rPr>
          <w:lang w:val="en-GB"/>
        </w:rPr>
        <w:t xml:space="preserve">The distribution between the </w:t>
      </w:r>
      <w:r w:rsidR="0061221F" w:rsidRPr="00B97064">
        <w:rPr>
          <w:lang w:val="en-GB"/>
        </w:rPr>
        <w:t>b</w:t>
      </w:r>
      <w:r w:rsidRPr="00B97064">
        <w:rPr>
          <w:lang w:val="en-GB"/>
        </w:rPr>
        <w:t>ig 4 audit firms is shown in the table below:</w:t>
      </w:r>
    </w:p>
    <w:p w:rsidR="00413652" w:rsidRPr="00B97064" w:rsidRDefault="00482A50" w:rsidP="00413652">
      <w:pPr>
        <w:rPr>
          <w:lang w:val="en-GB"/>
        </w:rPr>
      </w:pPr>
      <w:r w:rsidRPr="00B97064">
        <w:rPr>
          <w:noProof/>
          <w:lang w:val="en-US" w:eastAsia="en-US"/>
        </w:rPr>
        <w:drawing>
          <wp:inline distT="0" distB="0" distL="0" distR="0">
            <wp:extent cx="2581275" cy="141922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2581275" cy="1419225"/>
                    </a:xfrm>
                    <a:prstGeom prst="rect">
                      <a:avLst/>
                    </a:prstGeom>
                  </pic:spPr>
                </pic:pic>
              </a:graphicData>
            </a:graphic>
          </wp:inline>
        </w:drawing>
      </w:r>
    </w:p>
    <w:p w:rsidR="00413652" w:rsidRPr="00B97064" w:rsidRDefault="00413652" w:rsidP="00413652">
      <w:pPr>
        <w:pStyle w:val="Caption"/>
        <w:jc w:val="left"/>
        <w:rPr>
          <w:lang w:val="en-GB"/>
        </w:rPr>
      </w:pPr>
      <w:bookmarkStart w:id="115" w:name="_Toc349585551"/>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18</w:t>
      </w:r>
      <w:r w:rsidR="00E80C96" w:rsidRPr="00B97064">
        <w:rPr>
          <w:lang w:val="en-GB"/>
        </w:rPr>
        <w:fldChar w:fldCharType="end"/>
      </w:r>
      <w:r w:rsidRPr="00B97064">
        <w:rPr>
          <w:lang w:val="en-GB"/>
        </w:rPr>
        <w:t xml:space="preserve">: Distribution </w:t>
      </w:r>
      <w:r w:rsidR="0061221F" w:rsidRPr="00B97064">
        <w:rPr>
          <w:lang w:val="en-GB"/>
        </w:rPr>
        <w:t>b</w:t>
      </w:r>
      <w:r w:rsidRPr="00B97064">
        <w:rPr>
          <w:lang w:val="en-GB"/>
        </w:rPr>
        <w:t>ig 4 auditor</w:t>
      </w:r>
      <w:bookmarkEnd w:id="115"/>
    </w:p>
    <w:p w:rsidR="007C7F32" w:rsidRPr="00B97064" w:rsidRDefault="001F76A6" w:rsidP="003D6B9F">
      <w:pPr>
        <w:pStyle w:val="Heading2"/>
        <w:rPr>
          <w:lang w:val="en-GB"/>
        </w:rPr>
      </w:pPr>
      <w:bookmarkStart w:id="116" w:name="_Toc349585509"/>
      <w:r w:rsidRPr="00B97064">
        <w:rPr>
          <w:lang w:val="en-GB"/>
        </w:rPr>
        <w:t>6</w:t>
      </w:r>
      <w:r w:rsidR="007C7F32" w:rsidRPr="00B97064">
        <w:rPr>
          <w:lang w:val="en-GB"/>
        </w:rPr>
        <w:t>.4 Research part I: RPTs, disclosure quality and firm value</w:t>
      </w:r>
      <w:bookmarkEnd w:id="116"/>
    </w:p>
    <w:p w:rsidR="00666D62" w:rsidRPr="00B97064" w:rsidRDefault="007C7F32" w:rsidP="00A85A86">
      <w:pPr>
        <w:rPr>
          <w:lang w:val="en-GB"/>
        </w:rPr>
      </w:pPr>
      <w:r w:rsidRPr="00B97064">
        <w:rPr>
          <w:lang w:val="en-GB"/>
        </w:rPr>
        <w:t>In the first par</w:t>
      </w:r>
      <w:r w:rsidR="00231DB0" w:rsidRPr="00B97064">
        <w:rPr>
          <w:lang w:val="en-GB"/>
        </w:rPr>
        <w:t>t of my research, I investigate</w:t>
      </w:r>
      <w:r w:rsidRPr="00B97064">
        <w:rPr>
          <w:lang w:val="en-GB"/>
        </w:rPr>
        <w:t xml:space="preserve"> whether there is a relation between the amount of RPTs, </w:t>
      </w:r>
      <w:r w:rsidR="00666D62" w:rsidRPr="00B97064">
        <w:rPr>
          <w:lang w:val="en-GB"/>
        </w:rPr>
        <w:t>disclosure level and firm size.</w:t>
      </w:r>
    </w:p>
    <w:p w:rsidR="00666D62" w:rsidRPr="00B97064" w:rsidRDefault="00666D62" w:rsidP="00A85A86">
      <w:pPr>
        <w:rPr>
          <w:lang w:val="en-GB"/>
        </w:rPr>
      </w:pPr>
    </w:p>
    <w:p w:rsidR="00231DB0" w:rsidRPr="00B97064" w:rsidRDefault="00231DB0" w:rsidP="00A85A86">
      <w:pPr>
        <w:rPr>
          <w:lang w:val="en-GB"/>
        </w:rPr>
      </w:pPr>
      <w:r w:rsidRPr="00B97064">
        <w:rPr>
          <w:lang w:val="en-GB"/>
        </w:rPr>
        <w:t>The regression equation is as follows:</w:t>
      </w:r>
    </w:p>
    <w:p w:rsidR="00C1311C" w:rsidRPr="00B97064" w:rsidRDefault="00C1311C" w:rsidP="00A85A86">
      <w:pPr>
        <w:rPr>
          <w:lang w:val="en-GB"/>
        </w:rPr>
      </w:pPr>
    </w:p>
    <w:p w:rsidR="00231DB0" w:rsidRPr="00B97064" w:rsidRDefault="00231DB0" w:rsidP="00231DB0">
      <w:pPr>
        <w:rPr>
          <w:lang w:val="en-GB"/>
        </w:rPr>
      </w:pPr>
      <m:oMathPara>
        <m:oMathParaPr>
          <m:jc m:val="left"/>
        </m:oMathParaPr>
        <m:oMath>
          <m:r>
            <w:rPr>
              <w:rFonts w:ascii="Cambria Math" w:hAnsi="Cambria Math"/>
              <w:lang w:val="en-GB"/>
            </w:rPr>
            <m:t>TQ=</m:t>
          </m:r>
          <m:sSub>
            <m:sSubPr>
              <m:ctrlPr>
                <w:rPr>
                  <w:rFonts w:ascii="Cambria Math" w:hAnsi="Cambria Math"/>
                  <w:i/>
                  <w:lang w:val="en-GB"/>
                </w:rPr>
              </m:ctrlPr>
            </m:sSubPr>
            <m:e>
              <m:r>
                <w:rPr>
                  <w:rFonts w:ascii="Cambria Math" w:hAnsi="Cambria Math"/>
                  <w:lang w:val="en-GB"/>
                </w:rPr>
                <m:t>α</m:t>
              </m:r>
            </m:e>
            <m:sub>
              <m:r>
                <w:rPr>
                  <w:rFonts w:ascii="Cambria Math" w:hAnsi="Cambria Math"/>
                  <w:lang w:val="en-GB"/>
                </w:rPr>
                <m:t>0</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α</m:t>
              </m:r>
            </m:e>
            <m:sub>
              <m:r>
                <w:rPr>
                  <w:rFonts w:ascii="Cambria Math" w:hAnsi="Cambria Math"/>
                  <w:lang w:val="en-GB"/>
                </w:rPr>
                <m:t>1</m:t>
              </m:r>
            </m:sub>
          </m:sSub>
          <m:r>
            <w:rPr>
              <w:rFonts w:ascii="Cambria Math" w:hAnsi="Cambria Math"/>
              <w:lang w:val="en-GB"/>
            </w:rPr>
            <m:t>RPT+</m:t>
          </m:r>
          <m:sSub>
            <m:sSubPr>
              <m:ctrlPr>
                <w:rPr>
                  <w:rFonts w:ascii="Cambria Math" w:hAnsi="Cambria Math"/>
                  <w:i/>
                  <w:lang w:val="en-GB"/>
                </w:rPr>
              </m:ctrlPr>
            </m:sSubPr>
            <m:e>
              <m:r>
                <w:rPr>
                  <w:rFonts w:ascii="Cambria Math" w:hAnsi="Cambria Math"/>
                  <w:lang w:val="en-GB"/>
                </w:rPr>
                <m:t>α</m:t>
              </m:r>
            </m:e>
            <m:sub>
              <m:r>
                <w:rPr>
                  <w:rFonts w:ascii="Cambria Math" w:hAnsi="Cambria Math"/>
                  <w:lang w:val="en-GB"/>
                </w:rPr>
                <m:t>2</m:t>
              </m:r>
            </m:sub>
          </m:sSub>
          <m:r>
            <w:rPr>
              <w:rFonts w:ascii="Cambria Math" w:hAnsi="Cambria Math"/>
              <w:lang w:val="en-GB"/>
            </w:rPr>
            <m:t>DL+</m:t>
          </m:r>
          <m:sSub>
            <m:sSubPr>
              <m:ctrlPr>
                <w:rPr>
                  <w:rFonts w:ascii="Cambria Math" w:hAnsi="Cambria Math"/>
                  <w:i/>
                  <w:lang w:val="en-GB"/>
                </w:rPr>
              </m:ctrlPr>
            </m:sSubPr>
            <m:e>
              <m:r>
                <w:rPr>
                  <w:rFonts w:ascii="Cambria Math" w:hAnsi="Cambria Math"/>
                  <w:lang w:val="en-GB"/>
                </w:rPr>
                <m:t>α</m:t>
              </m:r>
            </m:e>
            <m:sub>
              <m:r>
                <w:rPr>
                  <w:rFonts w:ascii="Cambria Math" w:hAnsi="Cambria Math"/>
                  <w:lang w:val="en-GB"/>
                </w:rPr>
                <m:t>3</m:t>
              </m:r>
            </m:sub>
          </m:sSub>
          <m:sSub>
            <m:sSubPr>
              <m:ctrlPr>
                <w:rPr>
                  <w:rFonts w:ascii="Cambria Math" w:hAnsi="Cambria Math"/>
                  <w:i/>
                  <w:lang w:val="en-GB"/>
                </w:rPr>
              </m:ctrlPr>
            </m:sSubPr>
            <m:e>
              <m:r>
                <w:rPr>
                  <w:rFonts w:ascii="Cambria Math" w:hAnsi="Cambria Math"/>
                  <w:lang w:val="en-GB"/>
                </w:rPr>
                <m:t>CV</m:t>
              </m:r>
            </m:e>
            <m:sub>
              <m:r>
                <w:rPr>
                  <w:rFonts w:ascii="Cambria Math" w:hAnsi="Cambria Math"/>
                  <w:lang w:val="en-GB"/>
                </w:rPr>
                <m:t>1</m:t>
              </m:r>
            </m:sub>
          </m:sSub>
          <m:r>
            <w:rPr>
              <w:rFonts w:ascii="Cambria Math" w:hAnsi="Cambria Math"/>
              <w:lang w:val="en-GB"/>
            </w:rPr>
            <m:t>+ε</m:t>
          </m:r>
        </m:oMath>
      </m:oMathPara>
    </w:p>
    <w:p w:rsidR="007C7F32" w:rsidRPr="00B97064" w:rsidRDefault="007C7F32" w:rsidP="00A85A86">
      <w:pPr>
        <w:rPr>
          <w:lang w:val="en-GB"/>
        </w:rPr>
      </w:pPr>
      <w:r w:rsidRPr="00B97064">
        <w:rPr>
          <w:lang w:val="en-GB"/>
        </w:rPr>
        <w:lastRenderedPageBreak/>
        <w:t>The results of the multiple regressions are shown in this section.</w:t>
      </w:r>
    </w:p>
    <w:p w:rsidR="007C7F32" w:rsidRPr="00B97064" w:rsidRDefault="001F76A6" w:rsidP="00C01C75">
      <w:pPr>
        <w:pStyle w:val="Heading3"/>
        <w:rPr>
          <w:lang w:val="en-GB"/>
        </w:rPr>
      </w:pPr>
      <w:bookmarkStart w:id="117" w:name="_Ref345257554"/>
      <w:bookmarkStart w:id="118" w:name="_Toc349585510"/>
      <w:r w:rsidRPr="00B97064">
        <w:rPr>
          <w:lang w:val="en-GB"/>
        </w:rPr>
        <w:t>6</w:t>
      </w:r>
      <w:r w:rsidR="007C7F32" w:rsidRPr="00B97064">
        <w:rPr>
          <w:lang w:val="en-GB"/>
        </w:rPr>
        <w:t>.4.1 Research part I 2003</w:t>
      </w:r>
      <w:bookmarkEnd w:id="117"/>
      <w:bookmarkEnd w:id="118"/>
    </w:p>
    <w:p w:rsidR="007C7F32" w:rsidRPr="00B97064" w:rsidRDefault="007C7F32" w:rsidP="00C01C75">
      <w:pPr>
        <w:rPr>
          <w:lang w:val="en-GB"/>
        </w:rPr>
      </w:pPr>
      <w:r w:rsidRPr="00B97064">
        <w:rPr>
          <w:lang w:val="en-GB"/>
        </w:rPr>
        <w:t xml:space="preserve">The results of the multiple regression </w:t>
      </w:r>
      <w:r w:rsidR="002D2C5A" w:rsidRPr="00B97064">
        <w:rPr>
          <w:lang w:val="en-GB"/>
        </w:rPr>
        <w:t xml:space="preserve">of part I of my research </w:t>
      </w:r>
      <w:r w:rsidRPr="00B97064">
        <w:rPr>
          <w:lang w:val="en-GB"/>
        </w:rPr>
        <w:t>for the year 2003 are shown in the table below:</w:t>
      </w:r>
    </w:p>
    <w:p w:rsidR="007C7F32" w:rsidRPr="00B97064" w:rsidRDefault="007C58A9" w:rsidP="00C01C75">
      <w:pPr>
        <w:rPr>
          <w:lang w:val="en-GB"/>
        </w:rPr>
      </w:pPr>
      <w:r w:rsidRPr="00B97064">
        <w:rPr>
          <w:noProof/>
          <w:lang w:val="en-US" w:eastAsia="en-US"/>
        </w:rPr>
        <w:drawing>
          <wp:inline distT="0" distB="0" distL="0" distR="0">
            <wp:extent cx="5788283" cy="2133600"/>
            <wp:effectExtent l="19050" t="0" r="2917"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a:srcRect l="8969" t="6386" b="7561"/>
                    <a:stretch>
                      <a:fillRect/>
                    </a:stretch>
                  </pic:blipFill>
                  <pic:spPr bwMode="auto">
                    <a:xfrm>
                      <a:off x="0" y="0"/>
                      <a:ext cx="5788283" cy="2133600"/>
                    </a:xfrm>
                    <a:prstGeom prst="rect">
                      <a:avLst/>
                    </a:prstGeom>
                    <a:noFill/>
                    <a:ln w="9525">
                      <a:noFill/>
                      <a:miter lim="800000"/>
                      <a:headEnd/>
                      <a:tailEnd/>
                    </a:ln>
                  </pic:spPr>
                </pic:pic>
              </a:graphicData>
            </a:graphic>
          </wp:inline>
        </w:drawing>
      </w:r>
    </w:p>
    <w:p w:rsidR="007C7F32" w:rsidRPr="00B97064" w:rsidRDefault="007C7F32" w:rsidP="002C3212">
      <w:pPr>
        <w:pStyle w:val="Caption"/>
        <w:rPr>
          <w:lang w:val="en-GB"/>
        </w:rPr>
      </w:pPr>
      <w:bookmarkStart w:id="119" w:name="_Ref349485899"/>
      <w:bookmarkStart w:id="120" w:name="_Toc349585552"/>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19</w:t>
      </w:r>
      <w:r w:rsidR="00E80C96" w:rsidRPr="00B97064">
        <w:rPr>
          <w:lang w:val="en-GB"/>
        </w:rPr>
        <w:fldChar w:fldCharType="end"/>
      </w:r>
      <w:r w:rsidRPr="00B97064">
        <w:rPr>
          <w:lang w:val="en-GB"/>
        </w:rPr>
        <w:t>: Multiple regression Part I output 2003</w:t>
      </w:r>
      <w:bookmarkEnd w:id="119"/>
      <w:bookmarkEnd w:id="120"/>
    </w:p>
    <w:p w:rsidR="007C7F32" w:rsidRPr="00B97064" w:rsidRDefault="007C7F32" w:rsidP="00C01C75">
      <w:pPr>
        <w:rPr>
          <w:lang w:val="en-GB"/>
        </w:rPr>
      </w:pPr>
    </w:p>
    <w:p w:rsidR="007C7F32" w:rsidRPr="00B97064" w:rsidRDefault="007C7F32" w:rsidP="00C01C75">
      <w:pPr>
        <w:rPr>
          <w:lang w:val="en-GB"/>
        </w:rPr>
      </w:pPr>
      <w:r w:rsidRPr="00B97064">
        <w:rPr>
          <w:lang w:val="en-GB"/>
        </w:rPr>
        <w:t>As shown in the table above, for the year 2003, not any of the independent variables has a significant impact on firm value, except the control variable (TQ</w:t>
      </w:r>
      <w:r w:rsidRPr="00B97064">
        <w:rPr>
          <w:vertAlign w:val="subscript"/>
          <w:lang w:val="en-GB"/>
        </w:rPr>
        <w:t xml:space="preserve">t-1, </w:t>
      </w:r>
      <w:r w:rsidRPr="00B97064">
        <w:rPr>
          <w:lang w:val="en-GB"/>
        </w:rPr>
        <w:t>firm value of the previous year); all other P-value</w:t>
      </w:r>
      <w:r w:rsidR="00482A50" w:rsidRPr="00B97064">
        <w:rPr>
          <w:lang w:val="en-GB"/>
        </w:rPr>
        <w:t>s</w:t>
      </w:r>
      <w:r w:rsidRPr="00B97064">
        <w:rPr>
          <w:lang w:val="en-GB"/>
        </w:rPr>
        <w:t xml:space="preserve"> are greater than 0.05. Besides this, the coefficient of disclosure level (DL) is negative, which means that disclosure level has a negative effect on firm value; this is the reverse of the expected effect. However, this effect is not significant. Also remarkable is the coefficient of the amount of RPTs (RPTs); this coefficient has a positive value, which means that the amount of RPTs has a positive effect on firm value. Again, this effect was the reverse of the expected effect</w:t>
      </w:r>
      <w:r w:rsidR="00482A50" w:rsidRPr="00B97064">
        <w:rPr>
          <w:lang w:val="en-GB"/>
        </w:rPr>
        <w:t xml:space="preserve"> (but again, not significant)</w:t>
      </w:r>
      <w:r w:rsidRPr="00B97064">
        <w:rPr>
          <w:lang w:val="en-GB"/>
        </w:rPr>
        <w:t>.</w:t>
      </w:r>
    </w:p>
    <w:p w:rsidR="007C7F32" w:rsidRPr="00B97064" w:rsidRDefault="007C7F32" w:rsidP="00C01C75">
      <w:pPr>
        <w:rPr>
          <w:lang w:val="en-GB"/>
        </w:rPr>
      </w:pPr>
    </w:p>
    <w:p w:rsidR="007C7F32" w:rsidRPr="00B97064" w:rsidRDefault="007C7F32" w:rsidP="009A180A">
      <w:pPr>
        <w:rPr>
          <w:lang w:val="en-GB"/>
        </w:rPr>
      </w:pPr>
      <w:r w:rsidRPr="00B97064">
        <w:rPr>
          <w:lang w:val="en-GB"/>
        </w:rPr>
        <w:t xml:space="preserve">Because not any of the variables has a significant effect on firm value, none of the hypotheses 1 and 2, as mentioned in section </w:t>
      </w:r>
      <w:fldSimple w:instr=" REF _Ref341713291 \h  \* MERGEFORMAT ">
        <w:r w:rsidR="004C718C" w:rsidRPr="00B97064">
          <w:rPr>
            <w:lang w:val="en-GB"/>
          </w:rPr>
          <w:t>4.8 Hypotheses</w:t>
        </w:r>
      </w:fldSimple>
      <w:r w:rsidRPr="00B97064">
        <w:rPr>
          <w:lang w:val="en-GB"/>
        </w:rPr>
        <w:t xml:space="preserve"> could be accepted (the null hypotheses could not be rejected).</w:t>
      </w:r>
    </w:p>
    <w:p w:rsidR="00F976EA" w:rsidRPr="00B97064" w:rsidRDefault="00F976EA" w:rsidP="009A180A">
      <w:pPr>
        <w:rPr>
          <w:lang w:val="en-GB"/>
        </w:rPr>
      </w:pPr>
    </w:p>
    <w:p w:rsidR="00284968" w:rsidRPr="00B97064" w:rsidRDefault="00284968" w:rsidP="009A180A">
      <w:pPr>
        <w:rPr>
          <w:rFonts w:cs="Arial"/>
          <w:szCs w:val="22"/>
          <w:lang w:val="en-GB"/>
        </w:rPr>
      </w:pPr>
      <w:r w:rsidRPr="00B97064">
        <w:rPr>
          <w:lang w:val="en-GB"/>
        </w:rPr>
        <w:t>The conclusion that there is no significant negative relation between the amount of RPTs and firm value is</w:t>
      </w:r>
      <w:r w:rsidR="00F976EA" w:rsidRPr="00B97064">
        <w:rPr>
          <w:lang w:val="en-GB"/>
        </w:rPr>
        <w:t xml:space="preserve"> not in line with the results of the studies of </w:t>
      </w:r>
      <w:proofErr w:type="spellStart"/>
      <w:r w:rsidR="00F976EA" w:rsidRPr="00B97064">
        <w:rPr>
          <w:lang w:val="en-GB"/>
        </w:rPr>
        <w:t>Nekhili</w:t>
      </w:r>
      <w:proofErr w:type="spellEnd"/>
      <w:r w:rsidR="007F674E">
        <w:rPr>
          <w:lang w:val="en-GB"/>
        </w:rPr>
        <w:t xml:space="preserve"> and </w:t>
      </w:r>
      <w:proofErr w:type="spellStart"/>
      <w:r w:rsidR="00F976EA" w:rsidRPr="00B97064">
        <w:rPr>
          <w:lang w:val="en-GB"/>
        </w:rPr>
        <w:t>Cherif</w:t>
      </w:r>
      <w:proofErr w:type="spellEnd"/>
      <w:r w:rsidR="00F976EA" w:rsidRPr="00B97064">
        <w:rPr>
          <w:lang w:val="en-GB"/>
        </w:rPr>
        <w:t xml:space="preserve"> (2011), </w:t>
      </w:r>
      <w:r w:rsidR="00F976EA" w:rsidRPr="00B97064">
        <w:rPr>
          <w:rFonts w:cs="Arial"/>
          <w:szCs w:val="22"/>
          <w:lang w:val="en-GB"/>
        </w:rPr>
        <w:t>Cheung et al. (2006) and Ko</w:t>
      </w:r>
      <w:r w:rsidR="00370E41">
        <w:rPr>
          <w:rFonts w:cs="Arial"/>
          <w:szCs w:val="22"/>
          <w:lang w:val="en-GB"/>
        </w:rPr>
        <w:t>h</w:t>
      </w:r>
      <w:r w:rsidR="00F976EA" w:rsidRPr="00B97064">
        <w:rPr>
          <w:rFonts w:cs="Arial"/>
          <w:szCs w:val="22"/>
          <w:lang w:val="en-GB"/>
        </w:rPr>
        <w:t>lbeck and Mayhew (2010) They all proved a significant negative relation between RPTs (measured by the amount or number of RPTs) and firm value.</w:t>
      </w:r>
    </w:p>
    <w:p w:rsidR="007C7F32" w:rsidRPr="00B97064" w:rsidRDefault="001F76A6" w:rsidP="00F3398E">
      <w:pPr>
        <w:pStyle w:val="Heading3"/>
        <w:rPr>
          <w:lang w:val="en-GB"/>
        </w:rPr>
      </w:pPr>
      <w:bookmarkStart w:id="121" w:name="_Ref345257598"/>
      <w:bookmarkStart w:id="122" w:name="_Toc349585511"/>
      <w:r w:rsidRPr="00B97064">
        <w:rPr>
          <w:lang w:val="en-GB"/>
        </w:rPr>
        <w:t>6</w:t>
      </w:r>
      <w:r w:rsidR="007C7F32" w:rsidRPr="00B97064">
        <w:rPr>
          <w:lang w:val="en-GB"/>
        </w:rPr>
        <w:t>.4.2 Research part I 2009</w:t>
      </w:r>
      <w:bookmarkEnd w:id="121"/>
      <w:bookmarkEnd w:id="122"/>
    </w:p>
    <w:p w:rsidR="007C7F32" w:rsidRPr="00B97064" w:rsidRDefault="007C7F32" w:rsidP="009A180A">
      <w:pPr>
        <w:rPr>
          <w:lang w:val="en-GB"/>
        </w:rPr>
      </w:pPr>
      <w:r w:rsidRPr="00B97064">
        <w:rPr>
          <w:lang w:val="en-GB"/>
        </w:rPr>
        <w:t>The results of the multiple regression of part I of my research for the year 2009 are shown in the table below:</w:t>
      </w:r>
    </w:p>
    <w:p w:rsidR="007C7F32" w:rsidRPr="00B97064" w:rsidRDefault="007C58A9" w:rsidP="009A180A">
      <w:pPr>
        <w:rPr>
          <w:lang w:val="en-GB"/>
        </w:rPr>
      </w:pPr>
      <w:r w:rsidRPr="00B97064">
        <w:rPr>
          <w:noProof/>
          <w:lang w:val="en-US" w:eastAsia="en-US"/>
        </w:rPr>
        <w:lastRenderedPageBreak/>
        <w:drawing>
          <wp:inline distT="0" distB="0" distL="0" distR="0">
            <wp:extent cx="5314950" cy="2133600"/>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a:srcRect l="8334" t="6952" r="7375" b="8327"/>
                    <a:stretch>
                      <a:fillRect/>
                    </a:stretch>
                  </pic:blipFill>
                  <pic:spPr bwMode="auto">
                    <a:xfrm>
                      <a:off x="0" y="0"/>
                      <a:ext cx="5314950" cy="2133600"/>
                    </a:xfrm>
                    <a:prstGeom prst="rect">
                      <a:avLst/>
                    </a:prstGeom>
                    <a:noFill/>
                    <a:ln w="9525">
                      <a:noFill/>
                      <a:miter lim="800000"/>
                      <a:headEnd/>
                      <a:tailEnd/>
                    </a:ln>
                  </pic:spPr>
                </pic:pic>
              </a:graphicData>
            </a:graphic>
          </wp:inline>
        </w:drawing>
      </w:r>
    </w:p>
    <w:p w:rsidR="007C7F32" w:rsidRPr="00B97064" w:rsidRDefault="007C7F32" w:rsidP="004C0527">
      <w:pPr>
        <w:pStyle w:val="Caption"/>
        <w:rPr>
          <w:lang w:val="en-GB"/>
        </w:rPr>
      </w:pPr>
      <w:bookmarkStart w:id="123" w:name="_Ref349485900"/>
      <w:bookmarkStart w:id="124" w:name="_Toc349585553"/>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20</w:t>
      </w:r>
      <w:r w:rsidR="00E80C96" w:rsidRPr="00B97064">
        <w:rPr>
          <w:lang w:val="en-GB"/>
        </w:rPr>
        <w:fldChar w:fldCharType="end"/>
      </w:r>
      <w:r w:rsidRPr="00B97064">
        <w:rPr>
          <w:lang w:val="en-GB"/>
        </w:rPr>
        <w:t>: Multiple regression Part I output 2009</w:t>
      </w:r>
      <w:bookmarkEnd w:id="123"/>
      <w:bookmarkEnd w:id="124"/>
    </w:p>
    <w:p w:rsidR="007C7F32" w:rsidRPr="00B97064" w:rsidRDefault="007C7F32" w:rsidP="009A180A">
      <w:pPr>
        <w:rPr>
          <w:lang w:val="en-GB"/>
        </w:rPr>
      </w:pPr>
    </w:p>
    <w:p w:rsidR="007C7F32" w:rsidRPr="00B97064" w:rsidRDefault="007C7F32" w:rsidP="00EB6A21">
      <w:pPr>
        <w:rPr>
          <w:lang w:val="en-GB"/>
        </w:rPr>
      </w:pPr>
      <w:r w:rsidRPr="00B97064">
        <w:rPr>
          <w:lang w:val="en-GB"/>
        </w:rPr>
        <w:t>As shown in the table above, for the year 2009, again not any of the independent variables has a significant impact on firm value, except the control variable (TQ</w:t>
      </w:r>
      <w:r w:rsidRPr="00B97064">
        <w:rPr>
          <w:vertAlign w:val="subscript"/>
          <w:lang w:val="en-GB"/>
        </w:rPr>
        <w:t xml:space="preserve">t-1, </w:t>
      </w:r>
      <w:r w:rsidRPr="00B97064">
        <w:rPr>
          <w:lang w:val="en-GB"/>
        </w:rPr>
        <w:t>firm value of the previous year); all other P-values are greater than 0.05. For the year 2009, the coefficient of disclosure level (DL) is positive, which is, in contrast with the year 2003, in line with the expectations. The coefficient of the amount RPTs is positive, which is again not in line with my expectations.</w:t>
      </w:r>
    </w:p>
    <w:p w:rsidR="002D2C5A" w:rsidRPr="00B97064" w:rsidRDefault="002D2C5A" w:rsidP="00EB6A21">
      <w:pPr>
        <w:rPr>
          <w:lang w:val="en-GB"/>
        </w:rPr>
      </w:pPr>
    </w:p>
    <w:p w:rsidR="007C7F32" w:rsidRPr="00B97064" w:rsidRDefault="007C7F32" w:rsidP="00EB6A21">
      <w:pPr>
        <w:rPr>
          <w:lang w:val="en-GB"/>
        </w:rPr>
      </w:pPr>
      <w:r w:rsidRPr="00B97064">
        <w:rPr>
          <w:lang w:val="en-GB"/>
        </w:rPr>
        <w:t xml:space="preserve">Because not any of the variables has a significant effect on firm value, none of the hypotheses 1 and 2, as mentioned in section </w:t>
      </w:r>
      <w:fldSimple w:instr=" REF _Ref341713291 \h  \* MERGEFORMAT ">
        <w:r w:rsidR="004C718C" w:rsidRPr="00B97064">
          <w:rPr>
            <w:lang w:val="en-GB"/>
          </w:rPr>
          <w:t>4.8 Hypotheses</w:t>
        </w:r>
      </w:fldSimple>
      <w:r w:rsidRPr="00B97064">
        <w:rPr>
          <w:lang w:val="en-GB"/>
        </w:rPr>
        <w:t xml:space="preserve"> could be accepted (the null hypotheses could not be rejected).</w:t>
      </w:r>
    </w:p>
    <w:p w:rsidR="00284968" w:rsidRPr="00B97064" w:rsidRDefault="00284968" w:rsidP="00EB6A21">
      <w:pPr>
        <w:rPr>
          <w:lang w:val="en-GB"/>
        </w:rPr>
      </w:pPr>
    </w:p>
    <w:p w:rsidR="00284968" w:rsidRPr="00B97064" w:rsidRDefault="00284968" w:rsidP="00284968">
      <w:pPr>
        <w:rPr>
          <w:rFonts w:cs="Arial"/>
          <w:szCs w:val="22"/>
          <w:lang w:val="en-GB"/>
        </w:rPr>
      </w:pPr>
      <w:r w:rsidRPr="00B97064">
        <w:rPr>
          <w:lang w:val="en-GB"/>
        </w:rPr>
        <w:t xml:space="preserve">Again, the conclusion that there is no significant negative relation between the amount of RPTs and firm value is not in line with the results of the studies of </w:t>
      </w:r>
      <w:proofErr w:type="spellStart"/>
      <w:r w:rsidRPr="00B97064">
        <w:rPr>
          <w:lang w:val="en-GB"/>
        </w:rPr>
        <w:t>Nekhili</w:t>
      </w:r>
      <w:proofErr w:type="spellEnd"/>
      <w:r w:rsidR="007F674E">
        <w:rPr>
          <w:lang w:val="en-GB"/>
        </w:rPr>
        <w:t xml:space="preserve"> and </w:t>
      </w:r>
      <w:proofErr w:type="spellStart"/>
      <w:r w:rsidRPr="00B97064">
        <w:rPr>
          <w:lang w:val="en-GB"/>
        </w:rPr>
        <w:t>Cherif</w:t>
      </w:r>
      <w:proofErr w:type="spellEnd"/>
      <w:r w:rsidRPr="00B97064">
        <w:rPr>
          <w:lang w:val="en-GB"/>
        </w:rPr>
        <w:t xml:space="preserve"> (2011), </w:t>
      </w:r>
      <w:r w:rsidRPr="00B97064">
        <w:rPr>
          <w:rFonts w:cs="Arial"/>
          <w:szCs w:val="22"/>
          <w:lang w:val="en-GB"/>
        </w:rPr>
        <w:t>Cheung et al. (2006) and Ko</w:t>
      </w:r>
      <w:r w:rsidR="00370E41">
        <w:rPr>
          <w:rFonts w:cs="Arial"/>
          <w:szCs w:val="22"/>
          <w:lang w:val="en-GB"/>
        </w:rPr>
        <w:t>h</w:t>
      </w:r>
      <w:r w:rsidRPr="00B97064">
        <w:rPr>
          <w:rFonts w:cs="Arial"/>
          <w:szCs w:val="22"/>
          <w:lang w:val="en-GB"/>
        </w:rPr>
        <w:t>lbeck and Mayhew (2010) They all proved a significant negative relation between RPTs (measured by the amount or number of RPTs) and firm value.</w:t>
      </w:r>
    </w:p>
    <w:p w:rsidR="007C7F32" w:rsidRPr="00B97064" w:rsidRDefault="001F76A6" w:rsidP="00044867">
      <w:pPr>
        <w:pStyle w:val="Heading2"/>
        <w:rPr>
          <w:lang w:val="en-GB"/>
        </w:rPr>
      </w:pPr>
      <w:bookmarkStart w:id="125" w:name="_Toc349585512"/>
      <w:r w:rsidRPr="00B97064">
        <w:rPr>
          <w:lang w:val="en-GB"/>
        </w:rPr>
        <w:t>6</w:t>
      </w:r>
      <w:r w:rsidR="007C7F32" w:rsidRPr="00B97064">
        <w:rPr>
          <w:lang w:val="en-GB"/>
        </w:rPr>
        <w:t>.5 Research part II: CGOCs and RPTs</w:t>
      </w:r>
      <w:bookmarkEnd w:id="125"/>
    </w:p>
    <w:p w:rsidR="00C1311C" w:rsidRPr="00B97064" w:rsidRDefault="007C7F32" w:rsidP="004C0527">
      <w:pPr>
        <w:rPr>
          <w:lang w:val="en-GB"/>
        </w:rPr>
      </w:pPr>
      <w:r w:rsidRPr="00B97064">
        <w:rPr>
          <w:lang w:val="en-GB"/>
        </w:rPr>
        <w:t>In the second part of my research, I investigated whether there is a relation between some corporate governance</w:t>
      </w:r>
      <w:r w:rsidR="0015661B" w:rsidRPr="00B97064">
        <w:rPr>
          <w:lang w:val="en-GB"/>
        </w:rPr>
        <w:t>-</w:t>
      </w:r>
      <w:r w:rsidRPr="00B97064">
        <w:rPr>
          <w:lang w:val="en-GB"/>
        </w:rPr>
        <w:t xml:space="preserve"> and ownership characteristics and the amount of RPTs. </w:t>
      </w:r>
      <w:r w:rsidR="00C1311C" w:rsidRPr="00B97064">
        <w:rPr>
          <w:lang w:val="en-GB"/>
        </w:rPr>
        <w:t>The regression equation is as follows:</w:t>
      </w:r>
    </w:p>
    <w:p w:rsidR="00C1311C" w:rsidRPr="00B97064" w:rsidRDefault="00C1311C" w:rsidP="004C0527">
      <w:pPr>
        <w:rPr>
          <w:lang w:val="en-GB"/>
        </w:rPr>
      </w:pPr>
    </w:p>
    <w:p w:rsidR="00C1311C" w:rsidRPr="00B97064" w:rsidRDefault="00C1311C" w:rsidP="00C1311C">
      <w:pPr>
        <w:rPr>
          <w:rFonts w:cs="Arial"/>
          <w:szCs w:val="22"/>
          <w:lang w:val="en-GB"/>
        </w:rPr>
      </w:pPr>
      <m:oMathPara>
        <m:oMath>
          <m:r>
            <w:rPr>
              <w:rFonts w:ascii="Cambria Math" w:hAnsi="Cambria Math"/>
              <w:lang w:val="en-GB"/>
            </w:rPr>
            <m:t>RPT=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0</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1</m:t>
              </m:r>
            </m:sub>
          </m:sSub>
          <m:r>
            <w:rPr>
              <w:rFonts w:ascii="Cambria Math" w:hAnsi="Cambria Math"/>
              <w:lang w:val="en-GB"/>
            </w:rPr>
            <m:t>SEB+</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2</m:t>
              </m:r>
            </m:sub>
          </m:sSub>
          <m:r>
            <w:rPr>
              <w:rFonts w:ascii="Cambria Math" w:hAnsi="Cambria Math"/>
              <w:lang w:val="en-GB"/>
            </w:rPr>
            <m:t>SSB+</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3</m:t>
              </m:r>
            </m:sub>
          </m:sSub>
          <m:r>
            <w:rPr>
              <w:rFonts w:ascii="Cambria Math" w:hAnsi="Cambria Math"/>
              <w:lang w:val="en-GB"/>
            </w:rPr>
            <m:t>RATSB+</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4</m:t>
              </m:r>
            </m:sub>
          </m:sSub>
          <m:r>
            <w:rPr>
              <w:rFonts w:ascii="Cambria Math" w:hAnsi="Cambria Math"/>
              <w:lang w:val="en-GB"/>
            </w:rPr>
            <m:t>MAIN+</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5</m:t>
              </m:r>
            </m:sub>
          </m:sSub>
          <m:r>
            <w:rPr>
              <w:rFonts w:ascii="Cambria Math" w:hAnsi="Cambria Math"/>
              <w:lang w:val="en-GB"/>
            </w:rPr>
            <m:t>LEVEL+</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6</m:t>
              </m:r>
            </m:sub>
          </m:sSub>
          <m:r>
            <w:rPr>
              <w:rFonts w:ascii="Cambria Math" w:hAnsi="Cambria Math"/>
              <w:lang w:val="en-GB"/>
            </w:rPr>
            <m:t>USA+</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7</m:t>
              </m:r>
            </m:sub>
          </m:sSub>
          <m:r>
            <w:rPr>
              <w:rFonts w:ascii="Cambria Math" w:hAnsi="Cambria Math"/>
              <w:lang w:val="en-GB"/>
            </w:rPr>
            <m:t>BIG+</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8</m:t>
              </m:r>
            </m:sub>
          </m:sSub>
          <m:sSub>
            <m:sSubPr>
              <m:ctrlPr>
                <w:rPr>
                  <w:rFonts w:ascii="Cambria Math" w:hAnsi="Cambria Math"/>
                  <w:i/>
                  <w:lang w:val="en-GB"/>
                </w:rPr>
              </m:ctrlPr>
            </m:sSubPr>
            <m:e>
              <m:r>
                <w:rPr>
                  <w:rFonts w:ascii="Cambria Math" w:hAnsi="Cambria Math"/>
                  <w:lang w:val="en-GB"/>
                </w:rPr>
                <m:t>CV</m:t>
              </m:r>
            </m:e>
            <m:sub>
              <m:r>
                <w:rPr>
                  <w:rFonts w:ascii="Cambria Math" w:hAnsi="Cambria Math"/>
                  <w:lang w:val="en-GB"/>
                </w:rPr>
                <m:t>2</m:t>
              </m:r>
            </m:sub>
          </m:sSub>
          <m:r>
            <w:rPr>
              <w:rFonts w:ascii="Cambria Math" w:hAnsi="Cambria Math"/>
              <w:lang w:val="en-GB"/>
            </w:rPr>
            <m:t>+ε</m:t>
          </m:r>
        </m:oMath>
      </m:oMathPara>
    </w:p>
    <w:p w:rsidR="00C1311C" w:rsidRPr="00B97064" w:rsidRDefault="00C1311C" w:rsidP="004C0527">
      <w:pPr>
        <w:rPr>
          <w:lang w:val="en-GB"/>
        </w:rPr>
      </w:pPr>
    </w:p>
    <w:p w:rsidR="007C7F32" w:rsidRPr="00B97064" w:rsidRDefault="007C7F32" w:rsidP="004C0527">
      <w:pPr>
        <w:rPr>
          <w:lang w:val="en-GB"/>
        </w:rPr>
      </w:pPr>
      <w:r w:rsidRPr="00B97064">
        <w:rPr>
          <w:lang w:val="en-GB"/>
        </w:rPr>
        <w:t>The results of the multiple regressions are shown in this section.</w:t>
      </w:r>
    </w:p>
    <w:p w:rsidR="007C7F32" w:rsidRPr="00B97064" w:rsidRDefault="001F76A6" w:rsidP="004C0527">
      <w:pPr>
        <w:pStyle w:val="Heading3"/>
        <w:rPr>
          <w:lang w:val="en-GB"/>
        </w:rPr>
      </w:pPr>
      <w:bookmarkStart w:id="126" w:name="_Ref345257777"/>
      <w:bookmarkStart w:id="127" w:name="_Toc349585513"/>
      <w:r w:rsidRPr="00B97064">
        <w:rPr>
          <w:lang w:val="en-GB"/>
        </w:rPr>
        <w:lastRenderedPageBreak/>
        <w:t>6</w:t>
      </w:r>
      <w:r w:rsidR="007C7F32" w:rsidRPr="00B97064">
        <w:rPr>
          <w:lang w:val="en-GB"/>
        </w:rPr>
        <w:t>.5.1 Research part II 2003</w:t>
      </w:r>
      <w:bookmarkEnd w:id="126"/>
      <w:bookmarkEnd w:id="127"/>
    </w:p>
    <w:p w:rsidR="007C7F32" w:rsidRPr="00B97064" w:rsidRDefault="007C7F32" w:rsidP="004C0527">
      <w:pPr>
        <w:rPr>
          <w:lang w:val="en-GB"/>
        </w:rPr>
      </w:pPr>
      <w:r w:rsidRPr="00B97064">
        <w:rPr>
          <w:lang w:val="en-GB"/>
        </w:rPr>
        <w:t>The results of the multiple regression of part II of my research for the year 2003 are shown in the table below:</w:t>
      </w:r>
    </w:p>
    <w:p w:rsidR="007C7F32" w:rsidRPr="00B97064" w:rsidRDefault="007C58A9" w:rsidP="004C0527">
      <w:pPr>
        <w:rPr>
          <w:lang w:val="en-GB"/>
        </w:rPr>
      </w:pPr>
      <w:bookmarkStart w:id="128" w:name="_GoBack"/>
      <w:r w:rsidRPr="00B97064">
        <w:rPr>
          <w:noProof/>
          <w:lang w:val="en-US" w:eastAsia="en-US"/>
        </w:rPr>
        <w:drawing>
          <wp:inline distT="0" distB="0" distL="0" distR="0">
            <wp:extent cx="5686425" cy="271462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2"/>
                    <a:srcRect l="8813" t="4541" r="6734" b="4848"/>
                    <a:stretch>
                      <a:fillRect/>
                    </a:stretch>
                  </pic:blipFill>
                  <pic:spPr bwMode="auto">
                    <a:xfrm>
                      <a:off x="0" y="0"/>
                      <a:ext cx="5686425" cy="2714625"/>
                    </a:xfrm>
                    <a:prstGeom prst="rect">
                      <a:avLst/>
                    </a:prstGeom>
                    <a:noFill/>
                    <a:ln w="9525">
                      <a:noFill/>
                      <a:miter lim="800000"/>
                      <a:headEnd/>
                      <a:tailEnd/>
                    </a:ln>
                  </pic:spPr>
                </pic:pic>
              </a:graphicData>
            </a:graphic>
          </wp:inline>
        </w:drawing>
      </w:r>
      <w:bookmarkEnd w:id="128"/>
    </w:p>
    <w:p w:rsidR="007C7F32" w:rsidRPr="00B97064" w:rsidRDefault="007C7F32" w:rsidP="002C3212">
      <w:pPr>
        <w:pStyle w:val="Caption"/>
        <w:rPr>
          <w:lang w:val="en-GB"/>
        </w:rPr>
      </w:pPr>
      <w:bookmarkStart w:id="129" w:name="_Toc349585554"/>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21</w:t>
      </w:r>
      <w:r w:rsidR="00E80C96" w:rsidRPr="00B97064">
        <w:rPr>
          <w:lang w:val="en-GB"/>
        </w:rPr>
        <w:fldChar w:fldCharType="end"/>
      </w:r>
      <w:r w:rsidRPr="00B97064">
        <w:rPr>
          <w:lang w:val="en-GB"/>
        </w:rPr>
        <w:t>: Multiple regression Part II output 2003</w:t>
      </w:r>
      <w:bookmarkEnd w:id="129"/>
    </w:p>
    <w:p w:rsidR="007C7F32" w:rsidRPr="00B97064" w:rsidRDefault="007C7F32" w:rsidP="003608E5">
      <w:pPr>
        <w:rPr>
          <w:lang w:val="en-GB"/>
        </w:rPr>
      </w:pPr>
    </w:p>
    <w:p w:rsidR="007C7F32" w:rsidRPr="00B97064" w:rsidRDefault="007C7F32" w:rsidP="003608E5">
      <w:pPr>
        <w:rPr>
          <w:lang w:val="en-GB"/>
        </w:rPr>
      </w:pPr>
      <w:r w:rsidRPr="00B97064">
        <w:rPr>
          <w:lang w:val="en-GB"/>
        </w:rPr>
        <w:t>As shown in the table above, for the year 2003, again not any of the independent variables has a significant impact on the amount of RPTs, all P-value</w:t>
      </w:r>
      <w:r w:rsidR="002D2C5A" w:rsidRPr="00B97064">
        <w:rPr>
          <w:lang w:val="en-GB"/>
        </w:rPr>
        <w:t>s</w:t>
      </w:r>
      <w:r w:rsidRPr="00B97064">
        <w:rPr>
          <w:lang w:val="en-GB"/>
        </w:rPr>
        <w:t xml:space="preserve"> are much greater than 0.05. (B</w:t>
      </w:r>
      <w:r w:rsidR="0061221F" w:rsidRPr="00B97064">
        <w:rPr>
          <w:lang w:val="en-GB"/>
        </w:rPr>
        <w:t>IG</w:t>
      </w:r>
      <w:r w:rsidRPr="00B97064">
        <w:rPr>
          <w:lang w:val="en-GB"/>
        </w:rPr>
        <w:t xml:space="preserve"> was omitted due to </w:t>
      </w:r>
      <w:r w:rsidR="002D2C5A" w:rsidRPr="00B97064">
        <w:rPr>
          <w:noProof/>
          <w:lang w:val="en-GB" w:eastAsia="en-US"/>
        </w:rPr>
        <w:t>collinearity</w:t>
      </w:r>
      <w:r w:rsidRPr="00B97064">
        <w:rPr>
          <w:lang w:val="en-GB"/>
        </w:rPr>
        <w:t>). Besides this, the coefficient of the ratio supervisory board members / total board members (RATB) is positive, which means that this ratio has a positive effect on the amount of RPTs; this is the reverse of the expected effect. Also noticeable is the coefficient of the percentage of ordinary shares of the main shareholder (MAIN); this coefficient has a negative value, which means that the higher the percentage of ordinary shares of the main shareholder, the smaller the amount of RPTs is. Again, this effect was the reverse of the expected effect. Also the positive effect of being second listed in the USA (USA) was the reverse of the expected effect (</w:t>
      </w:r>
      <w:r w:rsidR="002B0F52" w:rsidRPr="00B97064">
        <w:rPr>
          <w:lang w:val="en-GB"/>
        </w:rPr>
        <w:t xml:space="preserve">negative </w:t>
      </w:r>
      <w:r w:rsidRPr="00B97064">
        <w:rPr>
          <w:lang w:val="en-GB"/>
        </w:rPr>
        <w:t>effect on the amount of RPTs).</w:t>
      </w:r>
    </w:p>
    <w:p w:rsidR="007C7F32" w:rsidRPr="00B97064" w:rsidRDefault="007C7F32" w:rsidP="003608E5">
      <w:pPr>
        <w:rPr>
          <w:lang w:val="en-GB"/>
        </w:rPr>
      </w:pPr>
    </w:p>
    <w:p w:rsidR="007C7F32" w:rsidRPr="00B97064" w:rsidRDefault="007C7F32" w:rsidP="004C0527">
      <w:pPr>
        <w:rPr>
          <w:lang w:val="en-GB"/>
        </w:rPr>
      </w:pPr>
      <w:r w:rsidRPr="00B97064">
        <w:rPr>
          <w:lang w:val="en-GB"/>
        </w:rPr>
        <w:t xml:space="preserve">Because not any of the variables has a significant effect on the amount of RPTs, again none of the hypotheses 3-9, as mentioned in section </w:t>
      </w:r>
      <w:fldSimple w:instr=" REF _Ref341713291 \h  \* MERGEFORMAT ">
        <w:r w:rsidR="004C718C" w:rsidRPr="00B97064">
          <w:rPr>
            <w:lang w:val="en-GB"/>
          </w:rPr>
          <w:t>4.8 Hypotheses</w:t>
        </w:r>
      </w:fldSimple>
      <w:r w:rsidR="002B0F52" w:rsidRPr="00B97064">
        <w:rPr>
          <w:lang w:val="en-GB"/>
        </w:rPr>
        <w:t xml:space="preserve"> </w:t>
      </w:r>
      <w:r w:rsidRPr="00B97064">
        <w:rPr>
          <w:lang w:val="en-GB"/>
        </w:rPr>
        <w:t>could be rejected (the null hypotheses could not be rejected).</w:t>
      </w:r>
    </w:p>
    <w:p w:rsidR="0015661B" w:rsidRPr="00B97064" w:rsidRDefault="0015661B" w:rsidP="004C0527">
      <w:pPr>
        <w:rPr>
          <w:lang w:val="en-GB"/>
        </w:rPr>
      </w:pPr>
    </w:p>
    <w:p w:rsidR="00417C7C" w:rsidRPr="00B97064" w:rsidRDefault="0015661B" w:rsidP="00417C7C">
      <w:pPr>
        <w:rPr>
          <w:lang w:val="en-GB"/>
        </w:rPr>
      </w:pPr>
      <w:r w:rsidRPr="00B97064">
        <w:rPr>
          <w:lang w:val="en-GB"/>
        </w:rPr>
        <w:t xml:space="preserve">My results are not in line with the results of the study of </w:t>
      </w:r>
      <w:proofErr w:type="spellStart"/>
      <w:r w:rsidRPr="00B97064">
        <w:rPr>
          <w:lang w:val="en-GB"/>
        </w:rPr>
        <w:t>Nekhili</w:t>
      </w:r>
      <w:proofErr w:type="spellEnd"/>
      <w:r w:rsidR="007F674E">
        <w:rPr>
          <w:lang w:val="en-GB"/>
        </w:rPr>
        <w:t xml:space="preserve"> and </w:t>
      </w:r>
      <w:proofErr w:type="spellStart"/>
      <w:r w:rsidRPr="00B97064">
        <w:rPr>
          <w:lang w:val="en-GB"/>
        </w:rPr>
        <w:t>Cherif</w:t>
      </w:r>
      <w:proofErr w:type="spellEnd"/>
      <w:r w:rsidRPr="00B97064">
        <w:rPr>
          <w:lang w:val="en-GB"/>
        </w:rPr>
        <w:t xml:space="preserve"> (2011) They found a significant positive relation between being cross-listed in the USA, the percentage of voting rights held by the main shareholder, the ratio of non-executive directors, the size of the board of directors, the independence ratio of the audit committee and </w:t>
      </w:r>
      <w:r w:rsidRPr="00B97064">
        <w:rPr>
          <w:i/>
          <w:lang w:val="en-GB"/>
        </w:rPr>
        <w:t xml:space="preserve">the number of </w:t>
      </w:r>
      <w:r w:rsidRPr="00B97064">
        <w:rPr>
          <w:lang w:val="en-GB"/>
        </w:rPr>
        <w:t>RPTs.</w:t>
      </w:r>
      <w:r w:rsidRPr="00B97064">
        <w:rPr>
          <w:color w:val="FF0000"/>
          <w:lang w:val="en-GB"/>
        </w:rPr>
        <w:t xml:space="preserve"> </w:t>
      </w:r>
      <w:r w:rsidRPr="00B97064">
        <w:rPr>
          <w:lang w:val="en-GB"/>
        </w:rPr>
        <w:lastRenderedPageBreak/>
        <w:t>Furthermore, they found a negative relation between being audited by</w:t>
      </w:r>
      <w:r w:rsidR="00417C7C" w:rsidRPr="00B97064">
        <w:rPr>
          <w:lang w:val="en-GB"/>
        </w:rPr>
        <w:t xml:space="preserve"> a big 4 audit firm and </w:t>
      </w:r>
      <w:r w:rsidR="00417C7C" w:rsidRPr="00B97064">
        <w:rPr>
          <w:i/>
          <w:lang w:val="en-GB"/>
        </w:rPr>
        <w:t xml:space="preserve">the number of </w:t>
      </w:r>
      <w:r w:rsidR="00417C7C" w:rsidRPr="00B97064">
        <w:rPr>
          <w:lang w:val="en-GB"/>
        </w:rPr>
        <w:t>RPTs.</w:t>
      </w:r>
    </w:p>
    <w:p w:rsidR="007C7F32" w:rsidRPr="00B97064" w:rsidRDefault="001F76A6" w:rsidP="004C0527">
      <w:pPr>
        <w:pStyle w:val="Heading3"/>
        <w:rPr>
          <w:lang w:val="en-GB"/>
        </w:rPr>
      </w:pPr>
      <w:bookmarkStart w:id="130" w:name="_Ref345257831"/>
      <w:bookmarkStart w:id="131" w:name="_Toc349585514"/>
      <w:r w:rsidRPr="00B97064">
        <w:rPr>
          <w:lang w:val="en-GB"/>
        </w:rPr>
        <w:t>6</w:t>
      </w:r>
      <w:r w:rsidR="007C7F32" w:rsidRPr="00B97064">
        <w:rPr>
          <w:lang w:val="en-GB"/>
        </w:rPr>
        <w:t>.5.2 Research part II 2009</w:t>
      </w:r>
      <w:bookmarkEnd w:id="130"/>
      <w:bookmarkEnd w:id="131"/>
    </w:p>
    <w:p w:rsidR="007C7F32" w:rsidRPr="00B97064" w:rsidRDefault="007C7F32" w:rsidP="004C0527">
      <w:pPr>
        <w:rPr>
          <w:lang w:val="en-GB"/>
        </w:rPr>
      </w:pPr>
      <w:r w:rsidRPr="00B97064">
        <w:rPr>
          <w:lang w:val="en-GB"/>
        </w:rPr>
        <w:t>The results of the multiple regression of part II of my research for the year 2009 are shown in the table below:</w:t>
      </w:r>
    </w:p>
    <w:p w:rsidR="007C7F32" w:rsidRPr="00B97064" w:rsidRDefault="007C58A9" w:rsidP="004C0527">
      <w:pPr>
        <w:rPr>
          <w:lang w:val="en-GB"/>
        </w:rPr>
      </w:pPr>
      <w:r w:rsidRPr="00B97064">
        <w:rPr>
          <w:noProof/>
          <w:lang w:val="en-US" w:eastAsia="en-US"/>
        </w:rPr>
        <w:drawing>
          <wp:inline distT="0" distB="0" distL="0" distR="0">
            <wp:extent cx="5686425" cy="2724150"/>
            <wp:effectExtent l="1905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3"/>
                    <a:srcRect l="8493" t="4776" r="961" b="5101"/>
                    <a:stretch>
                      <a:fillRect/>
                    </a:stretch>
                  </pic:blipFill>
                  <pic:spPr bwMode="auto">
                    <a:xfrm>
                      <a:off x="0" y="0"/>
                      <a:ext cx="5686425" cy="2724150"/>
                    </a:xfrm>
                    <a:prstGeom prst="rect">
                      <a:avLst/>
                    </a:prstGeom>
                    <a:noFill/>
                    <a:ln w="9525">
                      <a:noFill/>
                      <a:miter lim="800000"/>
                      <a:headEnd/>
                      <a:tailEnd/>
                    </a:ln>
                  </pic:spPr>
                </pic:pic>
              </a:graphicData>
            </a:graphic>
          </wp:inline>
        </w:drawing>
      </w:r>
    </w:p>
    <w:p w:rsidR="007C7F32" w:rsidRPr="00B97064" w:rsidRDefault="007C7F32" w:rsidP="004C0527">
      <w:pPr>
        <w:pStyle w:val="Caption"/>
        <w:rPr>
          <w:lang w:val="en-GB"/>
        </w:rPr>
      </w:pPr>
      <w:bookmarkStart w:id="132" w:name="_Toc349585555"/>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22</w:t>
      </w:r>
      <w:r w:rsidR="00E80C96" w:rsidRPr="00B97064">
        <w:rPr>
          <w:lang w:val="en-GB"/>
        </w:rPr>
        <w:fldChar w:fldCharType="end"/>
      </w:r>
      <w:r w:rsidRPr="00B97064">
        <w:rPr>
          <w:lang w:val="en-GB"/>
        </w:rPr>
        <w:t>: Multiple regression Part II output 2009</w:t>
      </w:r>
      <w:bookmarkEnd w:id="132"/>
      <w:r w:rsidRPr="00B97064">
        <w:rPr>
          <w:lang w:val="en-GB"/>
        </w:rPr>
        <w:t xml:space="preserve"> </w:t>
      </w:r>
    </w:p>
    <w:p w:rsidR="007C7F32" w:rsidRPr="00B97064" w:rsidRDefault="007C7F32" w:rsidP="004C0527">
      <w:pPr>
        <w:rPr>
          <w:lang w:val="en-GB"/>
        </w:rPr>
      </w:pPr>
    </w:p>
    <w:p w:rsidR="007C7F32" w:rsidRPr="00B97064" w:rsidRDefault="007C7F32" w:rsidP="004C0527">
      <w:pPr>
        <w:rPr>
          <w:lang w:val="en-GB"/>
        </w:rPr>
      </w:pPr>
      <w:r w:rsidRPr="00B97064">
        <w:rPr>
          <w:lang w:val="en-GB"/>
        </w:rPr>
        <w:t xml:space="preserve">As shown in the table above, for the year 2009, only one of the independent variables has a significant impact on the amount of RPTs, only the P-value of MAIN is smaller than 0.05. </w:t>
      </w:r>
      <w:r w:rsidRPr="00B97064">
        <w:rPr>
          <w:b/>
          <w:lang w:val="en-GB"/>
        </w:rPr>
        <w:t>So, the percentage of ordinary shares of the main shareholder has a significant positive effect on the amount of RPTs for the year 2009</w:t>
      </w:r>
      <w:r w:rsidRPr="00B97064">
        <w:rPr>
          <w:lang w:val="en-GB"/>
        </w:rPr>
        <w:t>. Besides this, the control variable (natural logarithm of total assets) has a significant impact on the amount of RPTs.</w:t>
      </w:r>
    </w:p>
    <w:p w:rsidR="007C7F32" w:rsidRPr="00B97064" w:rsidRDefault="007C7F32" w:rsidP="004C0527">
      <w:pPr>
        <w:rPr>
          <w:lang w:val="en-GB"/>
        </w:rPr>
      </w:pPr>
    </w:p>
    <w:p w:rsidR="007C7F32" w:rsidRPr="00B97064" w:rsidRDefault="007C7F32" w:rsidP="004C0527">
      <w:pPr>
        <w:rPr>
          <w:lang w:val="en-GB"/>
        </w:rPr>
      </w:pPr>
      <w:r w:rsidRPr="00B97064">
        <w:rPr>
          <w:lang w:val="en-GB"/>
        </w:rPr>
        <w:t xml:space="preserve">Furthermore, the coefficient of number of executive board members (SEB) is negative, which means that the number of executive board members has a negative effect on the amount of RPTs; this is the reverse of the expected effect. Also noticeable is the coefficient of the number of supervisory board members (SSB); this coefficient has a positive value, which means that the higher the number of supervisory board members, the greater the amount of RPTs is. Again, this effect was the reverse of the expected effect. Furthermore the positive effect of the ratio supervisory board members divided by total board members (RATSB) and being listed in the USA (USA) was the reverse of the expected effect (just as for the year 2003). The positive coefficient of being audited by one of the big </w:t>
      </w:r>
      <w:r w:rsidR="002D10C8" w:rsidRPr="00B97064">
        <w:rPr>
          <w:lang w:val="en-GB"/>
        </w:rPr>
        <w:t>4</w:t>
      </w:r>
      <w:r w:rsidRPr="00B97064">
        <w:rPr>
          <w:lang w:val="en-GB"/>
        </w:rPr>
        <w:t xml:space="preserve"> audit firms (BIG) was the reverse of the expected effect as well.</w:t>
      </w:r>
    </w:p>
    <w:p w:rsidR="007C7F32" w:rsidRPr="00B97064" w:rsidRDefault="007C7F32" w:rsidP="004C0527">
      <w:pPr>
        <w:rPr>
          <w:lang w:val="en-GB"/>
        </w:rPr>
      </w:pPr>
    </w:p>
    <w:p w:rsidR="007C7F32" w:rsidRPr="00B97064" w:rsidRDefault="007C7F32" w:rsidP="007512F8">
      <w:pPr>
        <w:rPr>
          <w:rFonts w:cs="Arial"/>
          <w:szCs w:val="22"/>
          <w:lang w:val="en-GB"/>
        </w:rPr>
      </w:pPr>
      <w:r w:rsidRPr="00B97064">
        <w:rPr>
          <w:lang w:val="en-GB"/>
        </w:rPr>
        <w:lastRenderedPageBreak/>
        <w:t xml:space="preserve">So, only hypothesis 6 of the hypotheses as mentioned in section </w:t>
      </w:r>
      <w:fldSimple w:instr=" REF _Ref341713291 \h  \* MERGEFORMAT ">
        <w:r w:rsidR="004C718C" w:rsidRPr="00B97064">
          <w:rPr>
            <w:lang w:val="en-GB"/>
          </w:rPr>
          <w:t>4.8 Hypotheses</w:t>
        </w:r>
      </w:fldSimple>
      <w:r w:rsidRPr="00B97064">
        <w:rPr>
          <w:lang w:val="en-GB"/>
        </w:rPr>
        <w:t xml:space="preserve">, </w:t>
      </w:r>
      <w:r w:rsidR="00417C7C" w:rsidRPr="00B97064">
        <w:rPr>
          <w:rFonts w:cs="Arial"/>
          <w:i/>
          <w:szCs w:val="22"/>
          <w:lang w:val="en-GB"/>
        </w:rPr>
        <w:t>A high percentage of ordinary shares of</w:t>
      </w:r>
      <w:r w:rsidRPr="00B97064">
        <w:rPr>
          <w:rFonts w:cs="Arial"/>
          <w:i/>
          <w:szCs w:val="22"/>
          <w:lang w:val="en-GB"/>
        </w:rPr>
        <w:t xml:space="preserve"> the main shareholder increases the amount of RPTs</w:t>
      </w:r>
      <w:r w:rsidRPr="00B97064">
        <w:rPr>
          <w:rFonts w:cs="Arial"/>
          <w:szCs w:val="22"/>
          <w:lang w:val="en-GB"/>
        </w:rPr>
        <w:t>, could be accepted for the year 2009. All other null hypotheses could not be rejected.</w:t>
      </w:r>
    </w:p>
    <w:p w:rsidR="00417C7C" w:rsidRPr="00B97064" w:rsidRDefault="00417C7C" w:rsidP="007512F8">
      <w:pPr>
        <w:rPr>
          <w:rFonts w:cs="Arial"/>
          <w:szCs w:val="22"/>
          <w:lang w:val="en-GB"/>
        </w:rPr>
      </w:pPr>
    </w:p>
    <w:p w:rsidR="00417C7C" w:rsidRPr="00B97064" w:rsidRDefault="00417C7C" w:rsidP="007512F8">
      <w:pPr>
        <w:rPr>
          <w:rFonts w:cs="Arial"/>
          <w:szCs w:val="22"/>
          <w:lang w:val="en-GB"/>
        </w:rPr>
      </w:pPr>
      <w:r w:rsidRPr="00B97064">
        <w:rPr>
          <w:rFonts w:cs="Arial"/>
          <w:szCs w:val="22"/>
          <w:lang w:val="en-GB"/>
        </w:rPr>
        <w:t xml:space="preserve">One of my results, the significant positive relation between the percentage of ordinary shares of the main shareholder and the amount of RPTs is more or less in line with the result of the study of </w:t>
      </w: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(2011); they found a significant positive relation between the percentage of </w:t>
      </w:r>
      <w:r w:rsidRPr="00B97064">
        <w:rPr>
          <w:rFonts w:cs="Arial"/>
          <w:i/>
          <w:szCs w:val="22"/>
          <w:lang w:val="en-GB"/>
        </w:rPr>
        <w:t>voting rights</w:t>
      </w:r>
      <w:r w:rsidRPr="00B97064">
        <w:rPr>
          <w:rFonts w:cs="Arial"/>
          <w:szCs w:val="22"/>
          <w:lang w:val="en-GB"/>
        </w:rPr>
        <w:t xml:space="preserve"> of the main shareholder and </w:t>
      </w:r>
      <w:r w:rsidRPr="00B97064">
        <w:rPr>
          <w:rFonts w:cs="Arial"/>
          <w:i/>
          <w:szCs w:val="22"/>
          <w:lang w:val="en-GB"/>
        </w:rPr>
        <w:t xml:space="preserve">the number of </w:t>
      </w:r>
      <w:r w:rsidRPr="00B97064">
        <w:rPr>
          <w:rFonts w:cs="Arial"/>
          <w:szCs w:val="22"/>
          <w:lang w:val="en-GB"/>
        </w:rPr>
        <w:t>RPTs.</w:t>
      </w:r>
      <w:r w:rsidR="001779C6" w:rsidRPr="00B97064">
        <w:rPr>
          <w:rFonts w:cs="Arial"/>
          <w:szCs w:val="22"/>
          <w:lang w:val="en-GB"/>
        </w:rPr>
        <w:t xml:space="preserve"> The other results are, just as for the year 2003, not in line with the results of</w:t>
      </w:r>
      <w:r w:rsidR="00550647" w:rsidRPr="00B97064">
        <w:rPr>
          <w:rFonts w:cs="Arial"/>
          <w:szCs w:val="22"/>
          <w:lang w:val="en-GB"/>
        </w:rPr>
        <w:t xml:space="preserve"> </w:t>
      </w:r>
      <w:proofErr w:type="spellStart"/>
      <w:r w:rsidR="00550647" w:rsidRPr="00B97064">
        <w:rPr>
          <w:rFonts w:cs="Arial"/>
          <w:szCs w:val="22"/>
          <w:lang w:val="en-GB"/>
        </w:rPr>
        <w:t>Nekhili</w:t>
      </w:r>
      <w:proofErr w:type="spellEnd"/>
      <w:r w:rsidR="007F674E">
        <w:rPr>
          <w:rFonts w:cs="Arial"/>
          <w:szCs w:val="22"/>
          <w:lang w:val="en-GB"/>
        </w:rPr>
        <w:t xml:space="preserve"> and </w:t>
      </w:r>
      <w:proofErr w:type="spellStart"/>
      <w:r w:rsidR="00550647" w:rsidRPr="00B97064">
        <w:rPr>
          <w:rFonts w:cs="Arial"/>
          <w:szCs w:val="22"/>
          <w:lang w:val="en-GB"/>
        </w:rPr>
        <w:t>Cherif</w:t>
      </w:r>
      <w:proofErr w:type="spellEnd"/>
      <w:r w:rsidR="00550647" w:rsidRPr="00B97064">
        <w:rPr>
          <w:rFonts w:cs="Arial"/>
          <w:szCs w:val="22"/>
          <w:lang w:val="en-GB"/>
        </w:rPr>
        <w:t xml:space="preserve"> (2011).</w:t>
      </w:r>
    </w:p>
    <w:p w:rsidR="007C7F32" w:rsidRPr="00B97064" w:rsidRDefault="001F76A6" w:rsidP="00A039B0">
      <w:pPr>
        <w:pStyle w:val="Heading2"/>
        <w:rPr>
          <w:lang w:val="en-GB"/>
        </w:rPr>
      </w:pPr>
      <w:bookmarkStart w:id="133" w:name="_Toc349585515"/>
      <w:r w:rsidRPr="00B97064">
        <w:rPr>
          <w:lang w:val="en-GB"/>
        </w:rPr>
        <w:t>6</w:t>
      </w:r>
      <w:r w:rsidR="007C7F32" w:rsidRPr="00B97064">
        <w:rPr>
          <w:lang w:val="en-GB"/>
        </w:rPr>
        <w:t>.6 Panel analysis research part I &amp; II</w:t>
      </w:r>
      <w:bookmarkEnd w:id="133"/>
    </w:p>
    <w:p w:rsidR="007C7F32" w:rsidRPr="00B97064" w:rsidRDefault="007C7F32" w:rsidP="00232707">
      <w:pPr>
        <w:rPr>
          <w:rFonts w:cs="Arial"/>
          <w:szCs w:val="22"/>
          <w:lang w:val="en-GB"/>
        </w:rPr>
      </w:pPr>
      <w:r w:rsidRPr="00B97064">
        <w:rPr>
          <w:rFonts w:cs="Arial"/>
          <w:szCs w:val="22"/>
          <w:lang w:val="en-GB"/>
        </w:rPr>
        <w:t>After the execution of the ‘normal’ regressions for research part I and II, I used another method to analyse my data; panel data regression. I expected that this may give some other results than the normal regressions as discussed above. I merged my data of 2003 and 2009 to one dataset. This dataset consisted of data of the same units (same Dutch listed firms) with repeated observations over different time periods.</w:t>
      </w:r>
    </w:p>
    <w:p w:rsidR="007C7F32" w:rsidRPr="00B97064" w:rsidRDefault="001F76A6" w:rsidP="003314CB">
      <w:pPr>
        <w:pStyle w:val="Heading3"/>
        <w:rPr>
          <w:lang w:val="en-GB"/>
        </w:rPr>
      </w:pPr>
      <w:bookmarkStart w:id="134" w:name="_Toc349585516"/>
      <w:r w:rsidRPr="00B97064">
        <w:rPr>
          <w:lang w:val="en-GB"/>
        </w:rPr>
        <w:t>6</w:t>
      </w:r>
      <w:r w:rsidR="007C7F32" w:rsidRPr="00B97064">
        <w:rPr>
          <w:lang w:val="en-GB"/>
        </w:rPr>
        <w:t>.6.1 Hausman tests</w:t>
      </w:r>
      <w:bookmarkEnd w:id="134"/>
    </w:p>
    <w:p w:rsidR="007C7F32" w:rsidRPr="00B97064" w:rsidRDefault="007C7F32" w:rsidP="00F00AE0">
      <w:pPr>
        <w:rPr>
          <w:rFonts w:cs="Arial"/>
          <w:szCs w:val="22"/>
          <w:lang w:val="en-GB"/>
        </w:rPr>
      </w:pPr>
      <w:r w:rsidRPr="00B97064">
        <w:rPr>
          <w:rFonts w:cs="Arial"/>
          <w:szCs w:val="22"/>
          <w:lang w:val="en-GB"/>
        </w:rPr>
        <w:t xml:space="preserve">To determine the appropriate model of the two panel data models (as explained in section </w:t>
      </w:r>
      <w:fldSimple w:instr=" REF _Ref345164387 \h  \* MERGEFORMAT ">
        <w:r w:rsidR="004C718C" w:rsidRPr="00B97064">
          <w:rPr>
            <w:lang w:val="en-GB"/>
          </w:rPr>
          <w:t>4.6 Panel data analysis research part I &amp; II</w:t>
        </w:r>
      </w:fldSimple>
      <w:r w:rsidRPr="00B97064">
        <w:rPr>
          <w:rFonts w:cs="Arial"/>
          <w:szCs w:val="22"/>
          <w:lang w:val="en-GB"/>
        </w:rPr>
        <w:t>, I run the Hausman test. The result</w:t>
      </w:r>
      <w:r w:rsidR="009458F6" w:rsidRPr="00B97064">
        <w:rPr>
          <w:rFonts w:cs="Arial"/>
          <w:szCs w:val="22"/>
          <w:lang w:val="en-GB"/>
        </w:rPr>
        <w:t>s</w:t>
      </w:r>
      <w:r w:rsidRPr="00B97064">
        <w:rPr>
          <w:rFonts w:cs="Arial"/>
          <w:szCs w:val="22"/>
          <w:lang w:val="en-GB"/>
        </w:rPr>
        <w:t xml:space="preserve"> for research part I </w:t>
      </w:r>
      <w:r w:rsidR="009458F6" w:rsidRPr="00B97064">
        <w:rPr>
          <w:rFonts w:cs="Arial"/>
          <w:szCs w:val="22"/>
          <w:lang w:val="en-GB"/>
        </w:rPr>
        <w:t xml:space="preserve">and II </w:t>
      </w:r>
      <w:r w:rsidR="00681E13" w:rsidRPr="00B97064">
        <w:rPr>
          <w:rFonts w:cs="Arial"/>
          <w:szCs w:val="22"/>
          <w:lang w:val="en-GB"/>
        </w:rPr>
        <w:t xml:space="preserve">can be found in the appendix (section </w:t>
      </w:r>
      <w:r w:rsidR="00E80C96">
        <w:fldChar w:fldCharType="begin"/>
      </w:r>
      <w:r w:rsidR="00E80C96" w:rsidRPr="007F674E">
        <w:rPr>
          <w:lang w:val="en-US"/>
        </w:rPr>
        <w:instrText xml:space="preserve"> REF _Ref349484560 \h  \* MERGEFORMAT </w:instrText>
      </w:r>
      <w:r w:rsidR="00E80C96">
        <w:fldChar w:fldCharType="separate"/>
      </w:r>
      <w:r w:rsidR="004C718C" w:rsidRPr="00B97064">
        <w:rPr>
          <w:lang w:val="en-GB"/>
        </w:rPr>
        <w:t xml:space="preserve">10.3 Results </w:t>
      </w:r>
      <w:proofErr w:type="spellStart"/>
      <w:r w:rsidR="004C718C" w:rsidRPr="00B97064">
        <w:rPr>
          <w:lang w:val="en-GB"/>
        </w:rPr>
        <w:t>Hausman</w:t>
      </w:r>
      <w:proofErr w:type="spellEnd"/>
      <w:r w:rsidR="004C718C" w:rsidRPr="00B97064">
        <w:rPr>
          <w:lang w:val="en-GB"/>
        </w:rPr>
        <w:t xml:space="preserve"> test</w:t>
      </w:r>
      <w:r w:rsidR="00E80C96">
        <w:fldChar w:fldCharType="end"/>
      </w:r>
      <w:r w:rsidR="00681E13" w:rsidRPr="00B97064">
        <w:rPr>
          <w:rFonts w:cs="Arial"/>
          <w:szCs w:val="22"/>
          <w:lang w:val="en-GB"/>
        </w:rPr>
        <w:t>)</w:t>
      </w:r>
      <w:r w:rsidR="009458F6" w:rsidRPr="00B97064">
        <w:rPr>
          <w:rFonts w:cs="Arial"/>
          <w:szCs w:val="22"/>
          <w:lang w:val="en-GB"/>
        </w:rPr>
        <w:t>.</w:t>
      </w:r>
    </w:p>
    <w:p w:rsidR="007C7F32" w:rsidRPr="00B97064" w:rsidRDefault="007C7F32" w:rsidP="00F00AE0">
      <w:pPr>
        <w:rPr>
          <w:lang w:val="en-GB"/>
        </w:rPr>
      </w:pPr>
    </w:p>
    <w:p w:rsidR="007C7F32" w:rsidRPr="00B97064" w:rsidRDefault="009458F6" w:rsidP="00F00AE0">
      <w:pPr>
        <w:rPr>
          <w:lang w:val="en-GB"/>
        </w:rPr>
      </w:pPr>
      <w:r w:rsidRPr="00B97064">
        <w:rPr>
          <w:lang w:val="en-GB"/>
        </w:rPr>
        <w:t xml:space="preserve">Both </w:t>
      </w:r>
      <w:r w:rsidR="0069466E" w:rsidRPr="00B97064">
        <w:rPr>
          <w:lang w:val="en-GB"/>
        </w:rPr>
        <w:t>Hausma</w:t>
      </w:r>
      <w:r w:rsidRPr="00B97064">
        <w:rPr>
          <w:lang w:val="en-GB"/>
        </w:rPr>
        <w:t xml:space="preserve">n tests indicate that the random effects model is the appropriate model. </w:t>
      </w:r>
      <w:r w:rsidR="007C7F32" w:rsidRPr="00B97064">
        <w:rPr>
          <w:lang w:val="en-GB"/>
        </w:rPr>
        <w:t xml:space="preserve">So, the regression for research part I </w:t>
      </w:r>
      <w:r w:rsidRPr="00B97064">
        <w:rPr>
          <w:lang w:val="en-GB"/>
        </w:rPr>
        <w:t xml:space="preserve">as well as research part II </w:t>
      </w:r>
      <w:r w:rsidR="007C7F32" w:rsidRPr="00B97064">
        <w:rPr>
          <w:lang w:val="en-GB"/>
        </w:rPr>
        <w:t xml:space="preserve">is executed </w:t>
      </w:r>
      <w:r w:rsidRPr="00B97064">
        <w:rPr>
          <w:lang w:val="en-GB"/>
        </w:rPr>
        <w:t>using the random effects model.</w:t>
      </w:r>
    </w:p>
    <w:p w:rsidR="007C7F32" w:rsidRPr="00B97064" w:rsidRDefault="001F76A6" w:rsidP="003314CB">
      <w:pPr>
        <w:pStyle w:val="Heading3"/>
        <w:rPr>
          <w:lang w:val="en-GB"/>
        </w:rPr>
      </w:pPr>
      <w:bookmarkStart w:id="135" w:name="_Toc349585517"/>
      <w:r w:rsidRPr="00B97064">
        <w:rPr>
          <w:lang w:val="en-GB"/>
        </w:rPr>
        <w:t>6</w:t>
      </w:r>
      <w:r w:rsidR="007C7F32" w:rsidRPr="00B97064">
        <w:rPr>
          <w:lang w:val="en-GB"/>
        </w:rPr>
        <w:t>.6.2 Panel data analysis research part I</w:t>
      </w:r>
      <w:bookmarkEnd w:id="135"/>
    </w:p>
    <w:p w:rsidR="007C7F32" w:rsidRPr="00B97064" w:rsidRDefault="007C7F32" w:rsidP="00F00AE0">
      <w:pPr>
        <w:rPr>
          <w:lang w:val="en-GB"/>
        </w:rPr>
      </w:pPr>
      <w:r w:rsidRPr="00B97064">
        <w:rPr>
          <w:lang w:val="en-GB"/>
        </w:rPr>
        <w:t>The results of the panel data regression (using the random effects model) of the first part of my research can be found below:</w:t>
      </w:r>
    </w:p>
    <w:p w:rsidR="007C7F32" w:rsidRPr="00B97064" w:rsidRDefault="007C58A9" w:rsidP="00F00AE0">
      <w:pPr>
        <w:rPr>
          <w:lang w:val="en-GB"/>
        </w:rPr>
      </w:pPr>
      <w:r w:rsidRPr="00B97064">
        <w:rPr>
          <w:noProof/>
          <w:lang w:val="en-US" w:eastAsia="en-US"/>
        </w:rPr>
        <w:lastRenderedPageBreak/>
        <w:drawing>
          <wp:inline distT="0" distB="0" distL="0" distR="0">
            <wp:extent cx="5695569" cy="2876550"/>
            <wp:effectExtent l="19050" t="0" r="381"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4"/>
                    <a:srcRect l="8969" t="4231" r="8490" b="5635"/>
                    <a:stretch>
                      <a:fillRect/>
                    </a:stretch>
                  </pic:blipFill>
                  <pic:spPr bwMode="auto">
                    <a:xfrm>
                      <a:off x="0" y="0"/>
                      <a:ext cx="5695569" cy="2876550"/>
                    </a:xfrm>
                    <a:prstGeom prst="rect">
                      <a:avLst/>
                    </a:prstGeom>
                    <a:noFill/>
                    <a:ln w="9525">
                      <a:noFill/>
                      <a:miter lim="800000"/>
                      <a:headEnd/>
                      <a:tailEnd/>
                    </a:ln>
                  </pic:spPr>
                </pic:pic>
              </a:graphicData>
            </a:graphic>
          </wp:inline>
        </w:drawing>
      </w:r>
    </w:p>
    <w:p w:rsidR="007C7F32" w:rsidRPr="00B97064" w:rsidRDefault="007C7F32" w:rsidP="00F00AE0">
      <w:pPr>
        <w:pStyle w:val="Caption"/>
        <w:rPr>
          <w:lang w:val="en-GB"/>
        </w:rPr>
      </w:pPr>
      <w:bookmarkStart w:id="136" w:name="_Toc349585556"/>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23</w:t>
      </w:r>
      <w:r w:rsidR="00E80C96" w:rsidRPr="00B97064">
        <w:rPr>
          <w:lang w:val="en-GB"/>
        </w:rPr>
        <w:fldChar w:fldCharType="end"/>
      </w:r>
      <w:r w:rsidRPr="00B97064">
        <w:rPr>
          <w:lang w:val="en-GB"/>
        </w:rPr>
        <w:t>: Multiple regression panel data, random effects model, research part I</w:t>
      </w:r>
      <w:bookmarkEnd w:id="136"/>
    </w:p>
    <w:p w:rsidR="007C7F32" w:rsidRPr="00B97064" w:rsidRDefault="007C7F32" w:rsidP="00F00AE0">
      <w:pPr>
        <w:rPr>
          <w:lang w:val="en-GB"/>
        </w:rPr>
      </w:pPr>
    </w:p>
    <w:p w:rsidR="007C7F32" w:rsidRPr="00B97064" w:rsidRDefault="007C7F32" w:rsidP="003314CB">
      <w:pPr>
        <w:rPr>
          <w:lang w:val="en-GB"/>
        </w:rPr>
      </w:pPr>
      <w:r w:rsidRPr="00B97064">
        <w:rPr>
          <w:lang w:val="en-GB"/>
        </w:rPr>
        <w:t>No significant relation was found between the independent variables (amount of RPTs and Disclosure level) and the dependent variable Tobin’s Q). Only the control variable (CV1,TQ</w:t>
      </w:r>
      <w:r w:rsidR="00E52773" w:rsidRPr="00B97064">
        <w:rPr>
          <w:lang w:val="en-GB"/>
        </w:rPr>
        <w:t xml:space="preserve"> </w:t>
      </w:r>
      <w:r w:rsidR="00E52773" w:rsidRPr="00B97064">
        <w:rPr>
          <w:vertAlign w:val="subscript"/>
          <w:lang w:val="en-GB"/>
        </w:rPr>
        <w:t>t-</w:t>
      </w:r>
      <w:r w:rsidRPr="00B97064">
        <w:rPr>
          <w:vertAlign w:val="subscript"/>
          <w:lang w:val="en-GB"/>
        </w:rPr>
        <w:t>1</w:t>
      </w:r>
      <w:r w:rsidRPr="00B97064">
        <w:rPr>
          <w:lang w:val="en-GB"/>
        </w:rPr>
        <w:t>) has a significant effect on firm value</w:t>
      </w:r>
      <w:r w:rsidR="00E52773" w:rsidRPr="00B97064">
        <w:rPr>
          <w:lang w:val="en-GB"/>
        </w:rPr>
        <w:t>.</w:t>
      </w:r>
      <w:r w:rsidRPr="00B97064">
        <w:rPr>
          <w:lang w:val="en-GB"/>
        </w:rPr>
        <w:t xml:space="preserve"> Again, because not any of the variables has a significant effect on firm value, none of the hypotheses 1 and 2, as mentioned in section </w:t>
      </w:r>
      <w:fldSimple w:instr=" REF _Ref341713291 \h  \* MERGEFORMAT ">
        <w:r w:rsidR="004C718C" w:rsidRPr="00B97064">
          <w:rPr>
            <w:lang w:val="en-GB"/>
          </w:rPr>
          <w:t>4.8 Hypotheses</w:t>
        </w:r>
      </w:fldSimple>
      <w:r w:rsidR="009458F6" w:rsidRPr="00B97064">
        <w:rPr>
          <w:lang w:val="en-GB"/>
        </w:rPr>
        <w:t xml:space="preserve"> </w:t>
      </w:r>
      <w:r w:rsidRPr="00B97064">
        <w:rPr>
          <w:lang w:val="en-GB"/>
        </w:rPr>
        <w:t xml:space="preserve">could be accepted (the null hypotheses could not be rejected). This is in line with the results of the ‘normal’ regressions as discussed in section </w:t>
      </w:r>
      <w:fldSimple w:instr=" REF _Ref345257554 \h  \* MERGEFORMAT ">
        <w:r w:rsidR="004C718C" w:rsidRPr="00B97064">
          <w:rPr>
            <w:lang w:val="en-GB"/>
          </w:rPr>
          <w:t>6.4.1 Research part I 2003</w:t>
        </w:r>
      </w:fldSimple>
      <w:r w:rsidRPr="00B97064">
        <w:rPr>
          <w:lang w:val="en-GB"/>
        </w:rPr>
        <w:t xml:space="preserve"> and </w:t>
      </w:r>
      <w:fldSimple w:instr=" REF _Ref345257598 \h  \* MERGEFORMAT ">
        <w:r w:rsidR="009458F6" w:rsidRPr="00B97064">
          <w:rPr>
            <w:lang w:val="en-GB"/>
          </w:rPr>
          <w:t>6.4.2 Research part I 2009</w:t>
        </w:r>
      </w:fldSimple>
      <w:r w:rsidRPr="00B97064">
        <w:rPr>
          <w:lang w:val="en-GB"/>
        </w:rPr>
        <w:t>.</w:t>
      </w:r>
      <w:r w:rsidR="0069466E" w:rsidRPr="00B97064">
        <w:rPr>
          <w:lang w:val="en-GB"/>
        </w:rPr>
        <w:t xml:space="preserve"> So again, my results do not correspond with the results of </w:t>
      </w:r>
      <w:proofErr w:type="spellStart"/>
      <w:r w:rsidR="0069466E" w:rsidRPr="00B97064">
        <w:rPr>
          <w:lang w:val="en-GB"/>
        </w:rPr>
        <w:t>Nekhili</w:t>
      </w:r>
      <w:proofErr w:type="spellEnd"/>
      <w:r w:rsidR="007F674E">
        <w:rPr>
          <w:lang w:val="en-GB"/>
        </w:rPr>
        <w:t xml:space="preserve"> and </w:t>
      </w:r>
      <w:proofErr w:type="spellStart"/>
      <w:r w:rsidR="0069466E" w:rsidRPr="00B97064">
        <w:rPr>
          <w:lang w:val="en-GB"/>
        </w:rPr>
        <w:t>Cherif</w:t>
      </w:r>
      <w:proofErr w:type="spellEnd"/>
      <w:r w:rsidR="0069466E" w:rsidRPr="00B97064">
        <w:rPr>
          <w:lang w:val="en-GB"/>
        </w:rPr>
        <w:t xml:space="preserve"> (2011).</w:t>
      </w:r>
    </w:p>
    <w:p w:rsidR="007C7F32" w:rsidRPr="00B97064" w:rsidRDefault="001F76A6" w:rsidP="004B2B47">
      <w:pPr>
        <w:pStyle w:val="Heading3"/>
        <w:rPr>
          <w:lang w:val="en-GB"/>
        </w:rPr>
      </w:pPr>
      <w:bookmarkStart w:id="137" w:name="_Toc349585518"/>
      <w:r w:rsidRPr="00B97064">
        <w:rPr>
          <w:lang w:val="en-GB"/>
        </w:rPr>
        <w:t>6</w:t>
      </w:r>
      <w:r w:rsidR="007C7F32" w:rsidRPr="00B97064">
        <w:rPr>
          <w:lang w:val="en-GB"/>
        </w:rPr>
        <w:t>.6.3 Panel data analysis research part II</w:t>
      </w:r>
      <w:bookmarkEnd w:id="137"/>
    </w:p>
    <w:p w:rsidR="007C7F32" w:rsidRPr="00B97064" w:rsidRDefault="007C7F32" w:rsidP="004B2B47">
      <w:pPr>
        <w:rPr>
          <w:lang w:val="en-GB"/>
        </w:rPr>
      </w:pPr>
      <w:r w:rsidRPr="00B97064">
        <w:rPr>
          <w:lang w:val="en-GB"/>
        </w:rPr>
        <w:t>The results of the panel data regression (using the random effects model) of the second part of my research can be found below:</w:t>
      </w:r>
    </w:p>
    <w:p w:rsidR="007C7F32" w:rsidRPr="00B97064" w:rsidRDefault="007C58A9" w:rsidP="004B2B47">
      <w:pPr>
        <w:rPr>
          <w:lang w:val="en-GB"/>
        </w:rPr>
      </w:pPr>
      <w:r w:rsidRPr="00B97064">
        <w:rPr>
          <w:noProof/>
          <w:lang w:val="en-US" w:eastAsia="en-US"/>
        </w:rPr>
        <w:lastRenderedPageBreak/>
        <w:drawing>
          <wp:inline distT="0" distB="0" distL="0" distR="0">
            <wp:extent cx="5820445" cy="3695700"/>
            <wp:effectExtent l="19050" t="0" r="885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5"/>
                    <a:srcRect l="7535" t="3687" r="7213" b="3951"/>
                    <a:stretch>
                      <a:fillRect/>
                    </a:stretch>
                  </pic:blipFill>
                  <pic:spPr bwMode="auto">
                    <a:xfrm>
                      <a:off x="0" y="0"/>
                      <a:ext cx="5820445" cy="3695700"/>
                    </a:xfrm>
                    <a:prstGeom prst="rect">
                      <a:avLst/>
                    </a:prstGeom>
                    <a:noFill/>
                    <a:ln w="9525">
                      <a:noFill/>
                      <a:miter lim="800000"/>
                      <a:headEnd/>
                      <a:tailEnd/>
                    </a:ln>
                  </pic:spPr>
                </pic:pic>
              </a:graphicData>
            </a:graphic>
          </wp:inline>
        </w:drawing>
      </w:r>
    </w:p>
    <w:p w:rsidR="007C7F32" w:rsidRPr="00B97064" w:rsidRDefault="007C7F32" w:rsidP="00601E6F">
      <w:pPr>
        <w:pStyle w:val="Caption"/>
        <w:rPr>
          <w:lang w:val="en-GB"/>
        </w:rPr>
      </w:pPr>
      <w:bookmarkStart w:id="138" w:name="_Toc349585557"/>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24</w:t>
      </w:r>
      <w:r w:rsidR="00E80C96" w:rsidRPr="00B97064">
        <w:rPr>
          <w:lang w:val="en-GB"/>
        </w:rPr>
        <w:fldChar w:fldCharType="end"/>
      </w:r>
      <w:r w:rsidRPr="00B97064">
        <w:rPr>
          <w:lang w:val="en-GB"/>
        </w:rPr>
        <w:t>: Multiple regression panel data, random effects model, research part II</w:t>
      </w:r>
      <w:bookmarkEnd w:id="138"/>
    </w:p>
    <w:p w:rsidR="007C7F32" w:rsidRPr="00B97064" w:rsidRDefault="007C7F32" w:rsidP="008D1B5B">
      <w:pPr>
        <w:rPr>
          <w:lang w:val="en-GB"/>
        </w:rPr>
      </w:pPr>
    </w:p>
    <w:p w:rsidR="007C7F32" w:rsidRPr="00B97064" w:rsidRDefault="007C7F32" w:rsidP="008D1B5B">
      <w:pPr>
        <w:rPr>
          <w:lang w:val="en-GB"/>
        </w:rPr>
      </w:pPr>
      <w:r w:rsidRPr="00B97064">
        <w:rPr>
          <w:lang w:val="en-GB"/>
        </w:rPr>
        <w:t xml:space="preserve">A significant positive relation was found between the independent variable USA (second listing in the USA) and the dependent variable amount of RPTs. This differs from the hypothesis; I expected a significant negative relation between a second listing in the USA and the amount of RPTs. I also found a significant positive relation between CV2 (control variable 2: natural logarithm of Total Assets) and the amount of RPTs. This conclusion is not in line with the results of the ‘normal’ regressions as discussed in section </w:t>
      </w:r>
      <w:fldSimple w:instr=" REF _Ref345257777 \h  \* MERGEFORMAT ">
        <w:r w:rsidR="004C718C" w:rsidRPr="00B97064">
          <w:rPr>
            <w:lang w:val="en-GB"/>
          </w:rPr>
          <w:t>6.5.1 Research part II 2003</w:t>
        </w:r>
      </w:fldSimple>
      <w:r w:rsidRPr="00B97064">
        <w:rPr>
          <w:lang w:val="en-GB"/>
        </w:rPr>
        <w:t xml:space="preserve"> (no significant relations at all) and section </w:t>
      </w:r>
      <w:fldSimple w:instr=" REF _Ref345257831 \h  \* MERGEFORMAT ">
        <w:r w:rsidR="004C718C" w:rsidRPr="00B97064">
          <w:rPr>
            <w:lang w:val="en-GB"/>
          </w:rPr>
          <w:t>6.5.2 Research part II 2009</w:t>
        </w:r>
      </w:fldSimple>
      <w:r w:rsidRPr="00B97064">
        <w:rPr>
          <w:lang w:val="en-GB"/>
        </w:rPr>
        <w:t xml:space="preserve"> (significant positive percentage of ordinary shares main shareholder (MAIN) and amount of RPTs (RPTS)).</w:t>
      </w:r>
    </w:p>
    <w:p w:rsidR="007C7F32" w:rsidRPr="00B97064" w:rsidRDefault="007C7F32" w:rsidP="008D1B5B">
      <w:pPr>
        <w:rPr>
          <w:lang w:val="en-GB"/>
        </w:rPr>
      </w:pPr>
    </w:p>
    <w:p w:rsidR="007C7F32" w:rsidRPr="00B97064" w:rsidRDefault="007C7F32" w:rsidP="008D1B5B">
      <w:pPr>
        <w:rPr>
          <w:lang w:val="en-GB"/>
        </w:rPr>
      </w:pPr>
      <w:r w:rsidRPr="00B97064">
        <w:rPr>
          <w:lang w:val="en-GB"/>
        </w:rPr>
        <w:t xml:space="preserve">So, all the hypotheses as mentioned in section </w:t>
      </w:r>
      <w:fldSimple w:instr=" REF _Ref341713291 \h  \* MERGEFORMAT ">
        <w:r w:rsidR="004C718C" w:rsidRPr="00B97064">
          <w:rPr>
            <w:lang w:val="en-GB"/>
          </w:rPr>
          <w:t>4.8 Hypotheses</w:t>
        </w:r>
      </w:fldSimple>
      <w:r w:rsidRPr="00B97064">
        <w:rPr>
          <w:lang w:val="en-GB"/>
        </w:rPr>
        <w:t xml:space="preserve"> (hypotheses 3 till 9) could not be accepted (the null hypotheses could not be rejected)</w:t>
      </w:r>
      <w:r w:rsidR="00E52773" w:rsidRPr="00B97064">
        <w:rPr>
          <w:lang w:val="en-GB"/>
        </w:rPr>
        <w:t>.</w:t>
      </w:r>
    </w:p>
    <w:p w:rsidR="0069466E" w:rsidRPr="00B97064" w:rsidRDefault="0069466E" w:rsidP="008D1B5B">
      <w:pPr>
        <w:rPr>
          <w:lang w:val="en-GB"/>
        </w:rPr>
      </w:pPr>
    </w:p>
    <w:p w:rsidR="0069466E" w:rsidRPr="00B97064" w:rsidRDefault="0069466E" w:rsidP="008D1B5B">
      <w:pPr>
        <w:rPr>
          <w:lang w:val="en-GB"/>
        </w:rPr>
      </w:pPr>
      <w:r w:rsidRPr="00B97064">
        <w:rPr>
          <w:lang w:val="en-GB"/>
        </w:rPr>
        <w:t xml:space="preserve">However, one of my results (significant positive relation between being second-listed in the USA and the amount of RPTs) is more or less in correspondence with one of the results of </w:t>
      </w:r>
      <w:proofErr w:type="spellStart"/>
      <w:r w:rsidRPr="00B97064">
        <w:rPr>
          <w:lang w:val="en-GB"/>
        </w:rPr>
        <w:t>Nekhili</w:t>
      </w:r>
      <w:proofErr w:type="spellEnd"/>
      <w:r w:rsidR="007F674E">
        <w:rPr>
          <w:lang w:val="en-GB"/>
        </w:rPr>
        <w:t xml:space="preserve"> and </w:t>
      </w:r>
      <w:proofErr w:type="spellStart"/>
      <w:r w:rsidRPr="00B97064">
        <w:rPr>
          <w:lang w:val="en-GB"/>
        </w:rPr>
        <w:t>Cherif</w:t>
      </w:r>
      <w:proofErr w:type="spellEnd"/>
      <w:r w:rsidRPr="00B97064">
        <w:rPr>
          <w:lang w:val="en-GB"/>
        </w:rPr>
        <w:t xml:space="preserve"> (2011). They also found a significant positive between being cross-listed in the USA and </w:t>
      </w:r>
      <w:r w:rsidRPr="00B97064">
        <w:rPr>
          <w:i/>
          <w:lang w:val="en-GB"/>
        </w:rPr>
        <w:t xml:space="preserve">the number of </w:t>
      </w:r>
      <w:r w:rsidRPr="00B97064">
        <w:rPr>
          <w:lang w:val="en-GB"/>
        </w:rPr>
        <w:t>RPTs.</w:t>
      </w:r>
    </w:p>
    <w:p w:rsidR="007C7F32" w:rsidRPr="00B97064" w:rsidRDefault="001F76A6" w:rsidP="00465AF9">
      <w:pPr>
        <w:pStyle w:val="Heading2"/>
        <w:rPr>
          <w:lang w:val="en-GB"/>
        </w:rPr>
      </w:pPr>
      <w:bookmarkStart w:id="139" w:name="_Toc349585519"/>
      <w:r w:rsidRPr="00B97064">
        <w:rPr>
          <w:lang w:val="en-GB"/>
        </w:rPr>
        <w:lastRenderedPageBreak/>
        <w:t>6</w:t>
      </w:r>
      <w:r w:rsidR="007C7F32" w:rsidRPr="00B97064">
        <w:rPr>
          <w:lang w:val="en-GB"/>
        </w:rPr>
        <w:t>.7 Research part III: effectiveness Dutch corporate governance code</w:t>
      </w:r>
      <w:bookmarkEnd w:id="139"/>
    </w:p>
    <w:p w:rsidR="007C7F32" w:rsidRPr="00B97064" w:rsidRDefault="007C7F32" w:rsidP="005A3D08">
      <w:pPr>
        <w:rPr>
          <w:rFonts w:cs="Arial"/>
          <w:szCs w:val="22"/>
          <w:lang w:val="en-GB"/>
        </w:rPr>
      </w:pPr>
      <w:r w:rsidRPr="00B97064">
        <w:rPr>
          <w:rFonts w:cs="Arial"/>
          <w:szCs w:val="22"/>
          <w:lang w:val="en-GB"/>
        </w:rPr>
        <w:t>In de final part of my research, I tried to find out whether the Code Tabaksblat and the updated version of the code (Code Frijns) had a positive effect on the protection of (minority) shareholders. The da</w:t>
      </w:r>
      <w:r w:rsidR="00E52773" w:rsidRPr="00B97064">
        <w:rPr>
          <w:rFonts w:cs="Arial"/>
          <w:szCs w:val="22"/>
          <w:lang w:val="en-GB"/>
        </w:rPr>
        <w:t>ta was split up into 2 periods:</w:t>
      </w:r>
    </w:p>
    <w:p w:rsidR="007C7F32" w:rsidRPr="00B97064" w:rsidRDefault="007C7F32" w:rsidP="00C140CF">
      <w:pPr>
        <w:widowControl/>
        <w:numPr>
          <w:ilvl w:val="0"/>
          <w:numId w:val="72"/>
        </w:numPr>
        <w:adjustRightInd/>
        <w:textAlignment w:val="auto"/>
        <w:rPr>
          <w:rFonts w:cs="Arial"/>
          <w:szCs w:val="22"/>
          <w:lang w:val="en-GB"/>
        </w:rPr>
      </w:pPr>
      <w:r w:rsidRPr="00B97064">
        <w:rPr>
          <w:rFonts w:cs="Arial"/>
          <w:szCs w:val="22"/>
          <w:lang w:val="en-GB"/>
        </w:rPr>
        <w:t>before the first Dutch corporate governance code came into force (2003);</w:t>
      </w:r>
    </w:p>
    <w:p w:rsidR="007C7F32" w:rsidRPr="00B97064" w:rsidRDefault="007C7F32" w:rsidP="00C140CF">
      <w:pPr>
        <w:widowControl/>
        <w:numPr>
          <w:ilvl w:val="0"/>
          <w:numId w:val="72"/>
        </w:numPr>
        <w:adjustRightInd/>
        <w:textAlignment w:val="auto"/>
        <w:rPr>
          <w:rFonts w:cs="Arial"/>
          <w:szCs w:val="22"/>
          <w:lang w:val="en-GB"/>
        </w:rPr>
      </w:pPr>
      <w:r w:rsidRPr="00B97064">
        <w:rPr>
          <w:rFonts w:cs="Arial"/>
          <w:szCs w:val="22"/>
          <w:lang w:val="en-GB"/>
        </w:rPr>
        <w:t>after the code Frijns came into force (2009).</w:t>
      </w:r>
    </w:p>
    <w:p w:rsidR="00EC5C1B" w:rsidRPr="00B97064" w:rsidRDefault="00EC5C1B" w:rsidP="00EC5C1B">
      <w:pPr>
        <w:widowControl/>
        <w:adjustRightInd/>
        <w:textAlignment w:val="auto"/>
        <w:rPr>
          <w:rFonts w:cs="Arial"/>
          <w:szCs w:val="22"/>
          <w:lang w:val="en-GB"/>
        </w:rPr>
      </w:pPr>
    </w:p>
    <w:p w:rsidR="007C7F32" w:rsidRPr="00B97064" w:rsidRDefault="007C7F32" w:rsidP="005A3D08">
      <w:pPr>
        <w:rPr>
          <w:rFonts w:cs="Arial"/>
          <w:szCs w:val="22"/>
          <w:lang w:val="en-GB"/>
        </w:rPr>
      </w:pPr>
      <w:r w:rsidRPr="00B97064">
        <w:rPr>
          <w:rFonts w:cs="Arial"/>
          <w:szCs w:val="22"/>
          <w:lang w:val="en-GB"/>
        </w:rPr>
        <w:t>I investigated whether the amount of RPTs has decreased over time. Besides this, I investigated whether or not disclosure quality has increased over time. This was investigated by running dependent means T-tests. The results of those t-tests are shown below:</w:t>
      </w:r>
    </w:p>
    <w:p w:rsidR="00EC5C1B" w:rsidRPr="00B97064" w:rsidRDefault="00EC5C1B" w:rsidP="005A3D08">
      <w:pPr>
        <w:rPr>
          <w:rFonts w:cs="Arial"/>
          <w:szCs w:val="22"/>
          <w:lang w:val="en-GB"/>
        </w:rPr>
      </w:pPr>
    </w:p>
    <w:p w:rsidR="007C7F32" w:rsidRPr="00B97064" w:rsidRDefault="007C185A" w:rsidP="000D6C5E">
      <w:pPr>
        <w:rPr>
          <w:rFonts w:cs="Arial"/>
          <w:szCs w:val="22"/>
          <w:lang w:val="en-GB"/>
        </w:rPr>
      </w:pPr>
      <w:r w:rsidRPr="00B97064">
        <w:rPr>
          <w:noProof/>
          <w:szCs w:val="22"/>
          <w:lang w:val="en-US" w:eastAsia="en-US"/>
        </w:rPr>
        <w:drawing>
          <wp:inline distT="0" distB="0" distL="0" distR="0">
            <wp:extent cx="4505325" cy="1181100"/>
            <wp:effectExtent l="1905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a:srcRect/>
                    <a:stretch>
                      <a:fillRect/>
                    </a:stretch>
                  </pic:blipFill>
                  <pic:spPr bwMode="auto">
                    <a:xfrm>
                      <a:off x="0" y="0"/>
                      <a:ext cx="4505325" cy="1181100"/>
                    </a:xfrm>
                    <a:prstGeom prst="rect">
                      <a:avLst/>
                    </a:prstGeom>
                    <a:noFill/>
                    <a:ln w="9525">
                      <a:noFill/>
                      <a:miter lim="800000"/>
                      <a:headEnd/>
                      <a:tailEnd/>
                    </a:ln>
                  </pic:spPr>
                </pic:pic>
              </a:graphicData>
            </a:graphic>
          </wp:inline>
        </w:drawing>
      </w:r>
    </w:p>
    <w:p w:rsidR="007C7F32" w:rsidRPr="00B97064" w:rsidRDefault="007C7F32" w:rsidP="001A4FCE">
      <w:pPr>
        <w:pStyle w:val="Caption"/>
        <w:rPr>
          <w:lang w:val="en-GB"/>
        </w:rPr>
      </w:pPr>
      <w:bookmarkStart w:id="140" w:name="_Toc349585558"/>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25</w:t>
      </w:r>
      <w:r w:rsidR="00E80C96" w:rsidRPr="00B97064">
        <w:rPr>
          <w:lang w:val="en-GB"/>
        </w:rPr>
        <w:fldChar w:fldCharType="end"/>
      </w:r>
      <w:r w:rsidRPr="00B97064">
        <w:rPr>
          <w:lang w:val="en-GB"/>
        </w:rPr>
        <w:t>: Paired samples statistics</w:t>
      </w:r>
      <w:bookmarkEnd w:id="140"/>
    </w:p>
    <w:p w:rsidR="007C7F32" w:rsidRPr="00B97064" w:rsidRDefault="007C7F32" w:rsidP="001A4FCE">
      <w:pPr>
        <w:rPr>
          <w:highlight w:val="yellow"/>
          <w:lang w:val="en-GB"/>
        </w:rPr>
      </w:pPr>
    </w:p>
    <w:p w:rsidR="007C7F32" w:rsidRPr="00B97064" w:rsidRDefault="007C58A9" w:rsidP="000D6C5E">
      <w:pPr>
        <w:rPr>
          <w:lang w:val="en-GB"/>
        </w:rPr>
      </w:pPr>
      <w:r w:rsidRPr="00B97064">
        <w:rPr>
          <w:noProof/>
          <w:lang w:val="en-US" w:eastAsia="en-US"/>
        </w:rPr>
        <w:drawing>
          <wp:inline distT="0" distB="0" distL="0" distR="0">
            <wp:extent cx="3371850" cy="1152525"/>
            <wp:effectExtent l="1905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7"/>
                    <a:srcRect l="11652" t="10150" r="21179" b="10838"/>
                    <a:stretch>
                      <a:fillRect/>
                    </a:stretch>
                  </pic:blipFill>
                  <pic:spPr bwMode="auto">
                    <a:xfrm>
                      <a:off x="0" y="0"/>
                      <a:ext cx="3371850" cy="1152525"/>
                    </a:xfrm>
                    <a:prstGeom prst="rect">
                      <a:avLst/>
                    </a:prstGeom>
                    <a:noFill/>
                    <a:ln w="9525">
                      <a:noFill/>
                      <a:miter lim="800000"/>
                      <a:headEnd/>
                      <a:tailEnd/>
                    </a:ln>
                  </pic:spPr>
                </pic:pic>
              </a:graphicData>
            </a:graphic>
          </wp:inline>
        </w:drawing>
      </w:r>
    </w:p>
    <w:p w:rsidR="007C7F32" w:rsidRPr="00B97064" w:rsidRDefault="007C7F32" w:rsidP="001A4FCE">
      <w:pPr>
        <w:pStyle w:val="Caption"/>
        <w:rPr>
          <w:lang w:val="en-GB"/>
        </w:rPr>
      </w:pPr>
      <w:bookmarkStart w:id="141" w:name="_Toc349585559"/>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26</w:t>
      </w:r>
      <w:r w:rsidR="00E80C96" w:rsidRPr="00B97064">
        <w:rPr>
          <w:lang w:val="en-GB"/>
        </w:rPr>
        <w:fldChar w:fldCharType="end"/>
      </w:r>
      <w:r w:rsidRPr="00B97064">
        <w:rPr>
          <w:lang w:val="en-GB"/>
        </w:rPr>
        <w:t>: Paired samples correlations</w:t>
      </w:r>
      <w:bookmarkEnd w:id="141"/>
    </w:p>
    <w:p w:rsidR="007C7F32" w:rsidRPr="00B97064" w:rsidRDefault="007C7F32" w:rsidP="001A4FCE">
      <w:pPr>
        <w:rPr>
          <w:highlight w:val="yellow"/>
          <w:lang w:val="en-GB"/>
        </w:rPr>
      </w:pPr>
    </w:p>
    <w:p w:rsidR="007C7F32" w:rsidRPr="00B97064" w:rsidRDefault="007C58A9" w:rsidP="000D6C5E">
      <w:pPr>
        <w:rPr>
          <w:lang w:val="en-GB"/>
        </w:rPr>
      </w:pPr>
      <w:r w:rsidRPr="00B97064">
        <w:rPr>
          <w:noProof/>
          <w:lang w:val="en-US" w:eastAsia="en-US"/>
        </w:rPr>
        <w:drawing>
          <wp:inline distT="0" distB="0" distL="0" distR="0">
            <wp:extent cx="5962650" cy="1619250"/>
            <wp:effectExtent l="1905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
                    <a:srcRect l="7159" t="7076" r="7326" b="8522"/>
                    <a:stretch>
                      <a:fillRect/>
                    </a:stretch>
                  </pic:blipFill>
                  <pic:spPr bwMode="auto">
                    <a:xfrm>
                      <a:off x="0" y="0"/>
                      <a:ext cx="5962650" cy="1619250"/>
                    </a:xfrm>
                    <a:prstGeom prst="rect">
                      <a:avLst/>
                    </a:prstGeom>
                    <a:noFill/>
                    <a:ln w="9525">
                      <a:noFill/>
                      <a:miter lim="800000"/>
                      <a:headEnd/>
                      <a:tailEnd/>
                    </a:ln>
                  </pic:spPr>
                </pic:pic>
              </a:graphicData>
            </a:graphic>
          </wp:inline>
        </w:drawing>
      </w:r>
    </w:p>
    <w:p w:rsidR="007C7F32" w:rsidRPr="00B97064" w:rsidRDefault="007C7F32" w:rsidP="001A4FCE">
      <w:pPr>
        <w:pStyle w:val="Caption"/>
        <w:rPr>
          <w:lang w:val="en-GB"/>
        </w:rPr>
      </w:pPr>
      <w:bookmarkStart w:id="142" w:name="_Toc349585560"/>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27</w:t>
      </w:r>
      <w:r w:rsidR="00E80C96" w:rsidRPr="00B97064">
        <w:rPr>
          <w:lang w:val="en-GB"/>
        </w:rPr>
        <w:fldChar w:fldCharType="end"/>
      </w:r>
      <w:r w:rsidRPr="00B97064">
        <w:rPr>
          <w:lang w:val="en-GB"/>
        </w:rPr>
        <w:t>: Paired samples t-test</w:t>
      </w:r>
      <w:bookmarkEnd w:id="142"/>
    </w:p>
    <w:p w:rsidR="007C7F32" w:rsidRPr="00B97064" w:rsidRDefault="007C7F32" w:rsidP="000D6C5E">
      <w:pPr>
        <w:rPr>
          <w:lang w:val="en-GB"/>
        </w:rPr>
      </w:pPr>
    </w:p>
    <w:p w:rsidR="007C7F32" w:rsidRPr="00B97064" w:rsidRDefault="007C7F32" w:rsidP="000D6C5E">
      <w:pPr>
        <w:rPr>
          <w:lang w:val="en-GB"/>
        </w:rPr>
      </w:pPr>
      <w:r w:rsidRPr="00B97064">
        <w:rPr>
          <w:lang w:val="en-GB"/>
        </w:rPr>
        <w:t xml:space="preserve">My hypotheses were one-tailed (I expected a significant decrease of the amount of RPTs and a significant increase of the disclosure level). However, the mean of the amount of RPTs </w:t>
      </w:r>
      <w:r w:rsidRPr="00B97064">
        <w:rPr>
          <w:lang w:val="en-GB"/>
        </w:rPr>
        <w:lastRenderedPageBreak/>
        <w:t xml:space="preserve">has increased over time. Though, this increase is not significant; the two-tailed significance value is 0.194, so the one-tailed value is 0.097. This value is greater than 0.05, so the increase of the amount of RPTs is not significant. The mean of disclosure quality has also increased over time. This increase is also not significant; the two-tailed significance value is 0.399, so the one-tailed value is 0.170. This value is again greater than 0.05, so the increase of disclosure quality is </w:t>
      </w:r>
      <w:r w:rsidR="00EC5C1B" w:rsidRPr="00B97064">
        <w:rPr>
          <w:lang w:val="en-GB"/>
        </w:rPr>
        <w:t xml:space="preserve">also </w:t>
      </w:r>
      <w:r w:rsidRPr="00B97064">
        <w:rPr>
          <w:lang w:val="en-GB"/>
        </w:rPr>
        <w:t>not significant.</w:t>
      </w:r>
      <w:r w:rsidR="001B547D" w:rsidRPr="00B97064">
        <w:rPr>
          <w:lang w:val="en-GB"/>
        </w:rPr>
        <w:t xml:space="preserve"> </w:t>
      </w:r>
      <w:r w:rsidRPr="00B97064">
        <w:rPr>
          <w:lang w:val="en-GB"/>
        </w:rPr>
        <w:t>So, hypothesis 10 as well as hypothesis 11 could not be accepted (the null hypotheses could not be rejected).</w:t>
      </w:r>
    </w:p>
    <w:p w:rsidR="00EC5C1B" w:rsidRPr="00B97064" w:rsidRDefault="00EC5C1B" w:rsidP="000D6C5E">
      <w:pPr>
        <w:rPr>
          <w:lang w:val="en-GB"/>
        </w:rPr>
      </w:pPr>
    </w:p>
    <w:p w:rsidR="007C7F32" w:rsidRPr="00B97064" w:rsidRDefault="007C7F32" w:rsidP="005A3D08">
      <w:pPr>
        <w:rPr>
          <w:rFonts w:cs="Arial"/>
          <w:szCs w:val="22"/>
          <w:lang w:val="en-GB"/>
        </w:rPr>
      </w:pPr>
      <w:r w:rsidRPr="00B97064">
        <w:rPr>
          <w:rFonts w:cs="Arial"/>
          <w:szCs w:val="22"/>
          <w:lang w:val="en-GB"/>
        </w:rPr>
        <w:t xml:space="preserve">Subsequently, the effectiveness of the code was tested by comparing the coefficient of the explanatory variables </w:t>
      </w:r>
      <w:r w:rsidRPr="00B97064">
        <w:rPr>
          <w:rFonts w:cs="Arial"/>
          <w:i/>
          <w:szCs w:val="22"/>
          <w:lang w:val="en-GB"/>
        </w:rPr>
        <w:t>amount of RPTs</w:t>
      </w:r>
      <w:r w:rsidRPr="00B97064">
        <w:rPr>
          <w:rFonts w:cs="Arial"/>
          <w:szCs w:val="22"/>
          <w:lang w:val="en-GB"/>
        </w:rPr>
        <w:t xml:space="preserve"> and </w:t>
      </w:r>
      <w:r w:rsidRPr="00B97064">
        <w:rPr>
          <w:rFonts w:cs="Arial"/>
          <w:i/>
          <w:szCs w:val="22"/>
          <w:lang w:val="en-GB"/>
        </w:rPr>
        <w:t>Disclosure level</w:t>
      </w:r>
      <w:r w:rsidRPr="00B97064">
        <w:rPr>
          <w:rFonts w:cs="Arial"/>
          <w:szCs w:val="22"/>
          <w:lang w:val="en-GB"/>
        </w:rPr>
        <w:t xml:space="preserve"> in the different periods. I investigated whether or not the amount of RPTs (still) have a significant negative effect on firm value after the updated version (Code Frijns) came into effect and whether or not the negative effect diminished over time. This diminishing effect may indicate that the corporate governance code resulted in an increase of investor protection; the explanatory power of RPTs (and thus risk of expropriation) decreased over time, so shareholders experience</w:t>
      </w:r>
      <w:r w:rsidR="00E52773" w:rsidRPr="00B97064">
        <w:rPr>
          <w:rFonts w:cs="Arial"/>
          <w:szCs w:val="22"/>
          <w:lang w:val="en-GB"/>
        </w:rPr>
        <w:t>d RPTs less negative over time.</w:t>
      </w:r>
    </w:p>
    <w:p w:rsidR="00E52773" w:rsidRPr="00B97064" w:rsidRDefault="00E52773" w:rsidP="005A3D08">
      <w:pPr>
        <w:rPr>
          <w:rFonts w:cs="Arial"/>
          <w:szCs w:val="22"/>
          <w:lang w:val="en-GB"/>
        </w:rPr>
      </w:pPr>
    </w:p>
    <w:p w:rsidR="007C7F32" w:rsidRPr="00B97064" w:rsidRDefault="007C7F32" w:rsidP="005A3D08">
      <w:pPr>
        <w:rPr>
          <w:rFonts w:cs="Arial"/>
          <w:szCs w:val="22"/>
          <w:lang w:val="en-GB"/>
        </w:rPr>
      </w:pPr>
      <w:r w:rsidRPr="00B97064">
        <w:rPr>
          <w:rFonts w:cs="Arial"/>
          <w:szCs w:val="22"/>
          <w:lang w:val="en-GB"/>
        </w:rPr>
        <w:t>However, the coefficient of the amount of RPTs slightly increased over time</w:t>
      </w:r>
      <w:r w:rsidR="004B2823" w:rsidRPr="00B97064">
        <w:rPr>
          <w:rFonts w:cs="Arial"/>
          <w:szCs w:val="22"/>
          <w:lang w:val="en-GB"/>
        </w:rPr>
        <w:t xml:space="preserve"> (comparison of the coefficients of the amount of RPTs, as reflected in </w:t>
      </w:r>
      <w:fldSimple w:instr=" REF _Ref349485899 \h  \* MERGEFORMAT ">
        <w:r w:rsidR="004C718C" w:rsidRPr="00B97064">
          <w:rPr>
            <w:lang w:val="en-GB"/>
          </w:rPr>
          <w:t xml:space="preserve">Figure </w:t>
        </w:r>
        <w:r w:rsidR="004C718C" w:rsidRPr="00B97064">
          <w:rPr>
            <w:noProof/>
            <w:lang w:val="en-GB"/>
          </w:rPr>
          <w:t>19</w:t>
        </w:r>
        <w:r w:rsidR="004C718C" w:rsidRPr="00B97064">
          <w:rPr>
            <w:lang w:val="en-GB"/>
          </w:rPr>
          <w:t>: Multiple regression Part I output 2003</w:t>
        </w:r>
      </w:fldSimple>
      <w:r w:rsidR="004B2823" w:rsidRPr="00B97064">
        <w:rPr>
          <w:rFonts w:cs="Arial"/>
          <w:szCs w:val="22"/>
          <w:lang w:val="en-GB"/>
        </w:rPr>
        <w:t xml:space="preserve"> and </w:t>
      </w:r>
      <w:fldSimple w:instr=" REF _Ref349485900 \h  \* MERGEFORMAT ">
        <w:r w:rsidR="004C718C" w:rsidRPr="00B97064">
          <w:rPr>
            <w:lang w:val="en-GB"/>
          </w:rPr>
          <w:t xml:space="preserve">Figure </w:t>
        </w:r>
        <w:r w:rsidR="004C718C" w:rsidRPr="00B97064">
          <w:rPr>
            <w:noProof/>
            <w:lang w:val="en-GB"/>
          </w:rPr>
          <w:t>20</w:t>
        </w:r>
        <w:r w:rsidR="004C718C" w:rsidRPr="00B97064">
          <w:rPr>
            <w:lang w:val="en-GB"/>
          </w:rPr>
          <w:t>: Multiple regression Part I output 2009</w:t>
        </w:r>
      </w:fldSimple>
      <w:r w:rsidR="004B2823" w:rsidRPr="00B97064">
        <w:rPr>
          <w:rFonts w:cs="Arial"/>
          <w:szCs w:val="22"/>
          <w:lang w:val="en-GB"/>
        </w:rPr>
        <w:t>).</w:t>
      </w:r>
      <w:r w:rsidRPr="00B97064">
        <w:rPr>
          <w:rFonts w:cs="Arial"/>
          <w:szCs w:val="22"/>
          <w:lang w:val="en-GB"/>
        </w:rPr>
        <w:t xml:space="preserve"> The difference is not significant, since the coefficient of 2009 lies within the range</w:t>
      </w:r>
      <w:r w:rsidRPr="00B97064">
        <w:rPr>
          <w:rStyle w:val="FootnoteReference"/>
          <w:rFonts w:cs="Arial"/>
          <w:szCs w:val="22"/>
          <w:lang w:val="en-GB"/>
        </w:rPr>
        <w:footnoteReference w:id="17"/>
      </w:r>
      <w:r w:rsidRPr="00B97064">
        <w:rPr>
          <w:rFonts w:cs="Arial"/>
          <w:szCs w:val="22"/>
          <w:lang w:val="en-GB"/>
        </w:rPr>
        <w:t xml:space="preserve"> of the coefficient of 2003</w:t>
      </w:r>
      <w:r w:rsidR="00E52773" w:rsidRPr="00B97064">
        <w:rPr>
          <w:rFonts w:cs="Arial"/>
          <w:szCs w:val="22"/>
          <w:lang w:val="en-GB"/>
        </w:rPr>
        <w:t>.</w:t>
      </w:r>
      <w:r w:rsidRPr="00B97064">
        <w:rPr>
          <w:rFonts w:cs="Arial"/>
          <w:szCs w:val="22"/>
          <w:lang w:val="en-GB"/>
        </w:rPr>
        <w:t xml:space="preserve"> Besides this, the coefficient is in both years positive, which indicates that the amount of RPTs had a positive effect on firm value. Both results are not in line with my expectations</w:t>
      </w:r>
      <w:r w:rsidR="00E52773" w:rsidRPr="00B97064">
        <w:rPr>
          <w:rFonts w:cs="Arial"/>
          <w:szCs w:val="22"/>
          <w:lang w:val="en-GB"/>
        </w:rPr>
        <w:t>. Since hypothesis 12 assumes a</w:t>
      </w:r>
      <w:r w:rsidRPr="00B97064">
        <w:rPr>
          <w:rFonts w:cs="Arial"/>
          <w:szCs w:val="22"/>
          <w:lang w:val="en-GB"/>
        </w:rPr>
        <w:t xml:space="preserve"> diminishing </w:t>
      </w:r>
      <w:r w:rsidRPr="00B97064">
        <w:rPr>
          <w:rFonts w:cs="Arial"/>
          <w:i/>
          <w:szCs w:val="22"/>
          <w:lang w:val="en-GB"/>
        </w:rPr>
        <w:t xml:space="preserve">negative </w:t>
      </w:r>
      <w:r w:rsidRPr="00B97064">
        <w:rPr>
          <w:rFonts w:cs="Arial"/>
          <w:szCs w:val="22"/>
          <w:lang w:val="en-GB"/>
        </w:rPr>
        <w:t>effect, this hypothesis could not be accepted.</w:t>
      </w:r>
    </w:p>
    <w:p w:rsidR="007C7F32" w:rsidRPr="00B97064" w:rsidRDefault="007C7F32" w:rsidP="005A3D08">
      <w:pPr>
        <w:rPr>
          <w:rFonts w:cs="Arial"/>
          <w:szCs w:val="22"/>
          <w:lang w:val="en-GB"/>
        </w:rPr>
      </w:pPr>
    </w:p>
    <w:p w:rsidR="007C7F32" w:rsidRPr="00B97064" w:rsidRDefault="007C7F32" w:rsidP="005A3D08">
      <w:pPr>
        <w:rPr>
          <w:lang w:val="en-GB"/>
        </w:rPr>
      </w:pPr>
      <w:r w:rsidRPr="00B97064">
        <w:rPr>
          <w:rFonts w:cs="Arial"/>
          <w:szCs w:val="22"/>
          <w:lang w:val="en-GB"/>
        </w:rPr>
        <w:t xml:space="preserve">Besides this, I explored whether or not the disclosure level (still) has a significant positive effect on firm value (a mitigating effect of the negative effect of the amount of RPTs on firm value) after the Code Frijns came into force. I expected this effect increased over time, since I expected disclosure quality increased, which strengthened the mitigating effect of disclosure quality. In 2003, the coefficient of DL was -0.241, which means that disclosure quality had a negative effect on firm value. In 2009, the coefficient of DL 0.1419, which means that disclosure quality had a positive effect on firm value. So, the positive effect had increased over time (changed from negative to positive). However, this change was not </w:t>
      </w:r>
      <w:r w:rsidRPr="00B97064">
        <w:rPr>
          <w:rFonts w:cs="Arial"/>
          <w:szCs w:val="22"/>
          <w:lang w:val="en-GB"/>
        </w:rPr>
        <w:lastRenderedPageBreak/>
        <w:t>significant, since the coefficient of 2009 lies within the range</w:t>
      </w:r>
      <w:r w:rsidRPr="00B97064">
        <w:rPr>
          <w:rStyle w:val="FootnoteReference"/>
          <w:rFonts w:cs="Arial"/>
          <w:szCs w:val="22"/>
          <w:lang w:val="en-GB"/>
        </w:rPr>
        <w:footnoteReference w:id="18"/>
      </w:r>
      <w:r w:rsidRPr="00B97064">
        <w:rPr>
          <w:rFonts w:cs="Arial"/>
          <w:szCs w:val="22"/>
          <w:lang w:val="en-GB"/>
        </w:rPr>
        <w:t xml:space="preserve"> of the coefficient of 2003. Therefore, hypothesis 13 could not be accepted.</w:t>
      </w:r>
    </w:p>
    <w:p w:rsidR="007C7F32" w:rsidRPr="00B97064" w:rsidRDefault="001F76A6" w:rsidP="006F2588">
      <w:pPr>
        <w:pStyle w:val="Heading2"/>
        <w:rPr>
          <w:lang w:val="en-GB"/>
        </w:rPr>
      </w:pPr>
      <w:bookmarkStart w:id="143" w:name="_Ref344559868"/>
      <w:bookmarkStart w:id="144" w:name="_Ref344560748"/>
      <w:bookmarkStart w:id="145" w:name="_Toc349585520"/>
      <w:r w:rsidRPr="00B97064">
        <w:rPr>
          <w:lang w:val="en-GB"/>
        </w:rPr>
        <w:t>6</w:t>
      </w:r>
      <w:r w:rsidR="007C7F32" w:rsidRPr="00B97064">
        <w:rPr>
          <w:lang w:val="en-GB"/>
        </w:rPr>
        <w:t>.8 Limitations</w:t>
      </w:r>
      <w:bookmarkEnd w:id="143"/>
      <w:bookmarkEnd w:id="144"/>
      <w:bookmarkEnd w:id="145"/>
    </w:p>
    <w:p w:rsidR="007C7F32" w:rsidRPr="00B97064" w:rsidRDefault="007C7F32" w:rsidP="006F2588">
      <w:pPr>
        <w:rPr>
          <w:lang w:val="en-GB"/>
        </w:rPr>
      </w:pPr>
      <w:r w:rsidRPr="00B97064">
        <w:rPr>
          <w:lang w:val="en-GB"/>
        </w:rPr>
        <w:t>The conducted research has several limitations. First of all, the sample of my research was small; the sample consisted of only 9</w:t>
      </w:r>
      <w:r w:rsidR="00937FA4" w:rsidRPr="00B97064">
        <w:rPr>
          <w:lang w:val="en-GB"/>
        </w:rPr>
        <w:t>8</w:t>
      </w:r>
      <w:r w:rsidRPr="00B97064">
        <w:rPr>
          <w:lang w:val="en-GB"/>
        </w:rPr>
        <w:t xml:space="preserve"> firms for each examined year. The small sample was caused by the fact that most of the data had to be gathered manually. Due to the small sample, the results of this research are less reliable.</w:t>
      </w:r>
    </w:p>
    <w:p w:rsidR="007C7F32" w:rsidRPr="00B97064" w:rsidRDefault="007C7F32" w:rsidP="006F2588">
      <w:pPr>
        <w:rPr>
          <w:lang w:val="en-GB"/>
        </w:rPr>
      </w:pPr>
    </w:p>
    <w:p w:rsidR="007C7F32" w:rsidRPr="00B97064" w:rsidRDefault="007C7F32" w:rsidP="006F2588">
      <w:pPr>
        <w:rPr>
          <w:lang w:val="en-GB"/>
        </w:rPr>
      </w:pPr>
      <w:r w:rsidRPr="00B97064">
        <w:rPr>
          <w:lang w:val="en-GB"/>
        </w:rPr>
        <w:t xml:space="preserve">Secondly, most corporate governance and ownership data was collected from the annual reports as released by the firms of my sample. Some reports did not contain all information elements which were necessary for my research. An assumption was made that missing values, like not mentioning a separate audit committee, or not mentioning whether the audit committee consisted of some financial expert(s), implied that there was no audit committee respectively financial expert at all. However, this assumption is quite rigorous, since it could be the case a firm did have an audit committee as well as some financial expert(s), but did not mention it in their annual report. So, the </w:t>
      </w:r>
      <w:r w:rsidR="00E52773" w:rsidRPr="00B97064">
        <w:rPr>
          <w:lang w:val="en-GB"/>
        </w:rPr>
        <w:t>assumption</w:t>
      </w:r>
      <w:r w:rsidR="00937FA4" w:rsidRPr="00B97064">
        <w:rPr>
          <w:lang w:val="en-GB"/>
        </w:rPr>
        <w:t xml:space="preserve"> made</w:t>
      </w:r>
      <w:r w:rsidR="00E52773" w:rsidRPr="00B97064">
        <w:rPr>
          <w:lang w:val="en-GB"/>
        </w:rPr>
        <w:t xml:space="preserve"> may be incorrect.</w:t>
      </w:r>
    </w:p>
    <w:p w:rsidR="007C7F32" w:rsidRPr="00B97064" w:rsidRDefault="007C7F32" w:rsidP="006F2588">
      <w:pPr>
        <w:rPr>
          <w:lang w:val="en-GB"/>
        </w:rPr>
      </w:pPr>
    </w:p>
    <w:p w:rsidR="007C7F32" w:rsidRPr="00B97064" w:rsidRDefault="007C7F32" w:rsidP="006F2588">
      <w:pPr>
        <w:rPr>
          <w:lang w:val="en-GB"/>
        </w:rPr>
      </w:pPr>
      <w:r w:rsidRPr="00B97064">
        <w:rPr>
          <w:lang w:val="en-GB"/>
        </w:rPr>
        <w:t>Furthermore, the risk of expropriation is measured in this research by the total amount of RPTs in which a company entered in the concerning year. However, the amount of RPTs may depend on the type of industry. Though, this is not taken into account (for example as control variable).</w:t>
      </w:r>
    </w:p>
    <w:p w:rsidR="007C7F32" w:rsidRPr="00B97064" w:rsidRDefault="007C7F32" w:rsidP="006F2588">
      <w:pPr>
        <w:rPr>
          <w:lang w:val="en-GB"/>
        </w:rPr>
      </w:pPr>
    </w:p>
    <w:p w:rsidR="007C7F32" w:rsidRPr="00B97064" w:rsidRDefault="007C7F32" w:rsidP="006F2588">
      <w:pPr>
        <w:rPr>
          <w:lang w:val="en-GB"/>
        </w:rPr>
      </w:pPr>
      <w:r w:rsidRPr="00B97064">
        <w:rPr>
          <w:lang w:val="en-GB"/>
        </w:rPr>
        <w:t>Another limitation of this research is the way in which the voting power of the main shareholder was measured. For almost all firms, only the percentage of ordinary shares of the main shareholder was available, so this was used to determine the voting power of the main shareholder. However, it may be better to use the percentage of voting rights of the main shareholder or the difference between the percentages of voti</w:t>
      </w:r>
      <w:r w:rsidR="00937FA4" w:rsidRPr="00B97064">
        <w:rPr>
          <w:lang w:val="en-GB"/>
        </w:rPr>
        <w:t xml:space="preserve">ng rights and cash </w:t>
      </w:r>
      <w:r w:rsidR="00A75564" w:rsidRPr="00B97064">
        <w:rPr>
          <w:lang w:val="en-GB"/>
        </w:rPr>
        <w:t xml:space="preserve">flow rights, since this </w:t>
      </w:r>
      <w:r w:rsidR="0092094F" w:rsidRPr="00B97064">
        <w:rPr>
          <w:lang w:val="en-GB"/>
        </w:rPr>
        <w:t>is a better proxy for the risk of expropriation by the main shareholder.</w:t>
      </w:r>
    </w:p>
    <w:p w:rsidR="007C7F32" w:rsidRPr="00B97064" w:rsidRDefault="007C7F32" w:rsidP="006F2588">
      <w:pPr>
        <w:rPr>
          <w:lang w:val="en-GB"/>
        </w:rPr>
      </w:pPr>
    </w:p>
    <w:p w:rsidR="007C7F32" w:rsidRPr="00B97064" w:rsidRDefault="007C7F32" w:rsidP="006F2588">
      <w:pPr>
        <w:rPr>
          <w:rFonts w:cs="Arial"/>
          <w:bCs/>
          <w:iCs/>
          <w:sz w:val="24"/>
          <w:szCs w:val="28"/>
          <w:lang w:val="en-GB"/>
        </w:rPr>
      </w:pPr>
      <w:r w:rsidRPr="00B97064">
        <w:rPr>
          <w:lang w:val="en-GB"/>
        </w:rPr>
        <w:t xml:space="preserve">Finally, in this research, the years 2003 and 2009 were compared in order to investigate the difference in shareholder protection level. Those years were chosen in view of the introduction of the Dutch corporate governance code (Tabaksblat) in 2004 and the revised version (Frijns) in 2009; the year 2003 represents the last year before the code Tabaksblat came into force and 2009 was the first year under the code Frijns. However, in 2003, there </w:t>
      </w:r>
      <w:r w:rsidRPr="00B97064">
        <w:rPr>
          <w:lang w:val="en-GB"/>
        </w:rPr>
        <w:lastRenderedPageBreak/>
        <w:t>probably were some ‘early adapters’ which voluntary report in accordance with the code Tabaksblat before it officially came into force. So, the choice of the year 2003 is probably not purely accurate.</w:t>
      </w:r>
    </w:p>
    <w:p w:rsidR="007C7F32" w:rsidRPr="00B97064" w:rsidRDefault="001F76A6" w:rsidP="000D6C5E">
      <w:pPr>
        <w:pStyle w:val="Heading2"/>
        <w:rPr>
          <w:lang w:val="en-GB"/>
        </w:rPr>
      </w:pPr>
      <w:bookmarkStart w:id="146" w:name="_Toc349585521"/>
      <w:r w:rsidRPr="00B97064">
        <w:rPr>
          <w:lang w:val="en-GB"/>
        </w:rPr>
        <w:t>6</w:t>
      </w:r>
      <w:r w:rsidR="007C7F32" w:rsidRPr="00B97064">
        <w:rPr>
          <w:lang w:val="en-GB"/>
        </w:rPr>
        <w:t>.9 Summary</w:t>
      </w:r>
      <w:bookmarkEnd w:id="146"/>
    </w:p>
    <w:p w:rsidR="007C7F32" w:rsidRPr="00B97064" w:rsidRDefault="007C7F32" w:rsidP="00102861">
      <w:pPr>
        <w:rPr>
          <w:lang w:val="en-GB"/>
        </w:rPr>
      </w:pPr>
      <w:r w:rsidRPr="00B97064">
        <w:rPr>
          <w:lang w:val="en-GB"/>
        </w:rPr>
        <w:t>This chapter showed and analysed the results of the conducted research. First of all, a description of the variables and the data was given for</w:t>
      </w:r>
      <w:r w:rsidR="001B547D" w:rsidRPr="00B97064">
        <w:rPr>
          <w:lang w:val="en-GB"/>
        </w:rPr>
        <w:t xml:space="preserve"> the year 2003 as well as 2009, including the results of the conducted disclosure study.</w:t>
      </w:r>
    </w:p>
    <w:p w:rsidR="007C7F32" w:rsidRPr="00B97064" w:rsidRDefault="007C7F32" w:rsidP="00102861">
      <w:pPr>
        <w:rPr>
          <w:lang w:val="en-GB"/>
        </w:rPr>
      </w:pPr>
    </w:p>
    <w:p w:rsidR="007C7F32" w:rsidRPr="00B97064" w:rsidRDefault="007C7F32" w:rsidP="00102861">
      <w:pPr>
        <w:rPr>
          <w:lang w:val="en-GB"/>
        </w:rPr>
      </w:pPr>
      <w:r w:rsidRPr="00B97064">
        <w:rPr>
          <w:lang w:val="en-GB"/>
        </w:rPr>
        <w:t>In section four, the results of the first part of my research were analysed; this part investigated the relation between the amount of RPTs, disclosure level in de field of RPTs and firm value for the years 2003 and 2009. In both years, no significant negative respectively positive relation was found between the amount of RPTs, d</w:t>
      </w:r>
      <w:r w:rsidR="0092094F" w:rsidRPr="00B97064">
        <w:rPr>
          <w:lang w:val="en-GB"/>
        </w:rPr>
        <w:t>isclosure level and firm value.</w:t>
      </w:r>
      <w:r w:rsidR="001B547D" w:rsidRPr="00B97064">
        <w:rPr>
          <w:lang w:val="en-GB"/>
        </w:rPr>
        <w:t xml:space="preserve"> Those results are not in line with the results of </w:t>
      </w:r>
      <w:proofErr w:type="spellStart"/>
      <w:r w:rsidR="001B547D" w:rsidRPr="00B97064">
        <w:rPr>
          <w:lang w:val="en-GB"/>
        </w:rPr>
        <w:t>Nekhili</w:t>
      </w:r>
      <w:proofErr w:type="spellEnd"/>
      <w:r w:rsidR="007F674E">
        <w:rPr>
          <w:lang w:val="en-GB"/>
        </w:rPr>
        <w:t xml:space="preserve"> and </w:t>
      </w:r>
      <w:proofErr w:type="spellStart"/>
      <w:r w:rsidR="001B547D" w:rsidRPr="00B97064">
        <w:rPr>
          <w:lang w:val="en-GB"/>
        </w:rPr>
        <w:t>Cherif</w:t>
      </w:r>
      <w:proofErr w:type="spellEnd"/>
      <w:r w:rsidR="001B547D" w:rsidRPr="00B97064">
        <w:rPr>
          <w:lang w:val="en-GB"/>
        </w:rPr>
        <w:t xml:space="preserve"> (2011).</w:t>
      </w:r>
    </w:p>
    <w:p w:rsidR="0092094F" w:rsidRPr="00B97064" w:rsidRDefault="0092094F" w:rsidP="00102861">
      <w:pPr>
        <w:rPr>
          <w:lang w:val="en-GB"/>
        </w:rPr>
      </w:pPr>
    </w:p>
    <w:p w:rsidR="007C7F32" w:rsidRPr="00B97064" w:rsidRDefault="007C7F32" w:rsidP="00102861">
      <w:pPr>
        <w:rPr>
          <w:lang w:val="en-GB"/>
        </w:rPr>
      </w:pPr>
      <w:r w:rsidRPr="00B97064">
        <w:rPr>
          <w:lang w:val="en-GB"/>
        </w:rPr>
        <w:t>Thereafter, the results of the second part of my research were shown and analysed. This part was devoted to the investigation of the relation of some corporate governance</w:t>
      </w:r>
      <w:r w:rsidR="001B547D" w:rsidRPr="00B97064">
        <w:rPr>
          <w:lang w:val="en-GB"/>
        </w:rPr>
        <w:t>-</w:t>
      </w:r>
      <w:r w:rsidRPr="00B97064">
        <w:rPr>
          <w:lang w:val="en-GB"/>
        </w:rPr>
        <w:t xml:space="preserve"> and ownership characteristics and the amount of RPTs. For the year 2009, a significant positive relation was found between the percentage of ordinary shares of the main shareholder and the amount of RPTs.</w:t>
      </w:r>
      <w:r w:rsidR="001B547D" w:rsidRPr="00B97064">
        <w:rPr>
          <w:lang w:val="en-GB"/>
        </w:rPr>
        <w:t xml:space="preserve"> This result is more or less in line with one of the results of </w:t>
      </w:r>
      <w:proofErr w:type="spellStart"/>
      <w:r w:rsidR="001B547D" w:rsidRPr="00B97064">
        <w:rPr>
          <w:rFonts w:cs="Arial"/>
          <w:szCs w:val="22"/>
          <w:lang w:val="en-GB"/>
        </w:rPr>
        <w:t>Nekhili</w:t>
      </w:r>
      <w:proofErr w:type="spellEnd"/>
      <w:r w:rsidR="007F674E">
        <w:rPr>
          <w:rFonts w:cs="Arial"/>
          <w:szCs w:val="22"/>
          <w:lang w:val="en-GB"/>
        </w:rPr>
        <w:t xml:space="preserve"> and </w:t>
      </w:r>
      <w:proofErr w:type="spellStart"/>
      <w:r w:rsidR="001B547D" w:rsidRPr="00B97064">
        <w:rPr>
          <w:rFonts w:cs="Arial"/>
          <w:szCs w:val="22"/>
          <w:lang w:val="en-GB"/>
        </w:rPr>
        <w:t>Cherif</w:t>
      </w:r>
      <w:proofErr w:type="spellEnd"/>
      <w:r w:rsidR="001B547D" w:rsidRPr="00B97064">
        <w:rPr>
          <w:rFonts w:cs="Arial"/>
          <w:szCs w:val="22"/>
          <w:lang w:val="en-GB"/>
        </w:rPr>
        <w:t xml:space="preserve"> (2011); they found a significant positive relation between the percentage of </w:t>
      </w:r>
      <w:r w:rsidR="001B547D" w:rsidRPr="00B97064">
        <w:rPr>
          <w:rFonts w:cs="Arial"/>
          <w:i/>
          <w:szCs w:val="22"/>
          <w:lang w:val="en-GB"/>
        </w:rPr>
        <w:t>voting rights</w:t>
      </w:r>
      <w:r w:rsidR="001B547D" w:rsidRPr="00B97064">
        <w:rPr>
          <w:rFonts w:cs="Arial"/>
          <w:szCs w:val="22"/>
          <w:lang w:val="en-GB"/>
        </w:rPr>
        <w:t xml:space="preserve"> of the main shareholder and </w:t>
      </w:r>
      <w:r w:rsidR="001B547D" w:rsidRPr="00B97064">
        <w:rPr>
          <w:rFonts w:cs="Arial"/>
          <w:i/>
          <w:szCs w:val="22"/>
          <w:lang w:val="en-GB"/>
        </w:rPr>
        <w:t xml:space="preserve">the number of </w:t>
      </w:r>
      <w:r w:rsidR="001B547D" w:rsidRPr="00B97064">
        <w:rPr>
          <w:rFonts w:cs="Arial"/>
          <w:szCs w:val="22"/>
          <w:lang w:val="en-GB"/>
        </w:rPr>
        <w:t>RPTs.</w:t>
      </w:r>
      <w:r w:rsidRPr="00B97064">
        <w:rPr>
          <w:lang w:val="en-GB"/>
        </w:rPr>
        <w:t xml:space="preserve"> For all other characteristics like being audited by a big </w:t>
      </w:r>
      <w:r w:rsidR="002D10C8" w:rsidRPr="00B97064">
        <w:rPr>
          <w:lang w:val="en-GB"/>
        </w:rPr>
        <w:t>4</w:t>
      </w:r>
      <w:r w:rsidRPr="00B97064">
        <w:rPr>
          <w:lang w:val="en-GB"/>
        </w:rPr>
        <w:t xml:space="preserve"> auditor, being second listed in the USA, the number of executive and supervisory board members and the level of expertise of the audit committee, no significant impact was found. </w:t>
      </w:r>
      <w:r w:rsidR="001B547D" w:rsidRPr="00B97064">
        <w:rPr>
          <w:lang w:val="en-GB"/>
        </w:rPr>
        <w:t xml:space="preserve">Those other results are not in line with the results of </w:t>
      </w:r>
      <w:proofErr w:type="spellStart"/>
      <w:r w:rsidR="001B547D" w:rsidRPr="00B97064">
        <w:rPr>
          <w:lang w:val="en-GB"/>
        </w:rPr>
        <w:t>Nekhili</w:t>
      </w:r>
      <w:proofErr w:type="spellEnd"/>
      <w:r w:rsidR="007F674E">
        <w:rPr>
          <w:lang w:val="en-GB"/>
        </w:rPr>
        <w:t xml:space="preserve"> and </w:t>
      </w:r>
      <w:proofErr w:type="spellStart"/>
      <w:r w:rsidR="001B547D" w:rsidRPr="00B97064">
        <w:rPr>
          <w:lang w:val="en-GB"/>
        </w:rPr>
        <w:t>Cherif</w:t>
      </w:r>
      <w:proofErr w:type="spellEnd"/>
      <w:r w:rsidR="001B547D" w:rsidRPr="00B97064">
        <w:rPr>
          <w:lang w:val="en-GB"/>
        </w:rPr>
        <w:t xml:space="preserve"> (2011).</w:t>
      </w:r>
    </w:p>
    <w:p w:rsidR="007C7F32" w:rsidRPr="00B97064" w:rsidRDefault="007C7F32" w:rsidP="00102861">
      <w:pPr>
        <w:rPr>
          <w:lang w:val="en-GB"/>
        </w:rPr>
      </w:pPr>
    </w:p>
    <w:p w:rsidR="007C7F32" w:rsidRPr="00B97064" w:rsidRDefault="007C7F32" w:rsidP="00102861">
      <w:pPr>
        <w:rPr>
          <w:lang w:val="en-GB"/>
        </w:rPr>
      </w:pPr>
      <w:r w:rsidRPr="00B97064">
        <w:rPr>
          <w:lang w:val="en-GB"/>
        </w:rPr>
        <w:t>After that, the results of the panel data regression</w:t>
      </w:r>
      <w:r w:rsidR="0092094F" w:rsidRPr="00B97064">
        <w:rPr>
          <w:lang w:val="en-GB"/>
        </w:rPr>
        <w:t>s</w:t>
      </w:r>
      <w:r w:rsidRPr="00B97064">
        <w:rPr>
          <w:lang w:val="en-GB"/>
        </w:rPr>
        <w:t xml:space="preserve"> were shown and analysed. A significant positive relation was found between being second listed in the USA, however, this was the reverse of the expected effect, so none of the hypotheses could be accepted.</w:t>
      </w:r>
      <w:r w:rsidR="001B547D" w:rsidRPr="00B97064">
        <w:rPr>
          <w:lang w:val="en-GB"/>
        </w:rPr>
        <w:t xml:space="preserve"> Though, this result is</w:t>
      </w:r>
      <w:r w:rsidR="00735690" w:rsidRPr="00B97064">
        <w:rPr>
          <w:lang w:val="en-GB"/>
        </w:rPr>
        <w:t xml:space="preserve"> more or less</w:t>
      </w:r>
      <w:r w:rsidR="001B547D" w:rsidRPr="00B97064">
        <w:rPr>
          <w:lang w:val="en-GB"/>
        </w:rPr>
        <w:t xml:space="preserve"> in line with the study of </w:t>
      </w:r>
      <w:proofErr w:type="spellStart"/>
      <w:r w:rsidR="001B547D" w:rsidRPr="00B97064">
        <w:rPr>
          <w:lang w:val="en-GB"/>
        </w:rPr>
        <w:t>Nekhili</w:t>
      </w:r>
      <w:proofErr w:type="spellEnd"/>
      <w:r w:rsidR="007F674E">
        <w:rPr>
          <w:lang w:val="en-GB"/>
        </w:rPr>
        <w:t xml:space="preserve"> and </w:t>
      </w:r>
      <w:proofErr w:type="spellStart"/>
      <w:r w:rsidR="001B547D" w:rsidRPr="00B97064">
        <w:rPr>
          <w:lang w:val="en-GB"/>
        </w:rPr>
        <w:t>Cherif</w:t>
      </w:r>
      <w:proofErr w:type="spellEnd"/>
      <w:r w:rsidR="001B547D" w:rsidRPr="00B97064">
        <w:rPr>
          <w:lang w:val="en-GB"/>
        </w:rPr>
        <w:t xml:space="preserve"> (2011); they also found a significant positive relation between being second listed in the USA and </w:t>
      </w:r>
      <w:r w:rsidR="001B547D" w:rsidRPr="00B97064">
        <w:rPr>
          <w:i/>
          <w:lang w:val="en-GB"/>
        </w:rPr>
        <w:t xml:space="preserve">the number of </w:t>
      </w:r>
      <w:r w:rsidR="001B547D" w:rsidRPr="00B97064">
        <w:rPr>
          <w:lang w:val="en-GB"/>
        </w:rPr>
        <w:t>RPTs.</w:t>
      </w:r>
    </w:p>
    <w:p w:rsidR="007C7F32" w:rsidRPr="00B97064" w:rsidRDefault="007C7F32" w:rsidP="00102861">
      <w:pPr>
        <w:rPr>
          <w:lang w:val="en-GB"/>
        </w:rPr>
      </w:pPr>
    </w:p>
    <w:p w:rsidR="007C7F32" w:rsidRPr="00B97064" w:rsidRDefault="007C7F32" w:rsidP="00102861">
      <w:pPr>
        <w:rPr>
          <w:lang w:val="en-GB"/>
        </w:rPr>
      </w:pPr>
      <w:r w:rsidRPr="00B97064">
        <w:rPr>
          <w:lang w:val="en-GB"/>
        </w:rPr>
        <w:t xml:space="preserve">In the subsequent section, the results of the third part of my research were analysed. This part compared the results of 2003 with the results of 2009 in order to investigate whether the shareholder protection has increased over the years. No significant difference in mean of the amount of RPTs and disclosure level was found between the year 2003 and 2009, so </w:t>
      </w:r>
      <w:r w:rsidRPr="00B97064">
        <w:rPr>
          <w:lang w:val="en-GB"/>
        </w:rPr>
        <w:lastRenderedPageBreak/>
        <w:t>hypotheses 10 and 11 could not be accepted. Also no significant difference of the coefficients of the amount of RPTs and disclosure level was found between 2003 and 2009. So, hypotheses 12 and 13 could also not be accepted.</w:t>
      </w:r>
    </w:p>
    <w:p w:rsidR="007C7F32" w:rsidRPr="00B97064" w:rsidRDefault="007C7F32" w:rsidP="00102861">
      <w:pPr>
        <w:rPr>
          <w:lang w:val="en-GB"/>
        </w:rPr>
      </w:pPr>
    </w:p>
    <w:p w:rsidR="007C7F32" w:rsidRPr="00B97064" w:rsidRDefault="007C7F32" w:rsidP="00102861">
      <w:pPr>
        <w:rPr>
          <w:lang w:val="en-GB"/>
        </w:rPr>
      </w:pPr>
      <w:r w:rsidRPr="00B97064">
        <w:rPr>
          <w:lang w:val="en-GB"/>
        </w:rPr>
        <w:t>Finally, in section eight, the limitations of this research were pointed out. The main limitation was the sample of my research; since the sample was small, due to the time-consuming nature of the collection of my data, the results of my research are less reliable. Furthermore, some assumptions are made by the collection of the data; missing information in the annual reports about the audit committee or financial expert implies the firm does not have any. Those assumptions are quite rigorous</w:t>
      </w:r>
      <w:r w:rsidR="0092094F" w:rsidRPr="00B97064">
        <w:rPr>
          <w:lang w:val="en-GB"/>
        </w:rPr>
        <w:t>.</w:t>
      </w:r>
      <w:r w:rsidRPr="00B97064">
        <w:rPr>
          <w:lang w:val="en-GB"/>
        </w:rPr>
        <w:t xml:space="preserve"> Measuring voting power of the main shareholder by the percentage of ordinary shares and the choice of the year 2003 as pre corporate governance code year are also not totally accurate. Finally, the amount of RPTs is not controlled by the type of industry, which is possibly affecting the amount of RPTs.</w:t>
      </w:r>
    </w:p>
    <w:p w:rsidR="007C7F32" w:rsidRPr="00B97064" w:rsidRDefault="007C7F32" w:rsidP="002A1427">
      <w:pPr>
        <w:pStyle w:val="Heading1"/>
        <w:rPr>
          <w:lang w:val="en-GB"/>
        </w:rPr>
      </w:pPr>
      <w:r w:rsidRPr="00B97064">
        <w:rPr>
          <w:color w:val="auto"/>
          <w:lang w:val="en-GB"/>
        </w:rPr>
        <w:br w:type="page"/>
      </w:r>
      <w:bookmarkStart w:id="147" w:name="_Toc349585522"/>
      <w:r w:rsidR="001F76A6" w:rsidRPr="00B97064">
        <w:rPr>
          <w:lang w:val="en-GB"/>
        </w:rPr>
        <w:lastRenderedPageBreak/>
        <w:t>7</w:t>
      </w:r>
      <w:r w:rsidRPr="00B97064">
        <w:rPr>
          <w:lang w:val="en-GB"/>
        </w:rPr>
        <w:t>. Conclusion</w:t>
      </w:r>
      <w:bookmarkEnd w:id="147"/>
    </w:p>
    <w:p w:rsidR="007C7F32" w:rsidRPr="00B97064" w:rsidRDefault="007C7F32" w:rsidP="007C3685">
      <w:pPr>
        <w:rPr>
          <w:lang w:val="en-GB"/>
        </w:rPr>
      </w:pPr>
      <w:r w:rsidRPr="00B97064">
        <w:rPr>
          <w:lang w:val="en-GB"/>
        </w:rPr>
        <w:t xml:space="preserve">This thesis was devoted to RPTs. Since RPTs are associated with the risk of expropriation of firms’ resources, entering into RPTs should have a negative effect on firm value. In this thesis, I investigated this negative relation, as well as some related variables. Those variables included disclosure level; a high disclosure quality may mitigate the expected negative effect of RPTs on firm value. Furthermore, the relation between RPTs and some </w:t>
      </w:r>
      <w:r w:rsidR="002E29A7" w:rsidRPr="00B97064">
        <w:rPr>
          <w:lang w:val="en-GB"/>
        </w:rPr>
        <w:t>corporate governance-</w:t>
      </w:r>
      <w:r w:rsidRPr="00B97064">
        <w:rPr>
          <w:lang w:val="en-GB"/>
        </w:rPr>
        <w:t xml:space="preserve"> and ownership characteristics was investigated. The central research question of this thesis was:</w:t>
      </w:r>
    </w:p>
    <w:p w:rsidR="007C7F32" w:rsidRPr="00B97064" w:rsidRDefault="007C7F32" w:rsidP="007C3685">
      <w:pPr>
        <w:rPr>
          <w:i/>
          <w:lang w:val="en-GB"/>
        </w:rPr>
      </w:pPr>
      <w:r w:rsidRPr="00B97064">
        <w:rPr>
          <w:i/>
          <w:lang w:val="en-GB"/>
        </w:rPr>
        <w:t>“Is there a relation between the amount of RPTs and firm value and which firm characteristics affect the amount of RPTs?”</w:t>
      </w:r>
    </w:p>
    <w:p w:rsidR="007C7F32" w:rsidRPr="00B97064" w:rsidRDefault="007C7F32" w:rsidP="007C3685">
      <w:pPr>
        <w:rPr>
          <w:i/>
          <w:lang w:val="en-GB"/>
        </w:rPr>
      </w:pPr>
    </w:p>
    <w:p w:rsidR="007C7F32" w:rsidRPr="00B97064" w:rsidRDefault="007C7F32" w:rsidP="007C3685">
      <w:pPr>
        <w:rPr>
          <w:rFonts w:cs="Arial"/>
          <w:szCs w:val="22"/>
          <w:lang w:val="en-GB"/>
        </w:rPr>
      </w:pPr>
      <w:r w:rsidRPr="00B97064">
        <w:rPr>
          <w:lang w:val="en-GB"/>
        </w:rPr>
        <w:t xml:space="preserve">The conducted empirical research was split up in three parts. In the first part, the relation between the amount of RPTs, disclosure level in the field of RPTs and firm value was investigated. I expected a negative relation between the amount of RPTs and firm value, since I used the amount of RPTs as a proxy for the risk of expropriation. However, no significant relation was found between the amount of RPTs and firm value for the year 2003 as well as 2009. This conclusion is in contrast with earlier studies as conducted by </w:t>
      </w:r>
      <w:r w:rsidRPr="00B97064">
        <w:rPr>
          <w:rFonts w:cs="Arial"/>
          <w:szCs w:val="22"/>
          <w:lang w:val="en-GB"/>
        </w:rPr>
        <w:t>Cheung et al. (2006), Ko</w:t>
      </w:r>
      <w:r w:rsidR="00370E41">
        <w:rPr>
          <w:rFonts w:cs="Arial"/>
          <w:szCs w:val="22"/>
          <w:lang w:val="en-GB"/>
        </w:rPr>
        <w:t>h</w:t>
      </w:r>
      <w:r w:rsidRPr="00B97064">
        <w:rPr>
          <w:rFonts w:cs="Arial"/>
          <w:szCs w:val="22"/>
          <w:lang w:val="en-GB"/>
        </w:rPr>
        <w:t>lbeck and M</w:t>
      </w:r>
      <w:r w:rsidR="00F976EA" w:rsidRPr="00B97064">
        <w:rPr>
          <w:rFonts w:cs="Arial"/>
          <w:szCs w:val="22"/>
          <w:lang w:val="en-GB"/>
        </w:rPr>
        <w:t>a</w:t>
      </w:r>
      <w:r w:rsidRPr="00B97064">
        <w:rPr>
          <w:rFonts w:cs="Arial"/>
          <w:szCs w:val="22"/>
          <w:lang w:val="en-GB"/>
        </w:rPr>
        <w:t xml:space="preserve">yhew (2010) and </w:t>
      </w:r>
      <w:proofErr w:type="spellStart"/>
      <w:r w:rsidRPr="00B97064">
        <w:rPr>
          <w:rFonts w:cs="Arial"/>
          <w:szCs w:val="22"/>
          <w:lang w:val="en-GB"/>
        </w:rPr>
        <w:t>Nek</w:t>
      </w:r>
      <w:r w:rsidR="00F6307B" w:rsidRPr="00B97064">
        <w:rPr>
          <w:rFonts w:cs="Arial"/>
          <w:szCs w:val="22"/>
          <w:lang w:val="en-GB"/>
        </w:rPr>
        <w:t>hili</w:t>
      </w:r>
      <w:proofErr w:type="spellEnd"/>
      <w:r w:rsidR="007F674E">
        <w:rPr>
          <w:rFonts w:cs="Arial"/>
          <w:szCs w:val="22"/>
          <w:lang w:val="en-GB"/>
        </w:rPr>
        <w:t xml:space="preserve"> and </w:t>
      </w:r>
      <w:proofErr w:type="spellStart"/>
      <w:r w:rsidR="00F6307B" w:rsidRPr="00B97064">
        <w:rPr>
          <w:rFonts w:cs="Arial"/>
          <w:szCs w:val="22"/>
          <w:lang w:val="en-GB"/>
        </w:rPr>
        <w:t>Cherif</w:t>
      </w:r>
      <w:proofErr w:type="spellEnd"/>
      <w:r w:rsidR="00F6307B" w:rsidRPr="00B97064">
        <w:rPr>
          <w:rFonts w:cs="Arial"/>
          <w:szCs w:val="22"/>
          <w:lang w:val="en-GB"/>
        </w:rPr>
        <w:t xml:space="preserve"> (2011).</w:t>
      </w:r>
      <w:r w:rsidRPr="00B97064">
        <w:rPr>
          <w:rFonts w:cs="Arial"/>
          <w:szCs w:val="22"/>
          <w:lang w:val="en-GB"/>
        </w:rPr>
        <w:t xml:space="preserve"> They all </w:t>
      </w:r>
      <w:r w:rsidR="002E29A7" w:rsidRPr="00B97064">
        <w:rPr>
          <w:rFonts w:cs="Arial"/>
          <w:szCs w:val="22"/>
          <w:lang w:val="en-GB"/>
        </w:rPr>
        <w:t>found</w:t>
      </w:r>
      <w:r w:rsidRPr="00B97064">
        <w:rPr>
          <w:rFonts w:cs="Arial"/>
          <w:szCs w:val="22"/>
          <w:lang w:val="en-GB"/>
        </w:rPr>
        <w:t xml:space="preserve"> a significant negative relation between RPTs (measured by the amount or number of RPTs) and firm value.</w:t>
      </w:r>
    </w:p>
    <w:p w:rsidR="007C7F32" w:rsidRPr="00B97064" w:rsidRDefault="007C7F32" w:rsidP="007C3685">
      <w:pPr>
        <w:rPr>
          <w:rFonts w:cs="Arial"/>
          <w:szCs w:val="22"/>
          <w:lang w:val="en-GB"/>
        </w:rPr>
      </w:pPr>
    </w:p>
    <w:p w:rsidR="007C7F32" w:rsidRPr="00B97064" w:rsidRDefault="007C7F32" w:rsidP="007C3685">
      <w:pPr>
        <w:rPr>
          <w:rFonts w:cs="Arial"/>
          <w:szCs w:val="22"/>
          <w:lang w:val="en-GB"/>
        </w:rPr>
      </w:pPr>
      <w:r w:rsidRPr="00B97064">
        <w:rPr>
          <w:rFonts w:cs="Arial"/>
          <w:szCs w:val="22"/>
          <w:lang w:val="en-GB"/>
        </w:rPr>
        <w:t>This part of the research also investigated the relation between disclosure level in the field of RPTs</w:t>
      </w:r>
      <w:r w:rsidR="002E29A7" w:rsidRPr="00B97064">
        <w:rPr>
          <w:rFonts w:cs="Arial"/>
          <w:szCs w:val="22"/>
          <w:lang w:val="en-GB"/>
        </w:rPr>
        <w:t xml:space="preserve"> and firm value</w:t>
      </w:r>
      <w:r w:rsidRPr="00B97064">
        <w:rPr>
          <w:rFonts w:cs="Arial"/>
          <w:szCs w:val="22"/>
          <w:lang w:val="en-GB"/>
        </w:rPr>
        <w:t xml:space="preserve">. This disclosure level was determined by conducting a disclosure </w:t>
      </w:r>
      <w:r w:rsidR="00F6307B" w:rsidRPr="00B97064">
        <w:rPr>
          <w:rFonts w:cs="Arial"/>
          <w:szCs w:val="22"/>
          <w:lang w:val="en-GB"/>
        </w:rPr>
        <w:t xml:space="preserve">index </w:t>
      </w:r>
      <w:r w:rsidRPr="00B97064">
        <w:rPr>
          <w:rFonts w:cs="Arial"/>
          <w:szCs w:val="22"/>
          <w:lang w:val="en-GB"/>
        </w:rPr>
        <w:t>study. For all firms, I determined a disclosure ratio (number of the predefined information elements the disclosure contained divided by the total number of disclosure elements</w:t>
      </w:r>
      <w:r w:rsidR="00F6307B" w:rsidRPr="00B97064">
        <w:rPr>
          <w:rFonts w:cs="Arial"/>
          <w:szCs w:val="22"/>
          <w:lang w:val="en-GB"/>
        </w:rPr>
        <w:t xml:space="preserve"> (11 elements)</w:t>
      </w:r>
      <w:r w:rsidRPr="00B97064">
        <w:rPr>
          <w:rFonts w:cs="Arial"/>
          <w:szCs w:val="22"/>
          <w:lang w:val="en-GB"/>
        </w:rPr>
        <w:t>). The underlying assumption was that a higher disclosure amount indicates a higher disclosure quality. After the disclosure ratio was determined, I inv</w:t>
      </w:r>
      <w:r w:rsidR="00F6307B" w:rsidRPr="00B97064">
        <w:rPr>
          <w:rFonts w:cs="Arial"/>
          <w:szCs w:val="22"/>
          <w:lang w:val="en-GB"/>
        </w:rPr>
        <w:t>estigated the relation between</w:t>
      </w:r>
      <w:r w:rsidRPr="00B97064">
        <w:rPr>
          <w:rFonts w:cs="Arial"/>
          <w:szCs w:val="22"/>
          <w:lang w:val="en-GB"/>
        </w:rPr>
        <w:t xml:space="preserve"> this disclosure ratio and firm value. I expected a positive relation between those variables, since I expect that giving more information could have a mitigating effect on the negative effect of RPTs on firm value. So, the disclosure ratio should have a positive effect on firm value. However, I did not f</w:t>
      </w:r>
      <w:r w:rsidR="00F6307B" w:rsidRPr="00B97064">
        <w:rPr>
          <w:rFonts w:cs="Arial"/>
          <w:szCs w:val="22"/>
          <w:lang w:val="en-GB"/>
        </w:rPr>
        <w:t>ind</w:t>
      </w:r>
      <w:r w:rsidRPr="00B97064">
        <w:rPr>
          <w:rFonts w:cs="Arial"/>
          <w:szCs w:val="22"/>
          <w:lang w:val="en-GB"/>
        </w:rPr>
        <w:t xml:space="preserve"> a significant negative relation between the disclosure level and firm value for the year 2003 as well as 2009.</w:t>
      </w:r>
      <w:r w:rsidR="00EE0482" w:rsidRPr="00B97064">
        <w:rPr>
          <w:rFonts w:cs="Arial"/>
          <w:szCs w:val="22"/>
          <w:lang w:val="en-GB"/>
        </w:rPr>
        <w:t xml:space="preserve"> This is in contrast with t</w:t>
      </w:r>
      <w:r w:rsidR="00E938F0" w:rsidRPr="00B97064">
        <w:rPr>
          <w:rFonts w:cs="Arial"/>
          <w:szCs w:val="22"/>
          <w:lang w:val="en-GB"/>
        </w:rPr>
        <w:t xml:space="preserve">he study of Cheung et al. (2006) and </w:t>
      </w:r>
      <w:r w:rsidR="00EE0482" w:rsidRPr="00B97064">
        <w:rPr>
          <w:rFonts w:cs="Arial"/>
          <w:szCs w:val="22"/>
          <w:lang w:val="en-GB"/>
        </w:rPr>
        <w:t xml:space="preserve">Ge et al. </w:t>
      </w:r>
      <w:r w:rsidR="008F102F" w:rsidRPr="00B97064">
        <w:rPr>
          <w:rFonts w:cs="Arial"/>
          <w:szCs w:val="22"/>
          <w:lang w:val="en-GB"/>
        </w:rPr>
        <w:t>(</w:t>
      </w:r>
      <w:r w:rsidR="00EE0482" w:rsidRPr="00B97064">
        <w:rPr>
          <w:rFonts w:cs="Arial"/>
          <w:szCs w:val="22"/>
          <w:lang w:val="en-GB"/>
        </w:rPr>
        <w:t>2010</w:t>
      </w:r>
      <w:r w:rsidR="008F102F" w:rsidRPr="00B97064">
        <w:rPr>
          <w:rFonts w:cs="Arial"/>
          <w:szCs w:val="22"/>
          <w:lang w:val="en-GB"/>
        </w:rPr>
        <w:t>)</w:t>
      </w:r>
      <w:r w:rsidR="00EE0482" w:rsidRPr="00B97064">
        <w:rPr>
          <w:rFonts w:cs="Arial"/>
          <w:szCs w:val="22"/>
          <w:lang w:val="en-GB"/>
        </w:rPr>
        <w:t>.</w:t>
      </w:r>
      <w:r w:rsidR="00E938F0" w:rsidRPr="00B97064">
        <w:rPr>
          <w:rFonts w:cs="Arial"/>
          <w:szCs w:val="22"/>
          <w:lang w:val="en-GB"/>
        </w:rPr>
        <w:t xml:space="preserve"> Cheung et al (2006) found that a low disclosure level had a significant negative impact on MAAR.</w:t>
      </w:r>
      <w:r w:rsidR="00EE0482" w:rsidRPr="00B97064">
        <w:rPr>
          <w:rFonts w:cs="Arial"/>
          <w:szCs w:val="22"/>
          <w:lang w:val="en-GB"/>
        </w:rPr>
        <w:t xml:space="preserve"> </w:t>
      </w:r>
      <w:r w:rsidR="00E938F0" w:rsidRPr="00B97064">
        <w:rPr>
          <w:rFonts w:cs="Arial"/>
          <w:szCs w:val="22"/>
          <w:lang w:val="en-GB"/>
        </w:rPr>
        <w:t>Ge et al (2010)</w:t>
      </w:r>
      <w:r w:rsidR="00EE0482" w:rsidRPr="00B97064">
        <w:rPr>
          <w:rFonts w:cs="Arial"/>
          <w:szCs w:val="22"/>
          <w:lang w:val="en-GB"/>
        </w:rPr>
        <w:t xml:space="preserve"> found that investors did not devaluate earnings after the introduction of new fair value measurement legislation in the field of RPTs. </w:t>
      </w:r>
      <w:r w:rsidR="008F102F" w:rsidRPr="00B97064">
        <w:rPr>
          <w:rFonts w:cs="Arial"/>
          <w:szCs w:val="22"/>
          <w:lang w:val="en-GB"/>
        </w:rPr>
        <w:t xml:space="preserve">However, </w:t>
      </w:r>
      <w:r w:rsidR="00E938F0" w:rsidRPr="00B97064">
        <w:rPr>
          <w:rFonts w:cs="Arial"/>
          <w:szCs w:val="22"/>
          <w:lang w:val="en-GB"/>
        </w:rPr>
        <w:t xml:space="preserve">this research is </w:t>
      </w:r>
      <w:r w:rsidR="008F102F" w:rsidRPr="00B97064">
        <w:rPr>
          <w:rFonts w:cs="Arial"/>
          <w:szCs w:val="22"/>
          <w:lang w:val="en-GB"/>
        </w:rPr>
        <w:t>perhaps not comparable</w:t>
      </w:r>
      <w:r w:rsidR="00E938F0" w:rsidRPr="00B97064">
        <w:rPr>
          <w:rFonts w:cs="Arial"/>
          <w:szCs w:val="22"/>
          <w:lang w:val="en-GB"/>
        </w:rPr>
        <w:t xml:space="preserve"> with my research</w:t>
      </w:r>
      <w:r w:rsidR="008F102F" w:rsidRPr="00B97064">
        <w:rPr>
          <w:rFonts w:cs="Arial"/>
          <w:szCs w:val="22"/>
          <w:lang w:val="en-GB"/>
        </w:rPr>
        <w:t>, since the</w:t>
      </w:r>
      <w:r w:rsidR="00EE0482" w:rsidRPr="00B97064">
        <w:rPr>
          <w:rFonts w:cs="Arial"/>
          <w:szCs w:val="22"/>
          <w:lang w:val="en-GB"/>
        </w:rPr>
        <w:t xml:space="preserve"> </w:t>
      </w:r>
      <w:r w:rsidR="00EE0482" w:rsidRPr="00B97064">
        <w:rPr>
          <w:rFonts w:cs="Arial"/>
          <w:szCs w:val="22"/>
          <w:lang w:val="en-GB"/>
        </w:rPr>
        <w:lastRenderedPageBreak/>
        <w:t>research</w:t>
      </w:r>
      <w:r w:rsidR="008F102F" w:rsidRPr="00B97064">
        <w:rPr>
          <w:rFonts w:cs="Arial"/>
          <w:szCs w:val="22"/>
          <w:lang w:val="en-GB"/>
        </w:rPr>
        <w:t xml:space="preserve"> of Ge et al. (2010)</w:t>
      </w:r>
      <w:r w:rsidR="00EE0482" w:rsidRPr="00B97064">
        <w:rPr>
          <w:rFonts w:cs="Arial"/>
          <w:szCs w:val="22"/>
          <w:lang w:val="en-GB"/>
        </w:rPr>
        <w:t xml:space="preserve"> did not contain a separate </w:t>
      </w:r>
      <w:r w:rsidR="00DC443A" w:rsidRPr="00B97064">
        <w:rPr>
          <w:rFonts w:cs="Arial"/>
          <w:szCs w:val="22"/>
          <w:lang w:val="en-GB"/>
        </w:rPr>
        <w:t>variable for disclosure quality,</w:t>
      </w:r>
      <w:r w:rsidR="00EE0482" w:rsidRPr="00B97064">
        <w:rPr>
          <w:rFonts w:cs="Arial"/>
          <w:szCs w:val="22"/>
          <w:lang w:val="en-GB"/>
        </w:rPr>
        <w:t xml:space="preserve"> but only the RPT variable.</w:t>
      </w:r>
      <w:r w:rsidR="00E4564B" w:rsidRPr="00B97064">
        <w:rPr>
          <w:rFonts w:cs="Arial"/>
          <w:szCs w:val="22"/>
          <w:lang w:val="en-GB"/>
        </w:rPr>
        <w:t xml:space="preserve"> Furthermore, Ge et al. (2010) used earnings as dependent variable.</w:t>
      </w:r>
      <w:r w:rsidR="00EE0482" w:rsidRPr="00B97064">
        <w:rPr>
          <w:rFonts w:cs="Arial"/>
          <w:szCs w:val="22"/>
          <w:lang w:val="en-GB"/>
        </w:rPr>
        <w:t xml:space="preserve"> However, </w:t>
      </w:r>
      <w:r w:rsidR="00DC443A" w:rsidRPr="00B97064">
        <w:rPr>
          <w:rFonts w:cs="Arial"/>
          <w:szCs w:val="22"/>
          <w:lang w:val="en-GB"/>
        </w:rPr>
        <w:t>it</w:t>
      </w:r>
      <w:r w:rsidR="00EE0482" w:rsidRPr="00B97064">
        <w:rPr>
          <w:rFonts w:cs="Arial"/>
          <w:szCs w:val="22"/>
          <w:lang w:val="en-GB"/>
        </w:rPr>
        <w:t xml:space="preserve"> might </w:t>
      </w:r>
      <w:r w:rsidR="00DC443A" w:rsidRPr="00B97064">
        <w:rPr>
          <w:rFonts w:cs="Arial"/>
          <w:szCs w:val="22"/>
          <w:lang w:val="en-GB"/>
        </w:rPr>
        <w:t>be assumable</w:t>
      </w:r>
      <w:r w:rsidR="00EE0482" w:rsidRPr="00B97064">
        <w:rPr>
          <w:rFonts w:cs="Arial"/>
          <w:szCs w:val="22"/>
          <w:lang w:val="en-GB"/>
        </w:rPr>
        <w:t xml:space="preserve"> that the higher disclosure quality due to the new legislation mitigates the negative effect of</w:t>
      </w:r>
      <w:r w:rsidR="008F102F" w:rsidRPr="00B97064">
        <w:rPr>
          <w:rFonts w:cs="Arial"/>
          <w:szCs w:val="22"/>
          <w:lang w:val="en-GB"/>
        </w:rPr>
        <w:t xml:space="preserve"> RPTs on </w:t>
      </w:r>
      <w:r w:rsidR="00EE0482" w:rsidRPr="00B97064">
        <w:rPr>
          <w:rFonts w:cs="Arial"/>
          <w:szCs w:val="22"/>
          <w:lang w:val="en-GB"/>
        </w:rPr>
        <w:t>earnings and thus firm value.</w:t>
      </w:r>
      <w:r w:rsidR="00DC443A" w:rsidRPr="00B97064">
        <w:rPr>
          <w:rFonts w:cs="Arial"/>
          <w:szCs w:val="22"/>
          <w:lang w:val="en-GB"/>
        </w:rPr>
        <w:t xml:space="preserve"> So, in case it is assumed that the two variables of my research (RPTs and Disclosure level) are included in one variable in the research of Ge et al. (201</w:t>
      </w:r>
      <w:r w:rsidR="005153F7" w:rsidRPr="00B97064">
        <w:rPr>
          <w:rFonts w:cs="Arial"/>
          <w:szCs w:val="22"/>
          <w:lang w:val="en-GB"/>
        </w:rPr>
        <w:t>0</w:t>
      </w:r>
      <w:r w:rsidR="00DC443A" w:rsidRPr="00B97064">
        <w:rPr>
          <w:rFonts w:cs="Arial"/>
          <w:szCs w:val="22"/>
          <w:lang w:val="en-GB"/>
        </w:rPr>
        <w:t>),</w:t>
      </w:r>
      <w:r w:rsidR="00E4564B" w:rsidRPr="00B97064">
        <w:rPr>
          <w:rFonts w:cs="Arial"/>
          <w:szCs w:val="22"/>
          <w:lang w:val="en-GB"/>
        </w:rPr>
        <w:t xml:space="preserve"> and firm value and earnings are substitutes,</w:t>
      </w:r>
      <w:r w:rsidR="00DC443A" w:rsidRPr="00B97064">
        <w:rPr>
          <w:rFonts w:cs="Arial"/>
          <w:szCs w:val="22"/>
          <w:lang w:val="en-GB"/>
        </w:rPr>
        <w:t xml:space="preserve"> the results of my research are not in line with</w:t>
      </w:r>
      <w:r w:rsidR="005153F7" w:rsidRPr="00B97064">
        <w:rPr>
          <w:rFonts w:cs="Arial"/>
          <w:szCs w:val="22"/>
          <w:lang w:val="en-GB"/>
        </w:rPr>
        <w:t xml:space="preserve"> the results of</w:t>
      </w:r>
      <w:r w:rsidR="00DC443A" w:rsidRPr="00B97064">
        <w:rPr>
          <w:rFonts w:cs="Arial"/>
          <w:szCs w:val="22"/>
          <w:lang w:val="en-GB"/>
        </w:rPr>
        <w:t xml:space="preserve"> this latter study.</w:t>
      </w:r>
    </w:p>
    <w:p w:rsidR="007C7F32" w:rsidRPr="00B97064" w:rsidRDefault="007C7F32" w:rsidP="007C3685">
      <w:pPr>
        <w:rPr>
          <w:rFonts w:cs="Arial"/>
          <w:szCs w:val="22"/>
          <w:lang w:val="en-GB"/>
        </w:rPr>
      </w:pPr>
    </w:p>
    <w:p w:rsidR="007C7F32" w:rsidRPr="00B97064" w:rsidRDefault="007C7F32" w:rsidP="007C3685">
      <w:pPr>
        <w:rPr>
          <w:rFonts w:cs="Arial"/>
          <w:szCs w:val="22"/>
          <w:lang w:val="en-GB"/>
        </w:rPr>
      </w:pPr>
      <w:r w:rsidRPr="00B97064">
        <w:rPr>
          <w:rFonts w:cs="Arial"/>
          <w:szCs w:val="22"/>
          <w:lang w:val="en-GB"/>
        </w:rPr>
        <w:t xml:space="preserve">In the second part of my research, I investigated the relation between the amount of RPTs and some corporate governance and ownership characteristics. Of those characteristics, I expected that the number of executive board members and percentage of ordinary shares of the main shareholder should have a positive effect on the amount of RPTs. I expected that the number of supervisory board members, the ratio of supervisory board members and total board members, the level of expertise of the audit committee, being listed in the USA and being audited by a big </w:t>
      </w:r>
      <w:r w:rsidR="002D10C8" w:rsidRPr="00B97064">
        <w:rPr>
          <w:rFonts w:cs="Arial"/>
          <w:szCs w:val="22"/>
          <w:lang w:val="en-GB"/>
        </w:rPr>
        <w:t>4</w:t>
      </w:r>
      <w:r w:rsidRPr="00B97064">
        <w:rPr>
          <w:rFonts w:cs="Arial"/>
          <w:szCs w:val="22"/>
          <w:lang w:val="en-GB"/>
        </w:rPr>
        <w:t xml:space="preserve"> audit firm should have negative effect on the amount of RPTs. However, I found no single significant relation for the year 2003. For the year 2009, I found a significant </w:t>
      </w:r>
      <w:r w:rsidR="005153F7" w:rsidRPr="00B97064">
        <w:rPr>
          <w:rFonts w:cs="Arial"/>
          <w:szCs w:val="22"/>
          <w:lang w:val="en-GB"/>
        </w:rPr>
        <w:t>positive</w:t>
      </w:r>
      <w:r w:rsidRPr="00B97064">
        <w:rPr>
          <w:rFonts w:cs="Arial"/>
          <w:szCs w:val="22"/>
          <w:lang w:val="en-GB"/>
        </w:rPr>
        <w:t xml:space="preserve"> relation between the percentage of ordinary shares of the main shareholder and the amount of RPTs. This is (approximately) in line with the research of </w:t>
      </w:r>
      <w:proofErr w:type="spellStart"/>
      <w:r w:rsidRPr="00B97064">
        <w:rPr>
          <w:lang w:val="en-GB"/>
        </w:rPr>
        <w:t>Nekhili</w:t>
      </w:r>
      <w:proofErr w:type="spellEnd"/>
      <w:r w:rsidR="007F674E">
        <w:rPr>
          <w:lang w:val="en-GB"/>
        </w:rPr>
        <w:t xml:space="preserve"> and </w:t>
      </w:r>
      <w:proofErr w:type="spellStart"/>
      <w:r w:rsidRPr="00B97064">
        <w:rPr>
          <w:lang w:val="en-GB"/>
        </w:rPr>
        <w:t>Cherif</w:t>
      </w:r>
      <w:proofErr w:type="spellEnd"/>
      <w:r w:rsidRPr="00B97064">
        <w:rPr>
          <w:lang w:val="en-GB"/>
        </w:rPr>
        <w:t xml:space="preserve"> (2011), </w:t>
      </w:r>
      <w:proofErr w:type="gramStart"/>
      <w:r w:rsidRPr="00B97064">
        <w:rPr>
          <w:lang w:val="en-GB"/>
        </w:rPr>
        <w:t>who</w:t>
      </w:r>
      <w:proofErr w:type="gramEnd"/>
      <w:r w:rsidRPr="00B97064">
        <w:rPr>
          <w:lang w:val="en-GB"/>
        </w:rPr>
        <w:t xml:space="preserve"> proved a positive relation between the </w:t>
      </w:r>
      <w:r w:rsidRPr="00B97064">
        <w:rPr>
          <w:i/>
          <w:lang w:val="en-GB"/>
        </w:rPr>
        <w:t>voting rights</w:t>
      </w:r>
      <w:r w:rsidRPr="00B97064">
        <w:rPr>
          <w:lang w:val="en-GB"/>
        </w:rPr>
        <w:t xml:space="preserve"> of the main shareholder and </w:t>
      </w:r>
      <w:r w:rsidRPr="00B97064">
        <w:rPr>
          <w:i/>
          <w:lang w:val="en-GB"/>
        </w:rPr>
        <w:t>the number of</w:t>
      </w:r>
      <w:r w:rsidRPr="00B97064">
        <w:rPr>
          <w:lang w:val="en-GB"/>
        </w:rPr>
        <w:t xml:space="preserve"> RPTs. However, I did not find other significant results, which is not in line with their research.</w:t>
      </w:r>
    </w:p>
    <w:p w:rsidR="007C7F32" w:rsidRPr="00B97064" w:rsidRDefault="007C7F32" w:rsidP="007C3685">
      <w:pPr>
        <w:rPr>
          <w:rFonts w:cs="Arial"/>
          <w:szCs w:val="22"/>
          <w:lang w:val="en-GB"/>
        </w:rPr>
      </w:pPr>
    </w:p>
    <w:p w:rsidR="007C7F32" w:rsidRPr="00B97064" w:rsidRDefault="007C7F32" w:rsidP="007C3685">
      <w:pPr>
        <w:rPr>
          <w:rFonts w:cs="Arial"/>
          <w:szCs w:val="22"/>
          <w:lang w:val="en-GB"/>
        </w:rPr>
      </w:pPr>
      <w:r w:rsidRPr="00B97064">
        <w:rPr>
          <w:rFonts w:cs="Arial"/>
          <w:szCs w:val="22"/>
          <w:lang w:val="en-GB"/>
        </w:rPr>
        <w:t xml:space="preserve">The data was also analysed by using a panel data regression. Again, no significant relation was found between the amount of RPTs, disclosure level and firm value. A significant positive relation was found between being listed in the USA and the amount of RPTs. This positive effect was the reverse of the expected effect. However, this positive relation is in line with the research of </w:t>
      </w:r>
      <w:proofErr w:type="spellStart"/>
      <w:r w:rsidRPr="00B97064">
        <w:rPr>
          <w:rFonts w:cs="Arial"/>
          <w:szCs w:val="22"/>
          <w:lang w:val="en-GB"/>
        </w:rPr>
        <w:t>Nekhili</w:t>
      </w:r>
      <w:proofErr w:type="spellEnd"/>
      <w:r w:rsidR="007F674E">
        <w:rPr>
          <w:rFonts w:cs="Arial"/>
          <w:szCs w:val="22"/>
          <w:lang w:val="en-GB"/>
        </w:rPr>
        <w:t xml:space="preserve"> and </w:t>
      </w:r>
      <w:proofErr w:type="spellStart"/>
      <w:r w:rsidRPr="00B97064">
        <w:rPr>
          <w:rFonts w:cs="Arial"/>
          <w:szCs w:val="22"/>
          <w:lang w:val="en-GB"/>
        </w:rPr>
        <w:t>Cherif</w:t>
      </w:r>
      <w:proofErr w:type="spellEnd"/>
      <w:r w:rsidRPr="00B97064">
        <w:rPr>
          <w:rFonts w:cs="Arial"/>
          <w:szCs w:val="22"/>
          <w:lang w:val="en-GB"/>
        </w:rPr>
        <w:t xml:space="preserve">, who also found a positive relation between being listed in the USA and </w:t>
      </w:r>
      <w:r w:rsidRPr="00B97064">
        <w:rPr>
          <w:rFonts w:cs="Arial"/>
          <w:i/>
          <w:szCs w:val="22"/>
          <w:lang w:val="en-GB"/>
        </w:rPr>
        <w:t>the number of</w:t>
      </w:r>
      <w:r w:rsidRPr="00B97064">
        <w:rPr>
          <w:rFonts w:cs="Arial"/>
          <w:szCs w:val="22"/>
          <w:lang w:val="en-GB"/>
        </w:rPr>
        <w:t xml:space="preserve"> RPTs.</w:t>
      </w:r>
    </w:p>
    <w:p w:rsidR="007C7F32" w:rsidRPr="00B97064" w:rsidRDefault="007C7F32" w:rsidP="007C3685">
      <w:pPr>
        <w:rPr>
          <w:rFonts w:cs="Arial"/>
          <w:szCs w:val="22"/>
          <w:lang w:val="en-GB"/>
        </w:rPr>
      </w:pPr>
    </w:p>
    <w:p w:rsidR="007C7F32" w:rsidRPr="00B97064" w:rsidRDefault="007C7F32" w:rsidP="007C3685">
      <w:pPr>
        <w:rPr>
          <w:rFonts w:cs="Arial"/>
          <w:szCs w:val="22"/>
          <w:lang w:val="en-GB"/>
        </w:rPr>
      </w:pPr>
      <w:r w:rsidRPr="00B97064">
        <w:rPr>
          <w:rFonts w:cs="Arial"/>
          <w:szCs w:val="22"/>
          <w:lang w:val="en-GB"/>
        </w:rPr>
        <w:t>Subsequently, I investigated whether the amount of RPTs has decreased over time. I expected a decrease, since I expected that the Dutch corporate governance code increased the investor protection in the Netherlands. A higher investor protection should result in a smaller amount of RPTs, since the amount of RPTs was a proxy for the risk of expropriation. However, I did not found a significant decrease of the amount of RPTs, the amount of RPTs actually increased. However, this increase was not significant.</w:t>
      </w:r>
    </w:p>
    <w:p w:rsidR="007C7F32" w:rsidRPr="00B97064" w:rsidRDefault="007C7F32" w:rsidP="007C3685">
      <w:pPr>
        <w:rPr>
          <w:rFonts w:cs="Arial"/>
          <w:szCs w:val="22"/>
          <w:lang w:val="en-GB"/>
        </w:rPr>
      </w:pPr>
    </w:p>
    <w:p w:rsidR="007C7F32" w:rsidRPr="00B97064" w:rsidRDefault="007C7F32" w:rsidP="007C3685">
      <w:pPr>
        <w:rPr>
          <w:rFonts w:cs="Arial"/>
          <w:szCs w:val="22"/>
          <w:lang w:val="en-GB"/>
        </w:rPr>
      </w:pPr>
      <w:r w:rsidRPr="00B97064">
        <w:rPr>
          <w:rFonts w:cs="Arial"/>
          <w:szCs w:val="22"/>
          <w:lang w:val="en-GB"/>
        </w:rPr>
        <w:t xml:space="preserve">I also investigated whether the disclosure level has increased over time. I expected an </w:t>
      </w:r>
      <w:r w:rsidRPr="00B97064">
        <w:rPr>
          <w:rFonts w:cs="Arial"/>
          <w:szCs w:val="22"/>
          <w:lang w:val="en-GB"/>
        </w:rPr>
        <w:lastRenderedPageBreak/>
        <w:t>increase, since the Dutch corporate governance code should increase the transparency of firms. The disclosure level did increase over time. However, this increase was not significant.</w:t>
      </w:r>
    </w:p>
    <w:p w:rsidR="007C7F32" w:rsidRPr="00B97064" w:rsidRDefault="007C7F32" w:rsidP="007C3685">
      <w:pPr>
        <w:rPr>
          <w:rFonts w:cs="Arial"/>
          <w:szCs w:val="22"/>
          <w:lang w:val="en-GB"/>
        </w:rPr>
      </w:pPr>
    </w:p>
    <w:p w:rsidR="007C7F32" w:rsidRPr="00B97064" w:rsidRDefault="007C7F32" w:rsidP="007C3685">
      <w:pPr>
        <w:rPr>
          <w:lang w:val="en-GB"/>
        </w:rPr>
      </w:pPr>
      <w:r w:rsidRPr="00B97064">
        <w:rPr>
          <w:lang w:val="en-GB"/>
        </w:rPr>
        <w:t xml:space="preserve">Finally, I investigated whether the negative effect of </w:t>
      </w:r>
      <w:r w:rsidR="009075BC" w:rsidRPr="00B97064">
        <w:rPr>
          <w:lang w:val="en-GB"/>
        </w:rPr>
        <w:t xml:space="preserve">the amount of </w:t>
      </w:r>
      <w:r w:rsidRPr="00B97064">
        <w:rPr>
          <w:lang w:val="en-GB"/>
        </w:rPr>
        <w:t>RPTs on firm value diminished over time by comparing the coefficients of both years. However, both coefficients were (not significantly) positive, so there was no negative effect at all. The coefficient had actually increased over time. However, this increase was not significant. Furthermore, I investigated whether the positive effect of disclosure level on firm value increased over time by again comparing those coefficients of both years. The coefficient of disclosure level changed from negative to positive over time, so, the positive effect increased. However, this increase was not significant.</w:t>
      </w:r>
    </w:p>
    <w:p w:rsidR="005153F7" w:rsidRPr="00B97064" w:rsidRDefault="005153F7" w:rsidP="007C3685">
      <w:pPr>
        <w:rPr>
          <w:lang w:val="en-GB"/>
        </w:rPr>
      </w:pPr>
    </w:p>
    <w:p w:rsidR="007C7F32" w:rsidRPr="00B97064" w:rsidRDefault="007C7F32" w:rsidP="00777791">
      <w:pPr>
        <w:rPr>
          <w:lang w:val="en-GB"/>
        </w:rPr>
      </w:pPr>
      <w:r w:rsidRPr="00B97064">
        <w:rPr>
          <w:lang w:val="en-GB"/>
        </w:rPr>
        <w:t xml:space="preserve">Therefore, it can be concluded that no negative relation between the amount of RPTs and firm value is </w:t>
      </w:r>
      <w:r w:rsidR="005153F7" w:rsidRPr="00B97064">
        <w:rPr>
          <w:lang w:val="en-GB"/>
        </w:rPr>
        <w:t>found</w:t>
      </w:r>
      <w:r w:rsidRPr="00B97064">
        <w:rPr>
          <w:lang w:val="en-GB"/>
        </w:rPr>
        <w:t>. The percentage of ordinary shares of the main shareholder did have a positive effect on the amount of RPTs. Being listed in the USA had also a positive effect on the amount of RPTs.</w:t>
      </w:r>
    </w:p>
    <w:p w:rsidR="007C7F32" w:rsidRPr="00B97064" w:rsidRDefault="007C7F32" w:rsidP="00174FA1">
      <w:pPr>
        <w:pStyle w:val="Heading1"/>
        <w:rPr>
          <w:lang w:val="en-GB"/>
        </w:rPr>
      </w:pPr>
      <w:r w:rsidRPr="00B97064">
        <w:rPr>
          <w:color w:val="auto"/>
          <w:lang w:val="en-GB"/>
        </w:rPr>
        <w:br w:type="page"/>
      </w:r>
      <w:bookmarkStart w:id="148" w:name="_Toc349585523"/>
      <w:r w:rsidR="001F76A6" w:rsidRPr="00B97064">
        <w:rPr>
          <w:lang w:val="en-GB"/>
        </w:rPr>
        <w:lastRenderedPageBreak/>
        <w:t>8</w:t>
      </w:r>
      <w:r w:rsidRPr="00B97064">
        <w:rPr>
          <w:lang w:val="en-GB"/>
        </w:rPr>
        <w:t>. Further research</w:t>
      </w:r>
      <w:bookmarkEnd w:id="148"/>
    </w:p>
    <w:p w:rsidR="007C7F32" w:rsidRPr="00B97064" w:rsidRDefault="007C7F32" w:rsidP="009A7A5A">
      <w:pPr>
        <w:rPr>
          <w:lang w:val="en-GB"/>
        </w:rPr>
      </w:pPr>
      <w:r w:rsidRPr="00B97064">
        <w:rPr>
          <w:lang w:val="en-GB"/>
        </w:rPr>
        <w:t>Since the execution and the final results of a research always raise new questions, this chapter contains some suggestions for further researc</w:t>
      </w:r>
      <w:r w:rsidR="009C18E1" w:rsidRPr="00B97064">
        <w:rPr>
          <w:lang w:val="en-GB"/>
        </w:rPr>
        <w:t>h.</w:t>
      </w:r>
    </w:p>
    <w:p w:rsidR="007C7F32" w:rsidRPr="00B97064" w:rsidRDefault="007C7F32" w:rsidP="009A7A5A">
      <w:pPr>
        <w:rPr>
          <w:lang w:val="en-GB"/>
        </w:rPr>
      </w:pPr>
    </w:p>
    <w:p w:rsidR="007C7F32" w:rsidRPr="00B97064" w:rsidRDefault="007C7F32" w:rsidP="009A7A5A">
      <w:pPr>
        <w:rPr>
          <w:lang w:val="en-GB"/>
        </w:rPr>
      </w:pPr>
      <w:r w:rsidRPr="00B97064">
        <w:rPr>
          <w:lang w:val="en-GB"/>
        </w:rPr>
        <w:t>First of all, this research could be repeated with a larger sample; more time is needed due to the time-consuming data collection process. It may be possible to execute the d</w:t>
      </w:r>
      <w:r w:rsidR="009C18E1" w:rsidRPr="00B97064">
        <w:rPr>
          <w:lang w:val="en-GB"/>
        </w:rPr>
        <w:t>ata collection by more persons.</w:t>
      </w:r>
    </w:p>
    <w:p w:rsidR="007C7F32" w:rsidRPr="00B97064" w:rsidRDefault="007C7F32" w:rsidP="009A7A5A">
      <w:pPr>
        <w:rPr>
          <w:lang w:val="en-GB"/>
        </w:rPr>
      </w:pPr>
    </w:p>
    <w:p w:rsidR="007C7F32" w:rsidRPr="00B97064" w:rsidRDefault="007C7F32" w:rsidP="009A7A5A">
      <w:pPr>
        <w:rPr>
          <w:lang w:val="en-GB"/>
        </w:rPr>
      </w:pPr>
      <w:r w:rsidRPr="00B97064">
        <w:rPr>
          <w:lang w:val="en-GB"/>
        </w:rPr>
        <w:t xml:space="preserve">Secondly, it could be interesting to cover more years in the sample. My research only covered the years 2003 and 2009, again due to the time-consuming data collection process. It could be interesting to include some years before 2003 in the sample, to solve the ‘early adopters problem’ as mentioned in section </w:t>
      </w:r>
      <w:fldSimple w:instr=" REF _Ref344559868 \h  \* MERGEFORMAT ">
        <w:r w:rsidR="004C718C" w:rsidRPr="00B97064">
          <w:rPr>
            <w:lang w:val="en-GB"/>
          </w:rPr>
          <w:t>6.8 Limitations</w:t>
        </w:r>
      </w:fldSimple>
      <w:r w:rsidRPr="00B97064">
        <w:rPr>
          <w:lang w:val="en-GB"/>
        </w:rPr>
        <w:t>. Also the inclusion of the year 2004 may be interesting, since this was the first official year any Dutch corporate governance code was into force. Generally speaking, to give a better overview of the progress over time, more years shou</w:t>
      </w:r>
      <w:r w:rsidR="009C18E1" w:rsidRPr="00B97064">
        <w:rPr>
          <w:lang w:val="en-GB"/>
        </w:rPr>
        <w:t>ld be included in the research.</w:t>
      </w:r>
    </w:p>
    <w:p w:rsidR="009C18E1" w:rsidRPr="00B97064" w:rsidRDefault="009C18E1" w:rsidP="009A7A5A">
      <w:pPr>
        <w:rPr>
          <w:lang w:val="en-GB"/>
        </w:rPr>
      </w:pPr>
    </w:p>
    <w:p w:rsidR="009C18E1" w:rsidRPr="00B97064" w:rsidRDefault="009C18E1" w:rsidP="009A7A5A">
      <w:pPr>
        <w:rPr>
          <w:lang w:val="en-GB"/>
        </w:rPr>
      </w:pPr>
      <w:r w:rsidRPr="00B97064">
        <w:rPr>
          <w:lang w:val="en-GB"/>
        </w:rPr>
        <w:t>In this research, the absolute amounts of all kind of RPTs were summed to one total amount</w:t>
      </w:r>
      <w:r w:rsidR="001F3724" w:rsidRPr="00B97064">
        <w:rPr>
          <w:lang w:val="en-GB"/>
        </w:rPr>
        <w:t xml:space="preserve"> of RPTs per firm</w:t>
      </w:r>
      <w:r w:rsidRPr="00B97064">
        <w:rPr>
          <w:lang w:val="en-GB"/>
        </w:rPr>
        <w:t xml:space="preserve">. It may also </w:t>
      </w:r>
      <w:r w:rsidR="001F3724" w:rsidRPr="00B97064">
        <w:rPr>
          <w:lang w:val="en-GB"/>
        </w:rPr>
        <w:t xml:space="preserve">be </w:t>
      </w:r>
      <w:r w:rsidRPr="00B97064">
        <w:rPr>
          <w:lang w:val="en-GB"/>
        </w:rPr>
        <w:t xml:space="preserve">an interesting option to split the amount of RPTs variable by type of </w:t>
      </w:r>
      <w:r w:rsidR="001F3724" w:rsidRPr="00B97064">
        <w:rPr>
          <w:lang w:val="en-GB"/>
        </w:rPr>
        <w:t>transactio</w:t>
      </w:r>
      <w:r w:rsidR="009075BC" w:rsidRPr="00B97064">
        <w:rPr>
          <w:lang w:val="en-GB"/>
        </w:rPr>
        <w:t>n.</w:t>
      </w:r>
      <w:r w:rsidRPr="00B97064">
        <w:rPr>
          <w:lang w:val="en-GB"/>
        </w:rPr>
        <w:t xml:space="preserve"> </w:t>
      </w:r>
      <w:r w:rsidR="001F3724" w:rsidRPr="00B97064">
        <w:rPr>
          <w:lang w:val="en-GB"/>
        </w:rPr>
        <w:t>T</w:t>
      </w:r>
      <w:r w:rsidRPr="00B97064">
        <w:rPr>
          <w:lang w:val="en-GB"/>
        </w:rPr>
        <w:t xml:space="preserve">he studies of Gordon and Henry (2005), Kohlbeck and Mayhew (2010) and </w:t>
      </w:r>
      <w:proofErr w:type="spellStart"/>
      <w:r w:rsidRPr="00B97064">
        <w:rPr>
          <w:lang w:val="en-GB"/>
        </w:rPr>
        <w:t>Nekhili</w:t>
      </w:r>
      <w:proofErr w:type="spellEnd"/>
      <w:r w:rsidR="007F674E">
        <w:rPr>
          <w:lang w:val="en-GB"/>
        </w:rPr>
        <w:t xml:space="preserve"> and </w:t>
      </w:r>
      <w:proofErr w:type="spellStart"/>
      <w:r w:rsidRPr="00B97064">
        <w:rPr>
          <w:lang w:val="en-GB"/>
        </w:rPr>
        <w:t>Cherif</w:t>
      </w:r>
      <w:proofErr w:type="spellEnd"/>
      <w:r w:rsidRPr="00B97064">
        <w:rPr>
          <w:lang w:val="en-GB"/>
        </w:rPr>
        <w:t xml:space="preserve"> (2011)</w:t>
      </w:r>
      <w:r w:rsidR="009075BC" w:rsidRPr="00B97064">
        <w:rPr>
          <w:lang w:val="en-GB"/>
        </w:rPr>
        <w:t xml:space="preserve"> already made a</w:t>
      </w:r>
      <w:r w:rsidR="001F3724" w:rsidRPr="00B97064">
        <w:rPr>
          <w:lang w:val="en-GB"/>
        </w:rPr>
        <w:t xml:space="preserve"> separation per type of transaction (for example direct / indirect transactions or transactions with management / supervisory board / affiliated companies). In case a separation is made, it is possible to investigate which</w:t>
      </w:r>
      <w:r w:rsidR="009075BC" w:rsidRPr="00B97064">
        <w:rPr>
          <w:lang w:val="en-GB"/>
        </w:rPr>
        <w:t xml:space="preserve"> specific</w:t>
      </w:r>
      <w:r w:rsidR="001F3724" w:rsidRPr="00B97064">
        <w:rPr>
          <w:lang w:val="en-GB"/>
        </w:rPr>
        <w:t xml:space="preserve"> kind of transactions are harmful (have a significant negative effect on firm value). Furthermore, the effect of the corporate governance and ownership characteristics could be tested per type of RPT.</w:t>
      </w:r>
    </w:p>
    <w:p w:rsidR="007C7F32" w:rsidRPr="00B97064" w:rsidRDefault="007C7F32" w:rsidP="009A7A5A">
      <w:pPr>
        <w:rPr>
          <w:lang w:val="en-GB"/>
        </w:rPr>
      </w:pPr>
    </w:p>
    <w:p w:rsidR="007C7F32" w:rsidRPr="00B97064" w:rsidRDefault="007C7F32" w:rsidP="009A7A5A">
      <w:pPr>
        <w:rPr>
          <w:lang w:val="en-GB"/>
        </w:rPr>
      </w:pPr>
      <w:r w:rsidRPr="00B97064">
        <w:rPr>
          <w:lang w:val="en-GB"/>
        </w:rPr>
        <w:t xml:space="preserve">Another suggestion is in the field of the collection of </w:t>
      </w:r>
      <w:r w:rsidR="009075BC" w:rsidRPr="00B97064">
        <w:rPr>
          <w:lang w:val="en-GB"/>
        </w:rPr>
        <w:t>corporate governance-</w:t>
      </w:r>
      <w:r w:rsidRPr="00B97064">
        <w:rPr>
          <w:lang w:val="en-GB"/>
        </w:rPr>
        <w:t xml:space="preserve"> and ownership characteristics data. To gather more accurate data, it may be an idea to collect this data using questionnaires. This is perhaps more accurate, since I used some rigorous assumptions in my data collection process, as mentioned in </w:t>
      </w:r>
      <w:fldSimple w:instr=" REF _Ref344560748 \h  \* MERGEFORMAT ">
        <w:r w:rsidR="00E6445A" w:rsidRPr="00B97064">
          <w:rPr>
            <w:lang w:val="en-GB"/>
          </w:rPr>
          <w:t>6.8 Limitations</w:t>
        </w:r>
      </w:fldSimple>
      <w:r w:rsidRPr="00B97064">
        <w:rPr>
          <w:lang w:val="en-GB"/>
        </w:rPr>
        <w:t xml:space="preserve"> (not mentioning in the annual report implies the firm does not have any).</w:t>
      </w:r>
    </w:p>
    <w:p w:rsidR="007C7F32" w:rsidRPr="00B97064" w:rsidRDefault="007C7F32" w:rsidP="009A7A5A">
      <w:pPr>
        <w:rPr>
          <w:lang w:val="en-GB"/>
        </w:rPr>
      </w:pPr>
    </w:p>
    <w:p w:rsidR="007C7F32" w:rsidRPr="00B97064" w:rsidRDefault="007C7F32" w:rsidP="00CE04F1">
      <w:pPr>
        <w:rPr>
          <w:lang w:val="en-GB"/>
        </w:rPr>
      </w:pPr>
      <w:r w:rsidRPr="00B97064">
        <w:rPr>
          <w:lang w:val="en-GB"/>
        </w:rPr>
        <w:t>Finally, there are some characteristics which may be worth to be included in further research. Those characteristics are not included in the current research due to the lack of information. This involves the following variables: voting power of the main shareholder, separation of cash flow rights and ownership rights of the main shareholder and group loans.</w:t>
      </w:r>
      <w:r w:rsidR="00E938F0" w:rsidRPr="00B97064">
        <w:rPr>
          <w:lang w:val="en-GB"/>
        </w:rPr>
        <w:t xml:space="preserve"> Those</w:t>
      </w:r>
      <w:r w:rsidR="00E938F0" w:rsidRPr="00B97064">
        <w:rPr>
          <w:color w:val="FF0000"/>
          <w:lang w:val="en-GB"/>
        </w:rPr>
        <w:t xml:space="preserve"> </w:t>
      </w:r>
      <w:r w:rsidR="00E938F0" w:rsidRPr="00B97064">
        <w:rPr>
          <w:lang w:val="en-GB"/>
        </w:rPr>
        <w:lastRenderedPageBreak/>
        <w:t xml:space="preserve">variables were </w:t>
      </w:r>
      <w:r w:rsidR="009C18E1" w:rsidRPr="00B97064">
        <w:rPr>
          <w:lang w:val="en-GB"/>
        </w:rPr>
        <w:t>integrated</w:t>
      </w:r>
      <w:r w:rsidR="00E938F0" w:rsidRPr="00B97064">
        <w:rPr>
          <w:lang w:val="en-GB"/>
        </w:rPr>
        <w:t xml:space="preserve"> in the research of Nekhili and Cherif (2011)</w:t>
      </w:r>
      <w:r w:rsidR="009075BC" w:rsidRPr="00B97064">
        <w:rPr>
          <w:lang w:val="en-GB"/>
        </w:rPr>
        <w:t xml:space="preserve"> and Claessens et al. (1999)</w:t>
      </w:r>
      <w:r w:rsidR="00E938F0" w:rsidRPr="00B97064">
        <w:rPr>
          <w:lang w:val="en-GB"/>
        </w:rPr>
        <w:t>.</w:t>
      </w:r>
      <w:r w:rsidRPr="00B97064">
        <w:rPr>
          <w:lang w:val="en-GB"/>
        </w:rPr>
        <w:t xml:space="preserve"> More voting rights compared to cash flow rights of the main shareholder or voting power of the main shareholder in general may lead to higher risk of expropriation of the minority shareholder; the main shareholder might try to increase his yield by entering in</w:t>
      </w:r>
      <w:r w:rsidR="00730E55" w:rsidRPr="00B97064">
        <w:rPr>
          <w:lang w:val="en-GB"/>
        </w:rPr>
        <w:t>to</w:t>
      </w:r>
      <w:r w:rsidRPr="00B97064">
        <w:rPr>
          <w:lang w:val="en-GB"/>
        </w:rPr>
        <w:t xml:space="preserve"> RPTs with the firm. As a result, the main shareholder gathered more than his fair share (based on cash flow rights) at the cost of the minority shareholder. Group loans (group financing) can also be used to expropriate the firms’ resources. By using loans, resources could be shifted within the group. This could harm the reporting firm, for example in case the receiver of the loan does not repay his loan. This can be a normal creditors’ risk, but in case the loan is not based on arm’s length conditions, group loans can be used to expropriate the firms’ resources to the benefit of the related party. Examples of non-arm’s length conditions are agreeing with a low interest percentage or providing a loan to a non-creditworthiness receiver. So, group loans as well as a great difference between voting rights and cash flow rights or voting power of the main shareholder may indicate a risk of expropriation. It </w:t>
      </w:r>
      <w:r w:rsidR="009075BC" w:rsidRPr="00B97064">
        <w:rPr>
          <w:lang w:val="en-GB"/>
        </w:rPr>
        <w:t>could be</w:t>
      </w:r>
      <w:r w:rsidRPr="00B97064">
        <w:rPr>
          <w:lang w:val="en-GB"/>
        </w:rPr>
        <w:t xml:space="preserve"> interesting to integrate those variables in further research.</w:t>
      </w:r>
    </w:p>
    <w:p w:rsidR="007C7F32" w:rsidRPr="00B97064" w:rsidRDefault="007C7F32" w:rsidP="008860A3">
      <w:pPr>
        <w:pStyle w:val="Heading1"/>
        <w:rPr>
          <w:lang w:val="en-GB"/>
        </w:rPr>
      </w:pPr>
      <w:r w:rsidRPr="00B97064">
        <w:rPr>
          <w:lang w:val="en-GB"/>
        </w:rPr>
        <w:br w:type="page"/>
      </w:r>
      <w:bookmarkStart w:id="149" w:name="_Toc349585524"/>
      <w:r w:rsidR="001F76A6" w:rsidRPr="00B97064">
        <w:rPr>
          <w:lang w:val="en-GB"/>
        </w:rPr>
        <w:lastRenderedPageBreak/>
        <w:t>9</w:t>
      </w:r>
      <w:r w:rsidRPr="00B97064">
        <w:rPr>
          <w:lang w:val="en-GB"/>
        </w:rPr>
        <w:t>. References</w:t>
      </w:r>
      <w:bookmarkEnd w:id="149"/>
    </w:p>
    <w:p w:rsidR="007C7F32" w:rsidRPr="00B97064" w:rsidRDefault="001F76A6" w:rsidP="00951BA4">
      <w:pPr>
        <w:pStyle w:val="Heading2"/>
        <w:rPr>
          <w:lang w:val="en-GB"/>
        </w:rPr>
      </w:pPr>
      <w:bookmarkStart w:id="150" w:name="_Toc349585525"/>
      <w:r w:rsidRPr="00B97064">
        <w:rPr>
          <w:lang w:val="en-GB"/>
        </w:rPr>
        <w:t>9</w:t>
      </w:r>
      <w:r w:rsidR="007C7F32" w:rsidRPr="00B97064">
        <w:rPr>
          <w:lang w:val="en-GB"/>
        </w:rPr>
        <w:t>.1 Articles &amp; books</w:t>
      </w:r>
      <w:bookmarkEnd w:id="150"/>
    </w:p>
    <w:p w:rsidR="007C7F32" w:rsidRPr="00B97064" w:rsidRDefault="007C7F32" w:rsidP="00346EF0">
      <w:pPr>
        <w:rPr>
          <w:lang w:val="en-GB"/>
        </w:rPr>
      </w:pPr>
      <w:r w:rsidRPr="00B97064">
        <w:rPr>
          <w:lang w:val="en-GB"/>
        </w:rPr>
        <w:t xml:space="preserve">AICPA. (1994). </w:t>
      </w:r>
      <w:r w:rsidRPr="00B97064">
        <w:rPr>
          <w:i/>
          <w:lang w:val="en-GB"/>
        </w:rPr>
        <w:t>Improving business reporting- A customer focus: Meeting the information needs of investors and creditors, comprehensive report of the special committee on Financial reporting</w:t>
      </w:r>
      <w:r w:rsidRPr="00B97064">
        <w:rPr>
          <w:lang w:val="en-GB"/>
        </w:rPr>
        <w:t xml:space="preserve"> (the Jenkins report). New York, NY: American Institute for Certified Public Accountants.</w:t>
      </w:r>
    </w:p>
    <w:p w:rsidR="007C7F32" w:rsidRPr="00B97064" w:rsidRDefault="007C7F32" w:rsidP="00346EF0">
      <w:pPr>
        <w:rPr>
          <w:lang w:val="en-GB"/>
        </w:rPr>
      </w:pPr>
    </w:p>
    <w:p w:rsidR="007C7F32" w:rsidRPr="007F674E" w:rsidRDefault="007C7F32" w:rsidP="006E06DE">
      <w:r w:rsidRPr="00B97064">
        <w:rPr>
          <w:lang w:val="en-GB"/>
        </w:rPr>
        <w:t xml:space="preserve">Backhuijs, J.B. &amp; Braam, R.J.M. (2008). </w:t>
      </w:r>
      <w:r w:rsidRPr="007F674E">
        <w:t xml:space="preserve">Verbonden partijen en bestuurdersbeloningen. In: R.G. </w:t>
      </w:r>
      <w:proofErr w:type="spellStart"/>
      <w:r w:rsidRPr="007F674E">
        <w:t>Bosman</w:t>
      </w:r>
      <w:proofErr w:type="spellEnd"/>
      <w:r w:rsidRPr="007F674E">
        <w:t xml:space="preserve">, R.L. ter Hoeven, R.G.A. Vergoossen, </w:t>
      </w:r>
      <w:r w:rsidRPr="007F674E">
        <w:rPr>
          <w:i/>
        </w:rPr>
        <w:t>Het jaar 2007 verslagen: onderzoek jaarverslaggeving ondernemingen</w:t>
      </w:r>
      <w:r w:rsidRPr="007F674E">
        <w:t xml:space="preserve">, </w:t>
      </w:r>
      <w:proofErr w:type="spellStart"/>
      <w:r w:rsidRPr="007F674E">
        <w:t>Kluwer</w:t>
      </w:r>
      <w:proofErr w:type="spellEnd"/>
      <w:r w:rsidRPr="007F674E">
        <w:t>: Deventer: 35-53.</w:t>
      </w:r>
    </w:p>
    <w:p w:rsidR="007C7F32" w:rsidRPr="007F674E" w:rsidRDefault="007C7F32" w:rsidP="006E06DE"/>
    <w:p w:rsidR="007C7F32" w:rsidRPr="007F674E" w:rsidRDefault="007C7F32" w:rsidP="00A23C8E">
      <w:r w:rsidRPr="007F674E">
        <w:t xml:space="preserve">Bakker, L. &amp; Vergoossen, R. (2004). US GAAP en de jaarrekening van Nederlandse ondernemingen. </w:t>
      </w:r>
      <w:r w:rsidRPr="007F674E">
        <w:rPr>
          <w:i/>
        </w:rPr>
        <w:t>Maandblad voor Accountancy en Bedrijfseconomie</w:t>
      </w:r>
      <w:r w:rsidRPr="007F674E">
        <w:t>, 78(11): 489-496.</w:t>
      </w:r>
    </w:p>
    <w:p w:rsidR="007C7F32" w:rsidRPr="007F674E" w:rsidRDefault="007C7F32" w:rsidP="00A23C8E"/>
    <w:p w:rsidR="007C7F32" w:rsidRPr="007F674E" w:rsidRDefault="007C7F32" w:rsidP="00A23C8E">
      <w:proofErr w:type="spellStart"/>
      <w:r w:rsidRPr="007F674E">
        <w:t>Beattie</w:t>
      </w:r>
      <w:proofErr w:type="spellEnd"/>
      <w:r w:rsidRPr="007F674E">
        <w:t xml:space="preserve">, V., </w:t>
      </w:r>
      <w:proofErr w:type="spellStart"/>
      <w:r w:rsidRPr="007F674E">
        <w:t>McInnes</w:t>
      </w:r>
      <w:proofErr w:type="spellEnd"/>
      <w:r w:rsidRPr="007F674E">
        <w:t xml:space="preserve">, B. &amp; </w:t>
      </w:r>
      <w:proofErr w:type="spellStart"/>
      <w:r w:rsidRPr="007F674E">
        <w:t>Fearnley</w:t>
      </w:r>
      <w:proofErr w:type="spellEnd"/>
      <w:r w:rsidRPr="007F674E">
        <w:t xml:space="preserve">, S. (2004). </w:t>
      </w:r>
      <w:r w:rsidRPr="00B97064">
        <w:rPr>
          <w:lang w:val="en-GB"/>
        </w:rPr>
        <w:t xml:space="preserve">A methodology for analysing and evaluating narratives in annual reports: a comprehensive descriptive profile and metrics for disclosure quality attributes. </w:t>
      </w:r>
      <w:r w:rsidRPr="007F674E">
        <w:rPr>
          <w:i/>
        </w:rPr>
        <w:t>Accounting Forum</w:t>
      </w:r>
      <w:r w:rsidRPr="007F674E">
        <w:t>, 28(3): 205-236.</w:t>
      </w:r>
    </w:p>
    <w:p w:rsidR="007C7F32" w:rsidRPr="007F674E" w:rsidRDefault="007C7F32" w:rsidP="00A23C8E"/>
    <w:p w:rsidR="007C7F32" w:rsidRPr="00B97064" w:rsidRDefault="007C7F32" w:rsidP="00951BA4">
      <w:pPr>
        <w:rPr>
          <w:lang w:val="en-GB"/>
        </w:rPr>
      </w:pPr>
      <w:r w:rsidRPr="007F674E">
        <w:t xml:space="preserve">Bos, A. de, </w:t>
      </w:r>
      <w:proofErr w:type="spellStart"/>
      <w:r w:rsidRPr="007F674E">
        <w:t>Lückerath-Rovers</w:t>
      </w:r>
      <w:proofErr w:type="spellEnd"/>
      <w:r w:rsidRPr="007F674E">
        <w:t xml:space="preserve">, M. &amp; Zijl, N. van. (2008). Zorg over onafhankelijkheid in </w:t>
      </w:r>
      <w:proofErr w:type="spellStart"/>
      <w:r w:rsidRPr="007F674E">
        <w:t>one-tier</w:t>
      </w:r>
      <w:proofErr w:type="spellEnd"/>
      <w:r w:rsidRPr="007F674E">
        <w:t xml:space="preserve"> board terecht of niet?. </w:t>
      </w:r>
      <w:proofErr w:type="spellStart"/>
      <w:r w:rsidRPr="00B97064">
        <w:rPr>
          <w:i/>
          <w:lang w:val="en-GB"/>
        </w:rPr>
        <w:t>Goed</w:t>
      </w:r>
      <w:proofErr w:type="spellEnd"/>
      <w:r w:rsidRPr="00B97064">
        <w:rPr>
          <w:i/>
          <w:lang w:val="en-GB"/>
        </w:rPr>
        <w:t xml:space="preserve"> </w:t>
      </w:r>
      <w:proofErr w:type="spellStart"/>
      <w:r w:rsidRPr="00B97064">
        <w:rPr>
          <w:i/>
          <w:lang w:val="en-GB"/>
        </w:rPr>
        <w:t>Bestuur</w:t>
      </w:r>
      <w:proofErr w:type="spellEnd"/>
      <w:r w:rsidRPr="00B97064">
        <w:rPr>
          <w:lang w:val="en-GB"/>
        </w:rPr>
        <w:t>, 1: 12-21.</w:t>
      </w:r>
    </w:p>
    <w:p w:rsidR="00316C1A" w:rsidRPr="00B97064" w:rsidRDefault="00316C1A" w:rsidP="00951BA4">
      <w:pPr>
        <w:rPr>
          <w:lang w:val="en-GB"/>
        </w:rPr>
      </w:pPr>
    </w:p>
    <w:p w:rsidR="00316C1A" w:rsidRPr="00B97064" w:rsidRDefault="00316C1A" w:rsidP="00951BA4">
      <w:pPr>
        <w:rPr>
          <w:lang w:val="en-GB"/>
        </w:rPr>
      </w:pPr>
      <w:r w:rsidRPr="00B97064">
        <w:rPr>
          <w:lang w:val="en-GB"/>
        </w:rPr>
        <w:t xml:space="preserve">Botosan, C.A. (2006). Dislosure and the cost of capital: what do we know? </w:t>
      </w:r>
      <w:r w:rsidRPr="00B97064">
        <w:rPr>
          <w:i/>
          <w:lang w:val="en-GB"/>
        </w:rPr>
        <w:t>Accounting and Business Research,</w:t>
      </w:r>
      <w:r w:rsidRPr="00B97064">
        <w:rPr>
          <w:lang w:val="en-GB"/>
        </w:rPr>
        <w:t xml:space="preserve"> 36(1): 31-40</w:t>
      </w:r>
      <w:r w:rsidR="009075BC" w:rsidRPr="00B97064">
        <w:rPr>
          <w:lang w:val="en-GB"/>
        </w:rPr>
        <w:t>.</w:t>
      </w:r>
    </w:p>
    <w:p w:rsidR="007C7F32" w:rsidRPr="00B97064" w:rsidRDefault="007C7F32" w:rsidP="00951BA4">
      <w:pPr>
        <w:rPr>
          <w:lang w:val="en-GB"/>
        </w:rPr>
      </w:pPr>
    </w:p>
    <w:p w:rsidR="007C7F32" w:rsidRPr="00B97064" w:rsidRDefault="007C7F32" w:rsidP="00951BA4">
      <w:pPr>
        <w:rPr>
          <w:rFonts w:ascii="AdvTimes" w:hAnsi="AdvTimes" w:cs="AdvTimes"/>
          <w:szCs w:val="22"/>
          <w:lang w:val="en-GB" w:eastAsia="en-US"/>
        </w:rPr>
      </w:pPr>
      <w:r w:rsidRPr="00B97064">
        <w:rPr>
          <w:rFonts w:ascii="AdvTimes" w:hAnsi="AdvTimes" w:cs="AdvTimes"/>
          <w:szCs w:val="22"/>
          <w:lang w:val="en-GB" w:eastAsia="en-US"/>
        </w:rPr>
        <w:t>Chen, J.J., Cheng, P. &amp;</w:t>
      </w:r>
      <w:r w:rsidRPr="00B97064">
        <w:rPr>
          <w:rFonts w:ascii="AdvTimes" w:hAnsi="AdvTimes" w:cs="AdvTimes"/>
          <w:sz w:val="15"/>
          <w:szCs w:val="15"/>
          <w:lang w:val="en-GB" w:eastAsia="en-US"/>
        </w:rPr>
        <w:t xml:space="preserve"> </w:t>
      </w:r>
      <w:r w:rsidRPr="00B97064">
        <w:rPr>
          <w:rFonts w:ascii="AdvTimes" w:hAnsi="AdvTimes" w:cs="AdvTimes"/>
          <w:szCs w:val="22"/>
          <w:lang w:val="en-GB" w:eastAsia="en-US"/>
        </w:rPr>
        <w:t xml:space="preserve">Xiao, X. (2011). Related party transactions as a source of earnings management. </w:t>
      </w:r>
      <w:r w:rsidRPr="00B97064">
        <w:rPr>
          <w:rFonts w:ascii="AdvTimes" w:hAnsi="AdvTimes" w:cs="AdvTimes"/>
          <w:i/>
          <w:szCs w:val="22"/>
          <w:lang w:val="en-GB" w:eastAsia="en-US"/>
        </w:rPr>
        <w:t>Applied Financial Economics</w:t>
      </w:r>
      <w:r w:rsidRPr="00B97064">
        <w:rPr>
          <w:rFonts w:ascii="AdvTimes" w:hAnsi="AdvTimes" w:cs="AdvTimes"/>
          <w:szCs w:val="22"/>
          <w:lang w:val="en-GB" w:eastAsia="en-US"/>
        </w:rPr>
        <w:t>, 21(3): 165-181.</w:t>
      </w:r>
    </w:p>
    <w:p w:rsidR="007C7F32" w:rsidRPr="00B97064" w:rsidRDefault="007C7F32" w:rsidP="00951BA4">
      <w:pPr>
        <w:rPr>
          <w:rFonts w:ascii="AdvTimes" w:hAnsi="AdvTimes" w:cs="AdvTimes"/>
          <w:szCs w:val="22"/>
          <w:lang w:val="en-GB" w:eastAsia="en-US"/>
        </w:rPr>
      </w:pPr>
    </w:p>
    <w:p w:rsidR="007C7F32" w:rsidRPr="00B97064" w:rsidRDefault="007C7F32" w:rsidP="00851B09">
      <w:pPr>
        <w:rPr>
          <w:rFonts w:ascii="AdvTimes" w:hAnsi="AdvTimes" w:cs="AdvTimes"/>
          <w:szCs w:val="22"/>
          <w:lang w:val="en-GB" w:eastAsia="en-US"/>
        </w:rPr>
      </w:pPr>
      <w:r w:rsidRPr="00B97064">
        <w:rPr>
          <w:rFonts w:ascii="AdvTimes" w:hAnsi="AdvTimes" w:cs="AdvTimes"/>
          <w:szCs w:val="22"/>
          <w:lang w:val="en-GB" w:eastAsia="en-US"/>
        </w:rPr>
        <w:t xml:space="preserve">Cheung, Y-L., Raghavendra Rau, P. &amp; Stouraitis, A. (2006). Tunneling, propping, and expropriation: evidence from connected party transactions in Hong Kong. </w:t>
      </w:r>
      <w:r w:rsidRPr="00B97064">
        <w:rPr>
          <w:rFonts w:ascii="AdvTimes" w:hAnsi="AdvTimes" w:cs="AdvTimes"/>
          <w:i/>
          <w:szCs w:val="22"/>
          <w:lang w:val="en-GB" w:eastAsia="en-US"/>
        </w:rPr>
        <w:t>Journal of Financial Economics</w:t>
      </w:r>
      <w:r w:rsidRPr="00B97064">
        <w:rPr>
          <w:rFonts w:ascii="AdvTimes" w:hAnsi="AdvTimes" w:cs="AdvTimes"/>
          <w:szCs w:val="22"/>
          <w:lang w:val="en-GB" w:eastAsia="en-US"/>
        </w:rPr>
        <w:t>, 82(2): 243-286.</w:t>
      </w:r>
    </w:p>
    <w:p w:rsidR="007C7F32" w:rsidRPr="00B97064" w:rsidRDefault="007C7F32" w:rsidP="00951BA4">
      <w:pPr>
        <w:rPr>
          <w:rFonts w:ascii="AdvTimes" w:hAnsi="AdvTimes" w:cs="AdvTimes"/>
          <w:szCs w:val="22"/>
          <w:lang w:val="en-GB" w:eastAsia="en-US"/>
        </w:rPr>
      </w:pPr>
    </w:p>
    <w:p w:rsidR="007C7F32" w:rsidRPr="00B97064" w:rsidRDefault="007C7F32" w:rsidP="00C9298A">
      <w:pPr>
        <w:rPr>
          <w:rFonts w:ascii="AdvTimes" w:hAnsi="AdvTimes" w:cs="AdvTimes"/>
          <w:szCs w:val="22"/>
          <w:lang w:val="en-GB" w:eastAsia="en-US"/>
        </w:rPr>
      </w:pPr>
      <w:r w:rsidRPr="00B97064">
        <w:rPr>
          <w:rFonts w:ascii="AdvTimes" w:hAnsi="AdvTimes" w:cs="AdvTimes"/>
          <w:szCs w:val="22"/>
          <w:lang w:val="en-GB" w:eastAsia="en-US"/>
        </w:rPr>
        <w:t xml:space="preserve">Claessens, S., Djankov, S., Fan, J. &amp; Lang, L. (1999). Expropriation of Minority Shareholders: Evidence from East Asia. Working paper, available at SSRN: </w:t>
      </w:r>
    </w:p>
    <w:p w:rsidR="007C7F32" w:rsidRPr="00B97064" w:rsidRDefault="00E80C96" w:rsidP="00C9298A">
      <w:pPr>
        <w:rPr>
          <w:lang w:val="en-GB"/>
        </w:rPr>
      </w:pPr>
      <w:hyperlink r:id="rId29" w:history="1">
        <w:r w:rsidR="007C7F32" w:rsidRPr="00B97064">
          <w:rPr>
            <w:rStyle w:val="Hyperlink"/>
            <w:rFonts w:ascii="AdvTimes" w:hAnsi="AdvTimes" w:cs="AdvTimes"/>
            <w:color w:val="auto"/>
            <w:szCs w:val="22"/>
            <w:lang w:val="en-GB" w:eastAsia="en-US"/>
          </w:rPr>
          <w:t>http://papers.ssrn.com/sol3/papers.cfm?abstract_id=620647</w:t>
        </w:r>
      </w:hyperlink>
      <w:r w:rsidR="007C7F32" w:rsidRPr="00B97064">
        <w:rPr>
          <w:rFonts w:ascii="AdvTimes" w:hAnsi="AdvTimes" w:cs="AdvTimes"/>
          <w:szCs w:val="22"/>
          <w:lang w:val="en-GB" w:eastAsia="en-US"/>
        </w:rPr>
        <w:t>.</w:t>
      </w:r>
    </w:p>
    <w:p w:rsidR="007C7F32" w:rsidRPr="00B97064" w:rsidRDefault="007C7F32" w:rsidP="00951BA4">
      <w:pPr>
        <w:rPr>
          <w:lang w:val="en-GB"/>
        </w:rPr>
      </w:pPr>
    </w:p>
    <w:p w:rsidR="007C7F32" w:rsidRPr="00B97064" w:rsidRDefault="007C7F32" w:rsidP="00951BA4">
      <w:pPr>
        <w:rPr>
          <w:rFonts w:cs="Arial"/>
          <w:lang w:val="en-GB"/>
        </w:rPr>
      </w:pPr>
      <w:r w:rsidRPr="00B97064">
        <w:rPr>
          <w:rFonts w:cs="Arial"/>
          <w:lang w:val="en-GB"/>
        </w:rPr>
        <w:lastRenderedPageBreak/>
        <w:t>Dahya, J.,</w:t>
      </w:r>
      <w:r w:rsidRPr="00B97064">
        <w:rPr>
          <w:lang w:val="en-GB"/>
        </w:rPr>
        <w:t xml:space="preserve"> Dimitrov, O., &amp; McConnell</w:t>
      </w:r>
      <w:r w:rsidRPr="00B97064">
        <w:rPr>
          <w:rFonts w:cs="Arial"/>
          <w:lang w:val="en-GB"/>
        </w:rPr>
        <w:t xml:space="preserve">, J.J. (2008). Dominant shareholders, corporate boards, and corporate value: A cross-country analysis. </w:t>
      </w:r>
      <w:r w:rsidRPr="00B97064">
        <w:rPr>
          <w:rFonts w:cs="Arial"/>
          <w:i/>
          <w:lang w:val="en-GB"/>
        </w:rPr>
        <w:t>Journal of Financial Economics,</w:t>
      </w:r>
      <w:r w:rsidRPr="00B97064">
        <w:rPr>
          <w:rFonts w:cs="Arial"/>
          <w:lang w:val="en-GB"/>
        </w:rPr>
        <w:t xml:space="preserve"> 87(1): 73-100.</w:t>
      </w:r>
    </w:p>
    <w:p w:rsidR="007C7F32" w:rsidRPr="00B97064" w:rsidRDefault="007C7F32" w:rsidP="00951BA4">
      <w:pPr>
        <w:rPr>
          <w:rFonts w:cs="Arial"/>
          <w:lang w:val="en-GB"/>
        </w:rPr>
      </w:pPr>
    </w:p>
    <w:p w:rsidR="007C7F32" w:rsidRPr="00B97064" w:rsidRDefault="007C7F32" w:rsidP="00951BA4">
      <w:pPr>
        <w:rPr>
          <w:rFonts w:cs="Arial"/>
          <w:lang w:val="en-GB"/>
        </w:rPr>
      </w:pPr>
      <w:r w:rsidRPr="00B97064">
        <w:rPr>
          <w:rFonts w:cs="Arial"/>
          <w:lang w:val="en-GB"/>
        </w:rPr>
        <w:t xml:space="preserve">DeAngelo, L. E. (1981). Auditor Size and Audit Quality. </w:t>
      </w:r>
      <w:r w:rsidRPr="00B97064">
        <w:rPr>
          <w:rFonts w:cs="Arial"/>
          <w:i/>
          <w:lang w:val="en-GB"/>
        </w:rPr>
        <w:t>Journal of Accounting and Economics,</w:t>
      </w:r>
      <w:r w:rsidRPr="00B97064">
        <w:rPr>
          <w:rFonts w:cs="Arial"/>
          <w:lang w:val="en-GB"/>
        </w:rPr>
        <w:t xml:space="preserve"> 3(3): 183-199.</w:t>
      </w:r>
    </w:p>
    <w:p w:rsidR="007C7F32" w:rsidRPr="00B97064" w:rsidRDefault="007C7F32" w:rsidP="00951BA4">
      <w:pPr>
        <w:rPr>
          <w:rFonts w:cs="Arial"/>
          <w:lang w:val="en-GB"/>
        </w:rPr>
      </w:pPr>
    </w:p>
    <w:p w:rsidR="007C7F32" w:rsidRPr="007F674E" w:rsidRDefault="007C7F32" w:rsidP="00D16F31">
      <w:r w:rsidRPr="00B97064">
        <w:rPr>
          <w:rFonts w:cs="Arial"/>
          <w:lang w:val="en-GB"/>
        </w:rPr>
        <w:t xml:space="preserve">DeFond, M.L., Hann, R.N. &amp; Hu, X. (2005). Does the Market Value Financial Expertise on Audit Committees of Boards of Directors? </w:t>
      </w:r>
      <w:r w:rsidRPr="007F674E">
        <w:rPr>
          <w:rFonts w:cs="Arial"/>
          <w:i/>
        </w:rPr>
        <w:t xml:space="preserve">Journal of Accounting </w:t>
      </w:r>
      <w:proofErr w:type="gramStart"/>
      <w:r w:rsidRPr="007F674E">
        <w:rPr>
          <w:rFonts w:cs="Arial"/>
          <w:i/>
        </w:rPr>
        <w:t>Research</w:t>
      </w:r>
      <w:proofErr w:type="gramEnd"/>
      <w:r w:rsidRPr="007F674E">
        <w:rPr>
          <w:rFonts w:cs="Arial"/>
        </w:rPr>
        <w:t>,</w:t>
      </w:r>
      <w:r w:rsidRPr="007F674E">
        <w:rPr>
          <w:rFonts w:cs="Arial"/>
          <w:i/>
        </w:rPr>
        <w:t xml:space="preserve"> </w:t>
      </w:r>
      <w:r w:rsidRPr="007F674E">
        <w:rPr>
          <w:rFonts w:cs="Arial"/>
        </w:rPr>
        <w:t>43(2): 153-193.</w:t>
      </w:r>
    </w:p>
    <w:p w:rsidR="007C7F32" w:rsidRPr="007F674E" w:rsidRDefault="007C7F32" w:rsidP="00951BA4"/>
    <w:p w:rsidR="007C7F32" w:rsidRPr="007F674E" w:rsidRDefault="007C7F32" w:rsidP="00A23C8E">
      <w:proofErr w:type="spellStart"/>
      <w:r w:rsidRPr="007F674E">
        <w:t>DeJong</w:t>
      </w:r>
      <w:proofErr w:type="spellEnd"/>
      <w:r w:rsidRPr="007F674E">
        <w:t>, J., Jong, A. de</w:t>
      </w:r>
      <w:proofErr w:type="gramStart"/>
      <w:r w:rsidRPr="007F674E">
        <w:t>.</w:t>
      </w:r>
      <w:proofErr w:type="gramEnd"/>
      <w:r w:rsidRPr="007F674E">
        <w:t xml:space="preserve">, Mertens, G.M.H. &amp; </w:t>
      </w:r>
      <w:proofErr w:type="spellStart"/>
      <w:r w:rsidRPr="007F674E">
        <w:t>Wasley</w:t>
      </w:r>
      <w:proofErr w:type="spellEnd"/>
      <w:r w:rsidRPr="007F674E">
        <w:t xml:space="preserve">, C.E. (2001). </w:t>
      </w:r>
      <w:proofErr w:type="spellStart"/>
      <w:r w:rsidRPr="007F674E">
        <w:t>Corporate</w:t>
      </w:r>
      <w:proofErr w:type="spellEnd"/>
      <w:r w:rsidRPr="007F674E">
        <w:t xml:space="preserve"> </w:t>
      </w:r>
      <w:proofErr w:type="spellStart"/>
      <w:r w:rsidRPr="007F674E">
        <w:t>governance</w:t>
      </w:r>
      <w:proofErr w:type="spellEnd"/>
      <w:r w:rsidRPr="007F674E">
        <w:t xml:space="preserve"> in Nederland: de invloed van de Commissie Peters. </w:t>
      </w:r>
      <w:r w:rsidRPr="007F674E">
        <w:rPr>
          <w:i/>
        </w:rPr>
        <w:t>Maandblad voor Accountancy en Bedrijfseconomie</w:t>
      </w:r>
      <w:r w:rsidRPr="007F674E">
        <w:t>, 75(4): 150-160.</w:t>
      </w:r>
    </w:p>
    <w:p w:rsidR="007C7F32" w:rsidRPr="007F674E" w:rsidRDefault="007C7F32" w:rsidP="00A23C8E"/>
    <w:p w:rsidR="007C7F32" w:rsidRPr="00B97064" w:rsidRDefault="007C7F32" w:rsidP="00A23C8E">
      <w:pPr>
        <w:rPr>
          <w:rFonts w:cs="Arial"/>
          <w:lang w:val="en-GB"/>
        </w:rPr>
      </w:pPr>
      <w:proofErr w:type="spellStart"/>
      <w:r w:rsidRPr="007F674E">
        <w:rPr>
          <w:rFonts w:cs="Arial"/>
        </w:rPr>
        <w:t>Djankov</w:t>
      </w:r>
      <w:proofErr w:type="spellEnd"/>
      <w:r w:rsidRPr="007F674E">
        <w:rPr>
          <w:rFonts w:cs="Arial"/>
        </w:rPr>
        <w:t xml:space="preserve">, S., La </w:t>
      </w:r>
      <w:proofErr w:type="spellStart"/>
      <w:r w:rsidRPr="007F674E">
        <w:rPr>
          <w:rFonts w:cs="Arial"/>
        </w:rPr>
        <w:t>Porta</w:t>
      </w:r>
      <w:proofErr w:type="spellEnd"/>
      <w:r w:rsidRPr="007F674E">
        <w:rPr>
          <w:rFonts w:cs="Arial"/>
        </w:rPr>
        <w:t xml:space="preserve">, R., </w:t>
      </w:r>
      <w:proofErr w:type="spellStart"/>
      <w:r w:rsidRPr="007F674E">
        <w:rPr>
          <w:rFonts w:cs="Arial"/>
        </w:rPr>
        <w:t>Lopez-de-Silanes</w:t>
      </w:r>
      <w:proofErr w:type="spellEnd"/>
      <w:r w:rsidRPr="007F674E">
        <w:rPr>
          <w:rFonts w:cs="Arial"/>
        </w:rPr>
        <w:t xml:space="preserve">, F. &amp; </w:t>
      </w:r>
      <w:proofErr w:type="spellStart"/>
      <w:r w:rsidRPr="007F674E">
        <w:rPr>
          <w:rFonts w:cs="Arial"/>
        </w:rPr>
        <w:t>Shleifer</w:t>
      </w:r>
      <w:proofErr w:type="spellEnd"/>
      <w:r w:rsidRPr="007F674E">
        <w:rPr>
          <w:rFonts w:cs="Arial"/>
        </w:rPr>
        <w:t xml:space="preserve">, A. (2008). </w:t>
      </w:r>
      <w:r w:rsidRPr="00B97064">
        <w:rPr>
          <w:rFonts w:cs="Arial"/>
          <w:lang w:val="en-GB"/>
        </w:rPr>
        <w:t xml:space="preserve">The law and economics of self-dealing. </w:t>
      </w:r>
      <w:r w:rsidRPr="00B97064">
        <w:rPr>
          <w:rFonts w:cs="Arial"/>
          <w:i/>
          <w:lang w:val="en-GB"/>
        </w:rPr>
        <w:t>Journal of Financial Economics</w:t>
      </w:r>
      <w:r w:rsidRPr="00B97064">
        <w:rPr>
          <w:rFonts w:cs="Arial"/>
          <w:lang w:val="en-GB"/>
        </w:rPr>
        <w:t>, 88(3): 430–465.</w:t>
      </w:r>
    </w:p>
    <w:p w:rsidR="007C7F32" w:rsidRPr="00B97064" w:rsidRDefault="007C7F32" w:rsidP="00A23C8E">
      <w:pPr>
        <w:rPr>
          <w:rFonts w:cs="Arial"/>
          <w:lang w:val="en-GB"/>
        </w:rPr>
      </w:pPr>
    </w:p>
    <w:p w:rsidR="007C7F32" w:rsidRPr="00B97064" w:rsidRDefault="007C7F32" w:rsidP="007C6785">
      <w:pPr>
        <w:rPr>
          <w:rFonts w:cs="Arial"/>
          <w:lang w:val="en-GB"/>
        </w:rPr>
      </w:pPr>
      <w:r w:rsidRPr="00B97064">
        <w:rPr>
          <w:rFonts w:cs="Arial"/>
          <w:lang w:val="en-GB"/>
        </w:rPr>
        <w:t xml:space="preserve">Doidge, C., Karolyi, G.A. &amp; Stulz, R.M. (2004). Why are foreign firms listed in the U.S. worth more?. </w:t>
      </w:r>
      <w:r w:rsidRPr="00B97064">
        <w:rPr>
          <w:rFonts w:cs="Arial"/>
          <w:i/>
          <w:lang w:val="en-GB"/>
        </w:rPr>
        <w:t xml:space="preserve">Journal of Financial Economics, </w:t>
      </w:r>
      <w:r w:rsidRPr="00B97064">
        <w:rPr>
          <w:rFonts w:cs="Arial"/>
          <w:lang w:val="en-GB"/>
        </w:rPr>
        <w:t>71(2): 205-238.</w:t>
      </w:r>
    </w:p>
    <w:p w:rsidR="007C7F32" w:rsidRPr="00B97064" w:rsidRDefault="007C7F32" w:rsidP="00A23C8E">
      <w:pPr>
        <w:rPr>
          <w:rFonts w:cs="Arial"/>
          <w:lang w:val="en-GB"/>
        </w:rPr>
      </w:pPr>
    </w:p>
    <w:p w:rsidR="007C7F32" w:rsidRPr="00B97064" w:rsidRDefault="007C7F32" w:rsidP="00A23C8E">
      <w:pPr>
        <w:rPr>
          <w:rFonts w:cs="Arial"/>
          <w:lang w:val="en-GB"/>
        </w:rPr>
      </w:pPr>
      <w:r w:rsidRPr="00B97064">
        <w:rPr>
          <w:rFonts w:cs="Arial"/>
          <w:lang w:val="en-GB"/>
        </w:rPr>
        <w:t xml:space="preserve">Faccio, M., Lang, L.H.P. &amp; Young, L. (2003). Debt and Expropriation. Working paper. Available at SSRN: </w:t>
      </w:r>
      <w:hyperlink r:id="rId30" w:history="1">
        <w:r w:rsidRPr="00B97064">
          <w:rPr>
            <w:rStyle w:val="Hyperlink"/>
            <w:rFonts w:cs="Arial"/>
            <w:color w:val="auto"/>
            <w:lang w:val="en-GB"/>
          </w:rPr>
          <w:t>http://papers.ssrn.com/sol3/papers.cfm?abstract_id=239724</w:t>
        </w:r>
      </w:hyperlink>
      <w:r w:rsidRPr="00B97064">
        <w:rPr>
          <w:rFonts w:cs="Arial"/>
          <w:lang w:val="en-GB"/>
        </w:rPr>
        <w:t>.</w:t>
      </w:r>
    </w:p>
    <w:p w:rsidR="007C7F32" w:rsidRPr="00B97064" w:rsidRDefault="007C7F32" w:rsidP="00A23C8E">
      <w:pPr>
        <w:rPr>
          <w:rFonts w:cs="Arial"/>
          <w:lang w:val="en-GB"/>
        </w:rPr>
      </w:pPr>
    </w:p>
    <w:p w:rsidR="007C7F32" w:rsidRPr="00B97064" w:rsidRDefault="007C7F32" w:rsidP="00A23C8E">
      <w:pPr>
        <w:rPr>
          <w:rFonts w:cs="Arial"/>
          <w:lang w:val="en-GB"/>
        </w:rPr>
      </w:pPr>
      <w:r w:rsidRPr="00B97064">
        <w:rPr>
          <w:rFonts w:cs="Arial"/>
          <w:lang w:val="en-GB"/>
        </w:rPr>
        <w:t xml:space="preserve">Fitzgerald, M.L., Vivero, F., &amp; Reyes, P. (2009). Securities registration. </w:t>
      </w:r>
      <w:r w:rsidRPr="00B97064">
        <w:rPr>
          <w:rFonts w:cs="Arial"/>
          <w:i/>
          <w:lang w:val="en-GB"/>
        </w:rPr>
        <w:t>Insights</w:t>
      </w:r>
      <w:r w:rsidR="009075BC" w:rsidRPr="00B97064">
        <w:rPr>
          <w:rFonts w:cs="Arial"/>
          <w:lang w:val="en-GB"/>
        </w:rPr>
        <w:t>, 23(4): 11-15.</w:t>
      </w:r>
    </w:p>
    <w:p w:rsidR="007C7F32" w:rsidRPr="00B97064" w:rsidRDefault="007C7F32" w:rsidP="00A23C8E">
      <w:pPr>
        <w:rPr>
          <w:lang w:val="en-GB"/>
        </w:rPr>
      </w:pPr>
    </w:p>
    <w:p w:rsidR="007C7F32" w:rsidRPr="00B97064" w:rsidRDefault="007C7F32" w:rsidP="00A23C8E">
      <w:pPr>
        <w:rPr>
          <w:rFonts w:cs="Arial"/>
          <w:lang w:val="en-GB"/>
        </w:rPr>
      </w:pPr>
      <w:r w:rsidRPr="00B97064">
        <w:rPr>
          <w:lang w:val="en-GB"/>
        </w:rPr>
        <w:t>Ge, W., Drury, D.H., Fortin, S., Liu, F. &amp; Tsang, D.</w:t>
      </w:r>
      <w:r w:rsidRPr="00B97064">
        <w:rPr>
          <w:rFonts w:ascii="AdvTT5235d5a9" w:hAnsi="AdvTT5235d5a9" w:cs="AdvTT5235d5a9"/>
          <w:sz w:val="21"/>
          <w:szCs w:val="21"/>
          <w:lang w:val="en-GB" w:eastAsia="en-US"/>
        </w:rPr>
        <w:t xml:space="preserve"> (</w:t>
      </w:r>
      <w:r w:rsidRPr="00B97064">
        <w:rPr>
          <w:rFonts w:cs="Arial"/>
          <w:lang w:val="en-GB"/>
        </w:rPr>
        <w:t xml:space="preserve">2010). Value relevance of disclosed related party transactions. </w:t>
      </w:r>
      <w:r w:rsidRPr="00B97064">
        <w:rPr>
          <w:rFonts w:cs="Arial"/>
          <w:i/>
          <w:lang w:val="en-GB"/>
        </w:rPr>
        <w:t>Advances in Accounting, incorporating Advances in International Accounting,</w:t>
      </w:r>
      <w:r w:rsidRPr="00B97064">
        <w:rPr>
          <w:rFonts w:cs="Arial"/>
          <w:lang w:val="en-GB"/>
        </w:rPr>
        <w:t xml:space="preserve"> 26(1): 134–141.</w:t>
      </w:r>
    </w:p>
    <w:p w:rsidR="007C7F32" w:rsidRPr="00B97064" w:rsidRDefault="007C7F32" w:rsidP="00A23C8E">
      <w:pPr>
        <w:rPr>
          <w:rFonts w:cs="Arial"/>
          <w:lang w:val="en-GB"/>
        </w:rPr>
      </w:pPr>
    </w:p>
    <w:p w:rsidR="007C7F32" w:rsidRPr="00B97064" w:rsidRDefault="007C7F32" w:rsidP="00A23C8E">
      <w:pPr>
        <w:rPr>
          <w:rFonts w:cs="Arial"/>
          <w:lang w:val="en-GB"/>
        </w:rPr>
      </w:pPr>
      <w:r w:rsidRPr="00B97064">
        <w:rPr>
          <w:rFonts w:cs="Arial"/>
          <w:lang w:val="en-GB"/>
        </w:rPr>
        <w:t xml:space="preserve">Gorden, E. A. &amp; Henry, E. (2005). Related party transactions and earnings management. Working paper. Available at SSRN: </w:t>
      </w:r>
      <w:hyperlink r:id="rId31" w:history="1">
        <w:r w:rsidRPr="00B97064">
          <w:rPr>
            <w:rStyle w:val="Hyperlink"/>
            <w:rFonts w:cs="Arial"/>
            <w:color w:val="auto"/>
            <w:lang w:val="en-GB"/>
          </w:rPr>
          <w:t>http://ssrn.com/abstract=612234</w:t>
        </w:r>
      </w:hyperlink>
      <w:r w:rsidRPr="00B97064">
        <w:rPr>
          <w:rFonts w:cs="Arial"/>
          <w:lang w:val="en-GB"/>
        </w:rPr>
        <w:t>.</w:t>
      </w:r>
    </w:p>
    <w:p w:rsidR="007C7F32" w:rsidRPr="00B97064" w:rsidRDefault="007C7F32" w:rsidP="00A23C8E">
      <w:pPr>
        <w:rPr>
          <w:rFonts w:cs="Arial"/>
          <w:lang w:val="en-GB"/>
        </w:rPr>
      </w:pPr>
    </w:p>
    <w:p w:rsidR="007C7F32" w:rsidRPr="00B97064" w:rsidRDefault="007C7F32" w:rsidP="00A23C8E">
      <w:pPr>
        <w:rPr>
          <w:rFonts w:cs="Arial"/>
          <w:lang w:val="en-GB"/>
        </w:rPr>
      </w:pPr>
      <w:r w:rsidRPr="00B97064">
        <w:rPr>
          <w:rFonts w:cs="Arial"/>
          <w:lang w:val="en-GB"/>
        </w:rPr>
        <w:t xml:space="preserve">Jensen, M.C. &amp; Meckling, W. (1976). Theory of firm: managerial behavior, agency costs and ownership structure. </w:t>
      </w:r>
      <w:r w:rsidRPr="00B97064">
        <w:rPr>
          <w:rFonts w:cs="Arial"/>
          <w:i/>
          <w:lang w:val="en-GB"/>
        </w:rPr>
        <w:t>Journal of financial economics</w:t>
      </w:r>
      <w:r w:rsidRPr="00B97064">
        <w:rPr>
          <w:rFonts w:cs="Arial"/>
          <w:lang w:val="en-GB"/>
        </w:rPr>
        <w:t>, 3(4): 305-360.</w:t>
      </w:r>
    </w:p>
    <w:p w:rsidR="007C7F32" w:rsidRPr="00B97064" w:rsidRDefault="007C7F32" w:rsidP="00A23C8E">
      <w:pPr>
        <w:rPr>
          <w:lang w:val="en-GB"/>
        </w:rPr>
      </w:pPr>
    </w:p>
    <w:p w:rsidR="007C7F32" w:rsidRPr="00B97064" w:rsidRDefault="007C7F32" w:rsidP="00A23C8E">
      <w:pPr>
        <w:rPr>
          <w:lang w:val="en-GB"/>
        </w:rPr>
      </w:pPr>
    </w:p>
    <w:p w:rsidR="007C7F32" w:rsidRPr="00B97064" w:rsidRDefault="007C7F32" w:rsidP="00A23C8E">
      <w:pPr>
        <w:rPr>
          <w:lang w:val="en-GB"/>
        </w:rPr>
      </w:pPr>
    </w:p>
    <w:p w:rsidR="007C7F32" w:rsidRPr="00B97064" w:rsidRDefault="007C7F32" w:rsidP="000B0A58">
      <w:pPr>
        <w:rPr>
          <w:lang w:val="en-GB"/>
        </w:rPr>
      </w:pPr>
      <w:r w:rsidRPr="00B97064">
        <w:rPr>
          <w:lang w:val="en-GB"/>
        </w:rPr>
        <w:lastRenderedPageBreak/>
        <w:t xml:space="preserve">Jungmann, C. (2007). The Effectiveness of Corporate Governance in One-Tier and Two-Tier Board Systems - Evidence from the UK and Germany-. </w:t>
      </w:r>
      <w:r w:rsidRPr="00B97064">
        <w:rPr>
          <w:i/>
          <w:lang w:val="en-GB"/>
        </w:rPr>
        <w:t>European Company and Financial Law Review</w:t>
      </w:r>
      <w:r w:rsidRPr="00B97064">
        <w:rPr>
          <w:lang w:val="en-GB"/>
        </w:rPr>
        <w:t>, 3(4): 426-474.</w:t>
      </w:r>
    </w:p>
    <w:p w:rsidR="007C7F32" w:rsidRPr="00B97064" w:rsidRDefault="007C7F32" w:rsidP="000B0A58">
      <w:pPr>
        <w:rPr>
          <w:lang w:val="en-GB"/>
        </w:rPr>
      </w:pPr>
    </w:p>
    <w:p w:rsidR="007C7F32" w:rsidRPr="00B97064" w:rsidRDefault="007C7F32" w:rsidP="000B0A58">
      <w:pPr>
        <w:rPr>
          <w:lang w:val="en-GB"/>
        </w:rPr>
      </w:pPr>
      <w:r w:rsidRPr="00B97064">
        <w:rPr>
          <w:lang w:val="en-GB"/>
        </w:rPr>
        <w:t xml:space="preserve">Krishnan, J. &amp; Lee, J. E. (2009). Audit Committee Financial Expertise, Litigation Risk, and Corporate Governance. </w:t>
      </w:r>
      <w:r w:rsidRPr="00B97064">
        <w:rPr>
          <w:i/>
          <w:lang w:val="en-GB"/>
        </w:rPr>
        <w:t>Auditing: A Journal of Practice and Theory</w:t>
      </w:r>
      <w:r w:rsidRPr="00B97064">
        <w:rPr>
          <w:lang w:val="en-GB"/>
        </w:rPr>
        <w:t>, 28(1): 241-261</w:t>
      </w:r>
      <w:r w:rsidR="009075BC" w:rsidRPr="00B97064">
        <w:rPr>
          <w:lang w:val="en-GB"/>
        </w:rPr>
        <w:t>.</w:t>
      </w:r>
    </w:p>
    <w:p w:rsidR="007C7F32" w:rsidRPr="00B97064" w:rsidRDefault="007C7F32" w:rsidP="000B0A58">
      <w:pPr>
        <w:rPr>
          <w:lang w:val="en-GB"/>
        </w:rPr>
      </w:pPr>
    </w:p>
    <w:p w:rsidR="007C7F32" w:rsidRPr="00B97064" w:rsidRDefault="007C7F32" w:rsidP="000B0A58">
      <w:pPr>
        <w:rPr>
          <w:lang w:val="en-GB"/>
        </w:rPr>
      </w:pPr>
      <w:r w:rsidRPr="00B97064">
        <w:rPr>
          <w:lang w:val="en-GB"/>
        </w:rPr>
        <w:t xml:space="preserve">Kohlbeck, M., &amp; Mayhew, B.W. (2010). Valuation of firms that disclose related party transactions. </w:t>
      </w:r>
      <w:r w:rsidRPr="00B97064">
        <w:rPr>
          <w:i/>
          <w:lang w:val="en-GB"/>
        </w:rPr>
        <w:t>Journal of Accounting and Public Policy</w:t>
      </w:r>
      <w:r w:rsidRPr="00B97064">
        <w:rPr>
          <w:lang w:val="en-GB"/>
        </w:rPr>
        <w:t>, 29(2): 115-137.</w:t>
      </w:r>
    </w:p>
    <w:p w:rsidR="007C7F32" w:rsidRPr="00B97064" w:rsidRDefault="007C7F32" w:rsidP="000B0A58">
      <w:pPr>
        <w:rPr>
          <w:b/>
          <w:bCs/>
          <w:sz w:val="18"/>
          <w:szCs w:val="18"/>
          <w:lang w:val="en-GB"/>
        </w:rPr>
      </w:pPr>
    </w:p>
    <w:p w:rsidR="007C7F32" w:rsidRPr="00B97064" w:rsidRDefault="007C7F32" w:rsidP="000B0A58">
      <w:pPr>
        <w:rPr>
          <w:rFonts w:cs="Arial"/>
          <w:lang w:val="en-GB"/>
        </w:rPr>
      </w:pPr>
      <w:r w:rsidRPr="00B97064">
        <w:rPr>
          <w:lang w:val="en-GB"/>
        </w:rPr>
        <w:t>La Porta, R., Lopez-de-Silanes, F., Shleifer, A. &amp; Vishny, R.W. (</w:t>
      </w:r>
      <w:r w:rsidRPr="00B97064">
        <w:rPr>
          <w:rFonts w:cs="Arial"/>
          <w:lang w:val="en-GB"/>
        </w:rPr>
        <w:t xml:space="preserve">1997). Legal determinants of external finance. </w:t>
      </w:r>
      <w:r w:rsidRPr="00B97064">
        <w:rPr>
          <w:rFonts w:cs="Arial"/>
          <w:i/>
          <w:lang w:val="en-GB"/>
        </w:rPr>
        <w:t>The Journal of Finance</w:t>
      </w:r>
      <w:r w:rsidRPr="00B97064">
        <w:rPr>
          <w:rFonts w:cs="Arial"/>
          <w:lang w:val="en-GB"/>
        </w:rPr>
        <w:t>, 52(3): 1131-1150.</w:t>
      </w:r>
    </w:p>
    <w:p w:rsidR="007C7F32" w:rsidRPr="00B97064" w:rsidRDefault="007C7F32" w:rsidP="000B0A58">
      <w:pPr>
        <w:rPr>
          <w:rFonts w:cs="Arial"/>
          <w:lang w:val="en-GB"/>
        </w:rPr>
      </w:pPr>
    </w:p>
    <w:p w:rsidR="007C7F32" w:rsidRPr="00B97064" w:rsidRDefault="007C7F32" w:rsidP="000B0A58">
      <w:pPr>
        <w:rPr>
          <w:lang w:val="en-GB"/>
        </w:rPr>
      </w:pPr>
      <w:r w:rsidRPr="00B97064">
        <w:rPr>
          <w:lang w:val="en-GB"/>
        </w:rPr>
        <w:t xml:space="preserve">La Porta, R., Lopez-de-Silanes, F., Shleifer, A. &amp; Vishny, R.W. (1998). Law and Finance, </w:t>
      </w:r>
      <w:r w:rsidRPr="00B97064">
        <w:rPr>
          <w:i/>
          <w:lang w:val="en-GB"/>
        </w:rPr>
        <w:t>Journal of Political Economy</w:t>
      </w:r>
      <w:r w:rsidRPr="00B97064">
        <w:rPr>
          <w:lang w:val="en-GB"/>
        </w:rPr>
        <w:t>; 106(6): 1113-1155.</w:t>
      </w:r>
    </w:p>
    <w:p w:rsidR="007C7F32" w:rsidRPr="00B97064" w:rsidRDefault="007C7F32" w:rsidP="000B0A58">
      <w:pPr>
        <w:rPr>
          <w:rFonts w:cs="Arial"/>
          <w:lang w:val="en-GB"/>
        </w:rPr>
      </w:pPr>
    </w:p>
    <w:p w:rsidR="007C7F32" w:rsidRPr="00B97064" w:rsidRDefault="007C7F32" w:rsidP="000B0A58">
      <w:pPr>
        <w:rPr>
          <w:lang w:val="en-GB"/>
        </w:rPr>
      </w:pPr>
      <w:r w:rsidRPr="00B97064">
        <w:rPr>
          <w:lang w:val="en-GB"/>
        </w:rPr>
        <w:t xml:space="preserve">La Porta, R., Lopez-de-Silanes, F., Shleifer, A. &amp; Vishny, R.W. (2000). Investor protection and corporate governance. </w:t>
      </w:r>
      <w:r w:rsidRPr="00B97064">
        <w:rPr>
          <w:i/>
          <w:lang w:val="en-GB"/>
        </w:rPr>
        <w:t>Journal of Financial Economics</w:t>
      </w:r>
      <w:r w:rsidRPr="00B97064">
        <w:rPr>
          <w:lang w:val="en-GB"/>
        </w:rPr>
        <w:t>, 58(1): 3-27.</w:t>
      </w:r>
    </w:p>
    <w:p w:rsidR="007C7F32" w:rsidRPr="00B97064" w:rsidRDefault="007C7F32" w:rsidP="000B0A58">
      <w:pPr>
        <w:rPr>
          <w:lang w:val="en-GB"/>
        </w:rPr>
      </w:pPr>
    </w:p>
    <w:p w:rsidR="007C7F32" w:rsidRPr="00B97064" w:rsidRDefault="007C7F32" w:rsidP="000B0A58">
      <w:pPr>
        <w:rPr>
          <w:lang w:val="en-GB"/>
        </w:rPr>
      </w:pPr>
      <w:r w:rsidRPr="00B97064">
        <w:rPr>
          <w:lang w:val="en-GB"/>
        </w:rPr>
        <w:t xml:space="preserve">La Porta, R., Lopez-de-Silanes, F., Shleifer, A. &amp; Vishny, R.W. (2002). Investor protection and corporate valuation. </w:t>
      </w:r>
      <w:r w:rsidRPr="00B97064">
        <w:rPr>
          <w:i/>
          <w:lang w:val="en-GB"/>
        </w:rPr>
        <w:t>The Journal of Finance,</w:t>
      </w:r>
      <w:r w:rsidRPr="00B97064">
        <w:rPr>
          <w:lang w:val="en-GB"/>
        </w:rPr>
        <w:t xml:space="preserve"> 57(3): 1147-1170.</w:t>
      </w:r>
    </w:p>
    <w:p w:rsidR="007C7F32" w:rsidRPr="00B97064" w:rsidRDefault="007C7F32" w:rsidP="000B0A58">
      <w:pPr>
        <w:rPr>
          <w:lang w:val="en-GB"/>
        </w:rPr>
      </w:pPr>
    </w:p>
    <w:p w:rsidR="007C7F32" w:rsidRPr="007F674E" w:rsidRDefault="007C7F32" w:rsidP="000B0A58">
      <w:pPr>
        <w:rPr>
          <w:rFonts w:cs="Arial"/>
        </w:rPr>
      </w:pPr>
      <w:proofErr w:type="gramStart"/>
      <w:r w:rsidRPr="00B97064">
        <w:rPr>
          <w:rFonts w:cs="Arial"/>
          <w:lang w:val="en-GB"/>
        </w:rPr>
        <w:t xml:space="preserve">Linden, S. van der. </w:t>
      </w:r>
      <w:r w:rsidRPr="007F674E">
        <w:rPr>
          <w:rFonts w:cs="Arial"/>
        </w:rPr>
        <w:t>(2009).</w:t>
      </w:r>
      <w:proofErr w:type="gramEnd"/>
      <w:r w:rsidRPr="007F674E">
        <w:rPr>
          <w:rFonts w:cs="Arial"/>
        </w:rPr>
        <w:t xml:space="preserve"> RJ 330 (2001) versus IAS 24. </w:t>
      </w:r>
      <w:r w:rsidRPr="007F674E">
        <w:rPr>
          <w:rFonts w:cs="Arial"/>
          <w:i/>
        </w:rPr>
        <w:t>Spotlight</w:t>
      </w:r>
      <w:r w:rsidRPr="007F674E">
        <w:rPr>
          <w:rFonts w:cs="Arial"/>
        </w:rPr>
        <w:t>, 2009, 1: 19-22.</w:t>
      </w:r>
    </w:p>
    <w:p w:rsidR="007C7F32" w:rsidRPr="007F674E" w:rsidRDefault="007C7F32" w:rsidP="000B0A58">
      <w:pPr>
        <w:rPr>
          <w:rFonts w:cs="Arial"/>
        </w:rPr>
      </w:pPr>
    </w:p>
    <w:p w:rsidR="007C7F32" w:rsidRPr="007F674E" w:rsidRDefault="007C7F32" w:rsidP="000B0A58">
      <w:pPr>
        <w:rPr>
          <w:rFonts w:cs="Arial"/>
        </w:rPr>
      </w:pPr>
      <w:r w:rsidRPr="007F674E">
        <w:rPr>
          <w:rFonts w:cs="Arial"/>
        </w:rPr>
        <w:t xml:space="preserve">Moerland, P.W. (2001). Het </w:t>
      </w:r>
      <w:proofErr w:type="spellStart"/>
      <w:r w:rsidRPr="007F674E">
        <w:rPr>
          <w:rFonts w:cs="Arial"/>
        </w:rPr>
        <w:t>SER-advies</w:t>
      </w:r>
      <w:proofErr w:type="spellEnd"/>
      <w:r w:rsidRPr="007F674E">
        <w:rPr>
          <w:rFonts w:cs="Arial"/>
        </w:rPr>
        <w:t xml:space="preserve"> </w:t>
      </w:r>
      <w:proofErr w:type="gramStart"/>
      <w:r w:rsidRPr="007F674E">
        <w:rPr>
          <w:rFonts w:cs="Arial"/>
        </w:rPr>
        <w:t>inzake</w:t>
      </w:r>
      <w:proofErr w:type="gramEnd"/>
      <w:r w:rsidRPr="007F674E">
        <w:rPr>
          <w:rFonts w:cs="Arial"/>
        </w:rPr>
        <w:t xml:space="preserve"> structuurregeling. </w:t>
      </w:r>
      <w:r w:rsidRPr="007F674E">
        <w:rPr>
          <w:i/>
        </w:rPr>
        <w:t>Maandblad voor Accountancy en Bedrijfseconomie</w:t>
      </w:r>
      <w:r w:rsidRPr="007F674E">
        <w:rPr>
          <w:rFonts w:cs="Arial"/>
          <w:i/>
        </w:rPr>
        <w:t xml:space="preserve">, </w:t>
      </w:r>
      <w:r w:rsidRPr="007F674E">
        <w:rPr>
          <w:rFonts w:cs="Arial"/>
        </w:rPr>
        <w:t>75(7/8): 292-298.</w:t>
      </w:r>
    </w:p>
    <w:p w:rsidR="007C7F32" w:rsidRPr="007F674E" w:rsidRDefault="007C7F32" w:rsidP="000B0A58">
      <w:pPr>
        <w:rPr>
          <w:rFonts w:cs="Arial"/>
        </w:rPr>
      </w:pPr>
    </w:p>
    <w:p w:rsidR="007C7F32" w:rsidRPr="00B97064" w:rsidRDefault="007C7F32" w:rsidP="000B0A58">
      <w:pPr>
        <w:rPr>
          <w:rFonts w:cs="Arial"/>
          <w:lang w:val="en-GB"/>
        </w:rPr>
      </w:pPr>
      <w:proofErr w:type="spellStart"/>
      <w:proofErr w:type="gramStart"/>
      <w:r w:rsidRPr="00B97064">
        <w:rPr>
          <w:rFonts w:cs="Arial"/>
          <w:lang w:val="en-GB"/>
        </w:rPr>
        <w:t>Nekhili</w:t>
      </w:r>
      <w:proofErr w:type="spellEnd"/>
      <w:r w:rsidRPr="00B97064">
        <w:rPr>
          <w:rFonts w:cs="Arial"/>
          <w:lang w:val="en-GB"/>
        </w:rPr>
        <w:t>, M. &amp; Cherif, M. (2011).</w:t>
      </w:r>
      <w:proofErr w:type="gramEnd"/>
      <w:r w:rsidRPr="00B97064">
        <w:rPr>
          <w:rFonts w:cs="Arial"/>
          <w:lang w:val="en-GB"/>
        </w:rPr>
        <w:t xml:space="preserve"> Related parties transactions and firm’s market value: the French case. </w:t>
      </w:r>
      <w:r w:rsidRPr="00B97064">
        <w:rPr>
          <w:rFonts w:cs="Arial"/>
          <w:i/>
          <w:lang w:val="en-GB"/>
        </w:rPr>
        <w:t>Review of Accounting and Finance</w:t>
      </w:r>
      <w:r w:rsidRPr="00B97064">
        <w:rPr>
          <w:rFonts w:cs="Arial"/>
          <w:lang w:val="en-GB"/>
        </w:rPr>
        <w:t>, 10(3): 291-315.</w:t>
      </w:r>
    </w:p>
    <w:p w:rsidR="007C7F32" w:rsidRPr="00B97064" w:rsidRDefault="007C7F32" w:rsidP="000B0A58">
      <w:pPr>
        <w:rPr>
          <w:lang w:val="en-GB"/>
        </w:rPr>
      </w:pPr>
    </w:p>
    <w:p w:rsidR="007C7F32" w:rsidRPr="00B97064" w:rsidRDefault="007C7F32" w:rsidP="000B0A58">
      <w:pPr>
        <w:rPr>
          <w:lang w:val="en-GB"/>
        </w:rPr>
      </w:pPr>
      <w:r w:rsidRPr="00B97064">
        <w:rPr>
          <w:lang w:val="en-GB"/>
        </w:rPr>
        <w:t>Peij, S.C. (2010). De 'one-tier board: waarom wel en niet</w:t>
      </w:r>
      <w:proofErr w:type="gramStart"/>
      <w:r w:rsidRPr="00B97064">
        <w:rPr>
          <w:lang w:val="en-GB"/>
        </w:rPr>
        <w:t>?,</w:t>
      </w:r>
      <w:proofErr w:type="gramEnd"/>
      <w:r w:rsidRPr="00B97064">
        <w:rPr>
          <w:lang w:val="en-GB"/>
        </w:rPr>
        <w:t xml:space="preserve"> Kluwer Management Executive, January/February 2010,  1-7 Available at: </w:t>
      </w:r>
      <w:hyperlink r:id="rId32" w:history="1">
        <w:r w:rsidRPr="00B97064">
          <w:rPr>
            <w:rStyle w:val="Hyperlink"/>
            <w:color w:val="auto"/>
            <w:lang w:val="en-GB"/>
          </w:rPr>
          <w:t>www.kluwermanagement.nl</w:t>
        </w:r>
      </w:hyperlink>
      <w:r w:rsidRPr="00B97064">
        <w:rPr>
          <w:lang w:val="en-GB"/>
        </w:rPr>
        <w:t xml:space="preserve">  article code 0171).</w:t>
      </w:r>
    </w:p>
    <w:p w:rsidR="007C7F32" w:rsidRPr="00B97064" w:rsidRDefault="007C7F32" w:rsidP="000B0A58">
      <w:pPr>
        <w:rPr>
          <w:lang w:val="en-GB"/>
        </w:rPr>
      </w:pPr>
    </w:p>
    <w:p w:rsidR="007C7F32" w:rsidRPr="007F674E" w:rsidRDefault="007C7F32" w:rsidP="000B0A58">
      <w:pPr>
        <w:rPr>
          <w:rFonts w:cs="Arial"/>
        </w:rPr>
      </w:pPr>
      <w:r w:rsidRPr="00B97064">
        <w:rPr>
          <w:rFonts w:cs="Arial"/>
          <w:lang w:val="en-GB"/>
        </w:rPr>
        <w:t xml:space="preserve">Reese, W.A. &amp; Weisbach, M.S. (2002). Protection of minority shareholder interests, cross-listings in the United States, and subsequent equity offerings. </w:t>
      </w:r>
      <w:r w:rsidRPr="007F674E">
        <w:rPr>
          <w:rFonts w:cs="Arial"/>
          <w:i/>
        </w:rPr>
        <w:t xml:space="preserve">Journal of Financial </w:t>
      </w:r>
      <w:proofErr w:type="spellStart"/>
      <w:r w:rsidRPr="007F674E">
        <w:rPr>
          <w:rFonts w:cs="Arial"/>
          <w:i/>
        </w:rPr>
        <w:t>Economics</w:t>
      </w:r>
      <w:proofErr w:type="spellEnd"/>
      <w:r w:rsidRPr="007F674E">
        <w:rPr>
          <w:rFonts w:cs="Arial"/>
        </w:rPr>
        <w:t>, 66(1): 65-104.</w:t>
      </w:r>
    </w:p>
    <w:p w:rsidR="007C7F32" w:rsidRPr="007F674E" w:rsidRDefault="007C7F32" w:rsidP="000B0A58"/>
    <w:p w:rsidR="007C7F32" w:rsidRPr="007F674E" w:rsidRDefault="007C7F32" w:rsidP="00951BA4">
      <w:r w:rsidRPr="007F674E">
        <w:lastRenderedPageBreak/>
        <w:t xml:space="preserve">Schoenmaker, J. (2007). De dilemma’s van de commissaris. </w:t>
      </w:r>
      <w:r w:rsidRPr="007F674E">
        <w:rPr>
          <w:i/>
        </w:rPr>
        <w:t xml:space="preserve">Management </w:t>
      </w:r>
      <w:proofErr w:type="gramStart"/>
      <w:r w:rsidRPr="007F674E">
        <w:rPr>
          <w:i/>
        </w:rPr>
        <w:t>Scope</w:t>
      </w:r>
      <w:proofErr w:type="gramEnd"/>
      <w:r w:rsidRPr="007F674E">
        <w:t>, 19 December 2007: 48-50.</w:t>
      </w:r>
    </w:p>
    <w:p w:rsidR="007C7F32" w:rsidRPr="007F674E" w:rsidRDefault="007C7F32" w:rsidP="00951BA4"/>
    <w:p w:rsidR="007C7F32" w:rsidRPr="007F674E" w:rsidRDefault="007C7F32" w:rsidP="00951BA4">
      <w:r w:rsidRPr="007F674E">
        <w:t xml:space="preserve">Tas, L. van der. (2007). Hoe principieel is IFRS?. </w:t>
      </w:r>
      <w:r w:rsidRPr="007F674E">
        <w:rPr>
          <w:i/>
        </w:rPr>
        <w:t>Maandblad voor Accountancy en Bedrijfseconomie,</w:t>
      </w:r>
      <w:r w:rsidRPr="007F674E">
        <w:t xml:space="preserve"> 81(12): 586-593.</w:t>
      </w:r>
    </w:p>
    <w:p w:rsidR="007C7F32" w:rsidRPr="007F674E" w:rsidRDefault="007C7F32" w:rsidP="00951BA4"/>
    <w:p w:rsidR="007C7F32" w:rsidRPr="00B97064" w:rsidRDefault="007C7F32" w:rsidP="00447C11">
      <w:pPr>
        <w:rPr>
          <w:lang w:val="en-GB"/>
        </w:rPr>
      </w:pPr>
      <w:proofErr w:type="spellStart"/>
      <w:proofErr w:type="gramStart"/>
      <w:r w:rsidRPr="00B97064">
        <w:rPr>
          <w:lang w:val="en-GB"/>
        </w:rPr>
        <w:t>Verbeek</w:t>
      </w:r>
      <w:proofErr w:type="spellEnd"/>
      <w:r w:rsidRPr="00B97064">
        <w:rPr>
          <w:lang w:val="en-GB"/>
        </w:rPr>
        <w:t>, M. (2011).</w:t>
      </w:r>
      <w:proofErr w:type="gramEnd"/>
      <w:r w:rsidRPr="00B97064">
        <w:rPr>
          <w:lang w:val="en-GB"/>
        </w:rPr>
        <w:t xml:space="preserve"> Quantitative Methods in Applied Economics: Panel Data. 12 September 2011, Rotterdam School of Management, Erasmus University Rotterdam.</w:t>
      </w:r>
    </w:p>
    <w:p w:rsidR="007C7F32" w:rsidRPr="00B97064" w:rsidRDefault="007C7F32" w:rsidP="00951BA4">
      <w:pPr>
        <w:rPr>
          <w:lang w:val="en-GB"/>
        </w:rPr>
      </w:pPr>
    </w:p>
    <w:p w:rsidR="007C7F32" w:rsidRPr="00B97064" w:rsidRDefault="007C7F32" w:rsidP="00A23C8E">
      <w:pPr>
        <w:rPr>
          <w:lang w:val="en-GB"/>
        </w:rPr>
      </w:pPr>
      <w:r w:rsidRPr="007F674E">
        <w:t xml:space="preserve">Wielaard, N. (2009). Wat iedere accountant zou moeten weten over Code </w:t>
      </w:r>
      <w:proofErr w:type="spellStart"/>
      <w:r w:rsidRPr="007F674E">
        <w:t>Frijns</w:t>
      </w:r>
      <w:proofErr w:type="spellEnd"/>
      <w:r w:rsidRPr="007F674E">
        <w:t xml:space="preserve">. </w:t>
      </w:r>
      <w:r w:rsidRPr="00B97064">
        <w:rPr>
          <w:i/>
          <w:lang w:val="en-GB"/>
        </w:rPr>
        <w:t>De Accountant</w:t>
      </w:r>
      <w:r w:rsidRPr="00B97064">
        <w:rPr>
          <w:lang w:val="en-GB"/>
        </w:rPr>
        <w:t>, December 2009: 36-37.</w:t>
      </w:r>
    </w:p>
    <w:p w:rsidR="007C7F32" w:rsidRPr="00B97064" w:rsidRDefault="001F76A6" w:rsidP="00A23C8E">
      <w:pPr>
        <w:pStyle w:val="Heading2"/>
        <w:rPr>
          <w:lang w:val="en-GB"/>
        </w:rPr>
      </w:pPr>
      <w:bookmarkStart w:id="151" w:name="_Toc349585526"/>
      <w:r w:rsidRPr="00B97064">
        <w:rPr>
          <w:lang w:val="en-GB"/>
        </w:rPr>
        <w:t>9</w:t>
      </w:r>
      <w:r w:rsidR="007C7F32" w:rsidRPr="00B97064">
        <w:rPr>
          <w:lang w:val="en-GB"/>
        </w:rPr>
        <w:t>.2 Websites</w:t>
      </w:r>
      <w:bookmarkEnd w:id="151"/>
    </w:p>
    <w:p w:rsidR="007C7F32" w:rsidRPr="00B97064" w:rsidRDefault="00E80C96" w:rsidP="00A23C8E">
      <w:pPr>
        <w:rPr>
          <w:lang w:val="en-GB"/>
        </w:rPr>
      </w:pPr>
      <w:hyperlink r:id="rId33" w:history="1">
        <w:r w:rsidR="007C7F32" w:rsidRPr="00B97064">
          <w:rPr>
            <w:rStyle w:val="Hyperlink"/>
            <w:color w:val="auto"/>
            <w:lang w:val="en-GB"/>
          </w:rPr>
          <w:t>www.europa.eu</w:t>
        </w:r>
      </w:hyperlink>
      <w:r w:rsidR="007C7F32" w:rsidRPr="00B97064">
        <w:rPr>
          <w:lang w:val="en-GB"/>
        </w:rPr>
        <w:t xml:space="preserve"> (consulted on June 5th 2012)</w:t>
      </w:r>
    </w:p>
    <w:p w:rsidR="007C7F32" w:rsidRPr="00B97064" w:rsidRDefault="00E80C96" w:rsidP="00A23C8E">
      <w:pPr>
        <w:rPr>
          <w:lang w:val="en-GB"/>
        </w:rPr>
      </w:pPr>
      <w:hyperlink r:id="rId34" w:history="1">
        <w:r w:rsidR="007C7F32" w:rsidRPr="00B97064">
          <w:rPr>
            <w:rStyle w:val="Hyperlink"/>
            <w:color w:val="auto"/>
            <w:lang w:val="en-GB"/>
          </w:rPr>
          <w:t>www.oecd.org</w:t>
        </w:r>
      </w:hyperlink>
      <w:r w:rsidR="007C7F32" w:rsidRPr="00B97064">
        <w:rPr>
          <w:lang w:val="en-GB"/>
        </w:rPr>
        <w:t xml:space="preserve"> (consulted on June 22th 2012) </w:t>
      </w:r>
    </w:p>
    <w:p w:rsidR="007C7F32" w:rsidRPr="00B97064" w:rsidRDefault="00E80C96" w:rsidP="00A23C8E">
      <w:pPr>
        <w:rPr>
          <w:lang w:val="en-GB"/>
        </w:rPr>
      </w:pPr>
      <w:hyperlink r:id="rId35" w:anchor="choice" w:history="1">
        <w:r w:rsidR="007C7F32" w:rsidRPr="00B97064">
          <w:rPr>
            <w:rStyle w:val="Hyperlink"/>
            <w:color w:val="auto"/>
            <w:lang w:val="en-GB"/>
          </w:rPr>
          <w:t>http://dss.princeton.edu/online_help/stats_packages/stata/panel.htm#choice</w:t>
        </w:r>
      </w:hyperlink>
      <w:r w:rsidR="007C7F32" w:rsidRPr="00B97064">
        <w:rPr>
          <w:lang w:val="en-GB"/>
        </w:rPr>
        <w:t xml:space="preserve"> (consulted on January 4</w:t>
      </w:r>
      <w:r w:rsidR="007C7F32" w:rsidRPr="00B97064">
        <w:rPr>
          <w:vertAlign w:val="superscript"/>
          <w:lang w:val="en-GB"/>
        </w:rPr>
        <w:t>th</w:t>
      </w:r>
      <w:r w:rsidR="007C7F32" w:rsidRPr="00B97064">
        <w:rPr>
          <w:lang w:val="en-GB"/>
        </w:rPr>
        <w:t xml:space="preserve"> 2013)</w:t>
      </w:r>
    </w:p>
    <w:p w:rsidR="007C7F32" w:rsidRPr="00B97064" w:rsidRDefault="001F76A6" w:rsidP="00B01BF2">
      <w:pPr>
        <w:pStyle w:val="Heading2"/>
        <w:rPr>
          <w:lang w:val="en-GB"/>
        </w:rPr>
      </w:pPr>
      <w:bookmarkStart w:id="152" w:name="_Toc349585527"/>
      <w:r w:rsidRPr="00B97064">
        <w:rPr>
          <w:lang w:val="en-GB"/>
        </w:rPr>
        <w:t>9</w:t>
      </w:r>
      <w:r w:rsidR="007C7F32" w:rsidRPr="00B97064">
        <w:rPr>
          <w:lang w:val="en-GB"/>
        </w:rPr>
        <w:t>.3 Regulation</w:t>
      </w:r>
      <w:bookmarkEnd w:id="152"/>
    </w:p>
    <w:p w:rsidR="007C7F32" w:rsidRPr="00B97064" w:rsidRDefault="007C7F32" w:rsidP="00951BA4">
      <w:pPr>
        <w:rPr>
          <w:rFonts w:cs="Arial"/>
          <w:bCs/>
          <w:lang w:val="en-GB"/>
        </w:rPr>
      </w:pPr>
      <w:r w:rsidRPr="00B97064">
        <w:rPr>
          <w:rFonts w:cs="Arial"/>
          <w:lang w:val="en-GB"/>
        </w:rPr>
        <w:t xml:space="preserve">Commissie Corporate Governance. (2003). </w:t>
      </w:r>
      <w:r w:rsidRPr="00B97064">
        <w:rPr>
          <w:rFonts w:cs="Arial"/>
          <w:bCs/>
          <w:lang w:val="en-GB"/>
        </w:rPr>
        <w:t>De Nederlandse corporate governance code (code Tabaksblat) 9 december 2003, 1-70.</w:t>
      </w:r>
    </w:p>
    <w:p w:rsidR="007C7F32" w:rsidRPr="00B97064" w:rsidRDefault="007C7F32" w:rsidP="00951BA4">
      <w:pPr>
        <w:rPr>
          <w:rFonts w:cs="Arial"/>
          <w:bCs/>
          <w:lang w:val="en-GB"/>
        </w:rPr>
      </w:pPr>
    </w:p>
    <w:p w:rsidR="007C7F32" w:rsidRPr="007F674E" w:rsidRDefault="007C7F32" w:rsidP="002F3284">
      <w:r w:rsidRPr="00B97064">
        <w:rPr>
          <w:lang w:val="en-GB"/>
        </w:rPr>
        <w:t xml:space="preserve">Monitoring Commissie Corporate Governance Code. </w:t>
      </w:r>
      <w:r w:rsidRPr="007F674E">
        <w:t xml:space="preserve">(2009). De </w:t>
      </w:r>
      <w:proofErr w:type="spellStart"/>
      <w:proofErr w:type="gramStart"/>
      <w:r w:rsidRPr="007F674E">
        <w:t>nederlandse</w:t>
      </w:r>
      <w:proofErr w:type="spellEnd"/>
      <w:proofErr w:type="gramEnd"/>
      <w:r w:rsidRPr="007F674E">
        <w:t xml:space="preserve"> </w:t>
      </w:r>
      <w:proofErr w:type="spellStart"/>
      <w:r w:rsidRPr="007F674E">
        <w:t>corporate</w:t>
      </w:r>
      <w:proofErr w:type="spellEnd"/>
      <w:r w:rsidRPr="007F674E">
        <w:t xml:space="preserve"> </w:t>
      </w:r>
      <w:proofErr w:type="spellStart"/>
      <w:r w:rsidRPr="007F674E">
        <w:t>governance</w:t>
      </w:r>
      <w:proofErr w:type="spellEnd"/>
      <w:r w:rsidRPr="007F674E">
        <w:t xml:space="preserve"> code. Beginselen Van Deugdelijk Ondernemingsbestuur En Best </w:t>
      </w:r>
      <w:proofErr w:type="spellStart"/>
      <w:r w:rsidRPr="007F674E">
        <w:t>Practice</w:t>
      </w:r>
      <w:proofErr w:type="spellEnd"/>
      <w:r w:rsidRPr="007F674E">
        <w:t xml:space="preserve"> Bepalingen, 1-60.</w:t>
      </w:r>
    </w:p>
    <w:p w:rsidR="007C7F32" w:rsidRPr="007F674E" w:rsidRDefault="007C7F32" w:rsidP="002F3284"/>
    <w:p w:rsidR="007C7F32" w:rsidRPr="007F674E" w:rsidRDefault="007C7F32" w:rsidP="008860A3">
      <w:r w:rsidRPr="007F674E">
        <w:t xml:space="preserve">Raad voor de Jaarverslaggeving (2003). </w:t>
      </w:r>
      <w:r w:rsidRPr="007F674E">
        <w:rPr>
          <w:i/>
        </w:rPr>
        <w:t>Richtlijnen voor de jaarverslaggeving – Jaareditie 2003,</w:t>
      </w:r>
      <w:r w:rsidRPr="007F674E">
        <w:t xml:space="preserve"> </w:t>
      </w:r>
      <w:proofErr w:type="spellStart"/>
      <w:r w:rsidRPr="007F674E">
        <w:t>Kluwer</w:t>
      </w:r>
      <w:proofErr w:type="spellEnd"/>
      <w:r w:rsidRPr="007F674E">
        <w:t>: Deventer: 859-865.</w:t>
      </w:r>
    </w:p>
    <w:p w:rsidR="007C7F32" w:rsidRPr="007F674E" w:rsidRDefault="007C7F32" w:rsidP="00951BA4">
      <w:pPr>
        <w:rPr>
          <w:rFonts w:cs="Arial"/>
          <w:bCs/>
        </w:rPr>
      </w:pPr>
    </w:p>
    <w:p w:rsidR="007C7F32" w:rsidRPr="00B97064" w:rsidRDefault="007C7F32" w:rsidP="00A23C8E">
      <w:pPr>
        <w:rPr>
          <w:rFonts w:cs="Arial"/>
          <w:lang w:val="en-GB"/>
        </w:rPr>
      </w:pPr>
      <w:r w:rsidRPr="00B97064">
        <w:rPr>
          <w:rFonts w:cs="Arial"/>
          <w:lang w:val="en-GB"/>
        </w:rPr>
        <w:t>Regulation (EC) No 1606/2002 of the European Parliament and of the Council of 19 July 2002.</w:t>
      </w:r>
    </w:p>
    <w:p w:rsidR="007C7F32" w:rsidRPr="00B97064" w:rsidRDefault="007C7F32" w:rsidP="00A23C8E">
      <w:pPr>
        <w:rPr>
          <w:rFonts w:cs="Arial"/>
          <w:lang w:val="en-GB"/>
        </w:rPr>
      </w:pPr>
    </w:p>
    <w:p w:rsidR="007C7F32" w:rsidRPr="007F674E" w:rsidRDefault="007C7F32" w:rsidP="00A23C8E">
      <w:pPr>
        <w:rPr>
          <w:rFonts w:cs="Arial"/>
        </w:rPr>
      </w:pPr>
      <w:r w:rsidRPr="00B97064">
        <w:rPr>
          <w:rFonts w:cs="Arial"/>
          <w:lang w:val="en-GB"/>
        </w:rPr>
        <w:t xml:space="preserve">Securities and Exchange Commission (SEC). (2003). Final rule: Disclosure Required by Sections 406 and 407 of the Sarbanes-Oxley Act of 2002. </w:t>
      </w:r>
      <w:proofErr w:type="spellStart"/>
      <w:r w:rsidRPr="007F674E">
        <w:rPr>
          <w:rFonts w:cs="Arial"/>
        </w:rPr>
        <w:t>Available</w:t>
      </w:r>
      <w:proofErr w:type="spellEnd"/>
      <w:r w:rsidRPr="007F674E">
        <w:rPr>
          <w:rFonts w:cs="Arial"/>
        </w:rPr>
        <w:t xml:space="preserve"> at: </w:t>
      </w:r>
      <w:hyperlink r:id="rId36" w:history="1">
        <w:r w:rsidRPr="007F674E">
          <w:rPr>
            <w:rStyle w:val="Hyperlink"/>
            <w:rFonts w:cs="Arial"/>
            <w:color w:val="auto"/>
          </w:rPr>
          <w:t>http://www.sec.gov/rules/final/33-8177.htm</w:t>
        </w:r>
      </w:hyperlink>
      <w:r w:rsidR="009075BC" w:rsidRPr="007F674E">
        <w:rPr>
          <w:rFonts w:cs="Arial"/>
        </w:rPr>
        <w:t>.</w:t>
      </w:r>
    </w:p>
    <w:p w:rsidR="007C7F32" w:rsidRPr="007F674E" w:rsidRDefault="007C7F32" w:rsidP="00A23C8E">
      <w:pPr>
        <w:rPr>
          <w:rFonts w:cs="Arial"/>
        </w:rPr>
      </w:pPr>
    </w:p>
    <w:p w:rsidR="007C7F32" w:rsidRPr="007F674E" w:rsidRDefault="007C7F32" w:rsidP="00A23C8E">
      <w:pPr>
        <w:rPr>
          <w:rFonts w:cs="Arial"/>
        </w:rPr>
      </w:pPr>
    </w:p>
    <w:p w:rsidR="007C7F32" w:rsidRPr="007F674E" w:rsidRDefault="007C7F32" w:rsidP="00A23C8E">
      <w:pPr>
        <w:rPr>
          <w:rFonts w:cs="Arial"/>
        </w:rPr>
      </w:pPr>
      <w:r w:rsidRPr="007F674E">
        <w:lastRenderedPageBreak/>
        <w:t xml:space="preserve">Royal </w:t>
      </w:r>
      <w:proofErr w:type="spellStart"/>
      <w:r w:rsidRPr="007F674E">
        <w:t>Decree</w:t>
      </w:r>
      <w:proofErr w:type="spellEnd"/>
      <w:r w:rsidRPr="007F674E">
        <w:t xml:space="preserve"> of </w:t>
      </w:r>
      <w:proofErr w:type="spellStart"/>
      <w:r w:rsidRPr="007F674E">
        <w:t>October</w:t>
      </w:r>
      <w:proofErr w:type="spellEnd"/>
      <w:r w:rsidRPr="007F674E">
        <w:t xml:space="preserve"> 4</w:t>
      </w:r>
      <w:proofErr w:type="gramStart"/>
      <w:r w:rsidRPr="007F674E">
        <w:rPr>
          <w:vertAlign w:val="superscript"/>
        </w:rPr>
        <w:t>th</w:t>
      </w:r>
      <w:proofErr w:type="gramEnd"/>
      <w:r w:rsidRPr="007F674E">
        <w:t xml:space="preserve"> 2012, </w:t>
      </w:r>
      <w:r w:rsidRPr="007F674E">
        <w:rPr>
          <w:i/>
        </w:rPr>
        <w:t xml:space="preserve">Staatsblad van het Koninkrijk der Nederlanden, </w:t>
      </w:r>
      <w:r w:rsidRPr="007F674E">
        <w:t>Jaargang 2012, 455</w:t>
      </w:r>
      <w:r w:rsidR="00431E7A" w:rsidRPr="007F674E">
        <w:t>.</w:t>
      </w:r>
    </w:p>
    <w:p w:rsidR="007C7F32" w:rsidRPr="007F674E" w:rsidRDefault="007C7F32" w:rsidP="00A23C8E">
      <w:pPr>
        <w:rPr>
          <w:rFonts w:cs="Arial"/>
        </w:rPr>
      </w:pPr>
    </w:p>
    <w:p w:rsidR="007C7F32" w:rsidRPr="007F674E" w:rsidRDefault="007C7F32" w:rsidP="00951BA4">
      <w:r w:rsidRPr="007F674E">
        <w:t>TK (2008-2009), Memorie van Toelichting Wijziging van boek 2 van het Burgerlijk Wetboek in verband met de aanpassing van regels over bestuur en toezicht in naamloze en besloten vennootschappen, Tweede Kamer, vergaderjaar 2008-2009, 31 763, nr. 3.</w:t>
      </w:r>
    </w:p>
    <w:p w:rsidR="007C7F32" w:rsidRPr="007F674E" w:rsidRDefault="007C7F32" w:rsidP="00CF43E6"/>
    <w:p w:rsidR="007C7F32" w:rsidRPr="00B97064" w:rsidRDefault="007C7F32" w:rsidP="002F3284">
      <w:pPr>
        <w:rPr>
          <w:lang w:val="en-GB" w:eastAsia="en-US"/>
        </w:rPr>
      </w:pPr>
      <w:proofErr w:type="gramStart"/>
      <w:r w:rsidRPr="00B97064">
        <w:rPr>
          <w:lang w:val="en-GB"/>
        </w:rPr>
        <w:t>IFRS Foundation.</w:t>
      </w:r>
      <w:proofErr w:type="gramEnd"/>
      <w:r w:rsidRPr="00B97064">
        <w:rPr>
          <w:lang w:val="en-GB" w:eastAsia="en-US"/>
        </w:rPr>
        <w:t xml:space="preserve"> International Accounting Standard 24 Related Party Disclosures. (Effective since January 2011) Available at: </w:t>
      </w:r>
      <w:hyperlink r:id="rId37" w:history="1">
        <w:r w:rsidRPr="00B97064">
          <w:rPr>
            <w:rStyle w:val="Hyperlink"/>
            <w:color w:val="auto"/>
            <w:lang w:val="en-GB" w:eastAsia="en-US"/>
          </w:rPr>
          <w:t>http://www.ifrs.org/IFRSs/IAS.htm</w:t>
        </w:r>
      </w:hyperlink>
      <w:r w:rsidRPr="00B97064">
        <w:rPr>
          <w:lang w:val="en-GB" w:eastAsia="en-US"/>
        </w:rPr>
        <w:t xml:space="preserve"> (consulted on July 23th 2012).</w:t>
      </w:r>
    </w:p>
    <w:p w:rsidR="007C7F32" w:rsidRPr="00B97064" w:rsidRDefault="007C7F32" w:rsidP="000B0A58">
      <w:pPr>
        <w:pStyle w:val="Heading1"/>
        <w:rPr>
          <w:lang w:val="en-GB"/>
        </w:rPr>
      </w:pPr>
      <w:r w:rsidRPr="00B97064">
        <w:rPr>
          <w:lang w:val="en-GB"/>
        </w:rPr>
        <w:br w:type="page"/>
      </w:r>
      <w:bookmarkStart w:id="153" w:name="_Toc349585528"/>
      <w:r w:rsidR="001F76A6" w:rsidRPr="00B97064">
        <w:rPr>
          <w:lang w:val="en-GB"/>
        </w:rPr>
        <w:lastRenderedPageBreak/>
        <w:t>10</w:t>
      </w:r>
      <w:r w:rsidRPr="00B97064">
        <w:rPr>
          <w:lang w:val="en-GB"/>
        </w:rPr>
        <w:t>. Appendi</w:t>
      </w:r>
      <w:r w:rsidR="00966B2E" w:rsidRPr="00B97064">
        <w:rPr>
          <w:lang w:val="en-GB"/>
        </w:rPr>
        <w:t>ces</w:t>
      </w:r>
      <w:bookmarkEnd w:id="153"/>
    </w:p>
    <w:p w:rsidR="007C7F32" w:rsidRPr="00B97064" w:rsidRDefault="001F76A6" w:rsidP="00A14FC5">
      <w:pPr>
        <w:pStyle w:val="Heading2"/>
        <w:rPr>
          <w:lang w:val="en-GB"/>
        </w:rPr>
      </w:pPr>
      <w:bookmarkStart w:id="154" w:name="_Ref341824721"/>
      <w:bookmarkStart w:id="155" w:name="_Toc349585529"/>
      <w:r w:rsidRPr="00B97064">
        <w:rPr>
          <w:lang w:val="en-GB"/>
        </w:rPr>
        <w:t>10</w:t>
      </w:r>
      <w:r w:rsidR="007C7F32" w:rsidRPr="00B97064">
        <w:rPr>
          <w:lang w:val="en-GB"/>
        </w:rPr>
        <w:t>.1 Search terms</w:t>
      </w:r>
      <w:bookmarkEnd w:id="154"/>
      <w:bookmarkEnd w:id="155"/>
    </w:p>
    <w:p w:rsidR="007C7F32" w:rsidRPr="00B97064" w:rsidRDefault="007C7F32" w:rsidP="006C3A92">
      <w:pPr>
        <w:rPr>
          <w:rFonts w:cs="Arial"/>
          <w:szCs w:val="22"/>
          <w:u w:val="single"/>
          <w:lang w:val="en-GB"/>
        </w:rPr>
        <w:sectPr w:rsidR="007C7F32" w:rsidRPr="00B97064" w:rsidSect="00C37DF1">
          <w:type w:val="continuous"/>
          <w:pgSz w:w="11905" w:h="16837"/>
          <w:pgMar w:top="1418" w:right="1418" w:bottom="1418" w:left="1418" w:header="709" w:footer="709" w:gutter="0"/>
          <w:cols w:space="708"/>
          <w:noEndnote/>
          <w:titlePg/>
          <w:docGrid w:linePitch="326"/>
        </w:sectPr>
      </w:pPr>
    </w:p>
    <w:p w:rsidR="007C7F32" w:rsidRPr="00B97064" w:rsidRDefault="007C7F32" w:rsidP="006C3A92">
      <w:pPr>
        <w:rPr>
          <w:lang w:val="en-GB"/>
        </w:rPr>
      </w:pPr>
      <w:r w:rsidRPr="00B97064">
        <w:rPr>
          <w:rFonts w:cs="Arial"/>
          <w:szCs w:val="22"/>
          <w:u w:val="single"/>
          <w:lang w:val="en-GB"/>
        </w:rPr>
        <w:lastRenderedPageBreak/>
        <w:t>English:</w:t>
      </w:r>
    </w:p>
    <w:p w:rsidR="007C7F32" w:rsidRPr="00B97064" w:rsidRDefault="007C7F32" w:rsidP="00C140CF">
      <w:pPr>
        <w:pStyle w:val="ListParagraph"/>
        <w:numPr>
          <w:ilvl w:val="0"/>
          <w:numId w:val="58"/>
        </w:numPr>
        <w:jc w:val="left"/>
        <w:rPr>
          <w:rFonts w:ascii="Arial" w:hAnsi="Arial" w:cs="Arial"/>
          <w:szCs w:val="22"/>
          <w:lang w:val="en-GB"/>
        </w:rPr>
      </w:pPr>
      <w:r w:rsidRPr="00B97064">
        <w:rPr>
          <w:rFonts w:ascii="Arial" w:hAnsi="Arial" w:cs="Arial"/>
          <w:szCs w:val="22"/>
          <w:lang w:val="en-GB"/>
        </w:rPr>
        <w:t>Executive</w:t>
      </w:r>
    </w:p>
    <w:p w:rsidR="007C7F32" w:rsidRPr="00B97064" w:rsidRDefault="007C7F32" w:rsidP="00C140CF">
      <w:pPr>
        <w:pStyle w:val="ListParagraph"/>
        <w:numPr>
          <w:ilvl w:val="0"/>
          <w:numId w:val="58"/>
        </w:numPr>
        <w:jc w:val="left"/>
        <w:rPr>
          <w:rFonts w:ascii="Arial" w:hAnsi="Arial" w:cs="Arial"/>
          <w:szCs w:val="22"/>
          <w:lang w:val="en-GB"/>
        </w:rPr>
      </w:pPr>
      <w:r w:rsidRPr="00B97064">
        <w:rPr>
          <w:rFonts w:ascii="Arial" w:hAnsi="Arial" w:cs="Arial"/>
          <w:szCs w:val="22"/>
          <w:lang w:val="en-GB"/>
        </w:rPr>
        <w:t>Management</w:t>
      </w:r>
    </w:p>
    <w:p w:rsidR="007C7F32" w:rsidRPr="00B97064" w:rsidRDefault="007C7F32" w:rsidP="00C140CF">
      <w:pPr>
        <w:pStyle w:val="ListParagraph"/>
        <w:numPr>
          <w:ilvl w:val="0"/>
          <w:numId w:val="58"/>
        </w:numPr>
        <w:jc w:val="left"/>
        <w:rPr>
          <w:rFonts w:ascii="Arial" w:hAnsi="Arial" w:cs="Arial"/>
          <w:szCs w:val="22"/>
          <w:lang w:val="en-GB"/>
        </w:rPr>
      </w:pPr>
      <w:r w:rsidRPr="00B97064">
        <w:rPr>
          <w:rFonts w:ascii="Arial" w:hAnsi="Arial" w:cs="Arial"/>
          <w:szCs w:val="22"/>
          <w:lang w:val="en-GB"/>
        </w:rPr>
        <w:t>Supervisory</w:t>
      </w:r>
    </w:p>
    <w:p w:rsidR="007C7F32" w:rsidRPr="00B97064" w:rsidRDefault="007C7F32" w:rsidP="00C140CF">
      <w:pPr>
        <w:pStyle w:val="ListParagraph"/>
        <w:numPr>
          <w:ilvl w:val="0"/>
          <w:numId w:val="58"/>
        </w:numPr>
        <w:jc w:val="left"/>
        <w:rPr>
          <w:rFonts w:ascii="Arial" w:hAnsi="Arial" w:cs="Arial"/>
          <w:szCs w:val="22"/>
          <w:lang w:val="en-GB"/>
        </w:rPr>
      </w:pPr>
      <w:r w:rsidRPr="00B97064">
        <w:rPr>
          <w:rFonts w:ascii="Arial" w:hAnsi="Arial" w:cs="Arial"/>
          <w:szCs w:val="22"/>
          <w:lang w:val="en-GB"/>
        </w:rPr>
        <w:t>Audit (committee</w:t>
      </w:r>
    </w:p>
    <w:p w:rsidR="007C7F32" w:rsidRPr="00B97064" w:rsidRDefault="007C7F32" w:rsidP="00C140CF">
      <w:pPr>
        <w:pStyle w:val="ListParagraph"/>
        <w:numPr>
          <w:ilvl w:val="0"/>
          <w:numId w:val="58"/>
        </w:numPr>
        <w:jc w:val="left"/>
        <w:rPr>
          <w:rFonts w:ascii="Arial" w:hAnsi="Arial" w:cs="Arial"/>
          <w:szCs w:val="22"/>
          <w:lang w:val="en-GB"/>
        </w:rPr>
      </w:pPr>
      <w:r w:rsidRPr="00B97064">
        <w:rPr>
          <w:rFonts w:ascii="Arial" w:hAnsi="Arial" w:cs="Arial"/>
          <w:szCs w:val="22"/>
          <w:lang w:val="en-GB"/>
        </w:rPr>
        <w:t>Expert</w:t>
      </w:r>
    </w:p>
    <w:p w:rsidR="007C7F32" w:rsidRPr="00B97064" w:rsidRDefault="007C7F32" w:rsidP="00C140CF">
      <w:pPr>
        <w:pStyle w:val="ListParagraph"/>
        <w:numPr>
          <w:ilvl w:val="0"/>
          <w:numId w:val="36"/>
        </w:numPr>
        <w:jc w:val="left"/>
        <w:rPr>
          <w:rFonts w:ascii="Arial" w:hAnsi="Arial" w:cs="Arial"/>
          <w:szCs w:val="22"/>
          <w:lang w:val="en-GB"/>
        </w:rPr>
      </w:pPr>
      <w:r w:rsidRPr="00B97064">
        <w:rPr>
          <w:rFonts w:ascii="Arial" w:hAnsi="Arial" w:cs="Arial"/>
          <w:szCs w:val="22"/>
          <w:lang w:val="en-GB"/>
        </w:rPr>
        <w:t>Related parties</w:t>
      </w:r>
    </w:p>
    <w:p w:rsidR="007C7F32" w:rsidRPr="00B97064" w:rsidRDefault="007C7F32" w:rsidP="00C140CF">
      <w:pPr>
        <w:pStyle w:val="ListParagraph"/>
        <w:numPr>
          <w:ilvl w:val="0"/>
          <w:numId w:val="37"/>
        </w:numPr>
        <w:jc w:val="left"/>
        <w:rPr>
          <w:rFonts w:ascii="Arial" w:hAnsi="Arial" w:cs="Arial"/>
          <w:szCs w:val="22"/>
          <w:lang w:val="en-GB"/>
        </w:rPr>
      </w:pPr>
      <w:r w:rsidRPr="00B97064">
        <w:rPr>
          <w:rFonts w:ascii="Arial" w:hAnsi="Arial" w:cs="Arial"/>
          <w:szCs w:val="22"/>
          <w:lang w:val="en-GB"/>
        </w:rPr>
        <w:t>Transaction</w:t>
      </w:r>
    </w:p>
    <w:p w:rsidR="007C7F32" w:rsidRPr="00B97064" w:rsidRDefault="007C7F32" w:rsidP="00C140CF">
      <w:pPr>
        <w:pStyle w:val="ListParagraph"/>
        <w:numPr>
          <w:ilvl w:val="0"/>
          <w:numId w:val="38"/>
        </w:numPr>
        <w:jc w:val="left"/>
        <w:rPr>
          <w:rFonts w:ascii="Arial" w:hAnsi="Arial" w:cs="Arial"/>
          <w:szCs w:val="22"/>
          <w:lang w:val="en-GB"/>
        </w:rPr>
      </w:pPr>
      <w:r w:rsidRPr="00B97064">
        <w:rPr>
          <w:rFonts w:ascii="Arial" w:hAnsi="Arial" w:cs="Arial"/>
          <w:szCs w:val="22"/>
          <w:lang w:val="en-GB"/>
        </w:rPr>
        <w:t>Relationship</w:t>
      </w:r>
    </w:p>
    <w:p w:rsidR="007C7F32" w:rsidRPr="00B97064" w:rsidRDefault="007C7F32" w:rsidP="00C140CF">
      <w:pPr>
        <w:pStyle w:val="ListParagraph"/>
        <w:numPr>
          <w:ilvl w:val="0"/>
          <w:numId w:val="39"/>
        </w:numPr>
        <w:jc w:val="left"/>
        <w:rPr>
          <w:rFonts w:ascii="Arial" w:hAnsi="Arial" w:cs="Arial"/>
          <w:szCs w:val="22"/>
          <w:lang w:val="en-GB"/>
        </w:rPr>
      </w:pPr>
      <w:r w:rsidRPr="00B97064">
        <w:rPr>
          <w:rFonts w:ascii="Arial" w:hAnsi="Arial" w:cs="Arial"/>
          <w:szCs w:val="22"/>
          <w:lang w:val="en-GB"/>
        </w:rPr>
        <w:t>Provision</w:t>
      </w:r>
    </w:p>
    <w:p w:rsidR="007C7F32" w:rsidRPr="00B97064" w:rsidRDefault="007C7F32" w:rsidP="00C140CF">
      <w:pPr>
        <w:pStyle w:val="ListParagraph"/>
        <w:numPr>
          <w:ilvl w:val="0"/>
          <w:numId w:val="40"/>
        </w:numPr>
        <w:jc w:val="left"/>
        <w:rPr>
          <w:rFonts w:ascii="Arial" w:hAnsi="Arial" w:cs="Arial"/>
          <w:szCs w:val="22"/>
          <w:lang w:val="en-GB"/>
        </w:rPr>
      </w:pPr>
      <w:r w:rsidRPr="00B97064">
        <w:rPr>
          <w:rFonts w:ascii="Arial" w:hAnsi="Arial" w:cs="Arial"/>
          <w:szCs w:val="22"/>
          <w:lang w:val="en-GB"/>
        </w:rPr>
        <w:t xml:space="preserve">Security </w:t>
      </w:r>
    </w:p>
    <w:p w:rsidR="007C7F32" w:rsidRPr="00B97064" w:rsidRDefault="007C7F32" w:rsidP="00C140CF">
      <w:pPr>
        <w:pStyle w:val="ListParagraph"/>
        <w:numPr>
          <w:ilvl w:val="0"/>
          <w:numId w:val="41"/>
        </w:numPr>
        <w:jc w:val="left"/>
        <w:rPr>
          <w:rFonts w:ascii="Arial" w:hAnsi="Arial" w:cs="Arial"/>
          <w:szCs w:val="22"/>
          <w:lang w:val="en-GB"/>
        </w:rPr>
      </w:pPr>
      <w:r w:rsidRPr="00B97064">
        <w:rPr>
          <w:rFonts w:ascii="Arial" w:hAnsi="Arial" w:cs="Arial"/>
          <w:szCs w:val="22"/>
          <w:lang w:val="en-GB"/>
        </w:rPr>
        <w:t>Secured</w:t>
      </w:r>
    </w:p>
    <w:p w:rsidR="007C7F32" w:rsidRPr="00B97064" w:rsidRDefault="007C7F32" w:rsidP="00C140CF">
      <w:pPr>
        <w:pStyle w:val="ListParagraph"/>
        <w:numPr>
          <w:ilvl w:val="0"/>
          <w:numId w:val="42"/>
        </w:numPr>
        <w:jc w:val="left"/>
        <w:rPr>
          <w:rFonts w:ascii="Arial" w:hAnsi="Arial" w:cs="Arial"/>
          <w:szCs w:val="22"/>
          <w:lang w:val="en-GB"/>
        </w:rPr>
      </w:pPr>
      <w:r w:rsidRPr="00B97064">
        <w:rPr>
          <w:rFonts w:ascii="Arial" w:hAnsi="Arial" w:cs="Arial"/>
          <w:szCs w:val="22"/>
          <w:lang w:val="en-GB"/>
        </w:rPr>
        <w:t>Tax (risk)</w:t>
      </w:r>
    </w:p>
    <w:p w:rsidR="007C7F32" w:rsidRPr="00B97064" w:rsidRDefault="007C7F32" w:rsidP="00C140CF">
      <w:pPr>
        <w:pStyle w:val="ListParagraph"/>
        <w:numPr>
          <w:ilvl w:val="0"/>
          <w:numId w:val="43"/>
        </w:numPr>
        <w:jc w:val="left"/>
        <w:rPr>
          <w:rFonts w:ascii="Arial" w:hAnsi="Arial" w:cs="Arial"/>
          <w:szCs w:val="22"/>
          <w:lang w:val="en-GB"/>
        </w:rPr>
      </w:pPr>
      <w:r w:rsidRPr="00B97064">
        <w:rPr>
          <w:rFonts w:ascii="Arial" w:hAnsi="Arial" w:cs="Arial"/>
          <w:szCs w:val="22"/>
          <w:lang w:val="en-GB"/>
        </w:rPr>
        <w:t>Transfer price</w:t>
      </w:r>
    </w:p>
    <w:p w:rsidR="007C7F32" w:rsidRPr="00B97064" w:rsidRDefault="007C7F32" w:rsidP="00C140CF">
      <w:pPr>
        <w:pStyle w:val="ListParagraph"/>
        <w:numPr>
          <w:ilvl w:val="0"/>
          <w:numId w:val="44"/>
        </w:numPr>
        <w:jc w:val="left"/>
        <w:rPr>
          <w:rFonts w:ascii="Arial" w:hAnsi="Arial" w:cs="Arial"/>
          <w:szCs w:val="22"/>
          <w:lang w:val="en-GB"/>
        </w:rPr>
      </w:pPr>
      <w:r w:rsidRPr="00B97064">
        <w:rPr>
          <w:rFonts w:ascii="Arial" w:hAnsi="Arial" w:cs="Arial"/>
          <w:szCs w:val="22"/>
          <w:lang w:val="en-GB"/>
        </w:rPr>
        <w:t>Arms´ length</w:t>
      </w:r>
    </w:p>
    <w:p w:rsidR="007C7F32" w:rsidRPr="00B97064" w:rsidRDefault="007C7F32" w:rsidP="00C140CF">
      <w:pPr>
        <w:pStyle w:val="ListParagraph"/>
        <w:numPr>
          <w:ilvl w:val="0"/>
          <w:numId w:val="45"/>
        </w:numPr>
        <w:jc w:val="left"/>
        <w:rPr>
          <w:rFonts w:ascii="Arial" w:hAnsi="Arial" w:cs="Arial"/>
          <w:szCs w:val="22"/>
          <w:lang w:val="en-GB"/>
        </w:rPr>
      </w:pPr>
      <w:r w:rsidRPr="00B97064">
        <w:rPr>
          <w:rFonts w:ascii="Arial" w:hAnsi="Arial" w:cs="Arial"/>
          <w:szCs w:val="22"/>
          <w:lang w:val="en-GB"/>
        </w:rPr>
        <w:t>Market price</w:t>
      </w:r>
    </w:p>
    <w:p w:rsidR="007C7F32" w:rsidRPr="00B97064" w:rsidRDefault="007C7F32" w:rsidP="00C140CF">
      <w:pPr>
        <w:pStyle w:val="ListParagraph"/>
        <w:numPr>
          <w:ilvl w:val="0"/>
          <w:numId w:val="46"/>
        </w:numPr>
        <w:jc w:val="left"/>
        <w:rPr>
          <w:rFonts w:ascii="Arial" w:hAnsi="Arial" w:cs="Arial"/>
          <w:szCs w:val="22"/>
          <w:lang w:val="en-GB"/>
        </w:rPr>
      </w:pPr>
      <w:r w:rsidRPr="00B97064">
        <w:rPr>
          <w:rFonts w:ascii="Arial" w:hAnsi="Arial" w:cs="Arial"/>
          <w:szCs w:val="22"/>
          <w:lang w:val="en-GB"/>
        </w:rPr>
        <w:t>(Major) shareholder</w:t>
      </w:r>
    </w:p>
    <w:p w:rsidR="007C7F32" w:rsidRPr="00B97064" w:rsidRDefault="007C7F32" w:rsidP="00C140CF">
      <w:pPr>
        <w:pStyle w:val="ListParagraph"/>
        <w:numPr>
          <w:ilvl w:val="0"/>
          <w:numId w:val="47"/>
        </w:numPr>
        <w:jc w:val="left"/>
        <w:rPr>
          <w:rFonts w:ascii="Arial" w:hAnsi="Arial" w:cs="Arial"/>
          <w:szCs w:val="22"/>
          <w:lang w:val="en-GB"/>
        </w:rPr>
      </w:pPr>
      <w:r w:rsidRPr="00B97064">
        <w:rPr>
          <w:rFonts w:ascii="Arial" w:hAnsi="Arial" w:cs="Arial"/>
          <w:szCs w:val="22"/>
          <w:lang w:val="en-GB"/>
        </w:rPr>
        <w:t>Large shareholder</w:t>
      </w:r>
    </w:p>
    <w:p w:rsidR="007C7F32" w:rsidRPr="00B97064" w:rsidRDefault="007C7F32" w:rsidP="00C140CF">
      <w:pPr>
        <w:pStyle w:val="ListParagraph"/>
        <w:numPr>
          <w:ilvl w:val="0"/>
          <w:numId w:val="48"/>
        </w:numPr>
        <w:jc w:val="left"/>
        <w:rPr>
          <w:rFonts w:ascii="Arial" w:hAnsi="Arial" w:cs="Arial"/>
          <w:szCs w:val="22"/>
          <w:lang w:val="en-GB"/>
        </w:rPr>
      </w:pPr>
      <w:r w:rsidRPr="00B97064">
        <w:rPr>
          <w:rFonts w:ascii="Arial" w:hAnsi="Arial" w:cs="Arial"/>
          <w:szCs w:val="22"/>
          <w:lang w:val="en-GB"/>
        </w:rPr>
        <w:t>Significant shareholder</w:t>
      </w:r>
    </w:p>
    <w:p w:rsidR="007C7F32" w:rsidRPr="00B97064" w:rsidRDefault="007C7F32" w:rsidP="00C140CF">
      <w:pPr>
        <w:pStyle w:val="ListParagraph"/>
        <w:numPr>
          <w:ilvl w:val="0"/>
          <w:numId w:val="49"/>
        </w:numPr>
        <w:jc w:val="left"/>
        <w:rPr>
          <w:rFonts w:ascii="Arial" w:hAnsi="Arial" w:cs="Arial"/>
          <w:szCs w:val="22"/>
          <w:lang w:val="en-GB"/>
        </w:rPr>
      </w:pPr>
      <w:r w:rsidRPr="00B97064">
        <w:rPr>
          <w:rFonts w:ascii="Arial" w:hAnsi="Arial" w:cs="Arial"/>
          <w:szCs w:val="22"/>
          <w:lang w:val="en-GB"/>
        </w:rPr>
        <w:t>Major holdings</w:t>
      </w:r>
    </w:p>
    <w:p w:rsidR="007C7F32" w:rsidRPr="00B97064" w:rsidRDefault="007C7F32" w:rsidP="00C140CF">
      <w:pPr>
        <w:pStyle w:val="ListParagraph"/>
        <w:numPr>
          <w:ilvl w:val="0"/>
          <w:numId w:val="50"/>
        </w:numPr>
        <w:jc w:val="left"/>
        <w:rPr>
          <w:rFonts w:ascii="Arial" w:hAnsi="Arial" w:cs="Arial"/>
          <w:szCs w:val="22"/>
          <w:lang w:val="en-GB"/>
        </w:rPr>
      </w:pPr>
      <w:r w:rsidRPr="00B97064">
        <w:rPr>
          <w:rFonts w:ascii="Arial" w:hAnsi="Arial" w:cs="Arial"/>
          <w:szCs w:val="22"/>
          <w:lang w:val="en-GB"/>
        </w:rPr>
        <w:t>Vote</w:t>
      </w:r>
    </w:p>
    <w:p w:rsidR="007C7F32" w:rsidRPr="00B97064" w:rsidRDefault="007C7F32" w:rsidP="00C140CF">
      <w:pPr>
        <w:pStyle w:val="ListParagraph"/>
        <w:numPr>
          <w:ilvl w:val="0"/>
          <w:numId w:val="51"/>
        </w:numPr>
        <w:jc w:val="left"/>
        <w:rPr>
          <w:rFonts w:ascii="Arial" w:hAnsi="Arial" w:cs="Arial"/>
          <w:szCs w:val="22"/>
          <w:lang w:val="en-GB"/>
        </w:rPr>
      </w:pPr>
      <w:r w:rsidRPr="00B97064">
        <w:rPr>
          <w:rFonts w:ascii="Arial" w:hAnsi="Arial" w:cs="Arial"/>
          <w:szCs w:val="22"/>
          <w:lang w:val="en-GB"/>
        </w:rPr>
        <w:t>Dutch Major Holdings Disclosure Act</w:t>
      </w:r>
    </w:p>
    <w:p w:rsidR="007C7F32" w:rsidRPr="00B97064" w:rsidRDefault="007C7F32" w:rsidP="00C140CF">
      <w:pPr>
        <w:pStyle w:val="ListParagraph"/>
        <w:numPr>
          <w:ilvl w:val="0"/>
          <w:numId w:val="52"/>
        </w:numPr>
        <w:jc w:val="left"/>
        <w:rPr>
          <w:rFonts w:ascii="Arial" w:hAnsi="Arial" w:cs="Arial"/>
          <w:szCs w:val="22"/>
          <w:lang w:val="en-GB"/>
        </w:rPr>
      </w:pPr>
      <w:r w:rsidRPr="00B97064">
        <w:rPr>
          <w:rFonts w:ascii="Arial" w:hAnsi="Arial" w:cs="Arial"/>
          <w:szCs w:val="22"/>
          <w:lang w:val="en-GB"/>
        </w:rPr>
        <w:t>Dutch Financial Supervision Act</w:t>
      </w:r>
    </w:p>
    <w:p w:rsidR="007C7F32" w:rsidRPr="00B97064" w:rsidRDefault="007C7F32" w:rsidP="00C140CF">
      <w:pPr>
        <w:pStyle w:val="ListParagraph"/>
        <w:numPr>
          <w:ilvl w:val="0"/>
          <w:numId w:val="53"/>
        </w:numPr>
        <w:jc w:val="left"/>
        <w:rPr>
          <w:rFonts w:ascii="Arial" w:hAnsi="Arial" w:cs="Arial"/>
          <w:szCs w:val="22"/>
          <w:lang w:val="en-GB"/>
        </w:rPr>
      </w:pPr>
      <w:r w:rsidRPr="00B97064">
        <w:rPr>
          <w:rFonts w:ascii="Arial" w:hAnsi="Arial" w:cs="Arial"/>
          <w:szCs w:val="22"/>
          <w:lang w:val="en-GB"/>
        </w:rPr>
        <w:t>Listed companies disclosure act</w:t>
      </w:r>
    </w:p>
    <w:p w:rsidR="007C7F32" w:rsidRPr="00B97064" w:rsidRDefault="007C7F32" w:rsidP="00C140CF">
      <w:pPr>
        <w:pStyle w:val="ListParagraph"/>
        <w:numPr>
          <w:ilvl w:val="0"/>
          <w:numId w:val="54"/>
        </w:numPr>
        <w:jc w:val="left"/>
        <w:rPr>
          <w:rFonts w:ascii="Arial" w:hAnsi="Arial" w:cs="Arial"/>
          <w:szCs w:val="22"/>
          <w:lang w:val="en-GB"/>
        </w:rPr>
      </w:pPr>
      <w:r w:rsidRPr="00B97064">
        <w:rPr>
          <w:rFonts w:ascii="Arial" w:hAnsi="Arial" w:cs="Arial"/>
          <w:szCs w:val="22"/>
          <w:lang w:val="en-GB"/>
        </w:rPr>
        <w:t>Stock Exchange</w:t>
      </w:r>
    </w:p>
    <w:p w:rsidR="007C7F32" w:rsidRPr="00B97064" w:rsidRDefault="007C7F32" w:rsidP="00C140CF">
      <w:pPr>
        <w:pStyle w:val="ListParagraph"/>
        <w:numPr>
          <w:ilvl w:val="0"/>
          <w:numId w:val="55"/>
        </w:numPr>
        <w:jc w:val="left"/>
        <w:rPr>
          <w:rFonts w:ascii="Arial" w:hAnsi="Arial" w:cs="Arial"/>
          <w:szCs w:val="22"/>
          <w:lang w:val="en-GB"/>
        </w:rPr>
      </w:pPr>
      <w:r w:rsidRPr="00B97064">
        <w:rPr>
          <w:rFonts w:ascii="Arial" w:hAnsi="Arial" w:cs="Arial"/>
          <w:lang w:val="en-GB"/>
        </w:rPr>
        <w:t xml:space="preserve">Listing </w:t>
      </w:r>
    </w:p>
    <w:p w:rsidR="007C7F32" w:rsidRPr="00B97064" w:rsidRDefault="007C7F32" w:rsidP="00A14FC5">
      <w:pPr>
        <w:pStyle w:val="ListParagraph"/>
        <w:ind w:left="0"/>
        <w:jc w:val="left"/>
        <w:rPr>
          <w:rFonts w:ascii="Arial" w:hAnsi="Arial" w:cs="Arial"/>
          <w:szCs w:val="22"/>
          <w:lang w:val="en-GB"/>
        </w:rPr>
      </w:pPr>
      <w:r w:rsidRPr="00B97064">
        <w:rPr>
          <w:rFonts w:ascii="Arial" w:hAnsi="Arial" w:cs="Arial"/>
          <w:szCs w:val="22"/>
          <w:u w:val="single"/>
          <w:lang w:val="en-GB"/>
        </w:rPr>
        <w:lastRenderedPageBreak/>
        <w:t>D</w:t>
      </w:r>
      <w:r w:rsidRPr="00B97064">
        <w:rPr>
          <w:rFonts w:ascii="Arial" w:hAnsi="Arial" w:cs="Arial"/>
          <w:u w:val="single"/>
          <w:lang w:val="en-GB"/>
        </w:rPr>
        <w:t>utch:</w:t>
      </w:r>
    </w:p>
    <w:p w:rsidR="007C7F32" w:rsidRPr="00B97064" w:rsidRDefault="007C7F32" w:rsidP="00C140CF">
      <w:pPr>
        <w:pStyle w:val="ListParagraph"/>
        <w:numPr>
          <w:ilvl w:val="0"/>
          <w:numId w:val="58"/>
        </w:numPr>
        <w:jc w:val="left"/>
        <w:rPr>
          <w:rFonts w:ascii="Arial" w:hAnsi="Arial" w:cs="Arial"/>
          <w:szCs w:val="22"/>
          <w:lang w:val="en-GB"/>
        </w:rPr>
      </w:pPr>
      <w:r w:rsidRPr="00B97064">
        <w:rPr>
          <w:rFonts w:ascii="Arial" w:hAnsi="Arial" w:cs="Arial"/>
          <w:szCs w:val="22"/>
          <w:lang w:val="en-GB"/>
        </w:rPr>
        <w:t>Bestuur</w:t>
      </w:r>
    </w:p>
    <w:p w:rsidR="007C7F32" w:rsidRPr="00B97064" w:rsidRDefault="007C7F32" w:rsidP="00C140CF">
      <w:pPr>
        <w:pStyle w:val="ListParagraph"/>
        <w:numPr>
          <w:ilvl w:val="0"/>
          <w:numId w:val="58"/>
        </w:numPr>
        <w:jc w:val="left"/>
        <w:rPr>
          <w:rFonts w:ascii="Arial" w:hAnsi="Arial" w:cs="Arial"/>
          <w:szCs w:val="22"/>
          <w:lang w:val="en-GB"/>
        </w:rPr>
      </w:pPr>
      <w:r w:rsidRPr="00B97064">
        <w:rPr>
          <w:rFonts w:ascii="Arial" w:hAnsi="Arial" w:cs="Arial"/>
          <w:szCs w:val="22"/>
          <w:lang w:val="en-GB"/>
        </w:rPr>
        <w:t>Directie</w:t>
      </w:r>
    </w:p>
    <w:p w:rsidR="007C7F32" w:rsidRPr="00B97064" w:rsidRDefault="007C7F32" w:rsidP="00C140CF">
      <w:pPr>
        <w:pStyle w:val="ListParagraph"/>
        <w:numPr>
          <w:ilvl w:val="0"/>
          <w:numId w:val="58"/>
        </w:numPr>
        <w:jc w:val="left"/>
        <w:rPr>
          <w:rFonts w:ascii="Arial" w:hAnsi="Arial" w:cs="Arial"/>
          <w:szCs w:val="22"/>
          <w:lang w:val="en-GB"/>
        </w:rPr>
      </w:pPr>
      <w:r w:rsidRPr="00B97064">
        <w:rPr>
          <w:rFonts w:ascii="Arial" w:hAnsi="Arial" w:cs="Arial"/>
          <w:szCs w:val="22"/>
          <w:lang w:val="en-GB"/>
        </w:rPr>
        <w:t>Commissaris</w:t>
      </w:r>
    </w:p>
    <w:p w:rsidR="007C7F32" w:rsidRPr="00B97064" w:rsidRDefault="007C7F32" w:rsidP="00C140CF">
      <w:pPr>
        <w:pStyle w:val="ListParagraph"/>
        <w:numPr>
          <w:ilvl w:val="0"/>
          <w:numId w:val="58"/>
        </w:numPr>
        <w:jc w:val="left"/>
        <w:rPr>
          <w:rFonts w:ascii="Arial" w:hAnsi="Arial" w:cs="Arial"/>
          <w:szCs w:val="22"/>
          <w:lang w:val="en-GB"/>
        </w:rPr>
      </w:pPr>
      <w:r w:rsidRPr="00B97064">
        <w:rPr>
          <w:rFonts w:ascii="Arial" w:hAnsi="Arial" w:cs="Arial"/>
          <w:szCs w:val="22"/>
          <w:lang w:val="en-GB"/>
        </w:rPr>
        <w:t>Audit commissie)</w:t>
      </w:r>
    </w:p>
    <w:p w:rsidR="007C7F32" w:rsidRPr="00B97064" w:rsidRDefault="007C7F32" w:rsidP="00C140CF">
      <w:pPr>
        <w:pStyle w:val="ListParagraph"/>
        <w:numPr>
          <w:ilvl w:val="0"/>
          <w:numId w:val="58"/>
        </w:numPr>
        <w:jc w:val="left"/>
        <w:rPr>
          <w:rFonts w:ascii="Arial" w:hAnsi="Arial" w:cs="Arial"/>
          <w:szCs w:val="22"/>
          <w:lang w:val="en-GB"/>
        </w:rPr>
      </w:pPr>
      <w:r w:rsidRPr="00B97064">
        <w:rPr>
          <w:rFonts w:ascii="Arial" w:hAnsi="Arial" w:cs="Arial"/>
          <w:szCs w:val="22"/>
          <w:lang w:val="en-GB"/>
        </w:rPr>
        <w:t>Expert</w:t>
      </w:r>
    </w:p>
    <w:p w:rsidR="007C7F32" w:rsidRPr="00B97064" w:rsidRDefault="007C7F32" w:rsidP="00C140CF">
      <w:pPr>
        <w:pStyle w:val="ListParagraph"/>
        <w:numPr>
          <w:ilvl w:val="0"/>
          <w:numId w:val="58"/>
        </w:numPr>
        <w:jc w:val="left"/>
        <w:rPr>
          <w:rFonts w:ascii="Arial" w:hAnsi="Arial" w:cs="Arial"/>
          <w:szCs w:val="22"/>
          <w:lang w:val="en-GB"/>
        </w:rPr>
      </w:pPr>
      <w:r w:rsidRPr="00B97064">
        <w:rPr>
          <w:rFonts w:ascii="Arial" w:hAnsi="Arial" w:cs="Arial"/>
          <w:szCs w:val="22"/>
          <w:lang w:val="en-GB"/>
        </w:rPr>
        <w:t>Verbonden partijen</w:t>
      </w:r>
    </w:p>
    <w:p w:rsidR="007C7F32" w:rsidRPr="00B97064" w:rsidRDefault="007C7F32" w:rsidP="00C140CF">
      <w:pPr>
        <w:pStyle w:val="ListParagraph"/>
        <w:numPr>
          <w:ilvl w:val="0"/>
          <w:numId w:val="58"/>
        </w:numPr>
        <w:jc w:val="left"/>
        <w:rPr>
          <w:rFonts w:ascii="Arial" w:hAnsi="Arial" w:cs="Arial"/>
          <w:szCs w:val="22"/>
          <w:lang w:val="en-GB"/>
        </w:rPr>
      </w:pPr>
      <w:r w:rsidRPr="00B97064">
        <w:rPr>
          <w:rFonts w:ascii="Arial" w:hAnsi="Arial" w:cs="Arial"/>
          <w:szCs w:val="22"/>
          <w:lang w:val="en-GB"/>
        </w:rPr>
        <w:t>Transactie</w:t>
      </w:r>
    </w:p>
    <w:p w:rsidR="007C7F32" w:rsidRPr="00B97064" w:rsidRDefault="007C7F32" w:rsidP="00C140CF">
      <w:pPr>
        <w:pStyle w:val="ListParagraph"/>
        <w:numPr>
          <w:ilvl w:val="0"/>
          <w:numId w:val="56"/>
        </w:numPr>
        <w:jc w:val="left"/>
        <w:rPr>
          <w:rFonts w:ascii="Arial" w:hAnsi="Arial" w:cs="Arial"/>
          <w:szCs w:val="22"/>
          <w:lang w:val="en-GB"/>
        </w:rPr>
      </w:pPr>
      <w:r w:rsidRPr="00B97064">
        <w:rPr>
          <w:rFonts w:ascii="Arial" w:hAnsi="Arial" w:cs="Arial"/>
          <w:szCs w:val="22"/>
          <w:lang w:val="en-GB"/>
        </w:rPr>
        <w:t>Relatie</w:t>
      </w:r>
    </w:p>
    <w:p w:rsidR="007C7F32" w:rsidRPr="00B97064" w:rsidRDefault="007C7F32" w:rsidP="00C140CF">
      <w:pPr>
        <w:pStyle w:val="ListParagraph"/>
        <w:numPr>
          <w:ilvl w:val="0"/>
          <w:numId w:val="57"/>
        </w:numPr>
        <w:jc w:val="left"/>
        <w:rPr>
          <w:rFonts w:ascii="Arial" w:hAnsi="Arial" w:cs="Arial"/>
          <w:szCs w:val="22"/>
          <w:lang w:val="en-GB"/>
        </w:rPr>
      </w:pPr>
      <w:r w:rsidRPr="00B97064">
        <w:rPr>
          <w:rFonts w:ascii="Arial" w:hAnsi="Arial" w:cs="Arial"/>
          <w:szCs w:val="22"/>
          <w:lang w:val="en-GB"/>
        </w:rPr>
        <w:t>Voorziening</w:t>
      </w:r>
    </w:p>
    <w:p w:rsidR="007C7F32" w:rsidRPr="00B97064" w:rsidRDefault="007C7F32" w:rsidP="00C140CF">
      <w:pPr>
        <w:pStyle w:val="ListParagraph"/>
        <w:numPr>
          <w:ilvl w:val="0"/>
          <w:numId w:val="58"/>
        </w:numPr>
        <w:jc w:val="left"/>
        <w:rPr>
          <w:rFonts w:ascii="Arial" w:hAnsi="Arial" w:cs="Arial"/>
          <w:szCs w:val="22"/>
          <w:lang w:val="en-GB"/>
        </w:rPr>
      </w:pPr>
      <w:r w:rsidRPr="00B97064">
        <w:rPr>
          <w:rFonts w:ascii="Arial" w:hAnsi="Arial" w:cs="Arial"/>
          <w:szCs w:val="22"/>
          <w:lang w:val="en-GB"/>
        </w:rPr>
        <w:t>Zekerheidsstelling</w:t>
      </w:r>
    </w:p>
    <w:p w:rsidR="007C7F32" w:rsidRPr="00B97064" w:rsidRDefault="007C7F32" w:rsidP="00C140CF">
      <w:pPr>
        <w:pStyle w:val="ListParagraph"/>
        <w:numPr>
          <w:ilvl w:val="0"/>
          <w:numId w:val="59"/>
        </w:numPr>
        <w:jc w:val="left"/>
        <w:rPr>
          <w:rFonts w:ascii="Arial" w:hAnsi="Arial" w:cs="Arial"/>
          <w:szCs w:val="22"/>
          <w:lang w:val="en-GB"/>
        </w:rPr>
      </w:pPr>
      <w:r w:rsidRPr="00B97064">
        <w:rPr>
          <w:rFonts w:ascii="Arial" w:hAnsi="Arial" w:cs="Arial"/>
          <w:szCs w:val="22"/>
          <w:lang w:val="en-GB"/>
        </w:rPr>
        <w:t>Zekerheden</w:t>
      </w:r>
    </w:p>
    <w:p w:rsidR="007C7F32" w:rsidRPr="00B97064" w:rsidRDefault="007C7F32" w:rsidP="00C140CF">
      <w:pPr>
        <w:pStyle w:val="ListParagraph"/>
        <w:numPr>
          <w:ilvl w:val="0"/>
          <w:numId w:val="60"/>
        </w:numPr>
        <w:jc w:val="left"/>
        <w:rPr>
          <w:rFonts w:ascii="Arial" w:hAnsi="Arial" w:cs="Arial"/>
          <w:szCs w:val="22"/>
          <w:lang w:val="en-GB"/>
        </w:rPr>
      </w:pPr>
      <w:r w:rsidRPr="00B97064">
        <w:rPr>
          <w:rFonts w:ascii="Arial" w:hAnsi="Arial" w:cs="Arial"/>
          <w:szCs w:val="22"/>
          <w:lang w:val="en-GB"/>
        </w:rPr>
        <w:t>Belasting (risico)</w:t>
      </w:r>
    </w:p>
    <w:p w:rsidR="007C7F32" w:rsidRPr="00B97064" w:rsidRDefault="007C7F32" w:rsidP="00C140CF">
      <w:pPr>
        <w:pStyle w:val="ListParagraph"/>
        <w:numPr>
          <w:ilvl w:val="0"/>
          <w:numId w:val="61"/>
        </w:numPr>
        <w:jc w:val="left"/>
        <w:rPr>
          <w:rFonts w:ascii="Arial" w:hAnsi="Arial" w:cs="Arial"/>
          <w:szCs w:val="22"/>
          <w:lang w:val="en-GB"/>
        </w:rPr>
      </w:pPr>
      <w:r w:rsidRPr="00B97064">
        <w:rPr>
          <w:rFonts w:ascii="Arial" w:hAnsi="Arial" w:cs="Arial"/>
          <w:lang w:val="en-GB"/>
        </w:rPr>
        <w:t>Transfer price</w:t>
      </w:r>
      <w:r w:rsidRPr="00B97064">
        <w:rPr>
          <w:rFonts w:ascii="Arial" w:hAnsi="Arial" w:cs="Arial"/>
          <w:szCs w:val="22"/>
          <w:lang w:val="en-GB"/>
        </w:rPr>
        <w:t xml:space="preserve"> / Verrekenprijzen</w:t>
      </w:r>
    </w:p>
    <w:p w:rsidR="007C7F32" w:rsidRPr="00B97064" w:rsidRDefault="007C7F32" w:rsidP="00C140CF">
      <w:pPr>
        <w:pStyle w:val="ListParagraph"/>
        <w:numPr>
          <w:ilvl w:val="0"/>
          <w:numId w:val="62"/>
        </w:numPr>
        <w:jc w:val="left"/>
        <w:rPr>
          <w:rFonts w:ascii="Arial" w:hAnsi="Arial" w:cs="Arial"/>
          <w:szCs w:val="22"/>
          <w:lang w:val="en-GB"/>
        </w:rPr>
      </w:pPr>
      <w:r w:rsidRPr="00B97064">
        <w:rPr>
          <w:rFonts w:ascii="Arial" w:hAnsi="Arial" w:cs="Arial"/>
          <w:szCs w:val="22"/>
          <w:lang w:val="en-GB"/>
        </w:rPr>
        <w:t>Arm´s length/ Zakelijk</w:t>
      </w:r>
    </w:p>
    <w:p w:rsidR="007C7F32" w:rsidRPr="00B97064" w:rsidRDefault="007C7F32" w:rsidP="00C140CF">
      <w:pPr>
        <w:pStyle w:val="ListParagraph"/>
        <w:numPr>
          <w:ilvl w:val="0"/>
          <w:numId w:val="63"/>
        </w:numPr>
        <w:jc w:val="left"/>
        <w:rPr>
          <w:rFonts w:ascii="Arial" w:hAnsi="Arial" w:cs="Arial"/>
          <w:szCs w:val="22"/>
          <w:lang w:val="en-GB"/>
        </w:rPr>
      </w:pPr>
      <w:r w:rsidRPr="00B97064">
        <w:rPr>
          <w:rFonts w:ascii="Arial" w:hAnsi="Arial" w:cs="Arial"/>
          <w:szCs w:val="22"/>
          <w:lang w:val="en-GB"/>
        </w:rPr>
        <w:t>marktprijs</w:t>
      </w:r>
    </w:p>
    <w:p w:rsidR="007C7F32" w:rsidRPr="00B97064" w:rsidRDefault="007C7F32" w:rsidP="00C140CF">
      <w:pPr>
        <w:pStyle w:val="ListParagraph"/>
        <w:numPr>
          <w:ilvl w:val="0"/>
          <w:numId w:val="64"/>
        </w:numPr>
        <w:jc w:val="left"/>
        <w:rPr>
          <w:rFonts w:ascii="Arial" w:hAnsi="Arial" w:cs="Arial"/>
          <w:szCs w:val="22"/>
          <w:lang w:val="en-GB"/>
        </w:rPr>
      </w:pPr>
      <w:r w:rsidRPr="00B97064">
        <w:rPr>
          <w:rFonts w:ascii="Arial" w:hAnsi="Arial" w:cs="Arial"/>
          <w:szCs w:val="22"/>
          <w:lang w:val="en-GB"/>
        </w:rPr>
        <w:t>aandeelhouder</w:t>
      </w:r>
    </w:p>
    <w:p w:rsidR="007C7F32" w:rsidRPr="00B97064" w:rsidRDefault="007C7F32" w:rsidP="006F40B7">
      <w:pPr>
        <w:pStyle w:val="ListParagraph"/>
        <w:ind w:left="360"/>
        <w:jc w:val="left"/>
        <w:rPr>
          <w:rFonts w:ascii="Arial" w:hAnsi="Arial" w:cs="Arial"/>
          <w:szCs w:val="22"/>
          <w:lang w:val="en-GB"/>
        </w:rPr>
      </w:pPr>
    </w:p>
    <w:p w:rsidR="007C7F32" w:rsidRPr="00B97064" w:rsidRDefault="007C7F32" w:rsidP="00C140CF">
      <w:pPr>
        <w:pStyle w:val="ListParagraph"/>
        <w:numPr>
          <w:ilvl w:val="0"/>
          <w:numId w:val="65"/>
        </w:numPr>
        <w:jc w:val="left"/>
        <w:rPr>
          <w:rFonts w:ascii="Arial" w:hAnsi="Arial" w:cs="Arial"/>
          <w:szCs w:val="22"/>
          <w:lang w:val="en-GB"/>
        </w:rPr>
      </w:pPr>
      <w:r w:rsidRPr="00B97064">
        <w:rPr>
          <w:rFonts w:ascii="Arial" w:hAnsi="Arial" w:cs="Arial"/>
          <w:szCs w:val="22"/>
          <w:lang w:val="en-GB"/>
        </w:rPr>
        <w:t>Belangrijke aandeelhouder</w:t>
      </w:r>
    </w:p>
    <w:p w:rsidR="007C7F32" w:rsidRPr="00B97064" w:rsidRDefault="007C7F32" w:rsidP="006F40B7">
      <w:pPr>
        <w:pStyle w:val="ListParagraph"/>
        <w:ind w:left="360"/>
        <w:jc w:val="left"/>
        <w:rPr>
          <w:rFonts w:ascii="Arial" w:hAnsi="Arial" w:cs="Arial"/>
          <w:szCs w:val="22"/>
          <w:lang w:val="en-GB"/>
        </w:rPr>
      </w:pPr>
    </w:p>
    <w:p w:rsidR="007C7F32" w:rsidRPr="00B97064" w:rsidRDefault="007C7F32" w:rsidP="00C140CF">
      <w:pPr>
        <w:pStyle w:val="ListParagraph"/>
        <w:numPr>
          <w:ilvl w:val="0"/>
          <w:numId w:val="66"/>
        </w:numPr>
        <w:jc w:val="left"/>
        <w:rPr>
          <w:rFonts w:ascii="Arial" w:hAnsi="Arial" w:cs="Arial"/>
          <w:szCs w:val="22"/>
          <w:lang w:val="en-GB"/>
        </w:rPr>
      </w:pPr>
      <w:r w:rsidRPr="00B97064">
        <w:rPr>
          <w:rFonts w:ascii="Arial" w:hAnsi="Arial" w:cs="Arial"/>
          <w:szCs w:val="22"/>
          <w:lang w:val="en-GB"/>
        </w:rPr>
        <w:t>Stem</w:t>
      </w:r>
    </w:p>
    <w:p w:rsidR="007C7F32" w:rsidRPr="00B97064" w:rsidRDefault="007C7F32" w:rsidP="00C140CF">
      <w:pPr>
        <w:pStyle w:val="ListParagraph"/>
        <w:numPr>
          <w:ilvl w:val="0"/>
          <w:numId w:val="67"/>
        </w:numPr>
        <w:jc w:val="left"/>
        <w:rPr>
          <w:rFonts w:ascii="Arial" w:hAnsi="Arial" w:cs="Arial"/>
          <w:szCs w:val="22"/>
          <w:lang w:val="en-GB"/>
        </w:rPr>
      </w:pPr>
      <w:r w:rsidRPr="00B97064">
        <w:rPr>
          <w:rFonts w:ascii="Arial" w:hAnsi="Arial" w:cs="Arial"/>
          <w:szCs w:val="22"/>
          <w:lang w:val="en-GB"/>
        </w:rPr>
        <w:t>Wet melding zeggenschap</w:t>
      </w:r>
    </w:p>
    <w:p w:rsidR="007C7F32" w:rsidRPr="00B97064" w:rsidRDefault="007C7F32" w:rsidP="006F40B7">
      <w:pPr>
        <w:pStyle w:val="ListParagraph"/>
        <w:ind w:left="360"/>
        <w:jc w:val="left"/>
        <w:rPr>
          <w:rFonts w:ascii="Arial" w:hAnsi="Arial" w:cs="Arial"/>
          <w:szCs w:val="22"/>
          <w:lang w:val="en-GB"/>
        </w:rPr>
      </w:pPr>
    </w:p>
    <w:p w:rsidR="007C7F32" w:rsidRPr="00B97064" w:rsidRDefault="007C7F32" w:rsidP="006F40B7">
      <w:pPr>
        <w:pStyle w:val="ListParagraph"/>
        <w:ind w:left="360"/>
        <w:jc w:val="left"/>
        <w:rPr>
          <w:rFonts w:ascii="Arial" w:hAnsi="Arial" w:cs="Arial"/>
          <w:szCs w:val="22"/>
          <w:lang w:val="en-GB"/>
        </w:rPr>
      </w:pPr>
    </w:p>
    <w:p w:rsidR="007C7F32" w:rsidRPr="00B97064" w:rsidRDefault="007C7F32" w:rsidP="00C140CF">
      <w:pPr>
        <w:pStyle w:val="ListParagraph"/>
        <w:numPr>
          <w:ilvl w:val="0"/>
          <w:numId w:val="68"/>
        </w:numPr>
        <w:jc w:val="left"/>
        <w:rPr>
          <w:rFonts w:ascii="Arial" w:hAnsi="Arial" w:cs="Arial"/>
          <w:szCs w:val="22"/>
          <w:lang w:val="en-GB"/>
        </w:rPr>
      </w:pPr>
      <w:r w:rsidRPr="00B97064">
        <w:rPr>
          <w:rFonts w:ascii="Arial" w:hAnsi="Arial" w:cs="Arial"/>
          <w:szCs w:val="22"/>
          <w:lang w:val="en-GB"/>
        </w:rPr>
        <w:t>Beurs</w:t>
      </w:r>
    </w:p>
    <w:p w:rsidR="007C7F32" w:rsidRPr="00B97064" w:rsidRDefault="007C7F32" w:rsidP="00C140CF">
      <w:pPr>
        <w:pStyle w:val="ListParagraph"/>
        <w:numPr>
          <w:ilvl w:val="0"/>
          <w:numId w:val="69"/>
        </w:numPr>
        <w:jc w:val="left"/>
        <w:rPr>
          <w:lang w:val="en-GB"/>
        </w:rPr>
      </w:pPr>
      <w:r w:rsidRPr="00B97064">
        <w:rPr>
          <w:rFonts w:ascii="Arial" w:hAnsi="Arial" w:cs="Arial"/>
          <w:szCs w:val="22"/>
          <w:lang w:val="en-GB"/>
        </w:rPr>
        <w:t>Beursgenoteerd</w:t>
      </w:r>
    </w:p>
    <w:p w:rsidR="007C7F32" w:rsidRPr="00B97064" w:rsidRDefault="007C7F32" w:rsidP="00DD7876">
      <w:pPr>
        <w:pStyle w:val="ListParagraph"/>
        <w:jc w:val="left"/>
        <w:rPr>
          <w:lang w:val="en-GB"/>
        </w:rPr>
        <w:sectPr w:rsidR="007C7F32" w:rsidRPr="00B97064" w:rsidSect="00A35F4D">
          <w:type w:val="continuous"/>
          <w:pgSz w:w="11905" w:h="16837"/>
          <w:pgMar w:top="1418" w:right="1418" w:bottom="1418" w:left="1418" w:header="709" w:footer="709" w:gutter="0"/>
          <w:cols w:num="2" w:space="708"/>
          <w:noEndnote/>
          <w:titlePg/>
          <w:docGrid w:linePitch="326"/>
        </w:sectPr>
      </w:pPr>
    </w:p>
    <w:p w:rsidR="007C7F32" w:rsidRPr="00B97064" w:rsidRDefault="007C7F32" w:rsidP="00DD7876">
      <w:pPr>
        <w:pStyle w:val="ListParagraph"/>
        <w:jc w:val="left"/>
        <w:rPr>
          <w:lang w:val="en-GB"/>
        </w:rPr>
      </w:pPr>
    </w:p>
    <w:p w:rsidR="007C7F32" w:rsidRPr="00B97064" w:rsidRDefault="007C7F32" w:rsidP="00A14FC5">
      <w:pPr>
        <w:rPr>
          <w:lang w:val="en-GB"/>
        </w:rPr>
        <w:sectPr w:rsidR="007C7F32" w:rsidRPr="00B97064" w:rsidSect="00A35F4D">
          <w:type w:val="continuous"/>
          <w:pgSz w:w="11905" w:h="16837"/>
          <w:pgMar w:top="1418" w:right="1418" w:bottom="1418" w:left="1418" w:header="709" w:footer="709" w:gutter="0"/>
          <w:cols w:space="708"/>
          <w:noEndnote/>
          <w:titlePg/>
          <w:docGrid w:linePitch="326"/>
        </w:sectPr>
      </w:pPr>
    </w:p>
    <w:p w:rsidR="007C7F32" w:rsidRPr="00B97064" w:rsidRDefault="007C7F32" w:rsidP="000B0A58">
      <w:pPr>
        <w:pStyle w:val="Heading2"/>
        <w:rPr>
          <w:lang w:val="en-GB"/>
        </w:rPr>
      </w:pPr>
      <w:r w:rsidRPr="00B97064">
        <w:rPr>
          <w:lang w:val="en-GB"/>
        </w:rPr>
        <w:lastRenderedPageBreak/>
        <w:br w:type="page"/>
      </w:r>
      <w:bookmarkStart w:id="156" w:name="_Ref344479506"/>
      <w:bookmarkStart w:id="157" w:name="_Ref349386462"/>
      <w:bookmarkStart w:id="158" w:name="_Ref349584664"/>
      <w:bookmarkStart w:id="159" w:name="_Ref349584795"/>
      <w:bookmarkStart w:id="160" w:name="_Toc349585530"/>
      <w:r w:rsidR="001F76A6" w:rsidRPr="00B97064">
        <w:rPr>
          <w:lang w:val="en-GB"/>
        </w:rPr>
        <w:lastRenderedPageBreak/>
        <w:t>10</w:t>
      </w:r>
      <w:r w:rsidRPr="00B97064">
        <w:rPr>
          <w:lang w:val="en-GB"/>
        </w:rPr>
        <w:t xml:space="preserve">.2 </w:t>
      </w:r>
      <w:bookmarkEnd w:id="156"/>
      <w:bookmarkEnd w:id="157"/>
      <w:r w:rsidR="001F76A6" w:rsidRPr="00B97064">
        <w:rPr>
          <w:lang w:val="en-GB"/>
        </w:rPr>
        <w:t>Composition of final sample</w:t>
      </w:r>
      <w:bookmarkEnd w:id="158"/>
      <w:bookmarkEnd w:id="159"/>
      <w:bookmarkEnd w:id="160"/>
    </w:p>
    <w:p w:rsidR="005A16AC" w:rsidRPr="00B97064" w:rsidRDefault="005A16AC" w:rsidP="005A16AC">
      <w:pPr>
        <w:pStyle w:val="Caption"/>
        <w:rPr>
          <w:lang w:val="en-GB"/>
        </w:rPr>
      </w:pPr>
      <w:bookmarkStart w:id="161" w:name="_Toc349585561"/>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Pr="00B97064">
        <w:rPr>
          <w:noProof/>
          <w:lang w:val="en-GB"/>
        </w:rPr>
        <w:t>28</w:t>
      </w:r>
      <w:r w:rsidR="00E80C96" w:rsidRPr="00B97064">
        <w:rPr>
          <w:lang w:val="en-GB"/>
        </w:rPr>
        <w:fldChar w:fldCharType="end"/>
      </w:r>
      <w:r w:rsidRPr="00B97064">
        <w:rPr>
          <w:lang w:val="en-GB"/>
        </w:rPr>
        <w:t>: List of all firms</w:t>
      </w:r>
      <w:r w:rsidR="00B5578E" w:rsidRPr="00B97064">
        <w:rPr>
          <w:lang w:val="en-GB"/>
        </w:rPr>
        <w:t xml:space="preserve"> included</w:t>
      </w:r>
      <w:r w:rsidRPr="00B97064">
        <w:rPr>
          <w:lang w:val="en-GB"/>
        </w:rPr>
        <w:t xml:space="preserve"> </w:t>
      </w:r>
      <w:r w:rsidR="00B5578E" w:rsidRPr="00B97064">
        <w:rPr>
          <w:lang w:val="en-GB"/>
        </w:rPr>
        <w:t>in the</w:t>
      </w:r>
      <w:r w:rsidRPr="00B97064">
        <w:rPr>
          <w:lang w:val="en-GB"/>
        </w:rPr>
        <w:t xml:space="preserve"> sample</w:t>
      </w:r>
      <w:bookmarkEnd w:id="161"/>
    </w:p>
    <w:tbl>
      <w:tblPr>
        <w:tblW w:w="9200" w:type="dxa"/>
        <w:tblInd w:w="55" w:type="dxa"/>
        <w:tblCellMar>
          <w:left w:w="70" w:type="dxa"/>
          <w:right w:w="70" w:type="dxa"/>
        </w:tblCellMar>
        <w:tblLook w:val="04A0"/>
      </w:tblPr>
      <w:tblGrid>
        <w:gridCol w:w="363"/>
        <w:gridCol w:w="3960"/>
        <w:gridCol w:w="1686"/>
        <w:gridCol w:w="1660"/>
        <w:gridCol w:w="1660"/>
      </w:tblGrid>
      <w:tr w:rsidR="00431E7A" w:rsidRPr="00B97064" w:rsidTr="00431E7A">
        <w:trPr>
          <w:trHeight w:val="510"/>
        </w:trPr>
        <w:tc>
          <w:tcPr>
            <w:tcW w:w="320" w:type="dxa"/>
            <w:tcBorders>
              <w:top w:val="single" w:sz="8" w:space="0" w:color="auto"/>
              <w:left w:val="single" w:sz="8" w:space="0" w:color="auto"/>
              <w:bottom w:val="nil"/>
              <w:right w:val="nil"/>
            </w:tcBorders>
            <w:shd w:val="clear" w:color="000000" w:fill="1F497D"/>
            <w:vAlign w:val="center"/>
            <w:hideMark/>
          </w:tcPr>
          <w:p w:rsidR="00431E7A" w:rsidRPr="00B97064" w:rsidRDefault="00431E7A" w:rsidP="00431E7A">
            <w:pPr>
              <w:widowControl/>
              <w:adjustRightInd/>
              <w:spacing w:line="240" w:lineRule="auto"/>
              <w:jc w:val="left"/>
              <w:textAlignment w:val="auto"/>
              <w:rPr>
                <w:rFonts w:ascii="Verdana" w:hAnsi="Verdana"/>
                <w:b/>
                <w:bCs/>
                <w:color w:val="FFFFFF"/>
                <w:sz w:val="16"/>
                <w:szCs w:val="16"/>
                <w:lang w:val="en-GB"/>
              </w:rPr>
            </w:pPr>
            <w:r w:rsidRPr="00B97064">
              <w:rPr>
                <w:rFonts w:ascii="Verdana" w:hAnsi="Verdana"/>
                <w:b/>
                <w:bCs/>
                <w:color w:val="FFFFFF"/>
                <w:sz w:val="16"/>
                <w:szCs w:val="16"/>
                <w:lang w:val="en-GB"/>
              </w:rPr>
              <w:t>#</w:t>
            </w:r>
          </w:p>
        </w:tc>
        <w:tc>
          <w:tcPr>
            <w:tcW w:w="3960" w:type="dxa"/>
            <w:tcBorders>
              <w:top w:val="single" w:sz="8" w:space="0" w:color="auto"/>
              <w:left w:val="nil"/>
              <w:bottom w:val="nil"/>
              <w:right w:val="nil"/>
            </w:tcBorders>
            <w:shd w:val="clear" w:color="000000" w:fill="1F497D"/>
            <w:vAlign w:val="center"/>
            <w:hideMark/>
          </w:tcPr>
          <w:p w:rsidR="00431E7A" w:rsidRPr="00B97064" w:rsidRDefault="00431E7A" w:rsidP="00431E7A">
            <w:pPr>
              <w:widowControl/>
              <w:adjustRightInd/>
              <w:spacing w:line="240" w:lineRule="auto"/>
              <w:jc w:val="left"/>
              <w:textAlignment w:val="auto"/>
              <w:rPr>
                <w:rFonts w:ascii="Verdana" w:hAnsi="Verdana"/>
                <w:b/>
                <w:bCs/>
                <w:color w:val="FFFFFF"/>
                <w:sz w:val="16"/>
                <w:szCs w:val="16"/>
                <w:lang w:val="en-GB"/>
              </w:rPr>
            </w:pPr>
            <w:r w:rsidRPr="00B97064">
              <w:rPr>
                <w:rFonts w:ascii="Verdana" w:hAnsi="Verdana"/>
                <w:b/>
                <w:bCs/>
                <w:color w:val="FFFFFF"/>
                <w:sz w:val="16"/>
                <w:szCs w:val="16"/>
                <w:lang w:val="en-GB"/>
              </w:rPr>
              <w:t>Company name</w:t>
            </w:r>
          </w:p>
        </w:tc>
        <w:tc>
          <w:tcPr>
            <w:tcW w:w="1600" w:type="dxa"/>
            <w:tcBorders>
              <w:top w:val="single" w:sz="8" w:space="0" w:color="auto"/>
              <w:left w:val="nil"/>
              <w:bottom w:val="nil"/>
              <w:right w:val="single" w:sz="4" w:space="0" w:color="auto"/>
            </w:tcBorders>
            <w:shd w:val="clear" w:color="000000" w:fill="1F497D"/>
            <w:vAlign w:val="center"/>
            <w:hideMark/>
          </w:tcPr>
          <w:p w:rsidR="00431E7A" w:rsidRPr="00B97064" w:rsidRDefault="00431E7A" w:rsidP="00431E7A">
            <w:pPr>
              <w:widowControl/>
              <w:adjustRightInd/>
              <w:spacing w:line="240" w:lineRule="auto"/>
              <w:jc w:val="left"/>
              <w:textAlignment w:val="auto"/>
              <w:rPr>
                <w:rFonts w:ascii="Verdana" w:hAnsi="Verdana"/>
                <w:b/>
                <w:bCs/>
                <w:color w:val="FFFFFF"/>
                <w:sz w:val="16"/>
                <w:szCs w:val="16"/>
                <w:lang w:val="en-GB"/>
              </w:rPr>
            </w:pPr>
            <w:r w:rsidRPr="00B97064">
              <w:rPr>
                <w:rFonts w:ascii="Verdana" w:hAnsi="Verdana"/>
                <w:b/>
                <w:bCs/>
                <w:color w:val="FFFFFF"/>
                <w:sz w:val="16"/>
                <w:szCs w:val="16"/>
                <w:lang w:val="en-GB"/>
              </w:rPr>
              <w:t>ISIN</w:t>
            </w:r>
          </w:p>
        </w:tc>
        <w:tc>
          <w:tcPr>
            <w:tcW w:w="1660" w:type="dxa"/>
            <w:tcBorders>
              <w:top w:val="single" w:sz="8" w:space="0" w:color="auto"/>
              <w:left w:val="nil"/>
              <w:bottom w:val="nil"/>
              <w:right w:val="nil"/>
            </w:tcBorders>
            <w:shd w:val="clear" w:color="000000" w:fill="1F497D"/>
            <w:vAlign w:val="center"/>
            <w:hideMark/>
          </w:tcPr>
          <w:p w:rsidR="00431E7A" w:rsidRPr="00B97064" w:rsidRDefault="00431E7A" w:rsidP="00431E7A">
            <w:pPr>
              <w:widowControl/>
              <w:adjustRightInd/>
              <w:spacing w:line="240" w:lineRule="auto"/>
              <w:jc w:val="left"/>
              <w:textAlignment w:val="auto"/>
              <w:rPr>
                <w:rFonts w:ascii="Verdana" w:hAnsi="Verdana"/>
                <w:b/>
                <w:bCs/>
                <w:color w:val="FFFFFF"/>
                <w:sz w:val="16"/>
                <w:szCs w:val="16"/>
                <w:lang w:val="en-GB"/>
              </w:rPr>
            </w:pPr>
            <w:r w:rsidRPr="00B97064">
              <w:rPr>
                <w:rFonts w:ascii="Verdana" w:hAnsi="Verdana"/>
                <w:b/>
                <w:bCs/>
                <w:color w:val="FFFFFF"/>
                <w:sz w:val="16"/>
                <w:szCs w:val="16"/>
                <w:lang w:val="en-GB"/>
              </w:rPr>
              <w:t>Disclosure level ratio 2003</w:t>
            </w:r>
          </w:p>
        </w:tc>
        <w:tc>
          <w:tcPr>
            <w:tcW w:w="1660" w:type="dxa"/>
            <w:tcBorders>
              <w:top w:val="single" w:sz="8" w:space="0" w:color="auto"/>
              <w:left w:val="nil"/>
              <w:bottom w:val="nil"/>
              <w:right w:val="single" w:sz="8" w:space="0" w:color="auto"/>
            </w:tcBorders>
            <w:shd w:val="clear" w:color="000000" w:fill="1F497D"/>
            <w:vAlign w:val="center"/>
            <w:hideMark/>
          </w:tcPr>
          <w:p w:rsidR="00431E7A" w:rsidRPr="00B97064" w:rsidRDefault="00431E7A" w:rsidP="00431E7A">
            <w:pPr>
              <w:widowControl/>
              <w:adjustRightInd/>
              <w:spacing w:line="240" w:lineRule="auto"/>
              <w:jc w:val="left"/>
              <w:textAlignment w:val="auto"/>
              <w:rPr>
                <w:rFonts w:ascii="Verdana" w:hAnsi="Verdana"/>
                <w:b/>
                <w:bCs/>
                <w:color w:val="FFFFFF"/>
                <w:sz w:val="16"/>
                <w:szCs w:val="16"/>
                <w:lang w:val="en-GB"/>
              </w:rPr>
            </w:pPr>
            <w:r w:rsidRPr="00B97064">
              <w:rPr>
                <w:rFonts w:ascii="Verdana" w:hAnsi="Verdana"/>
                <w:b/>
                <w:bCs/>
                <w:color w:val="FFFFFF"/>
                <w:sz w:val="16"/>
                <w:szCs w:val="16"/>
                <w:lang w:val="en-GB"/>
              </w:rPr>
              <w:t>Disclosure level ratio 2009</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1</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ING GROEP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NL0000303600</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0,55</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2</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KONINKLIJKE PHILIPS ELECTRONICS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NL0000009538</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3</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KONINKLIJKE KPN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NL0000009082</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4</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UNILEVER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NL0000009355</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5</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VAN LANSCHOT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NL0000302636</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0,64</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6</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HEINEKEN HOLDING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NL0000009165</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7</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HEINEKEN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NL0000008977</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8</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AKZO NOBEL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NL0000009132</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0,73</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9</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KONINKLIJKE AHOLD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NL0006033250</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0,64</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10</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KONINKLIJKE DSM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NL0000009827</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11</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POSTNL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NL0009739416</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12</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KONINKLIJKE BAM GROEP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NL0000337319</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13</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RANDSTAD HOLDING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NL0000379121</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14</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KAS BANK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NL0000362648</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15</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CORIO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NL0000288967</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0,55</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16</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WOLTERS KLUWER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NL0000395903</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17</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HAL TRUST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BMG455841020</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18</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ROBECO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NL0000289783</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19</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ASML HOLDING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NL0006034001</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20</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SBM OFFSHORE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NL0000360618</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21</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KONINKLIJKE VOPAK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NL0009432491</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r>
      <w:tr w:rsidR="00431E7A" w:rsidRPr="00B97064" w:rsidTr="00431E7A">
        <w:trPr>
          <w:trHeight w:val="51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22</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KONINKLIJKE BOSKALIS WESTMINSTER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NL0000852580</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23</w:t>
            </w:r>
          </w:p>
        </w:tc>
        <w:tc>
          <w:tcPr>
            <w:tcW w:w="3960" w:type="dxa"/>
            <w:tcBorders>
              <w:top w:val="nil"/>
              <w:left w:val="nil"/>
              <w:bottom w:val="nil"/>
              <w:right w:val="nil"/>
            </w:tcBorders>
            <w:shd w:val="clear" w:color="000000" w:fill="FFFFFF"/>
            <w:noWrap/>
            <w:vAlign w:val="center"/>
            <w:hideMark/>
          </w:tcPr>
          <w:p w:rsidR="00431E7A" w:rsidRPr="007F674E" w:rsidRDefault="00431E7A" w:rsidP="00431E7A">
            <w:pPr>
              <w:widowControl/>
              <w:adjustRightInd/>
              <w:spacing w:line="240" w:lineRule="auto"/>
              <w:jc w:val="left"/>
              <w:textAlignment w:val="auto"/>
              <w:rPr>
                <w:rFonts w:cs="Arial"/>
                <w:b/>
                <w:bCs/>
                <w:sz w:val="20"/>
                <w:szCs w:val="20"/>
              </w:rPr>
            </w:pPr>
            <w:r w:rsidRPr="007F674E">
              <w:rPr>
                <w:rFonts w:cs="Arial"/>
                <w:b/>
                <w:bCs/>
                <w:sz w:val="20"/>
                <w:szCs w:val="20"/>
              </w:rPr>
              <w:t>BNP PARIBAS OBAM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NL0006294035</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24</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ROYAL IMTECH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NL0006055329</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25</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FUGRO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NL0000352565</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26</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HOMBURG INVEST INC</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CA4368714040</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27</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EUROCOMMERCIAL PROPERTIES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NL0000288876</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28</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NUTRECO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NL0000375400</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29</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CSM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NL0000852549</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30</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VASTNED RETAIL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NL0000288918</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31</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HEIJMANS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NL0009269109</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32</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HUNTER DOUGLAS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ANN4327C1220</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33</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USG PEOPLE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NL0000354488</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0,55</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34</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DRAKA HOLDING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NL0000347813</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35</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AALBERTS INDUSTRIES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NL0000852564</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color w:val="FF0000"/>
                <w:sz w:val="20"/>
                <w:szCs w:val="20"/>
                <w:lang w:val="en-GB"/>
              </w:rPr>
            </w:pPr>
            <w:r w:rsidRPr="00B97064">
              <w:rPr>
                <w:rFonts w:cs="Arial"/>
                <w:b/>
                <w:bCs/>
                <w:color w:val="FF0000"/>
                <w:sz w:val="20"/>
                <w:szCs w:val="20"/>
                <w:lang w:val="en-GB"/>
              </w:rPr>
              <w:t>36</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color w:val="FF0000"/>
                <w:sz w:val="20"/>
                <w:szCs w:val="20"/>
                <w:lang w:val="en-GB"/>
              </w:rPr>
            </w:pPr>
            <w:r w:rsidRPr="00B97064">
              <w:rPr>
                <w:rFonts w:cs="Arial"/>
                <w:b/>
                <w:bCs/>
                <w:color w:val="FF0000"/>
                <w:sz w:val="20"/>
                <w:szCs w:val="20"/>
                <w:lang w:val="en-GB"/>
              </w:rPr>
              <w:t>NIEUWE STEEN INVESTMENTS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color w:val="FF0000"/>
                <w:sz w:val="20"/>
                <w:szCs w:val="20"/>
                <w:lang w:val="en-GB"/>
              </w:rPr>
            </w:pPr>
            <w:r w:rsidRPr="00B97064">
              <w:rPr>
                <w:rFonts w:cs="Arial"/>
                <w:color w:val="FF0000"/>
                <w:sz w:val="20"/>
                <w:szCs w:val="20"/>
                <w:lang w:val="en-GB"/>
              </w:rPr>
              <w:t>NL0000292324</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color w:val="FF0000"/>
                <w:sz w:val="20"/>
                <w:szCs w:val="20"/>
                <w:lang w:val="en-GB"/>
              </w:rPr>
            </w:pPr>
            <w:r w:rsidRPr="00B97064">
              <w:rPr>
                <w:rFonts w:cs="Arial"/>
                <w:color w:val="FF0000"/>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color w:val="FF0000"/>
                <w:sz w:val="20"/>
                <w:szCs w:val="20"/>
                <w:lang w:val="en-GB"/>
              </w:rPr>
            </w:pPr>
            <w:r w:rsidRPr="00B97064">
              <w:rPr>
                <w:rFonts w:cs="Arial"/>
                <w:color w:val="FF0000"/>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37</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ARCADIS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NL0006237562</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0,55</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38</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SMIT INTERNATIONALE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NL0000383800</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39</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MEDIQ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NL0009103530</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40</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REED ELSEVIER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NL0006144495</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lastRenderedPageBreak/>
              <w:t>41</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BALLAST NEDAM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NL0000336543</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42</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CRUCELL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NL0000358562</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0,64</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43</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ASM INTERNATIONAL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NL0000334118</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0,73</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44</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SLIGRO FOOD GROUP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NL0000817179</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0,64</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45</w:t>
            </w:r>
          </w:p>
        </w:tc>
        <w:tc>
          <w:tcPr>
            <w:tcW w:w="3960" w:type="dxa"/>
            <w:tcBorders>
              <w:top w:val="nil"/>
              <w:left w:val="nil"/>
              <w:bottom w:val="nil"/>
              <w:right w:val="nil"/>
            </w:tcBorders>
            <w:shd w:val="clear" w:color="000000" w:fill="FFFFFF"/>
            <w:noWrap/>
            <w:vAlign w:val="center"/>
            <w:hideMark/>
          </w:tcPr>
          <w:p w:rsidR="00431E7A" w:rsidRPr="007F674E" w:rsidRDefault="00431E7A" w:rsidP="00431E7A">
            <w:pPr>
              <w:widowControl/>
              <w:adjustRightInd/>
              <w:spacing w:line="240" w:lineRule="auto"/>
              <w:jc w:val="left"/>
              <w:textAlignment w:val="auto"/>
              <w:rPr>
                <w:rFonts w:cs="Arial"/>
                <w:b/>
                <w:bCs/>
                <w:sz w:val="20"/>
                <w:szCs w:val="20"/>
              </w:rPr>
            </w:pPr>
            <w:r w:rsidRPr="007F674E">
              <w:rPr>
                <w:rFonts w:cs="Arial"/>
                <w:b/>
                <w:bCs/>
                <w:sz w:val="20"/>
                <w:szCs w:val="20"/>
              </w:rPr>
              <w:t>TELEGRAAF MEDIA GROEP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NL0000386605</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0,55</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46</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ROYAL TEN CATE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NL0000375749</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47</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ROLINCO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NL0000289817</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48</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TKH GROUP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NL0000852523</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49</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KONINKLIJKE WESSANEN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NL0000395317</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50</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MACINTOSH RETAIL GROUP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NL0000367993</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51</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TRIODOS GROENFONDS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NL0000440204</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52</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GAMMA HOLDING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NL0000355824</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53</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STERN GROEP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NL0000336303</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54</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UNIT4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NL0000389096</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55</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ORDINA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NL0000440584</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56</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ACCELL GROUP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NL0009767532</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57</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XEIKON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NL0006007247</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0,64</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58</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BE SEMICONDUCTOR INDUSTRIES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NL0000339760</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59</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ORANJEWOUD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NL0000370419</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0,55</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60</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KEMPEN ORANJE PARTICIPATIES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NL0000440675</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61</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ROTO SMEETS GROUP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NL0009169515</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62</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BRUNEL INTERNATIONAL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NL0000343432</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0,73</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63</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DIM VASTGOED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NL0000284750</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0,73</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64</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EXACT HOLDING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NL0000350361</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0,55</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65</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KENDRION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NL0000852531</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66</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BEVER HOLDING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NL0000285278</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0,64</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67</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AFC AJAX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NL0000018034</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68</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KONINKLIJKE REESINK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NL0000379303</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69</w:t>
            </w:r>
          </w:p>
        </w:tc>
        <w:tc>
          <w:tcPr>
            <w:tcW w:w="3960" w:type="dxa"/>
            <w:tcBorders>
              <w:top w:val="nil"/>
              <w:left w:val="nil"/>
              <w:bottom w:val="nil"/>
              <w:right w:val="nil"/>
            </w:tcBorders>
            <w:shd w:val="clear" w:color="000000" w:fill="FFFFFF"/>
            <w:noWrap/>
            <w:vAlign w:val="center"/>
            <w:hideMark/>
          </w:tcPr>
          <w:p w:rsidR="00431E7A" w:rsidRPr="007F674E" w:rsidRDefault="00431E7A" w:rsidP="00431E7A">
            <w:pPr>
              <w:widowControl/>
              <w:adjustRightInd/>
              <w:spacing w:line="240" w:lineRule="auto"/>
              <w:jc w:val="left"/>
              <w:textAlignment w:val="auto"/>
              <w:rPr>
                <w:rFonts w:cs="Arial"/>
                <w:b/>
                <w:bCs/>
                <w:sz w:val="20"/>
                <w:szCs w:val="20"/>
              </w:rPr>
            </w:pPr>
            <w:r w:rsidRPr="007F674E">
              <w:rPr>
                <w:rFonts w:cs="Arial"/>
                <w:b/>
                <w:bCs/>
                <w:sz w:val="20"/>
                <w:szCs w:val="20"/>
              </w:rPr>
              <w:t>H.E.S. BEHEER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NL0000358125</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70</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BETER BED HOLDING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NL0000339703</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510"/>
        </w:trPr>
        <w:tc>
          <w:tcPr>
            <w:tcW w:w="320" w:type="dxa"/>
            <w:tcBorders>
              <w:top w:val="nil"/>
              <w:left w:val="single" w:sz="8" w:space="0" w:color="auto"/>
              <w:bottom w:val="nil"/>
              <w:right w:val="nil"/>
            </w:tcBorders>
            <w:shd w:val="clear" w:color="000000" w:fill="FFFFFF"/>
            <w:noWrap/>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71</w:t>
            </w:r>
          </w:p>
        </w:tc>
        <w:tc>
          <w:tcPr>
            <w:tcW w:w="3960" w:type="dxa"/>
            <w:tcBorders>
              <w:top w:val="nil"/>
              <w:left w:val="nil"/>
              <w:bottom w:val="nil"/>
              <w:right w:val="nil"/>
            </w:tcBorders>
            <w:shd w:val="clear" w:color="000000" w:fill="FFFFFF"/>
            <w:vAlign w:val="center"/>
            <w:hideMark/>
          </w:tcPr>
          <w:p w:rsidR="00431E7A" w:rsidRPr="007F674E" w:rsidRDefault="00431E7A" w:rsidP="00431E7A">
            <w:pPr>
              <w:widowControl/>
              <w:adjustRightInd/>
              <w:spacing w:line="240" w:lineRule="auto"/>
              <w:jc w:val="left"/>
              <w:textAlignment w:val="auto"/>
              <w:rPr>
                <w:rFonts w:cs="Arial"/>
                <w:b/>
                <w:bCs/>
                <w:sz w:val="20"/>
                <w:szCs w:val="20"/>
              </w:rPr>
            </w:pPr>
            <w:r w:rsidRPr="007F674E">
              <w:rPr>
                <w:rFonts w:cs="Arial"/>
                <w:b/>
                <w:bCs/>
                <w:sz w:val="20"/>
                <w:szCs w:val="20"/>
              </w:rPr>
              <w:t>NEDERLANDSCHE APPARATENFABRIEK 'NEDAP'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NL0000371243</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72</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QURIUS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NL0000368140</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0,09</w:t>
            </w:r>
          </w:p>
        </w:tc>
      </w:tr>
      <w:tr w:rsidR="00431E7A" w:rsidRPr="00B97064" w:rsidTr="00431E7A">
        <w:trPr>
          <w:trHeight w:val="51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73</w:t>
            </w:r>
          </w:p>
        </w:tc>
        <w:tc>
          <w:tcPr>
            <w:tcW w:w="3960" w:type="dxa"/>
            <w:tcBorders>
              <w:top w:val="nil"/>
              <w:left w:val="nil"/>
              <w:bottom w:val="nil"/>
              <w:right w:val="nil"/>
            </w:tcBorders>
            <w:shd w:val="clear" w:color="000000" w:fill="FFFFFF"/>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NEWAYS ELECTRONICS INTERNATIONAL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NL0000440618</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0,64</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74</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KEMPEN ORANGE FUND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NL0000289627</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75</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BATENBURG TECHNIEK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NL0006292906</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76</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AMSTERDAM COMMODITIES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NL0000313286</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77</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SIMAC TECHNIEK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NL0000441616</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0,55</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78</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FORNIX BIOSCIENCES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NL0000439990</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79</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ICT AUTOMATISERING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NL0000359537</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80</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PHARMING GROUP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NL0000377018</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81</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DOCDATA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NL0000345627</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0,18</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82</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C/TAC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NL0000345577</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83</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HOLLAND COLOURS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NL0000440311</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0,55</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84</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KONINKLIJKE BRILL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NL0000442523</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85</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DPA GROUP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NL0009197771</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r>
      <w:tr w:rsidR="00431E7A" w:rsidRPr="00B97064" w:rsidTr="00431E7A">
        <w:trPr>
          <w:trHeight w:val="510"/>
        </w:trPr>
        <w:tc>
          <w:tcPr>
            <w:tcW w:w="320" w:type="dxa"/>
            <w:tcBorders>
              <w:top w:val="nil"/>
              <w:left w:val="single" w:sz="8" w:space="0" w:color="auto"/>
              <w:bottom w:val="nil"/>
              <w:right w:val="nil"/>
            </w:tcBorders>
            <w:shd w:val="clear" w:color="000000" w:fill="8DB4E3"/>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lastRenderedPageBreak/>
              <w:t>86</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INSINGER DE BEAUFORT EUROPEAN MID CAP FUND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NL0009787894</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87</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HITT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NL0000358158</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0,09</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88</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HYDRATEC INDUSTRIES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NL0009391242</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89</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AND INTERNATIONAL PUBLISHERS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NL0000430106</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750"/>
        </w:trPr>
        <w:tc>
          <w:tcPr>
            <w:tcW w:w="320" w:type="dxa"/>
            <w:tcBorders>
              <w:top w:val="nil"/>
              <w:left w:val="single" w:sz="8" w:space="0" w:color="auto"/>
              <w:bottom w:val="nil"/>
              <w:right w:val="nil"/>
            </w:tcBorders>
            <w:shd w:val="clear" w:color="000000" w:fill="8DB4E3"/>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90</w:t>
            </w:r>
          </w:p>
        </w:tc>
        <w:tc>
          <w:tcPr>
            <w:tcW w:w="3960" w:type="dxa"/>
            <w:tcBorders>
              <w:top w:val="nil"/>
              <w:left w:val="nil"/>
              <w:bottom w:val="nil"/>
              <w:right w:val="nil"/>
            </w:tcBorders>
            <w:shd w:val="clear" w:color="000000" w:fill="8DB4E3"/>
            <w:vAlign w:val="center"/>
            <w:hideMark/>
          </w:tcPr>
          <w:p w:rsidR="00431E7A" w:rsidRPr="007F674E" w:rsidRDefault="00431E7A" w:rsidP="00431E7A">
            <w:pPr>
              <w:widowControl/>
              <w:adjustRightInd/>
              <w:spacing w:line="240" w:lineRule="auto"/>
              <w:jc w:val="left"/>
              <w:textAlignment w:val="auto"/>
              <w:rPr>
                <w:rFonts w:cs="Arial"/>
                <w:b/>
                <w:bCs/>
                <w:sz w:val="20"/>
                <w:szCs w:val="20"/>
              </w:rPr>
            </w:pPr>
            <w:r w:rsidRPr="007F674E">
              <w:rPr>
                <w:rFonts w:cs="Arial"/>
                <w:b/>
                <w:bCs/>
                <w:sz w:val="20"/>
                <w:szCs w:val="20"/>
              </w:rPr>
              <w:t>N.V. KONINKLIJKE DELFTSCH AARDEWERKFABRIEK 'DE PORCELEYNE FLES ANNO 1653'</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NL0000378669</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91</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ROODMICROTEC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NL0000440477</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92</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NEDSENSE ENTERPRISES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NL0009312842</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93</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TIE HOLDING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NL0000386985</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0,55</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0,64</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94</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WITTE MOLEN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NL0009767540</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95</w:t>
            </w:r>
          </w:p>
        </w:tc>
        <w:tc>
          <w:tcPr>
            <w:tcW w:w="3960" w:type="dxa"/>
            <w:tcBorders>
              <w:top w:val="nil"/>
              <w:left w:val="nil"/>
              <w:bottom w:val="nil"/>
              <w:right w:val="nil"/>
            </w:tcBorders>
            <w:shd w:val="clear" w:color="000000" w:fill="FFFFFF"/>
            <w:noWrap/>
            <w:vAlign w:val="center"/>
            <w:hideMark/>
          </w:tcPr>
          <w:p w:rsidR="00431E7A" w:rsidRPr="007F674E" w:rsidRDefault="00431E7A" w:rsidP="00431E7A">
            <w:pPr>
              <w:widowControl/>
              <w:adjustRightInd/>
              <w:spacing w:line="240" w:lineRule="auto"/>
              <w:jc w:val="left"/>
              <w:textAlignment w:val="auto"/>
              <w:rPr>
                <w:rFonts w:cs="Arial"/>
                <w:b/>
                <w:bCs/>
                <w:sz w:val="20"/>
                <w:szCs w:val="20"/>
              </w:rPr>
            </w:pPr>
            <w:r w:rsidRPr="007F674E">
              <w:rPr>
                <w:rFonts w:cs="Arial"/>
                <w:b/>
                <w:bCs/>
                <w:sz w:val="20"/>
                <w:szCs w:val="20"/>
              </w:rPr>
              <w:t>VIVENDA MEDIA GROEP N.V.</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NL0009312362</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0,27</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96</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VALUE8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NL0009082486</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0,36</w:t>
            </w:r>
          </w:p>
        </w:tc>
      </w:tr>
      <w:tr w:rsidR="00431E7A" w:rsidRPr="00B97064" w:rsidTr="00431E7A">
        <w:trPr>
          <w:trHeight w:val="300"/>
        </w:trPr>
        <w:tc>
          <w:tcPr>
            <w:tcW w:w="320" w:type="dxa"/>
            <w:tcBorders>
              <w:top w:val="nil"/>
              <w:left w:val="single" w:sz="8" w:space="0" w:color="auto"/>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97</w:t>
            </w:r>
          </w:p>
        </w:tc>
        <w:tc>
          <w:tcPr>
            <w:tcW w:w="39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ANTONOV PLC</w:t>
            </w:r>
          </w:p>
        </w:tc>
        <w:tc>
          <w:tcPr>
            <w:tcW w:w="160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GB00B3SHND79</w:t>
            </w:r>
          </w:p>
        </w:tc>
        <w:tc>
          <w:tcPr>
            <w:tcW w:w="1660" w:type="dxa"/>
            <w:tcBorders>
              <w:top w:val="nil"/>
              <w:left w:val="nil"/>
              <w:bottom w:val="nil"/>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0,55</w:t>
            </w:r>
          </w:p>
        </w:tc>
        <w:tc>
          <w:tcPr>
            <w:tcW w:w="1660" w:type="dxa"/>
            <w:tcBorders>
              <w:top w:val="nil"/>
              <w:left w:val="nil"/>
              <w:bottom w:val="nil"/>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r>
      <w:tr w:rsidR="00431E7A" w:rsidRPr="00B97064" w:rsidTr="00431E7A">
        <w:trPr>
          <w:trHeight w:val="300"/>
        </w:trPr>
        <w:tc>
          <w:tcPr>
            <w:tcW w:w="320" w:type="dxa"/>
            <w:tcBorders>
              <w:top w:val="nil"/>
              <w:left w:val="single" w:sz="8" w:space="0" w:color="auto"/>
              <w:bottom w:val="nil"/>
              <w:right w:val="nil"/>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98</w:t>
            </w:r>
          </w:p>
        </w:tc>
        <w:tc>
          <w:tcPr>
            <w:tcW w:w="39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AAMIGOO GROUP N.V.</w:t>
            </w:r>
          </w:p>
        </w:tc>
        <w:tc>
          <w:tcPr>
            <w:tcW w:w="160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CWN001011006</w:t>
            </w:r>
          </w:p>
        </w:tc>
        <w:tc>
          <w:tcPr>
            <w:tcW w:w="1660" w:type="dxa"/>
            <w:tcBorders>
              <w:top w:val="nil"/>
              <w:left w:val="nil"/>
              <w:bottom w:val="nil"/>
              <w:right w:val="nil"/>
            </w:tcBorders>
            <w:shd w:val="clear" w:color="000000" w:fill="8DB4E3"/>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c>
          <w:tcPr>
            <w:tcW w:w="1660" w:type="dxa"/>
            <w:tcBorders>
              <w:top w:val="nil"/>
              <w:left w:val="nil"/>
              <w:bottom w:val="nil"/>
              <w:right w:val="single" w:sz="8" w:space="0" w:color="auto"/>
            </w:tcBorders>
            <w:shd w:val="clear" w:color="000000" w:fill="8DB4E3"/>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0,45</w:t>
            </w:r>
          </w:p>
        </w:tc>
      </w:tr>
      <w:tr w:rsidR="00431E7A" w:rsidRPr="00B97064" w:rsidTr="00431E7A">
        <w:trPr>
          <w:trHeight w:val="315"/>
        </w:trPr>
        <w:tc>
          <w:tcPr>
            <w:tcW w:w="320" w:type="dxa"/>
            <w:tcBorders>
              <w:top w:val="nil"/>
              <w:left w:val="single" w:sz="8" w:space="0" w:color="auto"/>
              <w:bottom w:val="single" w:sz="8" w:space="0" w:color="auto"/>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b/>
                <w:bCs/>
                <w:sz w:val="20"/>
                <w:szCs w:val="20"/>
                <w:lang w:val="en-GB"/>
              </w:rPr>
            </w:pPr>
            <w:r w:rsidRPr="00B97064">
              <w:rPr>
                <w:rFonts w:cs="Arial"/>
                <w:b/>
                <w:bCs/>
                <w:sz w:val="20"/>
                <w:szCs w:val="20"/>
                <w:lang w:val="en-GB"/>
              </w:rPr>
              <w:t>99</w:t>
            </w:r>
          </w:p>
        </w:tc>
        <w:tc>
          <w:tcPr>
            <w:tcW w:w="3960" w:type="dxa"/>
            <w:tcBorders>
              <w:top w:val="nil"/>
              <w:left w:val="nil"/>
              <w:bottom w:val="single" w:sz="8" w:space="0" w:color="auto"/>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b/>
                <w:bCs/>
                <w:sz w:val="20"/>
                <w:szCs w:val="20"/>
                <w:lang w:val="en-GB"/>
              </w:rPr>
            </w:pPr>
            <w:r w:rsidRPr="00B97064">
              <w:rPr>
                <w:rFonts w:cs="Arial"/>
                <w:b/>
                <w:bCs/>
                <w:sz w:val="20"/>
                <w:szCs w:val="20"/>
                <w:lang w:val="en-GB"/>
              </w:rPr>
              <w:t>NEW SOURCES ENERGY N.V.</w:t>
            </w:r>
          </w:p>
        </w:tc>
        <w:tc>
          <w:tcPr>
            <w:tcW w:w="1600" w:type="dxa"/>
            <w:tcBorders>
              <w:top w:val="nil"/>
              <w:left w:val="nil"/>
              <w:bottom w:val="single" w:sz="8" w:space="0" w:color="auto"/>
              <w:right w:val="nil"/>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NL0009822014</w:t>
            </w:r>
          </w:p>
        </w:tc>
        <w:tc>
          <w:tcPr>
            <w:tcW w:w="1660" w:type="dxa"/>
            <w:tcBorders>
              <w:top w:val="nil"/>
              <w:left w:val="nil"/>
              <w:bottom w:val="single" w:sz="8" w:space="0" w:color="auto"/>
              <w:right w:val="nil"/>
            </w:tcBorders>
            <w:shd w:val="clear" w:color="000000" w:fill="FFFFFF"/>
            <w:noWrap/>
            <w:vAlign w:val="center"/>
            <w:hideMark/>
          </w:tcPr>
          <w:p w:rsidR="00431E7A" w:rsidRPr="00B97064" w:rsidRDefault="00431E7A" w:rsidP="00431E7A">
            <w:pPr>
              <w:widowControl/>
              <w:adjustRightInd/>
              <w:spacing w:line="240" w:lineRule="auto"/>
              <w:jc w:val="right"/>
              <w:textAlignment w:val="auto"/>
              <w:rPr>
                <w:rFonts w:cs="Arial"/>
                <w:sz w:val="20"/>
                <w:szCs w:val="20"/>
                <w:lang w:val="en-GB"/>
              </w:rPr>
            </w:pPr>
            <w:r w:rsidRPr="00B97064">
              <w:rPr>
                <w:rFonts w:cs="Arial"/>
                <w:sz w:val="20"/>
                <w:szCs w:val="20"/>
                <w:lang w:val="en-GB"/>
              </w:rPr>
              <w:t>0,38</w:t>
            </w:r>
          </w:p>
        </w:tc>
        <w:tc>
          <w:tcPr>
            <w:tcW w:w="1660" w:type="dxa"/>
            <w:tcBorders>
              <w:top w:val="nil"/>
              <w:left w:val="nil"/>
              <w:bottom w:val="single" w:sz="8" w:space="0" w:color="auto"/>
              <w:right w:val="single" w:sz="8" w:space="0" w:color="auto"/>
            </w:tcBorders>
            <w:shd w:val="clear" w:color="000000" w:fill="FFFFFF"/>
            <w:noWrap/>
            <w:vAlign w:val="center"/>
            <w:hideMark/>
          </w:tcPr>
          <w:p w:rsidR="00431E7A" w:rsidRPr="00B97064" w:rsidRDefault="00431E7A" w:rsidP="00431E7A">
            <w:pPr>
              <w:widowControl/>
              <w:adjustRightInd/>
              <w:spacing w:line="240" w:lineRule="auto"/>
              <w:jc w:val="left"/>
              <w:textAlignment w:val="auto"/>
              <w:rPr>
                <w:rFonts w:cs="Arial"/>
                <w:sz w:val="20"/>
                <w:szCs w:val="20"/>
                <w:lang w:val="en-GB"/>
              </w:rPr>
            </w:pPr>
            <w:r w:rsidRPr="00B97064">
              <w:rPr>
                <w:rFonts w:cs="Arial"/>
                <w:sz w:val="20"/>
                <w:szCs w:val="20"/>
                <w:lang w:val="en-GB"/>
              </w:rPr>
              <w:t> </w:t>
            </w:r>
          </w:p>
        </w:tc>
      </w:tr>
    </w:tbl>
    <w:p w:rsidR="00681E13" w:rsidRPr="00B97064" w:rsidRDefault="00681E13" w:rsidP="005E4731">
      <w:pPr>
        <w:rPr>
          <w:lang w:val="en-GB"/>
        </w:rPr>
      </w:pPr>
    </w:p>
    <w:p w:rsidR="00681E13" w:rsidRPr="00B97064" w:rsidRDefault="00681E13">
      <w:pPr>
        <w:widowControl/>
        <w:adjustRightInd/>
        <w:spacing w:line="240" w:lineRule="auto"/>
        <w:jc w:val="left"/>
        <w:textAlignment w:val="auto"/>
        <w:rPr>
          <w:lang w:val="en-GB"/>
        </w:rPr>
      </w:pPr>
      <w:r w:rsidRPr="00B97064">
        <w:rPr>
          <w:lang w:val="en-GB"/>
        </w:rPr>
        <w:br w:type="page"/>
      </w:r>
    </w:p>
    <w:p w:rsidR="007C7F32" w:rsidRPr="00B97064" w:rsidRDefault="005D4110" w:rsidP="00681E13">
      <w:pPr>
        <w:pStyle w:val="Heading2"/>
        <w:rPr>
          <w:lang w:val="en-GB"/>
        </w:rPr>
      </w:pPr>
      <w:bookmarkStart w:id="162" w:name="_Ref349484560"/>
      <w:bookmarkStart w:id="163" w:name="_Toc349585531"/>
      <w:r w:rsidRPr="00B97064">
        <w:rPr>
          <w:lang w:val="en-GB"/>
        </w:rPr>
        <w:lastRenderedPageBreak/>
        <w:t>10.3 Results Hau</w:t>
      </w:r>
      <w:r w:rsidR="00681E13" w:rsidRPr="00B97064">
        <w:rPr>
          <w:lang w:val="en-GB"/>
        </w:rPr>
        <w:t>sman test</w:t>
      </w:r>
      <w:bookmarkEnd w:id="162"/>
      <w:bookmarkEnd w:id="163"/>
    </w:p>
    <w:p w:rsidR="009458F6" w:rsidRPr="00B97064" w:rsidRDefault="009458F6" w:rsidP="009458F6">
      <w:pPr>
        <w:pStyle w:val="Heading3"/>
        <w:rPr>
          <w:lang w:val="en-GB"/>
        </w:rPr>
      </w:pPr>
      <w:bookmarkStart w:id="164" w:name="_Toc349585532"/>
      <w:r w:rsidRPr="00B97064">
        <w:rPr>
          <w:lang w:val="en-GB"/>
        </w:rPr>
        <w:t>10.3.1 Hausman test panel data analysis research part I</w:t>
      </w:r>
      <w:bookmarkEnd w:id="164"/>
    </w:p>
    <w:p w:rsidR="00681E13" w:rsidRPr="00B97064" w:rsidRDefault="00681E13" w:rsidP="00681E13">
      <w:pPr>
        <w:rPr>
          <w:lang w:val="en-GB"/>
        </w:rPr>
      </w:pPr>
      <w:r w:rsidRPr="00B97064">
        <w:rPr>
          <w:noProof/>
          <w:lang w:val="en-US" w:eastAsia="en-US"/>
        </w:rPr>
        <w:drawing>
          <wp:inline distT="0" distB="0" distL="0" distR="0">
            <wp:extent cx="4610100" cy="2181225"/>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8"/>
                    <a:srcRect l="5455" t="6464" r="4727"/>
                    <a:stretch>
                      <a:fillRect/>
                    </a:stretch>
                  </pic:blipFill>
                  <pic:spPr bwMode="auto">
                    <a:xfrm>
                      <a:off x="0" y="0"/>
                      <a:ext cx="4610100" cy="2181225"/>
                    </a:xfrm>
                    <a:prstGeom prst="rect">
                      <a:avLst/>
                    </a:prstGeom>
                    <a:noFill/>
                    <a:ln w="9525">
                      <a:noFill/>
                      <a:miter lim="800000"/>
                      <a:headEnd/>
                      <a:tailEnd/>
                    </a:ln>
                  </pic:spPr>
                </pic:pic>
              </a:graphicData>
            </a:graphic>
          </wp:inline>
        </w:drawing>
      </w:r>
    </w:p>
    <w:p w:rsidR="00681E13" w:rsidRPr="00B97064" w:rsidRDefault="00681E13" w:rsidP="00681E13">
      <w:pPr>
        <w:pStyle w:val="Caption"/>
        <w:rPr>
          <w:lang w:val="en-GB"/>
        </w:rPr>
      </w:pPr>
      <w:bookmarkStart w:id="165" w:name="_Toc349585562"/>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29</w:t>
      </w:r>
      <w:r w:rsidR="00E80C96" w:rsidRPr="00B97064">
        <w:rPr>
          <w:lang w:val="en-GB"/>
        </w:rPr>
        <w:fldChar w:fldCharType="end"/>
      </w:r>
      <w:r w:rsidRPr="00B97064">
        <w:rPr>
          <w:lang w:val="en-GB"/>
        </w:rPr>
        <w:t>: Hausman test research part I</w:t>
      </w:r>
      <w:bookmarkEnd w:id="165"/>
    </w:p>
    <w:p w:rsidR="00681E13" w:rsidRPr="00B97064" w:rsidRDefault="00681E13" w:rsidP="00681E13">
      <w:pPr>
        <w:rPr>
          <w:lang w:val="en-GB"/>
        </w:rPr>
      </w:pPr>
    </w:p>
    <w:p w:rsidR="009458F6" w:rsidRPr="00B97064" w:rsidRDefault="009458F6" w:rsidP="00681E13">
      <w:pPr>
        <w:rPr>
          <w:lang w:val="en-GB"/>
        </w:rPr>
      </w:pPr>
      <w:r w:rsidRPr="00B97064">
        <w:rPr>
          <w:lang w:val="en-GB"/>
        </w:rPr>
        <w:t xml:space="preserve">Since the Prob&gt;chi2 </w:t>
      </w:r>
      <w:r w:rsidRPr="00B97064">
        <w:rPr>
          <w:rFonts w:cs="Arial"/>
          <w:lang w:val="en-GB"/>
        </w:rPr>
        <w:t>≠</w:t>
      </w:r>
      <w:r w:rsidRPr="00B97064">
        <w:rPr>
          <w:lang w:val="en-GB"/>
        </w:rPr>
        <w:t xml:space="preserve"> &lt;0.05, the random effects model is the appropriate model.</w:t>
      </w:r>
    </w:p>
    <w:p w:rsidR="009458F6" w:rsidRPr="00B97064" w:rsidRDefault="009458F6" w:rsidP="00681E13">
      <w:pPr>
        <w:rPr>
          <w:lang w:val="en-GB"/>
        </w:rPr>
      </w:pPr>
    </w:p>
    <w:p w:rsidR="009458F6" w:rsidRPr="00B97064" w:rsidRDefault="009458F6" w:rsidP="009458F6">
      <w:pPr>
        <w:pStyle w:val="Heading3"/>
        <w:rPr>
          <w:lang w:val="en-GB"/>
        </w:rPr>
      </w:pPr>
      <w:bookmarkStart w:id="166" w:name="_Toc349585533"/>
      <w:r w:rsidRPr="00B97064">
        <w:rPr>
          <w:lang w:val="en-GB"/>
        </w:rPr>
        <w:t>10.3.2 Hausman test panel data analysis research part II</w:t>
      </w:r>
      <w:bookmarkEnd w:id="166"/>
    </w:p>
    <w:p w:rsidR="009458F6" w:rsidRPr="00B97064" w:rsidRDefault="009458F6" w:rsidP="009458F6">
      <w:pPr>
        <w:rPr>
          <w:lang w:val="en-GB"/>
        </w:rPr>
      </w:pPr>
      <w:r w:rsidRPr="00B97064">
        <w:rPr>
          <w:noProof/>
          <w:lang w:val="en-US" w:eastAsia="en-US"/>
        </w:rPr>
        <w:drawing>
          <wp:inline distT="0" distB="0" distL="0" distR="0">
            <wp:extent cx="4686300" cy="3086100"/>
            <wp:effectExtent l="1905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9"/>
                    <a:srcRect l="10051" t="10107" r="11205"/>
                    <a:stretch>
                      <a:fillRect/>
                    </a:stretch>
                  </pic:blipFill>
                  <pic:spPr bwMode="auto">
                    <a:xfrm>
                      <a:off x="0" y="0"/>
                      <a:ext cx="4686300" cy="3086100"/>
                    </a:xfrm>
                    <a:prstGeom prst="rect">
                      <a:avLst/>
                    </a:prstGeom>
                    <a:noFill/>
                    <a:ln w="9525">
                      <a:noFill/>
                      <a:miter lim="800000"/>
                      <a:headEnd/>
                      <a:tailEnd/>
                    </a:ln>
                  </pic:spPr>
                </pic:pic>
              </a:graphicData>
            </a:graphic>
          </wp:inline>
        </w:drawing>
      </w:r>
    </w:p>
    <w:p w:rsidR="009458F6" w:rsidRPr="00B97064" w:rsidRDefault="009458F6" w:rsidP="009458F6">
      <w:pPr>
        <w:pStyle w:val="Caption"/>
        <w:rPr>
          <w:lang w:val="en-GB"/>
        </w:rPr>
      </w:pPr>
      <w:bookmarkStart w:id="167" w:name="_Toc349585563"/>
      <w:r w:rsidRPr="00B97064">
        <w:rPr>
          <w:lang w:val="en-GB"/>
        </w:rPr>
        <w:t xml:space="preserve">Figure </w:t>
      </w:r>
      <w:r w:rsidR="00E80C96" w:rsidRPr="00B97064">
        <w:rPr>
          <w:lang w:val="en-GB"/>
        </w:rPr>
        <w:fldChar w:fldCharType="begin"/>
      </w:r>
      <w:r w:rsidRPr="00B97064">
        <w:rPr>
          <w:lang w:val="en-GB"/>
        </w:rPr>
        <w:instrText xml:space="preserve"> SEQ Figure \* ARABIC </w:instrText>
      </w:r>
      <w:r w:rsidR="00E80C96" w:rsidRPr="00B97064">
        <w:rPr>
          <w:lang w:val="en-GB"/>
        </w:rPr>
        <w:fldChar w:fldCharType="separate"/>
      </w:r>
      <w:r w:rsidR="005A16AC" w:rsidRPr="00B97064">
        <w:rPr>
          <w:noProof/>
          <w:lang w:val="en-GB"/>
        </w:rPr>
        <w:t>30</w:t>
      </w:r>
      <w:r w:rsidR="00E80C96" w:rsidRPr="00B97064">
        <w:rPr>
          <w:lang w:val="en-GB"/>
        </w:rPr>
        <w:fldChar w:fldCharType="end"/>
      </w:r>
      <w:r w:rsidRPr="00B97064">
        <w:rPr>
          <w:lang w:val="en-GB"/>
        </w:rPr>
        <w:t>: Hausman test research part II</w:t>
      </w:r>
      <w:bookmarkEnd w:id="167"/>
    </w:p>
    <w:p w:rsidR="009458F6" w:rsidRPr="00B97064" w:rsidRDefault="009458F6" w:rsidP="009458F6">
      <w:pPr>
        <w:rPr>
          <w:lang w:val="en-GB"/>
        </w:rPr>
      </w:pPr>
    </w:p>
    <w:p w:rsidR="009458F6" w:rsidRPr="00B97064" w:rsidRDefault="009458F6" w:rsidP="009458F6">
      <w:pPr>
        <w:rPr>
          <w:lang w:val="en-GB"/>
        </w:rPr>
      </w:pPr>
      <w:r w:rsidRPr="00B97064">
        <w:rPr>
          <w:lang w:val="en-GB"/>
        </w:rPr>
        <w:t xml:space="preserve">Since again the Prob&gt;chi2 </w:t>
      </w:r>
      <w:r w:rsidRPr="00B97064">
        <w:rPr>
          <w:rFonts w:cs="Arial"/>
          <w:lang w:val="en-GB"/>
        </w:rPr>
        <w:t>≠</w:t>
      </w:r>
      <w:r w:rsidRPr="00B97064">
        <w:rPr>
          <w:lang w:val="en-GB"/>
        </w:rPr>
        <w:t xml:space="preserve"> &lt;0.05, the random effects model is the appropriate model.</w:t>
      </w:r>
    </w:p>
    <w:sectPr w:rsidR="009458F6" w:rsidRPr="00B97064" w:rsidSect="00A35F4D">
      <w:type w:val="continuous"/>
      <w:pgSz w:w="11905" w:h="16837"/>
      <w:pgMar w:top="1418" w:right="1418" w:bottom="1418" w:left="1418" w:header="709" w:footer="709" w:gutter="0"/>
      <w:cols w:space="708"/>
      <w:noEndnote/>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4B9A" w:rsidRDefault="00904B9A">
      <w:r>
        <w:separator/>
      </w:r>
    </w:p>
  </w:endnote>
  <w:endnote w:type="continuationSeparator" w:id="0">
    <w:p w:rsidR="00904B9A" w:rsidRDefault="00904B9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KLJFC+Arial,Bold">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Verdana">
    <w:panose1 w:val="020B0604030504040204"/>
    <w:charset w:val="00"/>
    <w:family w:val="swiss"/>
    <w:pitch w:val="variable"/>
    <w:sig w:usb0="A10006FF" w:usb1="4000205B" w:usb2="00000010" w:usb3="00000000" w:csb0="0000019F" w:csb1="00000000"/>
  </w:font>
  <w:font w:name="AdvTimes">
    <w:panose1 w:val="00000000000000000000"/>
    <w:charset w:val="00"/>
    <w:family w:val="auto"/>
    <w:notTrueType/>
    <w:pitch w:val="default"/>
    <w:sig w:usb0="00000003" w:usb1="00000000" w:usb2="00000000" w:usb3="00000000" w:csb0="00000001" w:csb1="00000000"/>
  </w:font>
  <w:font w:name="AdvTT5235d5a9">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2EEB" w:rsidRDefault="00E80C96" w:rsidP="00C64098">
    <w:pPr>
      <w:pStyle w:val="Footer"/>
      <w:framePr w:wrap="around" w:vAnchor="text" w:hAnchor="margin" w:xAlign="right" w:y="1"/>
      <w:rPr>
        <w:rStyle w:val="PageNumber"/>
      </w:rPr>
    </w:pPr>
    <w:r>
      <w:rPr>
        <w:rStyle w:val="PageNumber"/>
      </w:rPr>
      <w:fldChar w:fldCharType="begin"/>
    </w:r>
    <w:r w:rsidR="00222EEB">
      <w:rPr>
        <w:rStyle w:val="PageNumber"/>
      </w:rPr>
      <w:instrText xml:space="preserve">PAGE  </w:instrText>
    </w:r>
    <w:r>
      <w:rPr>
        <w:rStyle w:val="PageNumber"/>
      </w:rPr>
      <w:fldChar w:fldCharType="end"/>
    </w:r>
  </w:p>
  <w:p w:rsidR="00222EEB" w:rsidRDefault="00222EEB" w:rsidP="007C120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2EEB" w:rsidRDefault="00E80C96" w:rsidP="00C64098">
    <w:pPr>
      <w:pStyle w:val="Footer"/>
      <w:framePr w:wrap="around" w:vAnchor="text" w:hAnchor="margin" w:xAlign="right" w:y="1"/>
      <w:rPr>
        <w:rStyle w:val="PageNumber"/>
      </w:rPr>
    </w:pPr>
    <w:r>
      <w:rPr>
        <w:rStyle w:val="PageNumber"/>
      </w:rPr>
      <w:fldChar w:fldCharType="begin"/>
    </w:r>
    <w:r w:rsidR="00222EEB">
      <w:rPr>
        <w:rStyle w:val="PageNumber"/>
      </w:rPr>
      <w:instrText xml:space="preserve">PAGE  </w:instrText>
    </w:r>
    <w:r>
      <w:rPr>
        <w:rStyle w:val="PageNumber"/>
      </w:rPr>
      <w:fldChar w:fldCharType="separate"/>
    </w:r>
    <w:r w:rsidR="007F674E">
      <w:rPr>
        <w:rStyle w:val="PageNumber"/>
        <w:noProof/>
      </w:rPr>
      <w:t>47</w:t>
    </w:r>
    <w:r>
      <w:rPr>
        <w:rStyle w:val="PageNumber"/>
      </w:rPr>
      <w:fldChar w:fldCharType="end"/>
    </w:r>
  </w:p>
  <w:p w:rsidR="00222EEB" w:rsidRDefault="00222EEB" w:rsidP="007C120F">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4B9A" w:rsidRDefault="00904B9A">
      <w:r>
        <w:separator/>
      </w:r>
    </w:p>
  </w:footnote>
  <w:footnote w:type="continuationSeparator" w:id="0">
    <w:p w:rsidR="00904B9A" w:rsidRDefault="00904B9A">
      <w:r>
        <w:continuationSeparator/>
      </w:r>
    </w:p>
  </w:footnote>
  <w:footnote w:id="1">
    <w:p w:rsidR="00222EEB" w:rsidRPr="00B973E0" w:rsidRDefault="00222EEB">
      <w:pPr>
        <w:pStyle w:val="FootnoteText"/>
        <w:rPr>
          <w:lang w:val="en-US"/>
        </w:rPr>
      </w:pPr>
      <w:r>
        <w:rPr>
          <w:rStyle w:val="FootnoteReference"/>
        </w:rPr>
        <w:footnoteRef/>
      </w:r>
      <w:r w:rsidRPr="00D36673">
        <w:rPr>
          <w:lang w:val="en-GB"/>
        </w:rPr>
        <w:t xml:space="preserve"> </w:t>
      </w:r>
      <w:r w:rsidRPr="00D36673">
        <w:rPr>
          <w:rFonts w:ascii="Arial" w:hAnsi="Arial" w:cs="Arial"/>
          <w:lang w:val="en-GB"/>
        </w:rPr>
        <w:t>A SPE is a vehicle</w:t>
      </w:r>
      <w:r>
        <w:rPr>
          <w:rFonts w:ascii="Arial" w:hAnsi="Arial" w:cs="Arial"/>
          <w:lang w:val="en-GB"/>
        </w:rPr>
        <w:t xml:space="preserve"> which is established by a sponsor. The sponsor has no capital interest in the SPE, but has the ability to exercise significant influence over the SPE in making financial/operational decisions.</w:t>
      </w:r>
    </w:p>
  </w:footnote>
  <w:footnote w:id="2">
    <w:p w:rsidR="00222EEB" w:rsidRPr="00B973E0" w:rsidRDefault="00222EEB">
      <w:pPr>
        <w:pStyle w:val="FootnoteText"/>
        <w:rPr>
          <w:lang w:val="en-US"/>
        </w:rPr>
      </w:pPr>
      <w:r>
        <w:rPr>
          <w:rStyle w:val="FootnoteReference"/>
        </w:rPr>
        <w:footnoteRef/>
      </w:r>
      <w:r w:rsidRPr="00EA299A">
        <w:rPr>
          <w:lang w:val="en-GB"/>
        </w:rPr>
        <w:t xml:space="preserve"> </w:t>
      </w:r>
      <w:r w:rsidRPr="00EA299A">
        <w:rPr>
          <w:rFonts w:ascii="Arial" w:hAnsi="Arial" w:cs="Arial"/>
          <w:lang w:val="en-GB"/>
        </w:rPr>
        <w:t>The co</w:t>
      </w:r>
      <w:r>
        <w:rPr>
          <w:rFonts w:ascii="Arial" w:hAnsi="Arial" w:cs="Arial"/>
          <w:lang w:val="en-GB"/>
        </w:rPr>
        <w:t>unterpart of principles-</w:t>
      </w:r>
      <w:r w:rsidRPr="00EA299A">
        <w:rPr>
          <w:rFonts w:ascii="Arial" w:hAnsi="Arial" w:cs="Arial"/>
          <w:lang w:val="en-GB"/>
        </w:rPr>
        <w:t>based regulation</w:t>
      </w:r>
      <w:r>
        <w:rPr>
          <w:rFonts w:ascii="Arial" w:hAnsi="Arial" w:cs="Arial"/>
          <w:lang w:val="en-GB"/>
        </w:rPr>
        <w:t xml:space="preserve"> / standards is rules-</w:t>
      </w:r>
      <w:r w:rsidRPr="00EA299A">
        <w:rPr>
          <w:rFonts w:ascii="Arial" w:hAnsi="Arial" w:cs="Arial"/>
          <w:lang w:val="en-GB"/>
        </w:rPr>
        <w:t>based standards; these standards are more extensive a</w:t>
      </w:r>
      <w:r>
        <w:rPr>
          <w:rFonts w:ascii="Arial" w:hAnsi="Arial" w:cs="Arial"/>
          <w:lang w:val="en-GB"/>
        </w:rPr>
        <w:t>nd detailed. Preparers of rules-</w:t>
      </w:r>
      <w:r w:rsidRPr="00EA299A">
        <w:rPr>
          <w:rFonts w:ascii="Arial" w:hAnsi="Arial" w:cs="Arial"/>
          <w:lang w:val="en-GB"/>
        </w:rPr>
        <w:t>based standards try to cover all kinds of examples, as well as exceptional cases. This results in very extensive</w:t>
      </w:r>
      <w:r>
        <w:rPr>
          <w:rFonts w:ascii="Arial" w:hAnsi="Arial" w:cs="Arial"/>
          <w:lang w:val="en-GB"/>
        </w:rPr>
        <w:t xml:space="preserve"> standards. An example of rules-</w:t>
      </w:r>
      <w:r w:rsidRPr="00EA299A">
        <w:rPr>
          <w:rFonts w:ascii="Arial" w:hAnsi="Arial" w:cs="Arial"/>
          <w:lang w:val="en-GB"/>
        </w:rPr>
        <w:t>based standards is US GAAP. IFRS is c</w:t>
      </w:r>
      <w:r>
        <w:rPr>
          <w:rFonts w:ascii="Arial" w:hAnsi="Arial" w:cs="Arial"/>
          <w:lang w:val="en-GB"/>
        </w:rPr>
        <w:t>onsidered to be more principles-</w:t>
      </w:r>
      <w:r w:rsidRPr="00EA299A">
        <w:rPr>
          <w:rFonts w:ascii="Arial" w:hAnsi="Arial" w:cs="Arial"/>
          <w:lang w:val="en-GB"/>
        </w:rPr>
        <w:t>based. However, IFRS also consist of detailed rules, so Van der Tas</w:t>
      </w:r>
      <w:r>
        <w:rPr>
          <w:rFonts w:ascii="Arial" w:hAnsi="Arial" w:cs="Arial"/>
          <w:lang w:val="en-GB"/>
        </w:rPr>
        <w:t xml:space="preserve"> (2007) considers IFRS as rules-</w:t>
      </w:r>
      <w:r w:rsidRPr="00EA299A">
        <w:rPr>
          <w:rFonts w:ascii="Arial" w:hAnsi="Arial" w:cs="Arial"/>
          <w:lang w:val="en-GB"/>
        </w:rPr>
        <w:t>based.</w:t>
      </w:r>
    </w:p>
  </w:footnote>
  <w:footnote w:id="3">
    <w:p w:rsidR="00222EEB" w:rsidRPr="00B973E0" w:rsidRDefault="00222EEB" w:rsidP="001F3264">
      <w:pPr>
        <w:pStyle w:val="FootnoteText"/>
        <w:rPr>
          <w:lang w:val="en-US"/>
        </w:rPr>
      </w:pPr>
      <w:r w:rsidRPr="00904370">
        <w:rPr>
          <w:rStyle w:val="FootnoteReference"/>
          <w:rFonts w:ascii="Arial" w:hAnsi="Arial" w:cs="Arial"/>
        </w:rPr>
        <w:footnoteRef/>
      </w:r>
      <w:r w:rsidRPr="00904370">
        <w:rPr>
          <w:rFonts w:ascii="Arial" w:hAnsi="Arial" w:cs="Arial"/>
          <w:lang w:val="en-GB"/>
        </w:rPr>
        <w:t xml:space="preserve"> The Dutch civil law system is based upon the French civil law system, derived from the ‘code civil’ which was established under Napoleon.</w:t>
      </w:r>
    </w:p>
  </w:footnote>
  <w:footnote w:id="4">
    <w:p w:rsidR="00222EEB" w:rsidRPr="00706F7F" w:rsidRDefault="00222EEB">
      <w:pPr>
        <w:pStyle w:val="FootnoteText"/>
        <w:rPr>
          <w:lang w:val="en-US"/>
        </w:rPr>
      </w:pPr>
      <w:r w:rsidRPr="00706F7F">
        <w:rPr>
          <w:rStyle w:val="FootnoteReference"/>
          <w:rFonts w:ascii="Arial" w:hAnsi="Arial" w:cs="Arial"/>
        </w:rPr>
        <w:footnoteRef/>
      </w:r>
      <w:r w:rsidRPr="00706F7F">
        <w:rPr>
          <w:lang w:val="en-GB"/>
        </w:rPr>
        <w:t xml:space="preserve"> </w:t>
      </w:r>
      <w:r w:rsidRPr="00706F7F">
        <w:rPr>
          <w:rFonts w:ascii="Arial" w:hAnsi="Arial" w:cs="Arial"/>
          <w:lang w:val="en-GB"/>
        </w:rPr>
        <w:t>final sample 98 companies</w:t>
      </w:r>
    </w:p>
  </w:footnote>
  <w:footnote w:id="5">
    <w:p w:rsidR="00222EEB" w:rsidRPr="00B973E0" w:rsidRDefault="00222EEB" w:rsidP="00897BB4">
      <w:pPr>
        <w:pStyle w:val="FootnoteText"/>
        <w:rPr>
          <w:lang w:val="en-US"/>
        </w:rPr>
      </w:pPr>
      <w:r w:rsidRPr="00904370">
        <w:rPr>
          <w:rStyle w:val="FootnoteReference"/>
          <w:rFonts w:ascii="Arial" w:hAnsi="Arial" w:cs="Arial"/>
        </w:rPr>
        <w:footnoteRef/>
      </w:r>
      <w:r w:rsidRPr="00904370">
        <w:rPr>
          <w:rFonts w:ascii="Arial" w:hAnsi="Arial" w:cs="Arial"/>
          <w:lang w:val="en-GB"/>
        </w:rPr>
        <w:t xml:space="preserve"> www.europa.eu </w:t>
      </w:r>
      <w:r>
        <w:rPr>
          <w:rFonts w:ascii="Arial" w:hAnsi="Arial" w:cs="Arial"/>
          <w:lang w:val="en-GB"/>
        </w:rPr>
        <w:t>(consulted on June 5th 2012).</w:t>
      </w:r>
    </w:p>
  </w:footnote>
  <w:footnote w:id="6">
    <w:p w:rsidR="00222EEB" w:rsidRPr="00706F7F" w:rsidRDefault="00222EEB" w:rsidP="003F42CC">
      <w:pPr>
        <w:pStyle w:val="FootnoteText"/>
        <w:rPr>
          <w:lang w:val="en-US"/>
        </w:rPr>
      </w:pPr>
      <w:r w:rsidRPr="00706F7F">
        <w:rPr>
          <w:rStyle w:val="FootnoteReference"/>
          <w:rFonts w:ascii="Arial" w:hAnsi="Arial" w:cs="Arial"/>
        </w:rPr>
        <w:footnoteRef/>
      </w:r>
      <w:r w:rsidRPr="00706F7F">
        <w:rPr>
          <w:rFonts w:ascii="Arial" w:hAnsi="Arial" w:cs="Arial"/>
          <w:lang w:val="en-GB"/>
        </w:rPr>
        <w:t xml:space="preserve"> BV or NV</w:t>
      </w:r>
    </w:p>
  </w:footnote>
  <w:footnote w:id="7">
    <w:p w:rsidR="00222EEB" w:rsidRPr="00706F7F" w:rsidRDefault="00222EEB">
      <w:pPr>
        <w:pStyle w:val="FootnoteText"/>
        <w:rPr>
          <w:lang w:val="en-US"/>
        </w:rPr>
      </w:pPr>
      <w:r w:rsidRPr="00706F7F">
        <w:rPr>
          <w:rStyle w:val="FootnoteReference"/>
          <w:rFonts w:ascii="Arial" w:hAnsi="Arial" w:cs="Arial"/>
        </w:rPr>
        <w:footnoteRef/>
      </w:r>
      <w:r w:rsidRPr="00706F7F">
        <w:rPr>
          <w:lang w:val="en-GB"/>
        </w:rPr>
        <w:t xml:space="preserve"> </w:t>
      </w:r>
      <w:r w:rsidRPr="00706F7F">
        <w:rPr>
          <w:rFonts w:ascii="Arial" w:hAnsi="Arial" w:cs="Arial"/>
          <w:lang w:val="en-GB"/>
        </w:rPr>
        <w:t xml:space="preserve">Exception: large Dutch companies, which are subjected to ‘het structuurregime’ </w:t>
      </w:r>
    </w:p>
  </w:footnote>
  <w:footnote w:id="8">
    <w:p w:rsidR="00222EEB" w:rsidRPr="00B973E0" w:rsidRDefault="00222EEB">
      <w:pPr>
        <w:pStyle w:val="FootnoteText"/>
        <w:rPr>
          <w:lang w:val="en-US"/>
        </w:rPr>
      </w:pPr>
      <w:r w:rsidRPr="00706F7F">
        <w:rPr>
          <w:rStyle w:val="FootnoteReference"/>
          <w:rFonts w:ascii="Arial" w:hAnsi="Arial" w:cs="Arial"/>
        </w:rPr>
        <w:footnoteRef/>
      </w:r>
      <w:r w:rsidRPr="00706F7F">
        <w:rPr>
          <w:rFonts w:ascii="Arial" w:hAnsi="Arial" w:cs="Arial"/>
          <w:lang w:val="en-GB"/>
        </w:rPr>
        <w:t xml:space="preserve"> A NV or BV should meet three consecutive years two of the three criteria (subject to some exceptions): 16.000.000 issued share capital, a mandatory works council and at least 100 employees working in the Netherlands at the company or associated companies (art.2:153 paragraph 2 conjunction art. 2:263 paragraph 2 Dutch Civil Code).</w:t>
      </w:r>
    </w:p>
  </w:footnote>
  <w:footnote w:id="9">
    <w:p w:rsidR="00222EEB" w:rsidRPr="00706F7F" w:rsidRDefault="00222EEB">
      <w:pPr>
        <w:pStyle w:val="FootnoteText"/>
      </w:pPr>
      <w:r w:rsidRPr="00706F7F">
        <w:rPr>
          <w:rStyle w:val="FootnoteReference"/>
          <w:rFonts w:ascii="Arial" w:hAnsi="Arial" w:cs="Arial"/>
        </w:rPr>
        <w:footnoteRef/>
      </w:r>
      <w:r w:rsidRPr="00706F7F">
        <w:rPr>
          <w:rFonts w:ascii="Arial" w:hAnsi="Arial" w:cs="Arial"/>
        </w:rPr>
        <w:t xml:space="preserve"> Royal Decree of October 4</w:t>
      </w:r>
      <w:r w:rsidRPr="00706F7F">
        <w:rPr>
          <w:rFonts w:ascii="Arial" w:hAnsi="Arial" w:cs="Arial"/>
          <w:vertAlign w:val="superscript"/>
        </w:rPr>
        <w:t>th</w:t>
      </w:r>
      <w:r w:rsidRPr="00706F7F">
        <w:rPr>
          <w:rFonts w:ascii="Arial" w:hAnsi="Arial" w:cs="Arial"/>
        </w:rPr>
        <w:t xml:space="preserve"> 2012, </w:t>
      </w:r>
      <w:r w:rsidRPr="00706F7F">
        <w:rPr>
          <w:rFonts w:ascii="Arial" w:hAnsi="Arial" w:cs="Arial"/>
          <w:i/>
        </w:rPr>
        <w:t xml:space="preserve">Staatsblad van het Koninkrijk der Nederlanden, </w:t>
      </w:r>
      <w:r w:rsidRPr="00706F7F">
        <w:rPr>
          <w:rFonts w:ascii="Arial" w:hAnsi="Arial" w:cs="Arial"/>
        </w:rPr>
        <w:t>Jaargang 2012, 455</w:t>
      </w:r>
    </w:p>
  </w:footnote>
  <w:footnote w:id="10">
    <w:p w:rsidR="00222EEB" w:rsidRPr="00A85AAF" w:rsidRDefault="00222EEB">
      <w:pPr>
        <w:pStyle w:val="FootnoteText"/>
        <w:rPr>
          <w:lang w:val="en-GB"/>
        </w:rPr>
      </w:pPr>
      <w:r w:rsidRPr="00A85AAF">
        <w:rPr>
          <w:rStyle w:val="FootnoteReference"/>
          <w:rFonts w:ascii="Arial" w:hAnsi="Arial" w:cs="Arial"/>
          <w:lang w:val="en-GB"/>
        </w:rPr>
        <w:footnoteRef/>
      </w:r>
      <w:r w:rsidRPr="00A85AAF">
        <w:rPr>
          <w:rFonts w:ascii="Arial" w:hAnsi="Arial" w:cs="Arial"/>
          <w:lang w:val="en-GB"/>
        </w:rPr>
        <w:t xml:space="preserve"> Constructions which frustrate shareholders’ control.</w:t>
      </w:r>
    </w:p>
  </w:footnote>
  <w:footnote w:id="11">
    <w:p w:rsidR="00222EEB" w:rsidRPr="00B973E0" w:rsidRDefault="00222EEB" w:rsidP="00434A47">
      <w:pPr>
        <w:pStyle w:val="FootnoteText"/>
        <w:rPr>
          <w:lang w:val="en-US"/>
        </w:rPr>
      </w:pPr>
      <w:r w:rsidRPr="00D103A8">
        <w:rPr>
          <w:rStyle w:val="FootnoteReference"/>
          <w:rFonts w:ascii="Arial" w:hAnsi="Arial" w:cs="Arial"/>
        </w:rPr>
        <w:footnoteRef/>
      </w:r>
      <w:r w:rsidRPr="00D103A8">
        <w:rPr>
          <w:rFonts w:ascii="Arial" w:hAnsi="Arial" w:cs="Arial"/>
          <w:lang w:val="en-GB"/>
        </w:rPr>
        <w:t xml:space="preserve"> Those </w:t>
      </w:r>
      <w:r>
        <w:rPr>
          <w:rFonts w:ascii="Arial" w:hAnsi="Arial" w:cs="Arial"/>
          <w:lang w:val="en-GB"/>
        </w:rPr>
        <w:t>shares may not be traded on a U</w:t>
      </w:r>
      <w:r w:rsidRPr="00D103A8">
        <w:rPr>
          <w:rFonts w:ascii="Arial" w:hAnsi="Arial" w:cs="Arial"/>
          <w:lang w:val="en-GB"/>
        </w:rPr>
        <w:t>S stock exchange.</w:t>
      </w:r>
    </w:p>
  </w:footnote>
  <w:footnote w:id="12">
    <w:p w:rsidR="00222EEB" w:rsidRPr="00B973E0" w:rsidRDefault="00222EEB">
      <w:pPr>
        <w:pStyle w:val="FootnoteText"/>
        <w:rPr>
          <w:lang w:val="en-US"/>
        </w:rPr>
      </w:pPr>
      <w:r w:rsidRPr="008E6B7B">
        <w:rPr>
          <w:rStyle w:val="FootnoteReference"/>
          <w:rFonts w:ascii="Arial" w:hAnsi="Arial" w:cs="Arial"/>
        </w:rPr>
        <w:footnoteRef/>
      </w:r>
      <w:r w:rsidRPr="00DD5E35">
        <w:rPr>
          <w:rFonts w:ascii="Arial" w:hAnsi="Arial" w:cs="Arial"/>
          <w:lang w:val="en-GB"/>
        </w:rPr>
        <w:t xml:space="preserve"> </w:t>
      </w:r>
      <w:r w:rsidRPr="008E6B7B">
        <w:rPr>
          <w:rFonts w:ascii="Arial" w:hAnsi="Arial" w:cs="Arial"/>
          <w:lang w:val="en-US"/>
        </w:rPr>
        <w:t>www.oecd.org (consulted on June 22, 2012)</w:t>
      </w:r>
    </w:p>
  </w:footnote>
  <w:footnote w:id="13">
    <w:p w:rsidR="00222EEB" w:rsidRPr="00B973E0" w:rsidRDefault="00222EEB" w:rsidP="0040556D">
      <w:pPr>
        <w:pStyle w:val="FootnoteText"/>
        <w:rPr>
          <w:lang w:val="en-US"/>
        </w:rPr>
      </w:pPr>
      <w:r w:rsidRPr="006B379B">
        <w:rPr>
          <w:rStyle w:val="FootnoteReference"/>
          <w:rFonts w:ascii="Arial" w:hAnsi="Arial" w:cs="Arial"/>
        </w:rPr>
        <w:footnoteRef/>
      </w:r>
      <w:r w:rsidRPr="002C417F">
        <w:rPr>
          <w:rFonts w:ascii="Arial" w:hAnsi="Arial" w:cs="Arial"/>
          <w:lang w:val="en-US"/>
        </w:rPr>
        <w:t xml:space="preserve"> </w:t>
      </w:r>
      <w:r w:rsidRPr="006B379B">
        <w:rPr>
          <w:rFonts w:ascii="Arial" w:hAnsi="Arial" w:cs="Arial"/>
          <w:lang w:val="en-US"/>
        </w:rPr>
        <w:t>Chinese financial magazine</w:t>
      </w:r>
    </w:p>
  </w:footnote>
  <w:footnote w:id="14">
    <w:p w:rsidR="00222EEB" w:rsidRPr="00B973E0" w:rsidRDefault="00222EEB" w:rsidP="00DB5C18">
      <w:pPr>
        <w:pStyle w:val="FootnoteText"/>
        <w:rPr>
          <w:lang w:val="en-US"/>
        </w:rPr>
      </w:pPr>
      <w:r w:rsidRPr="00901586">
        <w:rPr>
          <w:rStyle w:val="FootnoteReference"/>
          <w:rFonts w:ascii="Arial" w:hAnsi="Arial" w:cs="Arial"/>
        </w:rPr>
        <w:footnoteRef/>
      </w:r>
      <w:r w:rsidRPr="00851B09">
        <w:rPr>
          <w:rFonts w:ascii="Arial" w:hAnsi="Arial" w:cs="Arial"/>
          <w:lang w:val="en-GB"/>
        </w:rPr>
        <w:t xml:space="preserve"> </w:t>
      </w:r>
      <w:r w:rsidRPr="00D61E79">
        <w:rPr>
          <w:rFonts w:ascii="Arial" w:hAnsi="Arial" w:cs="Arial"/>
          <w:lang w:val="en-US"/>
        </w:rPr>
        <w:t>Th</w:t>
      </w:r>
      <w:r>
        <w:rPr>
          <w:rFonts w:ascii="Arial" w:hAnsi="Arial" w:cs="Arial"/>
          <w:lang w:val="en-US"/>
        </w:rPr>
        <w:t>ose</w:t>
      </w:r>
      <w:r w:rsidRPr="00D61E79">
        <w:rPr>
          <w:rFonts w:ascii="Arial" w:hAnsi="Arial" w:cs="Arial"/>
          <w:lang w:val="en-US"/>
        </w:rPr>
        <w:t xml:space="preserve"> Asian countries were: Hong Kong, Indonesia, Japan, Korea, Malaysia, Philippines, Singapore, Taiwan and Thailand</w:t>
      </w:r>
      <w:r>
        <w:rPr>
          <w:rFonts w:ascii="Arial" w:hAnsi="Arial" w:cs="Arial"/>
          <w:lang w:val="en-US"/>
        </w:rPr>
        <w:t>.</w:t>
      </w:r>
    </w:p>
  </w:footnote>
  <w:footnote w:id="15">
    <w:p w:rsidR="00222EEB" w:rsidRPr="00B973E0" w:rsidRDefault="00222EEB">
      <w:pPr>
        <w:pStyle w:val="FootnoteText"/>
        <w:rPr>
          <w:lang w:val="en-US"/>
        </w:rPr>
      </w:pPr>
      <w:r w:rsidRPr="004D5D67">
        <w:rPr>
          <w:rStyle w:val="FootnoteReference"/>
          <w:rFonts w:ascii="Arial" w:hAnsi="Arial" w:cs="Arial"/>
        </w:rPr>
        <w:footnoteRef/>
      </w:r>
      <w:r w:rsidRPr="004D5D67">
        <w:rPr>
          <w:rFonts w:ascii="Arial" w:hAnsi="Arial" w:cs="Arial"/>
          <w:lang w:val="en-GB"/>
        </w:rPr>
        <w:t xml:space="preserve"> Since RPTs are </w:t>
      </w:r>
      <w:r>
        <w:rPr>
          <w:rFonts w:ascii="Arial" w:hAnsi="Arial" w:cs="Arial"/>
          <w:lang w:val="en-GB"/>
        </w:rPr>
        <w:t>also used to</w:t>
      </w:r>
      <w:r w:rsidRPr="004D5D67">
        <w:rPr>
          <w:rFonts w:ascii="Arial" w:hAnsi="Arial" w:cs="Arial"/>
          <w:lang w:val="en-GB"/>
        </w:rPr>
        <w:t xml:space="preserve"> </w:t>
      </w:r>
      <w:r>
        <w:rPr>
          <w:rFonts w:ascii="Arial" w:hAnsi="Arial" w:cs="Arial"/>
          <w:lang w:val="en-GB"/>
        </w:rPr>
        <w:t>minimize</w:t>
      </w:r>
      <w:r w:rsidRPr="004D5D67">
        <w:rPr>
          <w:rFonts w:ascii="Arial" w:hAnsi="Arial" w:cs="Arial"/>
          <w:lang w:val="en-GB"/>
        </w:rPr>
        <w:t xml:space="preserve"> the tax burden (mainly in case of cross border RPTs</w:t>
      </w:r>
      <w:r>
        <w:rPr>
          <w:rFonts w:ascii="Arial" w:hAnsi="Arial" w:cs="Arial"/>
          <w:lang w:val="en-GB"/>
        </w:rPr>
        <w:t xml:space="preserve">, by manipulating the transfer price), </w:t>
      </w:r>
      <w:r w:rsidRPr="004D5D67">
        <w:rPr>
          <w:rFonts w:ascii="Arial" w:hAnsi="Arial" w:cs="Arial"/>
          <w:lang w:val="en-GB"/>
        </w:rPr>
        <w:t>some Tax ris</w:t>
      </w:r>
      <w:r>
        <w:rPr>
          <w:rFonts w:ascii="Arial" w:hAnsi="Arial" w:cs="Arial"/>
          <w:lang w:val="en-GB"/>
        </w:rPr>
        <w:t>ks may arise. Tax authorities of the different countries may rectify the determined transfer price, which may result in double taxation. Those risks may be material risks for the firm. In that case, those risks must be specified in the annual report.</w:t>
      </w:r>
    </w:p>
  </w:footnote>
  <w:footnote w:id="16">
    <w:p w:rsidR="00222EEB" w:rsidRPr="00B973E0" w:rsidRDefault="00222EEB">
      <w:pPr>
        <w:pStyle w:val="FootnoteText"/>
        <w:rPr>
          <w:lang w:val="en-US"/>
        </w:rPr>
      </w:pPr>
      <w:r w:rsidRPr="00165808">
        <w:rPr>
          <w:rStyle w:val="FootnoteReference"/>
          <w:rFonts w:ascii="Arial" w:hAnsi="Arial" w:cs="Arial"/>
          <w:lang w:val="en-GB"/>
        </w:rPr>
        <w:footnoteRef/>
      </w:r>
      <w:r>
        <w:rPr>
          <w:rFonts w:ascii="Arial" w:hAnsi="Arial" w:cs="Arial"/>
          <w:lang w:val="en-GB"/>
        </w:rPr>
        <w:t xml:space="preserve"> </w:t>
      </w:r>
      <w:r w:rsidRPr="00165808">
        <w:rPr>
          <w:rFonts w:ascii="Arial" w:hAnsi="Arial" w:cs="Arial"/>
          <w:lang w:val="en-GB"/>
        </w:rPr>
        <w:t>Paragraph  III.5 Dutch corporate governance code 2009 (Code Frijns</w:t>
      </w:r>
      <w:r>
        <w:rPr>
          <w:rFonts w:ascii="Arial" w:hAnsi="Arial" w:cs="Arial"/>
          <w:lang w:val="en-GB"/>
        </w:rPr>
        <w:t xml:space="preserve"> as well as Code Tabaksblat</w:t>
      </w:r>
      <w:r w:rsidRPr="00165808">
        <w:rPr>
          <w:rFonts w:ascii="Arial" w:hAnsi="Arial" w:cs="Arial"/>
          <w:lang w:val="en-GB"/>
        </w:rPr>
        <w:t>)</w:t>
      </w:r>
    </w:p>
  </w:footnote>
  <w:footnote w:id="17">
    <w:p w:rsidR="00222EEB" w:rsidRPr="00B973E0" w:rsidRDefault="00222EEB">
      <w:pPr>
        <w:pStyle w:val="FootnoteText"/>
        <w:rPr>
          <w:lang w:val="en-US"/>
        </w:rPr>
      </w:pPr>
      <w:r>
        <w:rPr>
          <w:rStyle w:val="FootnoteReference"/>
        </w:rPr>
        <w:footnoteRef/>
      </w:r>
      <w:r w:rsidRPr="00FF0AC4">
        <w:rPr>
          <w:lang w:val="en-GB"/>
        </w:rPr>
        <w:t xml:space="preserve"> </w:t>
      </w:r>
      <w:r w:rsidRPr="004C718C">
        <w:rPr>
          <w:rFonts w:ascii="Arial" w:hAnsi="Arial" w:cs="Arial"/>
          <w:lang w:val="en-GB"/>
        </w:rPr>
        <w:t>(coefficient -2*standard error till coefficient + 2*standard error)</w:t>
      </w:r>
    </w:p>
  </w:footnote>
  <w:footnote w:id="18">
    <w:p w:rsidR="00222EEB" w:rsidRPr="00B973E0" w:rsidRDefault="00222EEB" w:rsidP="00FF0AC4">
      <w:pPr>
        <w:pStyle w:val="FootnoteText"/>
        <w:rPr>
          <w:lang w:val="en-US"/>
        </w:rPr>
      </w:pPr>
      <w:r>
        <w:rPr>
          <w:rStyle w:val="FootnoteReference"/>
        </w:rPr>
        <w:footnoteRef/>
      </w:r>
      <w:r w:rsidRPr="00FF0AC4">
        <w:rPr>
          <w:lang w:val="en-GB"/>
        </w:rPr>
        <w:t xml:space="preserve"> </w:t>
      </w:r>
      <w:r w:rsidRPr="004C718C">
        <w:rPr>
          <w:rFonts w:ascii="Arial" w:hAnsi="Arial" w:cs="Arial"/>
          <w:lang w:val="en-GB"/>
        </w:rPr>
        <w:t>(coefficient -2*standard error till coefficient + 2*standard error)</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A48CB"/>
    <w:multiLevelType w:val="multilevel"/>
    <w:tmpl w:val="0520E838"/>
    <w:numStyleLink w:val="OpmaakprofielMetopsommingstekens1"/>
  </w:abstractNum>
  <w:abstractNum w:abstractNumId="1">
    <w:nsid w:val="05745908"/>
    <w:multiLevelType w:val="multilevel"/>
    <w:tmpl w:val="75829F0E"/>
    <w:numStyleLink w:val="OpmaakprofielMetopsommingstekens"/>
  </w:abstractNum>
  <w:abstractNum w:abstractNumId="2">
    <w:nsid w:val="072B28FD"/>
    <w:multiLevelType w:val="multilevel"/>
    <w:tmpl w:val="0520E838"/>
    <w:numStyleLink w:val="OpmaakprofielMetopsommingstekens1"/>
  </w:abstractNum>
  <w:abstractNum w:abstractNumId="3">
    <w:nsid w:val="07F148A0"/>
    <w:multiLevelType w:val="multilevel"/>
    <w:tmpl w:val="0520E838"/>
    <w:numStyleLink w:val="OpmaakprofielMetopsommingstekens1"/>
  </w:abstractNum>
  <w:abstractNum w:abstractNumId="4">
    <w:nsid w:val="0ADD740E"/>
    <w:multiLevelType w:val="multilevel"/>
    <w:tmpl w:val="0520E838"/>
    <w:numStyleLink w:val="OpmaakprofielMetopsommingstekens1"/>
  </w:abstractNum>
  <w:abstractNum w:abstractNumId="5">
    <w:nsid w:val="0FB13692"/>
    <w:multiLevelType w:val="multilevel"/>
    <w:tmpl w:val="75829F0E"/>
    <w:numStyleLink w:val="OpmaakprofielMetopsommingstekens"/>
  </w:abstractNum>
  <w:abstractNum w:abstractNumId="6">
    <w:nsid w:val="0FE026B2"/>
    <w:multiLevelType w:val="multilevel"/>
    <w:tmpl w:val="75829F0E"/>
    <w:numStyleLink w:val="OpmaakprofielMetopsommingstekens"/>
  </w:abstractNum>
  <w:abstractNum w:abstractNumId="7">
    <w:nsid w:val="139908AC"/>
    <w:multiLevelType w:val="multilevel"/>
    <w:tmpl w:val="0520E838"/>
    <w:numStyleLink w:val="OpmaakprofielMetopsommingstekens1"/>
  </w:abstractNum>
  <w:abstractNum w:abstractNumId="8">
    <w:nsid w:val="14510E40"/>
    <w:multiLevelType w:val="multilevel"/>
    <w:tmpl w:val="0520E838"/>
    <w:numStyleLink w:val="OpmaakprofielMetopsommingstekens1"/>
  </w:abstractNum>
  <w:abstractNum w:abstractNumId="9">
    <w:nsid w:val="15D40A36"/>
    <w:multiLevelType w:val="multilevel"/>
    <w:tmpl w:val="0520E838"/>
    <w:numStyleLink w:val="OpmaakprofielMetopsommingstekens1"/>
  </w:abstractNum>
  <w:abstractNum w:abstractNumId="10">
    <w:nsid w:val="167B2042"/>
    <w:multiLevelType w:val="multilevel"/>
    <w:tmpl w:val="0520E838"/>
    <w:styleLink w:val="OpmaakprofielMetopsommingstekens1"/>
    <w:lvl w:ilvl="0">
      <w:start w:val="1"/>
      <w:numFmt w:val="bullet"/>
      <w:lvlText w:val=""/>
      <w:lvlJc w:val="left"/>
      <w:pPr>
        <w:ind w:left="720" w:hanging="360"/>
      </w:pPr>
      <w:rPr>
        <w:rFonts w:ascii="Symbol" w:hAnsi="Symbol"/>
        <w:color w:val="4F81BD"/>
        <w:sz w:val="22"/>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nsid w:val="19CA1C2B"/>
    <w:multiLevelType w:val="multilevel"/>
    <w:tmpl w:val="0520E838"/>
    <w:numStyleLink w:val="OpmaakprofielMetopsommingstekens1"/>
  </w:abstractNum>
  <w:abstractNum w:abstractNumId="12">
    <w:nsid w:val="1B6E100B"/>
    <w:multiLevelType w:val="multilevel"/>
    <w:tmpl w:val="0520E838"/>
    <w:numStyleLink w:val="OpmaakprofielMetopsommingstekens1"/>
  </w:abstractNum>
  <w:abstractNum w:abstractNumId="13">
    <w:nsid w:val="20813352"/>
    <w:multiLevelType w:val="hybridMultilevel"/>
    <w:tmpl w:val="70D8999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21642BB6"/>
    <w:multiLevelType w:val="multilevel"/>
    <w:tmpl w:val="0520E838"/>
    <w:numStyleLink w:val="OpmaakprofielMetopsommingstekens1"/>
  </w:abstractNum>
  <w:abstractNum w:abstractNumId="15">
    <w:nsid w:val="22A254FD"/>
    <w:multiLevelType w:val="multilevel"/>
    <w:tmpl w:val="0520E838"/>
    <w:numStyleLink w:val="OpmaakprofielMetopsommingstekens1"/>
  </w:abstractNum>
  <w:abstractNum w:abstractNumId="16">
    <w:nsid w:val="23E8449F"/>
    <w:multiLevelType w:val="multilevel"/>
    <w:tmpl w:val="75829F0E"/>
    <w:numStyleLink w:val="OpmaakprofielMetopsommingstekens"/>
  </w:abstractNum>
  <w:abstractNum w:abstractNumId="17">
    <w:nsid w:val="27580DC9"/>
    <w:multiLevelType w:val="multilevel"/>
    <w:tmpl w:val="0520E838"/>
    <w:numStyleLink w:val="OpmaakprofielMetopsommingstekens1"/>
  </w:abstractNum>
  <w:abstractNum w:abstractNumId="18">
    <w:nsid w:val="28F45AAB"/>
    <w:multiLevelType w:val="multilevel"/>
    <w:tmpl w:val="0520E838"/>
    <w:numStyleLink w:val="OpmaakprofielMetopsommingstekens1"/>
  </w:abstractNum>
  <w:abstractNum w:abstractNumId="19">
    <w:nsid w:val="2A1067FC"/>
    <w:multiLevelType w:val="multilevel"/>
    <w:tmpl w:val="75829F0E"/>
    <w:numStyleLink w:val="OpmaakprofielMetopsommingstekens"/>
  </w:abstractNum>
  <w:abstractNum w:abstractNumId="20">
    <w:nsid w:val="2A4A01FA"/>
    <w:multiLevelType w:val="multilevel"/>
    <w:tmpl w:val="0520E838"/>
    <w:numStyleLink w:val="OpmaakprofielMetopsommingstekens1"/>
  </w:abstractNum>
  <w:abstractNum w:abstractNumId="21">
    <w:nsid w:val="2D0267D8"/>
    <w:multiLevelType w:val="multilevel"/>
    <w:tmpl w:val="75829F0E"/>
    <w:numStyleLink w:val="OpmaakprofielMetopsommingstekens"/>
  </w:abstractNum>
  <w:abstractNum w:abstractNumId="22">
    <w:nsid w:val="2E6D4A41"/>
    <w:multiLevelType w:val="multilevel"/>
    <w:tmpl w:val="75829F0E"/>
    <w:numStyleLink w:val="OpmaakprofielMetopsommingstekens"/>
  </w:abstractNum>
  <w:abstractNum w:abstractNumId="23">
    <w:nsid w:val="2EEF41C0"/>
    <w:multiLevelType w:val="multilevel"/>
    <w:tmpl w:val="75829F0E"/>
    <w:numStyleLink w:val="OpmaakprofielMetopsommingstekens"/>
  </w:abstractNum>
  <w:abstractNum w:abstractNumId="24">
    <w:nsid w:val="2FD11BC0"/>
    <w:multiLevelType w:val="multilevel"/>
    <w:tmpl w:val="0520E838"/>
    <w:numStyleLink w:val="OpmaakprofielMetopsommingstekens1"/>
  </w:abstractNum>
  <w:abstractNum w:abstractNumId="25">
    <w:nsid w:val="30305932"/>
    <w:multiLevelType w:val="multilevel"/>
    <w:tmpl w:val="75829F0E"/>
    <w:numStyleLink w:val="OpmaakprofielMetopsommingstekens"/>
  </w:abstractNum>
  <w:abstractNum w:abstractNumId="26">
    <w:nsid w:val="32FE6E6A"/>
    <w:multiLevelType w:val="multilevel"/>
    <w:tmpl w:val="75829F0E"/>
    <w:styleLink w:val="OpmaakprofielMetopsommingstekens"/>
    <w:lvl w:ilvl="0">
      <w:start w:val="1"/>
      <w:numFmt w:val="bullet"/>
      <w:lvlText w:val=""/>
      <w:lvlJc w:val="left"/>
      <w:pPr>
        <w:tabs>
          <w:tab w:val="num" w:pos="780"/>
        </w:tabs>
        <w:ind w:left="780" w:hanging="360"/>
      </w:pPr>
      <w:rPr>
        <w:rFonts w:ascii="Symbol" w:hAnsi="Symbol" w:hint="default"/>
        <w:color w:val="4F81BD"/>
        <w:sz w:val="22"/>
      </w:rPr>
    </w:lvl>
    <w:lvl w:ilvl="1">
      <w:start w:val="1"/>
      <w:numFmt w:val="bullet"/>
      <w:lvlText w:val="o"/>
      <w:lvlJc w:val="left"/>
      <w:pPr>
        <w:tabs>
          <w:tab w:val="num" w:pos="1500"/>
        </w:tabs>
        <w:ind w:left="1500" w:hanging="360"/>
      </w:pPr>
      <w:rPr>
        <w:rFonts w:ascii="Courier New" w:hAnsi="Courier New" w:hint="default"/>
      </w:rPr>
    </w:lvl>
    <w:lvl w:ilvl="2">
      <w:start w:val="1"/>
      <w:numFmt w:val="bullet"/>
      <w:lvlText w:val=""/>
      <w:lvlJc w:val="left"/>
      <w:pPr>
        <w:tabs>
          <w:tab w:val="num" w:pos="2220"/>
        </w:tabs>
        <w:ind w:left="2220" w:hanging="360"/>
      </w:pPr>
      <w:rPr>
        <w:rFonts w:ascii="Wingdings" w:hAnsi="Wingdings" w:hint="default"/>
      </w:rPr>
    </w:lvl>
    <w:lvl w:ilvl="3">
      <w:start w:val="1"/>
      <w:numFmt w:val="bullet"/>
      <w:lvlText w:val=""/>
      <w:lvlJc w:val="left"/>
      <w:pPr>
        <w:tabs>
          <w:tab w:val="num" w:pos="2940"/>
        </w:tabs>
        <w:ind w:left="2940" w:hanging="360"/>
      </w:pPr>
      <w:rPr>
        <w:rFonts w:ascii="Symbol" w:hAnsi="Symbol" w:hint="default"/>
      </w:rPr>
    </w:lvl>
    <w:lvl w:ilvl="4">
      <w:start w:val="1"/>
      <w:numFmt w:val="bullet"/>
      <w:lvlText w:val="o"/>
      <w:lvlJc w:val="left"/>
      <w:pPr>
        <w:tabs>
          <w:tab w:val="num" w:pos="3660"/>
        </w:tabs>
        <w:ind w:left="3660" w:hanging="360"/>
      </w:pPr>
      <w:rPr>
        <w:rFonts w:ascii="Courier New" w:hAnsi="Courier New" w:hint="default"/>
      </w:rPr>
    </w:lvl>
    <w:lvl w:ilvl="5">
      <w:start w:val="1"/>
      <w:numFmt w:val="bullet"/>
      <w:lvlText w:val=""/>
      <w:lvlJc w:val="left"/>
      <w:pPr>
        <w:tabs>
          <w:tab w:val="num" w:pos="4380"/>
        </w:tabs>
        <w:ind w:left="4380" w:hanging="360"/>
      </w:pPr>
      <w:rPr>
        <w:rFonts w:ascii="Wingdings" w:hAnsi="Wingdings" w:hint="default"/>
      </w:rPr>
    </w:lvl>
    <w:lvl w:ilvl="6">
      <w:start w:val="1"/>
      <w:numFmt w:val="bullet"/>
      <w:lvlText w:val=""/>
      <w:lvlJc w:val="left"/>
      <w:pPr>
        <w:tabs>
          <w:tab w:val="num" w:pos="5100"/>
        </w:tabs>
        <w:ind w:left="5100" w:hanging="360"/>
      </w:pPr>
      <w:rPr>
        <w:rFonts w:ascii="Symbol" w:hAnsi="Symbol" w:hint="default"/>
      </w:rPr>
    </w:lvl>
    <w:lvl w:ilvl="7">
      <w:start w:val="1"/>
      <w:numFmt w:val="bullet"/>
      <w:lvlText w:val="o"/>
      <w:lvlJc w:val="left"/>
      <w:pPr>
        <w:tabs>
          <w:tab w:val="num" w:pos="5820"/>
        </w:tabs>
        <w:ind w:left="5820" w:hanging="360"/>
      </w:pPr>
      <w:rPr>
        <w:rFonts w:ascii="Courier New" w:hAnsi="Courier New" w:hint="default"/>
      </w:rPr>
    </w:lvl>
    <w:lvl w:ilvl="8">
      <w:start w:val="1"/>
      <w:numFmt w:val="bullet"/>
      <w:lvlText w:val=""/>
      <w:lvlJc w:val="left"/>
      <w:pPr>
        <w:tabs>
          <w:tab w:val="num" w:pos="6540"/>
        </w:tabs>
        <w:ind w:left="6540" w:hanging="360"/>
      </w:pPr>
      <w:rPr>
        <w:rFonts w:ascii="Wingdings" w:hAnsi="Wingdings" w:hint="default"/>
      </w:rPr>
    </w:lvl>
  </w:abstractNum>
  <w:abstractNum w:abstractNumId="27">
    <w:nsid w:val="33516DCB"/>
    <w:multiLevelType w:val="multilevel"/>
    <w:tmpl w:val="0520E838"/>
    <w:numStyleLink w:val="OpmaakprofielMetopsommingstekens1"/>
  </w:abstractNum>
  <w:abstractNum w:abstractNumId="28">
    <w:nsid w:val="351228BD"/>
    <w:multiLevelType w:val="multilevel"/>
    <w:tmpl w:val="0520E838"/>
    <w:numStyleLink w:val="OpmaakprofielMetopsommingstekens1"/>
  </w:abstractNum>
  <w:abstractNum w:abstractNumId="29">
    <w:nsid w:val="371F5954"/>
    <w:multiLevelType w:val="multilevel"/>
    <w:tmpl w:val="75829F0E"/>
    <w:numStyleLink w:val="OpmaakprofielMetopsommingstekens"/>
  </w:abstractNum>
  <w:abstractNum w:abstractNumId="30">
    <w:nsid w:val="3CCB7EFF"/>
    <w:multiLevelType w:val="multilevel"/>
    <w:tmpl w:val="0520E838"/>
    <w:numStyleLink w:val="OpmaakprofielMetopsommingstekens1"/>
  </w:abstractNum>
  <w:abstractNum w:abstractNumId="31">
    <w:nsid w:val="3D6F0853"/>
    <w:multiLevelType w:val="multilevel"/>
    <w:tmpl w:val="0520E838"/>
    <w:numStyleLink w:val="OpmaakprofielMetopsommingstekens1"/>
  </w:abstractNum>
  <w:abstractNum w:abstractNumId="32">
    <w:nsid w:val="3D86052C"/>
    <w:multiLevelType w:val="hybridMultilevel"/>
    <w:tmpl w:val="E1343646"/>
    <w:lvl w:ilvl="0" w:tplc="700A95EC">
      <w:start w:val="1"/>
      <w:numFmt w:val="bullet"/>
      <w:lvlText w:val=""/>
      <w:lvlJc w:val="left"/>
      <w:pPr>
        <w:ind w:left="780" w:hanging="360"/>
      </w:pPr>
      <w:rPr>
        <w:rFonts w:ascii="Symbol" w:hAnsi="Symbol" w:hint="default"/>
        <w:color w:val="4F81BD"/>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3">
    <w:nsid w:val="3E5A3C06"/>
    <w:multiLevelType w:val="multilevel"/>
    <w:tmpl w:val="0520E838"/>
    <w:numStyleLink w:val="OpmaakprofielMetopsommingstekens1"/>
  </w:abstractNum>
  <w:abstractNum w:abstractNumId="34">
    <w:nsid w:val="3FAF6963"/>
    <w:multiLevelType w:val="multilevel"/>
    <w:tmpl w:val="0520E838"/>
    <w:numStyleLink w:val="OpmaakprofielMetopsommingstekens1"/>
  </w:abstractNum>
  <w:abstractNum w:abstractNumId="35">
    <w:nsid w:val="400011FD"/>
    <w:multiLevelType w:val="multilevel"/>
    <w:tmpl w:val="0520E838"/>
    <w:numStyleLink w:val="OpmaakprofielMetopsommingstekens1"/>
  </w:abstractNum>
  <w:abstractNum w:abstractNumId="36">
    <w:nsid w:val="41D95511"/>
    <w:multiLevelType w:val="multilevel"/>
    <w:tmpl w:val="0520E838"/>
    <w:numStyleLink w:val="OpmaakprofielMetopsommingstekens1"/>
  </w:abstractNum>
  <w:abstractNum w:abstractNumId="37">
    <w:nsid w:val="41F523EE"/>
    <w:multiLevelType w:val="multilevel"/>
    <w:tmpl w:val="0520E838"/>
    <w:numStyleLink w:val="OpmaakprofielMetopsommingstekens1"/>
  </w:abstractNum>
  <w:abstractNum w:abstractNumId="38">
    <w:nsid w:val="421C7F70"/>
    <w:multiLevelType w:val="hybridMultilevel"/>
    <w:tmpl w:val="B62897A2"/>
    <w:lvl w:ilvl="0" w:tplc="0413000F">
      <w:start w:val="1"/>
      <w:numFmt w:val="decimal"/>
      <w:lvlText w:val="%1."/>
      <w:lvlJc w:val="left"/>
      <w:pPr>
        <w:tabs>
          <w:tab w:val="num" w:pos="720"/>
        </w:tabs>
        <w:ind w:left="720" w:hanging="360"/>
      </w:pPr>
      <w:rPr>
        <w:rFonts w:cs="Times New Roman"/>
      </w:rPr>
    </w:lvl>
    <w:lvl w:ilvl="1" w:tplc="04130019">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39">
    <w:nsid w:val="43F43252"/>
    <w:multiLevelType w:val="multilevel"/>
    <w:tmpl w:val="0520E838"/>
    <w:numStyleLink w:val="OpmaakprofielMetopsommingstekens1"/>
  </w:abstractNum>
  <w:abstractNum w:abstractNumId="40">
    <w:nsid w:val="47B64C3C"/>
    <w:multiLevelType w:val="hybridMultilevel"/>
    <w:tmpl w:val="02C6CB06"/>
    <w:lvl w:ilvl="0" w:tplc="488A5C42">
      <w:start w:val="1"/>
      <w:numFmt w:val="bullet"/>
      <w:lvlText w:val=""/>
      <w:lvlJc w:val="left"/>
      <w:pPr>
        <w:ind w:left="720" w:hanging="360"/>
      </w:pPr>
      <w:rPr>
        <w:rFonts w:ascii="Symbol" w:hAnsi="Symbol" w:hint="default"/>
        <w:color w:val="4F81BD"/>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9225C42"/>
    <w:multiLevelType w:val="multilevel"/>
    <w:tmpl w:val="0413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nsid w:val="496F71CE"/>
    <w:multiLevelType w:val="multilevel"/>
    <w:tmpl w:val="0520E838"/>
    <w:numStyleLink w:val="OpmaakprofielMetopsommingstekens1"/>
  </w:abstractNum>
  <w:abstractNum w:abstractNumId="43">
    <w:nsid w:val="498072E4"/>
    <w:multiLevelType w:val="multilevel"/>
    <w:tmpl w:val="0520E838"/>
    <w:numStyleLink w:val="OpmaakprofielMetopsommingstekens1"/>
  </w:abstractNum>
  <w:abstractNum w:abstractNumId="44">
    <w:nsid w:val="49A57165"/>
    <w:multiLevelType w:val="multilevel"/>
    <w:tmpl w:val="75829F0E"/>
    <w:numStyleLink w:val="OpmaakprofielMetopsommingstekens"/>
  </w:abstractNum>
  <w:abstractNum w:abstractNumId="45">
    <w:nsid w:val="4AB01647"/>
    <w:multiLevelType w:val="hybridMultilevel"/>
    <w:tmpl w:val="C4D00770"/>
    <w:lvl w:ilvl="0" w:tplc="0409000F">
      <w:start w:val="1"/>
      <w:numFmt w:val="decimal"/>
      <w:lvlText w:val="%1."/>
      <w:lvlJc w:val="left"/>
      <w:pPr>
        <w:ind w:left="720" w:hanging="360"/>
      </w:pPr>
      <w:rPr>
        <w:rFonts w:cs="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C7B04E66">
      <w:numFmt w:val="bullet"/>
      <w:lvlText w:val="-"/>
      <w:lvlJc w:val="left"/>
      <w:pPr>
        <w:ind w:left="2880" w:hanging="360"/>
      </w:pPr>
      <w:rPr>
        <w:rFonts w:ascii="Arial" w:eastAsia="Times New Roman" w:hAnsi="Aria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B1A7C07"/>
    <w:multiLevelType w:val="multilevel"/>
    <w:tmpl w:val="0520E838"/>
    <w:numStyleLink w:val="OpmaakprofielMetopsommingstekens1"/>
  </w:abstractNum>
  <w:abstractNum w:abstractNumId="47">
    <w:nsid w:val="4B40093C"/>
    <w:multiLevelType w:val="multilevel"/>
    <w:tmpl w:val="75829F0E"/>
    <w:numStyleLink w:val="OpmaakprofielMetopsommingstekens"/>
  </w:abstractNum>
  <w:abstractNum w:abstractNumId="48">
    <w:nsid w:val="4DDC3D4C"/>
    <w:multiLevelType w:val="multilevel"/>
    <w:tmpl w:val="0520E838"/>
    <w:numStyleLink w:val="OpmaakprofielMetopsommingstekens1"/>
  </w:abstractNum>
  <w:abstractNum w:abstractNumId="49">
    <w:nsid w:val="4E3764A8"/>
    <w:multiLevelType w:val="multilevel"/>
    <w:tmpl w:val="0520E838"/>
    <w:numStyleLink w:val="OpmaakprofielMetopsommingstekens1"/>
  </w:abstractNum>
  <w:abstractNum w:abstractNumId="50">
    <w:nsid w:val="51073724"/>
    <w:multiLevelType w:val="multilevel"/>
    <w:tmpl w:val="0413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1">
    <w:nsid w:val="51C77B6B"/>
    <w:multiLevelType w:val="multilevel"/>
    <w:tmpl w:val="0520E838"/>
    <w:numStyleLink w:val="OpmaakprofielMetopsommingstekens1"/>
  </w:abstractNum>
  <w:abstractNum w:abstractNumId="52">
    <w:nsid w:val="52F2519A"/>
    <w:multiLevelType w:val="multilevel"/>
    <w:tmpl w:val="0520E838"/>
    <w:numStyleLink w:val="OpmaakprofielMetopsommingstekens1"/>
  </w:abstractNum>
  <w:abstractNum w:abstractNumId="53">
    <w:nsid w:val="537A4733"/>
    <w:multiLevelType w:val="multilevel"/>
    <w:tmpl w:val="0520E838"/>
    <w:numStyleLink w:val="OpmaakprofielMetopsommingstekens1"/>
  </w:abstractNum>
  <w:abstractNum w:abstractNumId="54">
    <w:nsid w:val="55ED329F"/>
    <w:multiLevelType w:val="multilevel"/>
    <w:tmpl w:val="0520E838"/>
    <w:numStyleLink w:val="OpmaakprofielMetopsommingstekens1"/>
  </w:abstractNum>
  <w:abstractNum w:abstractNumId="55">
    <w:nsid w:val="55F67508"/>
    <w:multiLevelType w:val="multilevel"/>
    <w:tmpl w:val="0520E838"/>
    <w:numStyleLink w:val="OpmaakprofielMetopsommingstekens1"/>
  </w:abstractNum>
  <w:abstractNum w:abstractNumId="56">
    <w:nsid w:val="59F96B92"/>
    <w:multiLevelType w:val="multilevel"/>
    <w:tmpl w:val="0520E838"/>
    <w:numStyleLink w:val="OpmaakprofielMetopsommingstekens1"/>
  </w:abstractNum>
  <w:abstractNum w:abstractNumId="57">
    <w:nsid w:val="5B5E5E78"/>
    <w:multiLevelType w:val="hybridMultilevel"/>
    <w:tmpl w:val="B838E912"/>
    <w:lvl w:ilvl="0" w:tplc="DAB4C79C">
      <w:start w:val="1"/>
      <w:numFmt w:val="bullet"/>
      <w:lvlText w:val=""/>
      <w:lvlJc w:val="left"/>
      <w:pPr>
        <w:tabs>
          <w:tab w:val="num" w:pos="720"/>
        </w:tabs>
        <w:ind w:left="720" w:hanging="360"/>
      </w:pPr>
      <w:rPr>
        <w:rFonts w:ascii="Symbol" w:hAnsi="Symbol" w:hint="default"/>
        <w:color w:val="4F81BD"/>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58">
    <w:nsid w:val="5C6E3EBF"/>
    <w:multiLevelType w:val="multilevel"/>
    <w:tmpl w:val="0520E838"/>
    <w:numStyleLink w:val="OpmaakprofielMetopsommingstekens1"/>
  </w:abstractNum>
  <w:abstractNum w:abstractNumId="59">
    <w:nsid w:val="5F3D04DF"/>
    <w:multiLevelType w:val="multilevel"/>
    <w:tmpl w:val="0520E838"/>
    <w:numStyleLink w:val="OpmaakprofielMetopsommingstekens1"/>
  </w:abstractNum>
  <w:abstractNum w:abstractNumId="60">
    <w:nsid w:val="61F36F6C"/>
    <w:multiLevelType w:val="multilevel"/>
    <w:tmpl w:val="0520E838"/>
    <w:numStyleLink w:val="OpmaakprofielMetopsommingstekens1"/>
  </w:abstractNum>
  <w:abstractNum w:abstractNumId="61">
    <w:nsid w:val="661A42EC"/>
    <w:multiLevelType w:val="multilevel"/>
    <w:tmpl w:val="0413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2">
    <w:nsid w:val="66A47FB8"/>
    <w:multiLevelType w:val="multilevel"/>
    <w:tmpl w:val="0520E838"/>
    <w:numStyleLink w:val="OpmaakprofielMetopsommingstekens1"/>
  </w:abstractNum>
  <w:abstractNum w:abstractNumId="63">
    <w:nsid w:val="675F074F"/>
    <w:multiLevelType w:val="multilevel"/>
    <w:tmpl w:val="0520E838"/>
    <w:numStyleLink w:val="OpmaakprofielMetopsommingstekens1"/>
  </w:abstractNum>
  <w:abstractNum w:abstractNumId="64">
    <w:nsid w:val="6DF80811"/>
    <w:multiLevelType w:val="multilevel"/>
    <w:tmpl w:val="75829F0E"/>
    <w:numStyleLink w:val="OpmaakprofielMetopsommingstekens"/>
  </w:abstractNum>
  <w:abstractNum w:abstractNumId="65">
    <w:nsid w:val="73C766BD"/>
    <w:multiLevelType w:val="multilevel"/>
    <w:tmpl w:val="0520E838"/>
    <w:numStyleLink w:val="OpmaakprofielMetopsommingstekens1"/>
  </w:abstractNum>
  <w:abstractNum w:abstractNumId="66">
    <w:nsid w:val="76ED4350"/>
    <w:multiLevelType w:val="multilevel"/>
    <w:tmpl w:val="75829F0E"/>
    <w:numStyleLink w:val="OpmaakprofielMetopsommingstekens"/>
  </w:abstractNum>
  <w:abstractNum w:abstractNumId="67">
    <w:nsid w:val="781E569E"/>
    <w:multiLevelType w:val="multilevel"/>
    <w:tmpl w:val="0520E838"/>
    <w:numStyleLink w:val="OpmaakprofielMetopsommingstekens1"/>
  </w:abstractNum>
  <w:abstractNum w:abstractNumId="68">
    <w:nsid w:val="784720DD"/>
    <w:multiLevelType w:val="multilevel"/>
    <w:tmpl w:val="0520E838"/>
    <w:numStyleLink w:val="OpmaakprofielMetopsommingstekens1"/>
  </w:abstractNum>
  <w:abstractNum w:abstractNumId="69">
    <w:nsid w:val="7A8D576A"/>
    <w:multiLevelType w:val="multilevel"/>
    <w:tmpl w:val="0520E838"/>
    <w:numStyleLink w:val="OpmaakprofielMetopsommingstekens1"/>
  </w:abstractNum>
  <w:abstractNum w:abstractNumId="70">
    <w:nsid w:val="7D092717"/>
    <w:multiLevelType w:val="hybridMultilevel"/>
    <w:tmpl w:val="02CE198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1">
    <w:nsid w:val="7E7A74F2"/>
    <w:multiLevelType w:val="multilevel"/>
    <w:tmpl w:val="0520E838"/>
    <w:numStyleLink w:val="OpmaakprofielMetopsommingstekens1"/>
  </w:abstractNum>
  <w:num w:numId="1">
    <w:abstractNumId w:val="38"/>
  </w:num>
  <w:num w:numId="2">
    <w:abstractNumId w:val="50"/>
  </w:num>
  <w:num w:numId="3">
    <w:abstractNumId w:val="32"/>
  </w:num>
  <w:num w:numId="4">
    <w:abstractNumId w:val="45"/>
  </w:num>
  <w:num w:numId="5">
    <w:abstractNumId w:val="13"/>
  </w:num>
  <w:num w:numId="6">
    <w:abstractNumId w:val="40"/>
  </w:num>
  <w:num w:numId="7">
    <w:abstractNumId w:val="57"/>
  </w:num>
  <w:num w:numId="8">
    <w:abstractNumId w:val="26"/>
  </w:num>
  <w:num w:numId="9">
    <w:abstractNumId w:val="21"/>
  </w:num>
  <w:num w:numId="10">
    <w:abstractNumId w:val="16"/>
  </w:num>
  <w:num w:numId="11">
    <w:abstractNumId w:val="47"/>
  </w:num>
  <w:num w:numId="12">
    <w:abstractNumId w:val="1"/>
  </w:num>
  <w:num w:numId="13">
    <w:abstractNumId w:val="44"/>
  </w:num>
  <w:num w:numId="14">
    <w:abstractNumId w:val="6"/>
  </w:num>
  <w:num w:numId="15">
    <w:abstractNumId w:val="29"/>
  </w:num>
  <w:num w:numId="16">
    <w:abstractNumId w:val="19"/>
  </w:num>
  <w:num w:numId="17">
    <w:abstractNumId w:val="64"/>
  </w:num>
  <w:num w:numId="18">
    <w:abstractNumId w:val="25"/>
  </w:num>
  <w:num w:numId="19">
    <w:abstractNumId w:val="5"/>
  </w:num>
  <w:num w:numId="20">
    <w:abstractNumId w:val="23"/>
  </w:num>
  <w:num w:numId="21">
    <w:abstractNumId w:val="22"/>
  </w:num>
  <w:num w:numId="22">
    <w:abstractNumId w:val="66"/>
  </w:num>
  <w:num w:numId="23">
    <w:abstractNumId w:val="10"/>
  </w:num>
  <w:num w:numId="24">
    <w:abstractNumId w:val="49"/>
  </w:num>
  <w:num w:numId="25">
    <w:abstractNumId w:val="34"/>
  </w:num>
  <w:num w:numId="26">
    <w:abstractNumId w:val="31"/>
  </w:num>
  <w:num w:numId="27">
    <w:abstractNumId w:val="69"/>
  </w:num>
  <w:num w:numId="28">
    <w:abstractNumId w:val="54"/>
  </w:num>
  <w:num w:numId="29">
    <w:abstractNumId w:val="20"/>
  </w:num>
  <w:num w:numId="30">
    <w:abstractNumId w:val="65"/>
  </w:num>
  <w:num w:numId="31">
    <w:abstractNumId w:val="28"/>
  </w:num>
  <w:num w:numId="32">
    <w:abstractNumId w:val="15"/>
  </w:num>
  <w:num w:numId="33">
    <w:abstractNumId w:val="39"/>
  </w:num>
  <w:num w:numId="34">
    <w:abstractNumId w:val="33"/>
  </w:num>
  <w:num w:numId="35">
    <w:abstractNumId w:val="59"/>
  </w:num>
  <w:num w:numId="36">
    <w:abstractNumId w:val="14"/>
  </w:num>
  <w:num w:numId="37">
    <w:abstractNumId w:val="24"/>
  </w:num>
  <w:num w:numId="38">
    <w:abstractNumId w:val="35"/>
  </w:num>
  <w:num w:numId="39">
    <w:abstractNumId w:val="55"/>
  </w:num>
  <w:num w:numId="40">
    <w:abstractNumId w:val="9"/>
  </w:num>
  <w:num w:numId="41">
    <w:abstractNumId w:val="62"/>
  </w:num>
  <w:num w:numId="42">
    <w:abstractNumId w:val="2"/>
  </w:num>
  <w:num w:numId="43">
    <w:abstractNumId w:val="18"/>
  </w:num>
  <w:num w:numId="44">
    <w:abstractNumId w:val="7"/>
  </w:num>
  <w:num w:numId="45">
    <w:abstractNumId w:val="52"/>
  </w:num>
  <w:num w:numId="46">
    <w:abstractNumId w:val="36"/>
  </w:num>
  <w:num w:numId="47">
    <w:abstractNumId w:val="37"/>
  </w:num>
  <w:num w:numId="48">
    <w:abstractNumId w:val="4"/>
  </w:num>
  <w:num w:numId="49">
    <w:abstractNumId w:val="8"/>
  </w:num>
  <w:num w:numId="50">
    <w:abstractNumId w:val="58"/>
  </w:num>
  <w:num w:numId="51">
    <w:abstractNumId w:val="53"/>
  </w:num>
  <w:num w:numId="52">
    <w:abstractNumId w:val="17"/>
  </w:num>
  <w:num w:numId="53">
    <w:abstractNumId w:val="0"/>
  </w:num>
  <w:num w:numId="54">
    <w:abstractNumId w:val="46"/>
  </w:num>
  <w:num w:numId="55">
    <w:abstractNumId w:val="71"/>
  </w:num>
  <w:num w:numId="56">
    <w:abstractNumId w:val="48"/>
  </w:num>
  <w:num w:numId="57">
    <w:abstractNumId w:val="43"/>
  </w:num>
  <w:num w:numId="58">
    <w:abstractNumId w:val="60"/>
  </w:num>
  <w:num w:numId="59">
    <w:abstractNumId w:val="42"/>
  </w:num>
  <w:num w:numId="60">
    <w:abstractNumId w:val="30"/>
  </w:num>
  <w:num w:numId="61">
    <w:abstractNumId w:val="51"/>
  </w:num>
  <w:num w:numId="62">
    <w:abstractNumId w:val="68"/>
  </w:num>
  <w:num w:numId="63">
    <w:abstractNumId w:val="3"/>
  </w:num>
  <w:num w:numId="64">
    <w:abstractNumId w:val="67"/>
  </w:num>
  <w:num w:numId="65">
    <w:abstractNumId w:val="27"/>
  </w:num>
  <w:num w:numId="66">
    <w:abstractNumId w:val="56"/>
  </w:num>
  <w:num w:numId="67">
    <w:abstractNumId w:val="12"/>
  </w:num>
  <w:num w:numId="68">
    <w:abstractNumId w:val="11"/>
  </w:num>
  <w:num w:numId="69">
    <w:abstractNumId w:val="63"/>
  </w:num>
  <w:num w:numId="70">
    <w:abstractNumId w:val="70"/>
  </w:num>
  <w:num w:numId="71">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1F08"/>
  <w:defaultTabStop w:val="708"/>
  <w:hyphenationZone w:val="425"/>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rsids>
    <w:rsidRoot w:val="007C120F"/>
    <w:rsid w:val="00000F4E"/>
    <w:rsid w:val="0000131C"/>
    <w:rsid w:val="00001874"/>
    <w:rsid w:val="00001D2C"/>
    <w:rsid w:val="00001F73"/>
    <w:rsid w:val="000031EF"/>
    <w:rsid w:val="0000386F"/>
    <w:rsid w:val="0000416F"/>
    <w:rsid w:val="000049D7"/>
    <w:rsid w:val="000058BB"/>
    <w:rsid w:val="00005DF8"/>
    <w:rsid w:val="000071B0"/>
    <w:rsid w:val="00007244"/>
    <w:rsid w:val="000118B7"/>
    <w:rsid w:val="000119EE"/>
    <w:rsid w:val="0001217A"/>
    <w:rsid w:val="00013FAE"/>
    <w:rsid w:val="00014368"/>
    <w:rsid w:val="00014401"/>
    <w:rsid w:val="000148B1"/>
    <w:rsid w:val="000205C7"/>
    <w:rsid w:val="00020CCF"/>
    <w:rsid w:val="00021106"/>
    <w:rsid w:val="00021628"/>
    <w:rsid w:val="000218BF"/>
    <w:rsid w:val="0002347A"/>
    <w:rsid w:val="00024590"/>
    <w:rsid w:val="0002477B"/>
    <w:rsid w:val="000249D6"/>
    <w:rsid w:val="00025832"/>
    <w:rsid w:val="00025FC5"/>
    <w:rsid w:val="00026176"/>
    <w:rsid w:val="00027823"/>
    <w:rsid w:val="00031B35"/>
    <w:rsid w:val="00031DC4"/>
    <w:rsid w:val="00032B14"/>
    <w:rsid w:val="00034F7B"/>
    <w:rsid w:val="00036D6B"/>
    <w:rsid w:val="00037186"/>
    <w:rsid w:val="00042560"/>
    <w:rsid w:val="00042AF3"/>
    <w:rsid w:val="000430B4"/>
    <w:rsid w:val="00044867"/>
    <w:rsid w:val="000463E4"/>
    <w:rsid w:val="0004742D"/>
    <w:rsid w:val="0004751C"/>
    <w:rsid w:val="000478AE"/>
    <w:rsid w:val="00051C53"/>
    <w:rsid w:val="00052345"/>
    <w:rsid w:val="00052FC5"/>
    <w:rsid w:val="00054519"/>
    <w:rsid w:val="0005464A"/>
    <w:rsid w:val="000561B7"/>
    <w:rsid w:val="0005642F"/>
    <w:rsid w:val="00056787"/>
    <w:rsid w:val="00056DFC"/>
    <w:rsid w:val="0005721B"/>
    <w:rsid w:val="00060E55"/>
    <w:rsid w:val="00061248"/>
    <w:rsid w:val="00064943"/>
    <w:rsid w:val="00065360"/>
    <w:rsid w:val="000662B7"/>
    <w:rsid w:val="00066C4F"/>
    <w:rsid w:val="00067A40"/>
    <w:rsid w:val="000705A6"/>
    <w:rsid w:val="00073D08"/>
    <w:rsid w:val="00074881"/>
    <w:rsid w:val="00074C0D"/>
    <w:rsid w:val="00075E95"/>
    <w:rsid w:val="000760C9"/>
    <w:rsid w:val="00077CFF"/>
    <w:rsid w:val="000804F6"/>
    <w:rsid w:val="00080524"/>
    <w:rsid w:val="00080C21"/>
    <w:rsid w:val="00083465"/>
    <w:rsid w:val="00083AE9"/>
    <w:rsid w:val="00086C60"/>
    <w:rsid w:val="000870AE"/>
    <w:rsid w:val="00090159"/>
    <w:rsid w:val="00091129"/>
    <w:rsid w:val="000917B5"/>
    <w:rsid w:val="00091BAF"/>
    <w:rsid w:val="00093438"/>
    <w:rsid w:val="000946CD"/>
    <w:rsid w:val="000961A2"/>
    <w:rsid w:val="00096727"/>
    <w:rsid w:val="000968D9"/>
    <w:rsid w:val="0009767F"/>
    <w:rsid w:val="00097EB0"/>
    <w:rsid w:val="000A0670"/>
    <w:rsid w:val="000A1F0C"/>
    <w:rsid w:val="000A2CD6"/>
    <w:rsid w:val="000A3C01"/>
    <w:rsid w:val="000A411C"/>
    <w:rsid w:val="000A49CC"/>
    <w:rsid w:val="000A4F9D"/>
    <w:rsid w:val="000A50C2"/>
    <w:rsid w:val="000A6E15"/>
    <w:rsid w:val="000A7F98"/>
    <w:rsid w:val="000B0A58"/>
    <w:rsid w:val="000B1C3E"/>
    <w:rsid w:val="000B2008"/>
    <w:rsid w:val="000B2F07"/>
    <w:rsid w:val="000B398D"/>
    <w:rsid w:val="000B3A3A"/>
    <w:rsid w:val="000B50C1"/>
    <w:rsid w:val="000B5312"/>
    <w:rsid w:val="000B533D"/>
    <w:rsid w:val="000B58D1"/>
    <w:rsid w:val="000B5CBD"/>
    <w:rsid w:val="000B6EA5"/>
    <w:rsid w:val="000B712E"/>
    <w:rsid w:val="000C039A"/>
    <w:rsid w:val="000C0855"/>
    <w:rsid w:val="000C0B1C"/>
    <w:rsid w:val="000C17E1"/>
    <w:rsid w:val="000C20B9"/>
    <w:rsid w:val="000C239E"/>
    <w:rsid w:val="000C2578"/>
    <w:rsid w:val="000C30AD"/>
    <w:rsid w:val="000C38A7"/>
    <w:rsid w:val="000C38F2"/>
    <w:rsid w:val="000C4C32"/>
    <w:rsid w:val="000C78F0"/>
    <w:rsid w:val="000C7CBC"/>
    <w:rsid w:val="000D0C5F"/>
    <w:rsid w:val="000D1771"/>
    <w:rsid w:val="000D1FC0"/>
    <w:rsid w:val="000D22BB"/>
    <w:rsid w:val="000D26E0"/>
    <w:rsid w:val="000D28AB"/>
    <w:rsid w:val="000D4044"/>
    <w:rsid w:val="000D51F4"/>
    <w:rsid w:val="000D52EA"/>
    <w:rsid w:val="000D554B"/>
    <w:rsid w:val="000D6C5E"/>
    <w:rsid w:val="000E33E3"/>
    <w:rsid w:val="000E42CE"/>
    <w:rsid w:val="000E55D8"/>
    <w:rsid w:val="000E6447"/>
    <w:rsid w:val="000E6C14"/>
    <w:rsid w:val="000F0DAB"/>
    <w:rsid w:val="000F17D5"/>
    <w:rsid w:val="000F3ED5"/>
    <w:rsid w:val="000F5642"/>
    <w:rsid w:val="000F58DA"/>
    <w:rsid w:val="000F64CC"/>
    <w:rsid w:val="000F6598"/>
    <w:rsid w:val="00100A5A"/>
    <w:rsid w:val="00102861"/>
    <w:rsid w:val="00102BB8"/>
    <w:rsid w:val="00103638"/>
    <w:rsid w:val="0010401C"/>
    <w:rsid w:val="00105907"/>
    <w:rsid w:val="00110D6A"/>
    <w:rsid w:val="00111F7E"/>
    <w:rsid w:val="00112FFB"/>
    <w:rsid w:val="001153F4"/>
    <w:rsid w:val="00115BE7"/>
    <w:rsid w:val="00116307"/>
    <w:rsid w:val="001165C5"/>
    <w:rsid w:val="00116E18"/>
    <w:rsid w:val="001209C5"/>
    <w:rsid w:val="00124024"/>
    <w:rsid w:val="00124FB5"/>
    <w:rsid w:val="00125EDB"/>
    <w:rsid w:val="00127319"/>
    <w:rsid w:val="001277A8"/>
    <w:rsid w:val="001302A0"/>
    <w:rsid w:val="00132A64"/>
    <w:rsid w:val="00132DF3"/>
    <w:rsid w:val="00133B89"/>
    <w:rsid w:val="00133DBE"/>
    <w:rsid w:val="001368F4"/>
    <w:rsid w:val="00137306"/>
    <w:rsid w:val="00141162"/>
    <w:rsid w:val="00141285"/>
    <w:rsid w:val="00141695"/>
    <w:rsid w:val="00143590"/>
    <w:rsid w:val="00143B0C"/>
    <w:rsid w:val="00143F66"/>
    <w:rsid w:val="00144023"/>
    <w:rsid w:val="00144064"/>
    <w:rsid w:val="00144599"/>
    <w:rsid w:val="00144D99"/>
    <w:rsid w:val="00144DAD"/>
    <w:rsid w:val="00145E3A"/>
    <w:rsid w:val="00145E82"/>
    <w:rsid w:val="001461E5"/>
    <w:rsid w:val="00146F1F"/>
    <w:rsid w:val="00147128"/>
    <w:rsid w:val="00147ECD"/>
    <w:rsid w:val="00150082"/>
    <w:rsid w:val="0015072C"/>
    <w:rsid w:val="001535DD"/>
    <w:rsid w:val="00153AB4"/>
    <w:rsid w:val="00153D5A"/>
    <w:rsid w:val="0015566B"/>
    <w:rsid w:val="0015661B"/>
    <w:rsid w:val="00157130"/>
    <w:rsid w:val="00160E75"/>
    <w:rsid w:val="00162AED"/>
    <w:rsid w:val="001631BE"/>
    <w:rsid w:val="00163D21"/>
    <w:rsid w:val="001641A2"/>
    <w:rsid w:val="00164753"/>
    <w:rsid w:val="0016488B"/>
    <w:rsid w:val="0016491D"/>
    <w:rsid w:val="00164BBC"/>
    <w:rsid w:val="00165808"/>
    <w:rsid w:val="00165DD4"/>
    <w:rsid w:val="00167408"/>
    <w:rsid w:val="001700F8"/>
    <w:rsid w:val="00171535"/>
    <w:rsid w:val="00173300"/>
    <w:rsid w:val="00173500"/>
    <w:rsid w:val="00174FA1"/>
    <w:rsid w:val="001763EB"/>
    <w:rsid w:val="00177276"/>
    <w:rsid w:val="001779C6"/>
    <w:rsid w:val="001800FE"/>
    <w:rsid w:val="00180BB1"/>
    <w:rsid w:val="00180F2B"/>
    <w:rsid w:val="00180F2D"/>
    <w:rsid w:val="00183A99"/>
    <w:rsid w:val="00184C63"/>
    <w:rsid w:val="00185295"/>
    <w:rsid w:val="001854B3"/>
    <w:rsid w:val="00186CA7"/>
    <w:rsid w:val="00190B40"/>
    <w:rsid w:val="00191EF7"/>
    <w:rsid w:val="001924B5"/>
    <w:rsid w:val="00192597"/>
    <w:rsid w:val="0019320B"/>
    <w:rsid w:val="00194330"/>
    <w:rsid w:val="001A0DE3"/>
    <w:rsid w:val="001A248E"/>
    <w:rsid w:val="001A31DC"/>
    <w:rsid w:val="001A4004"/>
    <w:rsid w:val="001A4FCE"/>
    <w:rsid w:val="001A53EF"/>
    <w:rsid w:val="001A56C3"/>
    <w:rsid w:val="001A6B06"/>
    <w:rsid w:val="001B0E3D"/>
    <w:rsid w:val="001B1101"/>
    <w:rsid w:val="001B19B7"/>
    <w:rsid w:val="001B1AFE"/>
    <w:rsid w:val="001B2025"/>
    <w:rsid w:val="001B2A77"/>
    <w:rsid w:val="001B3516"/>
    <w:rsid w:val="001B4C7B"/>
    <w:rsid w:val="001B4E3B"/>
    <w:rsid w:val="001B547D"/>
    <w:rsid w:val="001B6AA8"/>
    <w:rsid w:val="001B728B"/>
    <w:rsid w:val="001B72FA"/>
    <w:rsid w:val="001B7414"/>
    <w:rsid w:val="001B7F10"/>
    <w:rsid w:val="001C2F3B"/>
    <w:rsid w:val="001C3BD0"/>
    <w:rsid w:val="001C4B96"/>
    <w:rsid w:val="001C612C"/>
    <w:rsid w:val="001C6632"/>
    <w:rsid w:val="001C6F52"/>
    <w:rsid w:val="001D1870"/>
    <w:rsid w:val="001D1EBB"/>
    <w:rsid w:val="001D37C3"/>
    <w:rsid w:val="001D4728"/>
    <w:rsid w:val="001D4CEE"/>
    <w:rsid w:val="001D63D3"/>
    <w:rsid w:val="001D7406"/>
    <w:rsid w:val="001D742E"/>
    <w:rsid w:val="001E059A"/>
    <w:rsid w:val="001E05DC"/>
    <w:rsid w:val="001E18FC"/>
    <w:rsid w:val="001E1EE7"/>
    <w:rsid w:val="001E30C2"/>
    <w:rsid w:val="001E3122"/>
    <w:rsid w:val="001E3DBF"/>
    <w:rsid w:val="001E42D2"/>
    <w:rsid w:val="001E4785"/>
    <w:rsid w:val="001E4821"/>
    <w:rsid w:val="001E6627"/>
    <w:rsid w:val="001E6654"/>
    <w:rsid w:val="001E71A7"/>
    <w:rsid w:val="001E77CB"/>
    <w:rsid w:val="001E79C9"/>
    <w:rsid w:val="001F0F59"/>
    <w:rsid w:val="001F242A"/>
    <w:rsid w:val="001F28C2"/>
    <w:rsid w:val="001F2D71"/>
    <w:rsid w:val="001F3264"/>
    <w:rsid w:val="001F35D9"/>
    <w:rsid w:val="001F3724"/>
    <w:rsid w:val="001F387E"/>
    <w:rsid w:val="001F38AD"/>
    <w:rsid w:val="001F5AA3"/>
    <w:rsid w:val="001F76A6"/>
    <w:rsid w:val="0020017A"/>
    <w:rsid w:val="00201A6D"/>
    <w:rsid w:val="00203002"/>
    <w:rsid w:val="00205DF7"/>
    <w:rsid w:val="002074D5"/>
    <w:rsid w:val="00207733"/>
    <w:rsid w:val="00210D07"/>
    <w:rsid w:val="00211A7B"/>
    <w:rsid w:val="00213558"/>
    <w:rsid w:val="002135DD"/>
    <w:rsid w:val="002148FB"/>
    <w:rsid w:val="00214DD0"/>
    <w:rsid w:val="00215CA3"/>
    <w:rsid w:val="00215FAA"/>
    <w:rsid w:val="0022093C"/>
    <w:rsid w:val="00221031"/>
    <w:rsid w:val="002216BD"/>
    <w:rsid w:val="00221F7C"/>
    <w:rsid w:val="00222C1A"/>
    <w:rsid w:val="00222EEB"/>
    <w:rsid w:val="002230A8"/>
    <w:rsid w:val="002253E5"/>
    <w:rsid w:val="00225662"/>
    <w:rsid w:val="0022777F"/>
    <w:rsid w:val="00231DB0"/>
    <w:rsid w:val="00232707"/>
    <w:rsid w:val="00233218"/>
    <w:rsid w:val="00235E4F"/>
    <w:rsid w:val="00243421"/>
    <w:rsid w:val="00243D10"/>
    <w:rsid w:val="002450DC"/>
    <w:rsid w:val="00245152"/>
    <w:rsid w:val="00245E4F"/>
    <w:rsid w:val="002463EA"/>
    <w:rsid w:val="00246E46"/>
    <w:rsid w:val="0025019E"/>
    <w:rsid w:val="002516F3"/>
    <w:rsid w:val="00251828"/>
    <w:rsid w:val="00251E62"/>
    <w:rsid w:val="00251F4D"/>
    <w:rsid w:val="00252EA4"/>
    <w:rsid w:val="00252F52"/>
    <w:rsid w:val="00254B9A"/>
    <w:rsid w:val="00255D88"/>
    <w:rsid w:val="0025637F"/>
    <w:rsid w:val="002567C8"/>
    <w:rsid w:val="00260718"/>
    <w:rsid w:val="00262BE1"/>
    <w:rsid w:val="00264789"/>
    <w:rsid w:val="00264D41"/>
    <w:rsid w:val="002658FB"/>
    <w:rsid w:val="00265A9A"/>
    <w:rsid w:val="00265C3D"/>
    <w:rsid w:val="0026644D"/>
    <w:rsid w:val="002664C0"/>
    <w:rsid w:val="00267A0B"/>
    <w:rsid w:val="002707B8"/>
    <w:rsid w:val="00271590"/>
    <w:rsid w:val="0027257C"/>
    <w:rsid w:val="00272D44"/>
    <w:rsid w:val="00275427"/>
    <w:rsid w:val="0027558E"/>
    <w:rsid w:val="00275D92"/>
    <w:rsid w:val="0027646B"/>
    <w:rsid w:val="00276D7B"/>
    <w:rsid w:val="0028003E"/>
    <w:rsid w:val="00280198"/>
    <w:rsid w:val="00280C10"/>
    <w:rsid w:val="00281EC7"/>
    <w:rsid w:val="0028232A"/>
    <w:rsid w:val="00282AC5"/>
    <w:rsid w:val="0028421D"/>
    <w:rsid w:val="00284323"/>
    <w:rsid w:val="00284968"/>
    <w:rsid w:val="002852AB"/>
    <w:rsid w:val="00285451"/>
    <w:rsid w:val="00287234"/>
    <w:rsid w:val="00290329"/>
    <w:rsid w:val="002905A0"/>
    <w:rsid w:val="00291151"/>
    <w:rsid w:val="00291707"/>
    <w:rsid w:val="0029171C"/>
    <w:rsid w:val="0029213D"/>
    <w:rsid w:val="0029236A"/>
    <w:rsid w:val="002925A2"/>
    <w:rsid w:val="00294AD3"/>
    <w:rsid w:val="0029555A"/>
    <w:rsid w:val="00297621"/>
    <w:rsid w:val="00297A97"/>
    <w:rsid w:val="002A0670"/>
    <w:rsid w:val="002A1427"/>
    <w:rsid w:val="002A19B8"/>
    <w:rsid w:val="002A1B0C"/>
    <w:rsid w:val="002A3EAA"/>
    <w:rsid w:val="002A53DB"/>
    <w:rsid w:val="002A7E75"/>
    <w:rsid w:val="002B0F52"/>
    <w:rsid w:val="002B14CC"/>
    <w:rsid w:val="002B43F1"/>
    <w:rsid w:val="002B4BC1"/>
    <w:rsid w:val="002B5410"/>
    <w:rsid w:val="002B5952"/>
    <w:rsid w:val="002B6DC1"/>
    <w:rsid w:val="002B6EF0"/>
    <w:rsid w:val="002C0B1F"/>
    <w:rsid w:val="002C0B7D"/>
    <w:rsid w:val="002C1E75"/>
    <w:rsid w:val="002C3212"/>
    <w:rsid w:val="002C3554"/>
    <w:rsid w:val="002C391E"/>
    <w:rsid w:val="002C417F"/>
    <w:rsid w:val="002C4ABA"/>
    <w:rsid w:val="002C6476"/>
    <w:rsid w:val="002C75A7"/>
    <w:rsid w:val="002D10C8"/>
    <w:rsid w:val="002D1782"/>
    <w:rsid w:val="002D2C5A"/>
    <w:rsid w:val="002D334D"/>
    <w:rsid w:val="002D3DE8"/>
    <w:rsid w:val="002D5D35"/>
    <w:rsid w:val="002D72CF"/>
    <w:rsid w:val="002D7FCF"/>
    <w:rsid w:val="002E0B6C"/>
    <w:rsid w:val="002E29A7"/>
    <w:rsid w:val="002E2E64"/>
    <w:rsid w:val="002E41B9"/>
    <w:rsid w:val="002E4237"/>
    <w:rsid w:val="002E4FAD"/>
    <w:rsid w:val="002E60EB"/>
    <w:rsid w:val="002E73CC"/>
    <w:rsid w:val="002E7424"/>
    <w:rsid w:val="002E7767"/>
    <w:rsid w:val="002F0257"/>
    <w:rsid w:val="002F0736"/>
    <w:rsid w:val="002F1A9C"/>
    <w:rsid w:val="002F2A54"/>
    <w:rsid w:val="002F2AED"/>
    <w:rsid w:val="002F3284"/>
    <w:rsid w:val="002F3B73"/>
    <w:rsid w:val="002F5FDE"/>
    <w:rsid w:val="002F6CDE"/>
    <w:rsid w:val="002F7553"/>
    <w:rsid w:val="003003A8"/>
    <w:rsid w:val="00303B44"/>
    <w:rsid w:val="00303B9E"/>
    <w:rsid w:val="003049F7"/>
    <w:rsid w:val="00305B9B"/>
    <w:rsid w:val="0030616F"/>
    <w:rsid w:val="003066B2"/>
    <w:rsid w:val="00307215"/>
    <w:rsid w:val="00310CD0"/>
    <w:rsid w:val="00310ED1"/>
    <w:rsid w:val="00311113"/>
    <w:rsid w:val="003124B6"/>
    <w:rsid w:val="0031328B"/>
    <w:rsid w:val="003150BC"/>
    <w:rsid w:val="00316C1A"/>
    <w:rsid w:val="00317882"/>
    <w:rsid w:val="0031795F"/>
    <w:rsid w:val="00321D99"/>
    <w:rsid w:val="00324D1F"/>
    <w:rsid w:val="0032687E"/>
    <w:rsid w:val="00326C82"/>
    <w:rsid w:val="00327E21"/>
    <w:rsid w:val="003314CB"/>
    <w:rsid w:val="00331F6C"/>
    <w:rsid w:val="00334287"/>
    <w:rsid w:val="00334803"/>
    <w:rsid w:val="00336F27"/>
    <w:rsid w:val="0033785C"/>
    <w:rsid w:val="00340DEB"/>
    <w:rsid w:val="003413AC"/>
    <w:rsid w:val="00341909"/>
    <w:rsid w:val="00341E91"/>
    <w:rsid w:val="0034351B"/>
    <w:rsid w:val="0034367C"/>
    <w:rsid w:val="00345611"/>
    <w:rsid w:val="00346EF0"/>
    <w:rsid w:val="003527F5"/>
    <w:rsid w:val="00352868"/>
    <w:rsid w:val="003535E4"/>
    <w:rsid w:val="00354EFC"/>
    <w:rsid w:val="00355004"/>
    <w:rsid w:val="00355EE0"/>
    <w:rsid w:val="00356875"/>
    <w:rsid w:val="0035773C"/>
    <w:rsid w:val="003608E5"/>
    <w:rsid w:val="00360BD9"/>
    <w:rsid w:val="00360F73"/>
    <w:rsid w:val="00361ADE"/>
    <w:rsid w:val="00362074"/>
    <w:rsid w:val="00362C77"/>
    <w:rsid w:val="003644BD"/>
    <w:rsid w:val="00364EAF"/>
    <w:rsid w:val="0036762D"/>
    <w:rsid w:val="003707B0"/>
    <w:rsid w:val="00370E41"/>
    <w:rsid w:val="003710FB"/>
    <w:rsid w:val="00371292"/>
    <w:rsid w:val="0037132D"/>
    <w:rsid w:val="0037259E"/>
    <w:rsid w:val="0037342E"/>
    <w:rsid w:val="0037344C"/>
    <w:rsid w:val="00375B4B"/>
    <w:rsid w:val="003770C6"/>
    <w:rsid w:val="00377487"/>
    <w:rsid w:val="003777A5"/>
    <w:rsid w:val="00377A50"/>
    <w:rsid w:val="00380193"/>
    <w:rsid w:val="00381611"/>
    <w:rsid w:val="00381D10"/>
    <w:rsid w:val="0038215F"/>
    <w:rsid w:val="00382820"/>
    <w:rsid w:val="0038317F"/>
    <w:rsid w:val="00383428"/>
    <w:rsid w:val="0038599A"/>
    <w:rsid w:val="00386950"/>
    <w:rsid w:val="003921AC"/>
    <w:rsid w:val="00392362"/>
    <w:rsid w:val="00392B63"/>
    <w:rsid w:val="00392C67"/>
    <w:rsid w:val="003930AB"/>
    <w:rsid w:val="00394C21"/>
    <w:rsid w:val="003952E1"/>
    <w:rsid w:val="00397050"/>
    <w:rsid w:val="00397178"/>
    <w:rsid w:val="003977DB"/>
    <w:rsid w:val="003A0744"/>
    <w:rsid w:val="003A19F3"/>
    <w:rsid w:val="003A1D74"/>
    <w:rsid w:val="003A25AD"/>
    <w:rsid w:val="003A3AEA"/>
    <w:rsid w:val="003A4565"/>
    <w:rsid w:val="003A56F4"/>
    <w:rsid w:val="003A60EB"/>
    <w:rsid w:val="003A61AC"/>
    <w:rsid w:val="003A7A49"/>
    <w:rsid w:val="003A7EC7"/>
    <w:rsid w:val="003B3190"/>
    <w:rsid w:val="003B46A6"/>
    <w:rsid w:val="003C1B56"/>
    <w:rsid w:val="003C22A7"/>
    <w:rsid w:val="003C44D4"/>
    <w:rsid w:val="003C51F0"/>
    <w:rsid w:val="003C5733"/>
    <w:rsid w:val="003C682B"/>
    <w:rsid w:val="003D3E36"/>
    <w:rsid w:val="003D4CDB"/>
    <w:rsid w:val="003D6B9F"/>
    <w:rsid w:val="003D7CB3"/>
    <w:rsid w:val="003E075A"/>
    <w:rsid w:val="003E4098"/>
    <w:rsid w:val="003E67E0"/>
    <w:rsid w:val="003E6F45"/>
    <w:rsid w:val="003E7C56"/>
    <w:rsid w:val="003E7F4F"/>
    <w:rsid w:val="003F098E"/>
    <w:rsid w:val="003F0E16"/>
    <w:rsid w:val="003F23DA"/>
    <w:rsid w:val="003F24E6"/>
    <w:rsid w:val="003F2B4F"/>
    <w:rsid w:val="003F30D1"/>
    <w:rsid w:val="003F42CC"/>
    <w:rsid w:val="003F511B"/>
    <w:rsid w:val="003F6695"/>
    <w:rsid w:val="003F66AD"/>
    <w:rsid w:val="003F700D"/>
    <w:rsid w:val="00400D48"/>
    <w:rsid w:val="00401D2B"/>
    <w:rsid w:val="00402215"/>
    <w:rsid w:val="004028E8"/>
    <w:rsid w:val="0040556D"/>
    <w:rsid w:val="004063FA"/>
    <w:rsid w:val="004065CE"/>
    <w:rsid w:val="00411284"/>
    <w:rsid w:val="00413652"/>
    <w:rsid w:val="00413A2D"/>
    <w:rsid w:val="00415133"/>
    <w:rsid w:val="004154C2"/>
    <w:rsid w:val="00417416"/>
    <w:rsid w:val="00417C7C"/>
    <w:rsid w:val="00420E90"/>
    <w:rsid w:val="00422572"/>
    <w:rsid w:val="00422D26"/>
    <w:rsid w:val="00424890"/>
    <w:rsid w:val="00427BE8"/>
    <w:rsid w:val="00430361"/>
    <w:rsid w:val="004304B2"/>
    <w:rsid w:val="0043103A"/>
    <w:rsid w:val="00431C36"/>
    <w:rsid w:val="00431E7A"/>
    <w:rsid w:val="00433B85"/>
    <w:rsid w:val="0043411E"/>
    <w:rsid w:val="00434A47"/>
    <w:rsid w:val="00435AF0"/>
    <w:rsid w:val="00436B12"/>
    <w:rsid w:val="00437E4A"/>
    <w:rsid w:val="0044074A"/>
    <w:rsid w:val="00441443"/>
    <w:rsid w:val="00441BDE"/>
    <w:rsid w:val="004423CE"/>
    <w:rsid w:val="004428FB"/>
    <w:rsid w:val="004430DD"/>
    <w:rsid w:val="00443964"/>
    <w:rsid w:val="00444299"/>
    <w:rsid w:val="004454F2"/>
    <w:rsid w:val="00445A00"/>
    <w:rsid w:val="00445F0C"/>
    <w:rsid w:val="00446051"/>
    <w:rsid w:val="0044692B"/>
    <w:rsid w:val="00447C11"/>
    <w:rsid w:val="00450736"/>
    <w:rsid w:val="00450789"/>
    <w:rsid w:val="00451C98"/>
    <w:rsid w:val="00451FB6"/>
    <w:rsid w:val="00453431"/>
    <w:rsid w:val="0045424E"/>
    <w:rsid w:val="004545D6"/>
    <w:rsid w:val="00454696"/>
    <w:rsid w:val="0046010A"/>
    <w:rsid w:val="00460148"/>
    <w:rsid w:val="00462138"/>
    <w:rsid w:val="00462B75"/>
    <w:rsid w:val="00462D4E"/>
    <w:rsid w:val="00465243"/>
    <w:rsid w:val="00465AF9"/>
    <w:rsid w:val="00465F84"/>
    <w:rsid w:val="004667BD"/>
    <w:rsid w:val="0046734E"/>
    <w:rsid w:val="004676E9"/>
    <w:rsid w:val="004709C3"/>
    <w:rsid w:val="00470C60"/>
    <w:rsid w:val="00471AB2"/>
    <w:rsid w:val="00471BC6"/>
    <w:rsid w:val="0047259B"/>
    <w:rsid w:val="004726D0"/>
    <w:rsid w:val="004757DE"/>
    <w:rsid w:val="0047642B"/>
    <w:rsid w:val="00477775"/>
    <w:rsid w:val="0048012D"/>
    <w:rsid w:val="004812D3"/>
    <w:rsid w:val="00481F76"/>
    <w:rsid w:val="0048203A"/>
    <w:rsid w:val="00482A50"/>
    <w:rsid w:val="00483F37"/>
    <w:rsid w:val="0048440C"/>
    <w:rsid w:val="00486CA4"/>
    <w:rsid w:val="00487770"/>
    <w:rsid w:val="0049135B"/>
    <w:rsid w:val="00491D1E"/>
    <w:rsid w:val="004931E5"/>
    <w:rsid w:val="00493A57"/>
    <w:rsid w:val="00493B40"/>
    <w:rsid w:val="0049546E"/>
    <w:rsid w:val="004A09D6"/>
    <w:rsid w:val="004A1013"/>
    <w:rsid w:val="004A114C"/>
    <w:rsid w:val="004A26FD"/>
    <w:rsid w:val="004A2E58"/>
    <w:rsid w:val="004A2FBD"/>
    <w:rsid w:val="004A309E"/>
    <w:rsid w:val="004A3876"/>
    <w:rsid w:val="004A3FA0"/>
    <w:rsid w:val="004A485C"/>
    <w:rsid w:val="004A598F"/>
    <w:rsid w:val="004A5BB5"/>
    <w:rsid w:val="004A635D"/>
    <w:rsid w:val="004A6BBC"/>
    <w:rsid w:val="004A6E09"/>
    <w:rsid w:val="004A78D8"/>
    <w:rsid w:val="004A7DB2"/>
    <w:rsid w:val="004B00A4"/>
    <w:rsid w:val="004B2823"/>
    <w:rsid w:val="004B2B47"/>
    <w:rsid w:val="004B3FBA"/>
    <w:rsid w:val="004B50B0"/>
    <w:rsid w:val="004B5233"/>
    <w:rsid w:val="004B6819"/>
    <w:rsid w:val="004B7A24"/>
    <w:rsid w:val="004B7A56"/>
    <w:rsid w:val="004C008B"/>
    <w:rsid w:val="004C0527"/>
    <w:rsid w:val="004C0D9A"/>
    <w:rsid w:val="004C4A8A"/>
    <w:rsid w:val="004C5331"/>
    <w:rsid w:val="004C53B8"/>
    <w:rsid w:val="004C718C"/>
    <w:rsid w:val="004C72EE"/>
    <w:rsid w:val="004C77AE"/>
    <w:rsid w:val="004D10AF"/>
    <w:rsid w:val="004D2D8A"/>
    <w:rsid w:val="004D3AA3"/>
    <w:rsid w:val="004D3D0A"/>
    <w:rsid w:val="004D3ED0"/>
    <w:rsid w:val="004D4AB2"/>
    <w:rsid w:val="004D5123"/>
    <w:rsid w:val="004D5B4F"/>
    <w:rsid w:val="004D5D67"/>
    <w:rsid w:val="004D6488"/>
    <w:rsid w:val="004D7C28"/>
    <w:rsid w:val="004E04C0"/>
    <w:rsid w:val="004E09AE"/>
    <w:rsid w:val="004E0E11"/>
    <w:rsid w:val="004E1429"/>
    <w:rsid w:val="004E22B1"/>
    <w:rsid w:val="004E2DD6"/>
    <w:rsid w:val="004E3234"/>
    <w:rsid w:val="004E4948"/>
    <w:rsid w:val="004F137A"/>
    <w:rsid w:val="004F1E32"/>
    <w:rsid w:val="004F204E"/>
    <w:rsid w:val="004F282A"/>
    <w:rsid w:val="004F2919"/>
    <w:rsid w:val="004F34F1"/>
    <w:rsid w:val="004F357A"/>
    <w:rsid w:val="004F3B24"/>
    <w:rsid w:val="004F460C"/>
    <w:rsid w:val="004F63FE"/>
    <w:rsid w:val="004F6919"/>
    <w:rsid w:val="004F6B27"/>
    <w:rsid w:val="004F70E3"/>
    <w:rsid w:val="004F7E21"/>
    <w:rsid w:val="005011CF"/>
    <w:rsid w:val="00501235"/>
    <w:rsid w:val="00502BCE"/>
    <w:rsid w:val="005030DC"/>
    <w:rsid w:val="00503984"/>
    <w:rsid w:val="00504A83"/>
    <w:rsid w:val="00505B37"/>
    <w:rsid w:val="0050672F"/>
    <w:rsid w:val="00506DD9"/>
    <w:rsid w:val="00506EDB"/>
    <w:rsid w:val="00507A6A"/>
    <w:rsid w:val="00507D96"/>
    <w:rsid w:val="00510C3A"/>
    <w:rsid w:val="00510D41"/>
    <w:rsid w:val="0051264E"/>
    <w:rsid w:val="0051289E"/>
    <w:rsid w:val="0051442C"/>
    <w:rsid w:val="005149A0"/>
    <w:rsid w:val="005153F7"/>
    <w:rsid w:val="00515710"/>
    <w:rsid w:val="0051632A"/>
    <w:rsid w:val="00517ED6"/>
    <w:rsid w:val="0052078E"/>
    <w:rsid w:val="005216C6"/>
    <w:rsid w:val="00521F92"/>
    <w:rsid w:val="0052255E"/>
    <w:rsid w:val="00523214"/>
    <w:rsid w:val="00523BE3"/>
    <w:rsid w:val="00524C26"/>
    <w:rsid w:val="0052697A"/>
    <w:rsid w:val="00527183"/>
    <w:rsid w:val="005274E9"/>
    <w:rsid w:val="00527EAC"/>
    <w:rsid w:val="00530050"/>
    <w:rsid w:val="0053065F"/>
    <w:rsid w:val="00532260"/>
    <w:rsid w:val="00532F1E"/>
    <w:rsid w:val="005339C0"/>
    <w:rsid w:val="00537CE8"/>
    <w:rsid w:val="00540B05"/>
    <w:rsid w:val="00541312"/>
    <w:rsid w:val="0054274A"/>
    <w:rsid w:val="0054287F"/>
    <w:rsid w:val="0054304C"/>
    <w:rsid w:val="005431DB"/>
    <w:rsid w:val="00546292"/>
    <w:rsid w:val="00546B07"/>
    <w:rsid w:val="00547E10"/>
    <w:rsid w:val="00550307"/>
    <w:rsid w:val="00550647"/>
    <w:rsid w:val="00550C29"/>
    <w:rsid w:val="00550CBB"/>
    <w:rsid w:val="00553181"/>
    <w:rsid w:val="00553421"/>
    <w:rsid w:val="00553C46"/>
    <w:rsid w:val="005541A1"/>
    <w:rsid w:val="00554C9E"/>
    <w:rsid w:val="005550E9"/>
    <w:rsid w:val="0055692F"/>
    <w:rsid w:val="005608D3"/>
    <w:rsid w:val="00560EA4"/>
    <w:rsid w:val="00561062"/>
    <w:rsid w:val="0056339D"/>
    <w:rsid w:val="00563816"/>
    <w:rsid w:val="00563B1B"/>
    <w:rsid w:val="00563F65"/>
    <w:rsid w:val="0056618B"/>
    <w:rsid w:val="00566FCA"/>
    <w:rsid w:val="00567084"/>
    <w:rsid w:val="00567242"/>
    <w:rsid w:val="0057040C"/>
    <w:rsid w:val="00570FD7"/>
    <w:rsid w:val="0057310C"/>
    <w:rsid w:val="005743C8"/>
    <w:rsid w:val="00574C56"/>
    <w:rsid w:val="0057655E"/>
    <w:rsid w:val="005770A6"/>
    <w:rsid w:val="005779EB"/>
    <w:rsid w:val="00577EB4"/>
    <w:rsid w:val="005808E5"/>
    <w:rsid w:val="00580DCF"/>
    <w:rsid w:val="005812FC"/>
    <w:rsid w:val="005815AE"/>
    <w:rsid w:val="005817B7"/>
    <w:rsid w:val="00581DE8"/>
    <w:rsid w:val="0058221B"/>
    <w:rsid w:val="0058264A"/>
    <w:rsid w:val="00582730"/>
    <w:rsid w:val="00583432"/>
    <w:rsid w:val="00583A10"/>
    <w:rsid w:val="00583FB9"/>
    <w:rsid w:val="005845B0"/>
    <w:rsid w:val="00585ADB"/>
    <w:rsid w:val="00585EFE"/>
    <w:rsid w:val="00587978"/>
    <w:rsid w:val="00591A24"/>
    <w:rsid w:val="005922F8"/>
    <w:rsid w:val="00592428"/>
    <w:rsid w:val="00594BB7"/>
    <w:rsid w:val="0059557F"/>
    <w:rsid w:val="005959F4"/>
    <w:rsid w:val="00595F6E"/>
    <w:rsid w:val="00596833"/>
    <w:rsid w:val="00596C74"/>
    <w:rsid w:val="00596F81"/>
    <w:rsid w:val="005A16AC"/>
    <w:rsid w:val="005A2BC0"/>
    <w:rsid w:val="005A3D08"/>
    <w:rsid w:val="005B0335"/>
    <w:rsid w:val="005B1033"/>
    <w:rsid w:val="005B2C73"/>
    <w:rsid w:val="005B4BB3"/>
    <w:rsid w:val="005B4C87"/>
    <w:rsid w:val="005B506B"/>
    <w:rsid w:val="005B5B08"/>
    <w:rsid w:val="005B6131"/>
    <w:rsid w:val="005B6CE2"/>
    <w:rsid w:val="005B6E60"/>
    <w:rsid w:val="005C03E3"/>
    <w:rsid w:val="005C1A0C"/>
    <w:rsid w:val="005C1D89"/>
    <w:rsid w:val="005C42DB"/>
    <w:rsid w:val="005C4E92"/>
    <w:rsid w:val="005C67F1"/>
    <w:rsid w:val="005C7EB0"/>
    <w:rsid w:val="005D0A6B"/>
    <w:rsid w:val="005D16F4"/>
    <w:rsid w:val="005D2079"/>
    <w:rsid w:val="005D24FB"/>
    <w:rsid w:val="005D2C30"/>
    <w:rsid w:val="005D3098"/>
    <w:rsid w:val="005D4110"/>
    <w:rsid w:val="005D5400"/>
    <w:rsid w:val="005D5A2D"/>
    <w:rsid w:val="005D601D"/>
    <w:rsid w:val="005E03CF"/>
    <w:rsid w:val="005E05DA"/>
    <w:rsid w:val="005E0A8E"/>
    <w:rsid w:val="005E1049"/>
    <w:rsid w:val="005E10CF"/>
    <w:rsid w:val="005E16A9"/>
    <w:rsid w:val="005E4731"/>
    <w:rsid w:val="005E637F"/>
    <w:rsid w:val="005E6ADD"/>
    <w:rsid w:val="005F09BE"/>
    <w:rsid w:val="005F1D9E"/>
    <w:rsid w:val="005F239C"/>
    <w:rsid w:val="005F4634"/>
    <w:rsid w:val="005F50B5"/>
    <w:rsid w:val="005F541A"/>
    <w:rsid w:val="005F58A4"/>
    <w:rsid w:val="005F648F"/>
    <w:rsid w:val="005F65B4"/>
    <w:rsid w:val="005F68BF"/>
    <w:rsid w:val="005F6AD9"/>
    <w:rsid w:val="00600227"/>
    <w:rsid w:val="00601E6F"/>
    <w:rsid w:val="00601FD6"/>
    <w:rsid w:val="00602237"/>
    <w:rsid w:val="00603149"/>
    <w:rsid w:val="00603229"/>
    <w:rsid w:val="00604DD6"/>
    <w:rsid w:val="0060556B"/>
    <w:rsid w:val="00605E98"/>
    <w:rsid w:val="006065C6"/>
    <w:rsid w:val="0060723E"/>
    <w:rsid w:val="0061221F"/>
    <w:rsid w:val="0061254A"/>
    <w:rsid w:val="00612737"/>
    <w:rsid w:val="006127DC"/>
    <w:rsid w:val="0061371D"/>
    <w:rsid w:val="00615F7D"/>
    <w:rsid w:val="006162E3"/>
    <w:rsid w:val="006174BC"/>
    <w:rsid w:val="006174F7"/>
    <w:rsid w:val="00617F7A"/>
    <w:rsid w:val="006206B5"/>
    <w:rsid w:val="0062120A"/>
    <w:rsid w:val="006220B1"/>
    <w:rsid w:val="00622BDA"/>
    <w:rsid w:val="006231DA"/>
    <w:rsid w:val="00623E8D"/>
    <w:rsid w:val="0062611F"/>
    <w:rsid w:val="00626A7A"/>
    <w:rsid w:val="00626D7E"/>
    <w:rsid w:val="006302E0"/>
    <w:rsid w:val="006313BA"/>
    <w:rsid w:val="00631593"/>
    <w:rsid w:val="0063365D"/>
    <w:rsid w:val="00633C6A"/>
    <w:rsid w:val="00634D44"/>
    <w:rsid w:val="0063618E"/>
    <w:rsid w:val="006370C4"/>
    <w:rsid w:val="00637A75"/>
    <w:rsid w:val="006409E5"/>
    <w:rsid w:val="0064100C"/>
    <w:rsid w:val="00642BCB"/>
    <w:rsid w:val="00650D66"/>
    <w:rsid w:val="006516DF"/>
    <w:rsid w:val="00651A35"/>
    <w:rsid w:val="00653F74"/>
    <w:rsid w:val="00654AD4"/>
    <w:rsid w:val="00655400"/>
    <w:rsid w:val="00656A29"/>
    <w:rsid w:val="00657425"/>
    <w:rsid w:val="00657AC9"/>
    <w:rsid w:val="00657C5F"/>
    <w:rsid w:val="0066271A"/>
    <w:rsid w:val="006646C2"/>
    <w:rsid w:val="006656A3"/>
    <w:rsid w:val="00665EBB"/>
    <w:rsid w:val="00666D62"/>
    <w:rsid w:val="00666EFB"/>
    <w:rsid w:val="00671A2B"/>
    <w:rsid w:val="00673443"/>
    <w:rsid w:val="00674739"/>
    <w:rsid w:val="00674750"/>
    <w:rsid w:val="0067589B"/>
    <w:rsid w:val="00675E6C"/>
    <w:rsid w:val="006762A4"/>
    <w:rsid w:val="00676F53"/>
    <w:rsid w:val="00680D66"/>
    <w:rsid w:val="00681A8D"/>
    <w:rsid w:val="00681E13"/>
    <w:rsid w:val="00682428"/>
    <w:rsid w:val="0068267F"/>
    <w:rsid w:val="00682ABB"/>
    <w:rsid w:val="006830D1"/>
    <w:rsid w:val="00683169"/>
    <w:rsid w:val="00683405"/>
    <w:rsid w:val="00683AC2"/>
    <w:rsid w:val="00683CC9"/>
    <w:rsid w:val="00684304"/>
    <w:rsid w:val="00685323"/>
    <w:rsid w:val="006853C2"/>
    <w:rsid w:val="006856FD"/>
    <w:rsid w:val="006863D3"/>
    <w:rsid w:val="00686E13"/>
    <w:rsid w:val="00687AF2"/>
    <w:rsid w:val="006909BB"/>
    <w:rsid w:val="00690FD7"/>
    <w:rsid w:val="006920E9"/>
    <w:rsid w:val="006925D5"/>
    <w:rsid w:val="00692727"/>
    <w:rsid w:val="0069466E"/>
    <w:rsid w:val="00694C80"/>
    <w:rsid w:val="00694FA6"/>
    <w:rsid w:val="00695EFD"/>
    <w:rsid w:val="006974DD"/>
    <w:rsid w:val="006A17F1"/>
    <w:rsid w:val="006A33E4"/>
    <w:rsid w:val="006A4A79"/>
    <w:rsid w:val="006A6791"/>
    <w:rsid w:val="006A6AF6"/>
    <w:rsid w:val="006A775F"/>
    <w:rsid w:val="006B0DA6"/>
    <w:rsid w:val="006B0F40"/>
    <w:rsid w:val="006B2FB9"/>
    <w:rsid w:val="006B36A0"/>
    <w:rsid w:val="006B379B"/>
    <w:rsid w:val="006B3BEE"/>
    <w:rsid w:val="006B40EE"/>
    <w:rsid w:val="006B5BDF"/>
    <w:rsid w:val="006B6B05"/>
    <w:rsid w:val="006B758B"/>
    <w:rsid w:val="006C045F"/>
    <w:rsid w:val="006C1DAE"/>
    <w:rsid w:val="006C1FF7"/>
    <w:rsid w:val="006C2BB6"/>
    <w:rsid w:val="006C3329"/>
    <w:rsid w:val="006C3436"/>
    <w:rsid w:val="006C34C3"/>
    <w:rsid w:val="006C3A92"/>
    <w:rsid w:val="006C47D3"/>
    <w:rsid w:val="006C4EDC"/>
    <w:rsid w:val="006C5275"/>
    <w:rsid w:val="006C5B63"/>
    <w:rsid w:val="006C7517"/>
    <w:rsid w:val="006D0E45"/>
    <w:rsid w:val="006D210A"/>
    <w:rsid w:val="006D27EF"/>
    <w:rsid w:val="006D296F"/>
    <w:rsid w:val="006D29D1"/>
    <w:rsid w:val="006D3B02"/>
    <w:rsid w:val="006D4463"/>
    <w:rsid w:val="006D5D40"/>
    <w:rsid w:val="006D6F64"/>
    <w:rsid w:val="006D7F0F"/>
    <w:rsid w:val="006E06DE"/>
    <w:rsid w:val="006E0F75"/>
    <w:rsid w:val="006E1EE0"/>
    <w:rsid w:val="006E33AF"/>
    <w:rsid w:val="006E3650"/>
    <w:rsid w:val="006E3DF2"/>
    <w:rsid w:val="006E412C"/>
    <w:rsid w:val="006E41B4"/>
    <w:rsid w:val="006E44D8"/>
    <w:rsid w:val="006E50AC"/>
    <w:rsid w:val="006E53AE"/>
    <w:rsid w:val="006E707B"/>
    <w:rsid w:val="006E7DCE"/>
    <w:rsid w:val="006F0161"/>
    <w:rsid w:val="006F1296"/>
    <w:rsid w:val="006F23CD"/>
    <w:rsid w:val="006F2588"/>
    <w:rsid w:val="006F2647"/>
    <w:rsid w:val="006F40B7"/>
    <w:rsid w:val="006F45A7"/>
    <w:rsid w:val="006F46F4"/>
    <w:rsid w:val="006F470E"/>
    <w:rsid w:val="006F5ADB"/>
    <w:rsid w:val="00700340"/>
    <w:rsid w:val="00701139"/>
    <w:rsid w:val="00702EAA"/>
    <w:rsid w:val="00703228"/>
    <w:rsid w:val="00703A9A"/>
    <w:rsid w:val="00705091"/>
    <w:rsid w:val="00705E6D"/>
    <w:rsid w:val="00706DF3"/>
    <w:rsid w:val="00706F7F"/>
    <w:rsid w:val="00711E7C"/>
    <w:rsid w:val="00712D6F"/>
    <w:rsid w:val="0071574F"/>
    <w:rsid w:val="00720951"/>
    <w:rsid w:val="0072170F"/>
    <w:rsid w:val="007218DF"/>
    <w:rsid w:val="00721DCB"/>
    <w:rsid w:val="0072585B"/>
    <w:rsid w:val="0072614C"/>
    <w:rsid w:val="0072660C"/>
    <w:rsid w:val="0072724A"/>
    <w:rsid w:val="007272CD"/>
    <w:rsid w:val="007307F1"/>
    <w:rsid w:val="00730E55"/>
    <w:rsid w:val="00731741"/>
    <w:rsid w:val="007317E8"/>
    <w:rsid w:val="00732AB3"/>
    <w:rsid w:val="00733656"/>
    <w:rsid w:val="00733949"/>
    <w:rsid w:val="007346E8"/>
    <w:rsid w:val="007352ED"/>
    <w:rsid w:val="007355E9"/>
    <w:rsid w:val="00735690"/>
    <w:rsid w:val="007370BE"/>
    <w:rsid w:val="00737A64"/>
    <w:rsid w:val="00737B5E"/>
    <w:rsid w:val="00737F89"/>
    <w:rsid w:val="00740B03"/>
    <w:rsid w:val="00744C00"/>
    <w:rsid w:val="00744E1A"/>
    <w:rsid w:val="0074540D"/>
    <w:rsid w:val="007472E9"/>
    <w:rsid w:val="007477AA"/>
    <w:rsid w:val="007512F8"/>
    <w:rsid w:val="00754F6F"/>
    <w:rsid w:val="007551AA"/>
    <w:rsid w:val="007553D8"/>
    <w:rsid w:val="007569C6"/>
    <w:rsid w:val="00757580"/>
    <w:rsid w:val="00761D41"/>
    <w:rsid w:val="00762508"/>
    <w:rsid w:val="00762ED8"/>
    <w:rsid w:val="007639EE"/>
    <w:rsid w:val="00764FF8"/>
    <w:rsid w:val="007658E6"/>
    <w:rsid w:val="00765BD6"/>
    <w:rsid w:val="0076716E"/>
    <w:rsid w:val="00767712"/>
    <w:rsid w:val="00770490"/>
    <w:rsid w:val="00772A37"/>
    <w:rsid w:val="00773EB5"/>
    <w:rsid w:val="00775363"/>
    <w:rsid w:val="00775E37"/>
    <w:rsid w:val="00776210"/>
    <w:rsid w:val="0077683D"/>
    <w:rsid w:val="00777058"/>
    <w:rsid w:val="00777191"/>
    <w:rsid w:val="0077750C"/>
    <w:rsid w:val="00777791"/>
    <w:rsid w:val="007807D5"/>
    <w:rsid w:val="00781490"/>
    <w:rsid w:val="00781E5C"/>
    <w:rsid w:val="0078264E"/>
    <w:rsid w:val="007832C5"/>
    <w:rsid w:val="00783B66"/>
    <w:rsid w:val="007840B6"/>
    <w:rsid w:val="0078611B"/>
    <w:rsid w:val="0078731E"/>
    <w:rsid w:val="007909B6"/>
    <w:rsid w:val="00790FB1"/>
    <w:rsid w:val="00790FD3"/>
    <w:rsid w:val="00791B73"/>
    <w:rsid w:val="00793566"/>
    <w:rsid w:val="007962DD"/>
    <w:rsid w:val="00796FA7"/>
    <w:rsid w:val="007A3EF5"/>
    <w:rsid w:val="007A5852"/>
    <w:rsid w:val="007A6B53"/>
    <w:rsid w:val="007A7AF5"/>
    <w:rsid w:val="007B0E83"/>
    <w:rsid w:val="007B2704"/>
    <w:rsid w:val="007B3024"/>
    <w:rsid w:val="007B369D"/>
    <w:rsid w:val="007B4252"/>
    <w:rsid w:val="007B426C"/>
    <w:rsid w:val="007B4A15"/>
    <w:rsid w:val="007B5441"/>
    <w:rsid w:val="007B5AB7"/>
    <w:rsid w:val="007B6255"/>
    <w:rsid w:val="007B68D5"/>
    <w:rsid w:val="007B758F"/>
    <w:rsid w:val="007B7F45"/>
    <w:rsid w:val="007C0307"/>
    <w:rsid w:val="007C120F"/>
    <w:rsid w:val="007C185A"/>
    <w:rsid w:val="007C1E91"/>
    <w:rsid w:val="007C2DFA"/>
    <w:rsid w:val="007C3685"/>
    <w:rsid w:val="007C3A1D"/>
    <w:rsid w:val="007C44A4"/>
    <w:rsid w:val="007C49F4"/>
    <w:rsid w:val="007C4AF1"/>
    <w:rsid w:val="007C4AFE"/>
    <w:rsid w:val="007C58A9"/>
    <w:rsid w:val="007C5DC3"/>
    <w:rsid w:val="007C6077"/>
    <w:rsid w:val="007C61A1"/>
    <w:rsid w:val="007C6785"/>
    <w:rsid w:val="007C71F9"/>
    <w:rsid w:val="007C7F06"/>
    <w:rsid w:val="007C7F32"/>
    <w:rsid w:val="007C7FB8"/>
    <w:rsid w:val="007D02C4"/>
    <w:rsid w:val="007D06E0"/>
    <w:rsid w:val="007D2972"/>
    <w:rsid w:val="007D2C27"/>
    <w:rsid w:val="007D5B1B"/>
    <w:rsid w:val="007D63CB"/>
    <w:rsid w:val="007D6EA2"/>
    <w:rsid w:val="007E3938"/>
    <w:rsid w:val="007E3B8A"/>
    <w:rsid w:val="007E4044"/>
    <w:rsid w:val="007E43D9"/>
    <w:rsid w:val="007E4A66"/>
    <w:rsid w:val="007F0D4D"/>
    <w:rsid w:val="007F2BC8"/>
    <w:rsid w:val="007F2D08"/>
    <w:rsid w:val="007F333B"/>
    <w:rsid w:val="007F439F"/>
    <w:rsid w:val="007F674E"/>
    <w:rsid w:val="007F6851"/>
    <w:rsid w:val="007F7467"/>
    <w:rsid w:val="007F7BB4"/>
    <w:rsid w:val="007F7EDA"/>
    <w:rsid w:val="0080039A"/>
    <w:rsid w:val="0080085B"/>
    <w:rsid w:val="00800865"/>
    <w:rsid w:val="008015D3"/>
    <w:rsid w:val="008056AD"/>
    <w:rsid w:val="00806C93"/>
    <w:rsid w:val="00810215"/>
    <w:rsid w:val="00810230"/>
    <w:rsid w:val="00810561"/>
    <w:rsid w:val="00812C33"/>
    <w:rsid w:val="00812CE2"/>
    <w:rsid w:val="00813A4B"/>
    <w:rsid w:val="00816579"/>
    <w:rsid w:val="00816F16"/>
    <w:rsid w:val="00816F6B"/>
    <w:rsid w:val="00817384"/>
    <w:rsid w:val="0082044D"/>
    <w:rsid w:val="00821EAB"/>
    <w:rsid w:val="008230FC"/>
    <w:rsid w:val="00824006"/>
    <w:rsid w:val="008247AB"/>
    <w:rsid w:val="0082754E"/>
    <w:rsid w:val="008275D7"/>
    <w:rsid w:val="00831ACF"/>
    <w:rsid w:val="008320F7"/>
    <w:rsid w:val="00832488"/>
    <w:rsid w:val="008333B0"/>
    <w:rsid w:val="008334AA"/>
    <w:rsid w:val="00833B6B"/>
    <w:rsid w:val="00833FC7"/>
    <w:rsid w:val="008347E7"/>
    <w:rsid w:val="00835090"/>
    <w:rsid w:val="00835818"/>
    <w:rsid w:val="008365B4"/>
    <w:rsid w:val="00840090"/>
    <w:rsid w:val="00840944"/>
    <w:rsid w:val="00840D92"/>
    <w:rsid w:val="00841284"/>
    <w:rsid w:val="008427BE"/>
    <w:rsid w:val="00842D77"/>
    <w:rsid w:val="00843BEF"/>
    <w:rsid w:val="008446DD"/>
    <w:rsid w:val="008446F7"/>
    <w:rsid w:val="00844B13"/>
    <w:rsid w:val="00846F5B"/>
    <w:rsid w:val="00847022"/>
    <w:rsid w:val="00850293"/>
    <w:rsid w:val="0085058E"/>
    <w:rsid w:val="008505B6"/>
    <w:rsid w:val="00850A78"/>
    <w:rsid w:val="00851175"/>
    <w:rsid w:val="00851B09"/>
    <w:rsid w:val="008522EB"/>
    <w:rsid w:val="0085488E"/>
    <w:rsid w:val="0085663A"/>
    <w:rsid w:val="008575B2"/>
    <w:rsid w:val="00862B7C"/>
    <w:rsid w:val="00863464"/>
    <w:rsid w:val="00864D7E"/>
    <w:rsid w:val="0086502F"/>
    <w:rsid w:val="00865A15"/>
    <w:rsid w:val="00865E70"/>
    <w:rsid w:val="0086672A"/>
    <w:rsid w:val="00870B9F"/>
    <w:rsid w:val="00871850"/>
    <w:rsid w:val="00874039"/>
    <w:rsid w:val="00874BE2"/>
    <w:rsid w:val="00874E95"/>
    <w:rsid w:val="008755B2"/>
    <w:rsid w:val="0087623D"/>
    <w:rsid w:val="008768C8"/>
    <w:rsid w:val="00877821"/>
    <w:rsid w:val="00877E69"/>
    <w:rsid w:val="00882682"/>
    <w:rsid w:val="00882C77"/>
    <w:rsid w:val="0088333E"/>
    <w:rsid w:val="00884D0D"/>
    <w:rsid w:val="00884E31"/>
    <w:rsid w:val="00885D82"/>
    <w:rsid w:val="008860A3"/>
    <w:rsid w:val="008862F9"/>
    <w:rsid w:val="00887717"/>
    <w:rsid w:val="008877E2"/>
    <w:rsid w:val="00890EC0"/>
    <w:rsid w:val="008912DD"/>
    <w:rsid w:val="00892B9B"/>
    <w:rsid w:val="00893E91"/>
    <w:rsid w:val="00895B4E"/>
    <w:rsid w:val="00895CF7"/>
    <w:rsid w:val="00897BB4"/>
    <w:rsid w:val="008A0685"/>
    <w:rsid w:val="008A24B0"/>
    <w:rsid w:val="008A26C2"/>
    <w:rsid w:val="008A31A0"/>
    <w:rsid w:val="008A637B"/>
    <w:rsid w:val="008A702F"/>
    <w:rsid w:val="008B14D2"/>
    <w:rsid w:val="008B185D"/>
    <w:rsid w:val="008B1A0B"/>
    <w:rsid w:val="008B2F8B"/>
    <w:rsid w:val="008B5252"/>
    <w:rsid w:val="008C1488"/>
    <w:rsid w:val="008C2534"/>
    <w:rsid w:val="008C4F66"/>
    <w:rsid w:val="008C53A6"/>
    <w:rsid w:val="008C5690"/>
    <w:rsid w:val="008C5715"/>
    <w:rsid w:val="008C5824"/>
    <w:rsid w:val="008C6445"/>
    <w:rsid w:val="008C6BCB"/>
    <w:rsid w:val="008C75F5"/>
    <w:rsid w:val="008D049B"/>
    <w:rsid w:val="008D1B5B"/>
    <w:rsid w:val="008D1F3D"/>
    <w:rsid w:val="008D2C22"/>
    <w:rsid w:val="008D3196"/>
    <w:rsid w:val="008D501A"/>
    <w:rsid w:val="008D5726"/>
    <w:rsid w:val="008D5F06"/>
    <w:rsid w:val="008D7B8A"/>
    <w:rsid w:val="008E13BD"/>
    <w:rsid w:val="008E19D5"/>
    <w:rsid w:val="008E307A"/>
    <w:rsid w:val="008E3C96"/>
    <w:rsid w:val="008E458B"/>
    <w:rsid w:val="008E4743"/>
    <w:rsid w:val="008E47A2"/>
    <w:rsid w:val="008E4F28"/>
    <w:rsid w:val="008E6B7B"/>
    <w:rsid w:val="008F081F"/>
    <w:rsid w:val="008F102F"/>
    <w:rsid w:val="008F1420"/>
    <w:rsid w:val="008F14BA"/>
    <w:rsid w:val="008F2217"/>
    <w:rsid w:val="008F2991"/>
    <w:rsid w:val="008F42A7"/>
    <w:rsid w:val="008F5898"/>
    <w:rsid w:val="008F64F7"/>
    <w:rsid w:val="008F66D7"/>
    <w:rsid w:val="008F7066"/>
    <w:rsid w:val="009009BA"/>
    <w:rsid w:val="00900CCB"/>
    <w:rsid w:val="00901586"/>
    <w:rsid w:val="00901FA0"/>
    <w:rsid w:val="00904370"/>
    <w:rsid w:val="00904B9A"/>
    <w:rsid w:val="00906196"/>
    <w:rsid w:val="00906AA5"/>
    <w:rsid w:val="009075BC"/>
    <w:rsid w:val="00907CFD"/>
    <w:rsid w:val="009109F9"/>
    <w:rsid w:val="00910A43"/>
    <w:rsid w:val="009126A7"/>
    <w:rsid w:val="0091280B"/>
    <w:rsid w:val="0091286C"/>
    <w:rsid w:val="00913E21"/>
    <w:rsid w:val="009169E6"/>
    <w:rsid w:val="009200A5"/>
    <w:rsid w:val="0092054A"/>
    <w:rsid w:val="0092094F"/>
    <w:rsid w:val="00920C67"/>
    <w:rsid w:val="00921157"/>
    <w:rsid w:val="00921373"/>
    <w:rsid w:val="00921674"/>
    <w:rsid w:val="00922026"/>
    <w:rsid w:val="009224A4"/>
    <w:rsid w:val="0092256B"/>
    <w:rsid w:val="00924B82"/>
    <w:rsid w:val="00924E63"/>
    <w:rsid w:val="00924F2B"/>
    <w:rsid w:val="00925B98"/>
    <w:rsid w:val="00926C52"/>
    <w:rsid w:val="009279B2"/>
    <w:rsid w:val="00927D2E"/>
    <w:rsid w:val="00930241"/>
    <w:rsid w:val="00930300"/>
    <w:rsid w:val="0093075D"/>
    <w:rsid w:val="00931029"/>
    <w:rsid w:val="0093107B"/>
    <w:rsid w:val="009310B3"/>
    <w:rsid w:val="0093166B"/>
    <w:rsid w:val="00931CF3"/>
    <w:rsid w:val="00933165"/>
    <w:rsid w:val="00935709"/>
    <w:rsid w:val="0093793F"/>
    <w:rsid w:val="00937FA4"/>
    <w:rsid w:val="00940781"/>
    <w:rsid w:val="00940BFE"/>
    <w:rsid w:val="009420F3"/>
    <w:rsid w:val="0094321E"/>
    <w:rsid w:val="00944DD0"/>
    <w:rsid w:val="009450B1"/>
    <w:rsid w:val="009458F6"/>
    <w:rsid w:val="009462A5"/>
    <w:rsid w:val="0094745E"/>
    <w:rsid w:val="00947AEF"/>
    <w:rsid w:val="00947DEF"/>
    <w:rsid w:val="00951BA4"/>
    <w:rsid w:val="0095263F"/>
    <w:rsid w:val="00953F43"/>
    <w:rsid w:val="00954679"/>
    <w:rsid w:val="0095734F"/>
    <w:rsid w:val="00957865"/>
    <w:rsid w:val="00957D14"/>
    <w:rsid w:val="00960090"/>
    <w:rsid w:val="009604AB"/>
    <w:rsid w:val="00960527"/>
    <w:rsid w:val="00960668"/>
    <w:rsid w:val="00960A30"/>
    <w:rsid w:val="009628B6"/>
    <w:rsid w:val="00962CFE"/>
    <w:rsid w:val="00962F9C"/>
    <w:rsid w:val="00963478"/>
    <w:rsid w:val="009643E7"/>
    <w:rsid w:val="009648E9"/>
    <w:rsid w:val="009650B4"/>
    <w:rsid w:val="009667BA"/>
    <w:rsid w:val="00966B2E"/>
    <w:rsid w:val="00966BB5"/>
    <w:rsid w:val="0096782E"/>
    <w:rsid w:val="00967FE2"/>
    <w:rsid w:val="0097051B"/>
    <w:rsid w:val="00970640"/>
    <w:rsid w:val="00971F90"/>
    <w:rsid w:val="009726C2"/>
    <w:rsid w:val="00973E93"/>
    <w:rsid w:val="009749EA"/>
    <w:rsid w:val="00974A45"/>
    <w:rsid w:val="00975036"/>
    <w:rsid w:val="009750EF"/>
    <w:rsid w:val="009767E1"/>
    <w:rsid w:val="00981A3B"/>
    <w:rsid w:val="00983C46"/>
    <w:rsid w:val="0098447A"/>
    <w:rsid w:val="009845BE"/>
    <w:rsid w:val="00984837"/>
    <w:rsid w:val="00984B8A"/>
    <w:rsid w:val="00985FBC"/>
    <w:rsid w:val="00986C77"/>
    <w:rsid w:val="00987138"/>
    <w:rsid w:val="00987A0D"/>
    <w:rsid w:val="00991440"/>
    <w:rsid w:val="00993172"/>
    <w:rsid w:val="009942ED"/>
    <w:rsid w:val="009954EB"/>
    <w:rsid w:val="00995FEE"/>
    <w:rsid w:val="0099646F"/>
    <w:rsid w:val="00996E41"/>
    <w:rsid w:val="00997253"/>
    <w:rsid w:val="00997F57"/>
    <w:rsid w:val="009A0558"/>
    <w:rsid w:val="009A1035"/>
    <w:rsid w:val="009A180A"/>
    <w:rsid w:val="009A244F"/>
    <w:rsid w:val="009A416E"/>
    <w:rsid w:val="009A477A"/>
    <w:rsid w:val="009A56C2"/>
    <w:rsid w:val="009A6B13"/>
    <w:rsid w:val="009A7A5A"/>
    <w:rsid w:val="009B06E6"/>
    <w:rsid w:val="009B0CC1"/>
    <w:rsid w:val="009B22E8"/>
    <w:rsid w:val="009B2B5B"/>
    <w:rsid w:val="009B4F60"/>
    <w:rsid w:val="009B63D8"/>
    <w:rsid w:val="009B7744"/>
    <w:rsid w:val="009C051D"/>
    <w:rsid w:val="009C1883"/>
    <w:rsid w:val="009C18E1"/>
    <w:rsid w:val="009C2442"/>
    <w:rsid w:val="009C2616"/>
    <w:rsid w:val="009C2742"/>
    <w:rsid w:val="009C2F58"/>
    <w:rsid w:val="009C4330"/>
    <w:rsid w:val="009C4B52"/>
    <w:rsid w:val="009C59D4"/>
    <w:rsid w:val="009C61D6"/>
    <w:rsid w:val="009D0875"/>
    <w:rsid w:val="009D100B"/>
    <w:rsid w:val="009D46DC"/>
    <w:rsid w:val="009D5986"/>
    <w:rsid w:val="009E1198"/>
    <w:rsid w:val="009E3E9D"/>
    <w:rsid w:val="009E482A"/>
    <w:rsid w:val="009E5A65"/>
    <w:rsid w:val="009E76B7"/>
    <w:rsid w:val="009E7B69"/>
    <w:rsid w:val="009E7D5D"/>
    <w:rsid w:val="009F013A"/>
    <w:rsid w:val="009F0223"/>
    <w:rsid w:val="009F050C"/>
    <w:rsid w:val="009F0D1D"/>
    <w:rsid w:val="009F4BBF"/>
    <w:rsid w:val="009F6924"/>
    <w:rsid w:val="009F6ABB"/>
    <w:rsid w:val="009F77F1"/>
    <w:rsid w:val="009F785A"/>
    <w:rsid w:val="009F79E5"/>
    <w:rsid w:val="00A006E6"/>
    <w:rsid w:val="00A007A0"/>
    <w:rsid w:val="00A00F88"/>
    <w:rsid w:val="00A027F4"/>
    <w:rsid w:val="00A02FB4"/>
    <w:rsid w:val="00A039B0"/>
    <w:rsid w:val="00A062BF"/>
    <w:rsid w:val="00A10DF4"/>
    <w:rsid w:val="00A110B1"/>
    <w:rsid w:val="00A12619"/>
    <w:rsid w:val="00A14505"/>
    <w:rsid w:val="00A14FC5"/>
    <w:rsid w:val="00A15B01"/>
    <w:rsid w:val="00A2012C"/>
    <w:rsid w:val="00A2126C"/>
    <w:rsid w:val="00A21A05"/>
    <w:rsid w:val="00A22BAF"/>
    <w:rsid w:val="00A23C8E"/>
    <w:rsid w:val="00A26EB3"/>
    <w:rsid w:val="00A276EA"/>
    <w:rsid w:val="00A27CDA"/>
    <w:rsid w:val="00A27DCA"/>
    <w:rsid w:val="00A335B0"/>
    <w:rsid w:val="00A34189"/>
    <w:rsid w:val="00A34E78"/>
    <w:rsid w:val="00A354ED"/>
    <w:rsid w:val="00A35673"/>
    <w:rsid w:val="00A35F4D"/>
    <w:rsid w:val="00A36CD7"/>
    <w:rsid w:val="00A36E88"/>
    <w:rsid w:val="00A37F56"/>
    <w:rsid w:val="00A40DB2"/>
    <w:rsid w:val="00A440D9"/>
    <w:rsid w:val="00A4514C"/>
    <w:rsid w:val="00A457E3"/>
    <w:rsid w:val="00A47409"/>
    <w:rsid w:val="00A50320"/>
    <w:rsid w:val="00A50FD3"/>
    <w:rsid w:val="00A519B3"/>
    <w:rsid w:val="00A51B6C"/>
    <w:rsid w:val="00A51FD6"/>
    <w:rsid w:val="00A529A4"/>
    <w:rsid w:val="00A52F1B"/>
    <w:rsid w:val="00A53130"/>
    <w:rsid w:val="00A53F9B"/>
    <w:rsid w:val="00A54535"/>
    <w:rsid w:val="00A54E14"/>
    <w:rsid w:val="00A56022"/>
    <w:rsid w:val="00A56E6D"/>
    <w:rsid w:val="00A60188"/>
    <w:rsid w:val="00A613A4"/>
    <w:rsid w:val="00A62F93"/>
    <w:rsid w:val="00A63445"/>
    <w:rsid w:val="00A63ABB"/>
    <w:rsid w:val="00A6479E"/>
    <w:rsid w:val="00A64932"/>
    <w:rsid w:val="00A7017C"/>
    <w:rsid w:val="00A707CC"/>
    <w:rsid w:val="00A71063"/>
    <w:rsid w:val="00A718E5"/>
    <w:rsid w:val="00A71C3C"/>
    <w:rsid w:val="00A72EE6"/>
    <w:rsid w:val="00A730AB"/>
    <w:rsid w:val="00A742BE"/>
    <w:rsid w:val="00A74B91"/>
    <w:rsid w:val="00A75564"/>
    <w:rsid w:val="00A756E2"/>
    <w:rsid w:val="00A76BAD"/>
    <w:rsid w:val="00A80493"/>
    <w:rsid w:val="00A80B30"/>
    <w:rsid w:val="00A80F56"/>
    <w:rsid w:val="00A81384"/>
    <w:rsid w:val="00A81600"/>
    <w:rsid w:val="00A81758"/>
    <w:rsid w:val="00A81885"/>
    <w:rsid w:val="00A828DB"/>
    <w:rsid w:val="00A83095"/>
    <w:rsid w:val="00A836AD"/>
    <w:rsid w:val="00A83CD8"/>
    <w:rsid w:val="00A84D06"/>
    <w:rsid w:val="00A85A86"/>
    <w:rsid w:val="00A85AAF"/>
    <w:rsid w:val="00A86514"/>
    <w:rsid w:val="00A877D5"/>
    <w:rsid w:val="00A91A79"/>
    <w:rsid w:val="00A91F07"/>
    <w:rsid w:val="00A92778"/>
    <w:rsid w:val="00A92903"/>
    <w:rsid w:val="00A93242"/>
    <w:rsid w:val="00A948A2"/>
    <w:rsid w:val="00A94B75"/>
    <w:rsid w:val="00A94D96"/>
    <w:rsid w:val="00A94EF1"/>
    <w:rsid w:val="00A94F27"/>
    <w:rsid w:val="00A96CBD"/>
    <w:rsid w:val="00AA3A6E"/>
    <w:rsid w:val="00AA4C0D"/>
    <w:rsid w:val="00AA5C4C"/>
    <w:rsid w:val="00AA5D26"/>
    <w:rsid w:val="00AA64C1"/>
    <w:rsid w:val="00AA6DAF"/>
    <w:rsid w:val="00AA7C4E"/>
    <w:rsid w:val="00AB0B58"/>
    <w:rsid w:val="00AB34C2"/>
    <w:rsid w:val="00AB3B07"/>
    <w:rsid w:val="00AB4BD5"/>
    <w:rsid w:val="00AB6B3C"/>
    <w:rsid w:val="00AB730F"/>
    <w:rsid w:val="00AB7491"/>
    <w:rsid w:val="00AC089F"/>
    <w:rsid w:val="00AC0D27"/>
    <w:rsid w:val="00AC4DDD"/>
    <w:rsid w:val="00AC6776"/>
    <w:rsid w:val="00AC6A01"/>
    <w:rsid w:val="00AC6F61"/>
    <w:rsid w:val="00AD071E"/>
    <w:rsid w:val="00AD0D73"/>
    <w:rsid w:val="00AD126F"/>
    <w:rsid w:val="00AD27EE"/>
    <w:rsid w:val="00AD287B"/>
    <w:rsid w:val="00AD512D"/>
    <w:rsid w:val="00AD5687"/>
    <w:rsid w:val="00AD57C7"/>
    <w:rsid w:val="00AD6583"/>
    <w:rsid w:val="00AE00A6"/>
    <w:rsid w:val="00AE1312"/>
    <w:rsid w:val="00AE31AD"/>
    <w:rsid w:val="00AE3ABE"/>
    <w:rsid w:val="00AE3B6E"/>
    <w:rsid w:val="00AE44EC"/>
    <w:rsid w:val="00AE6E1E"/>
    <w:rsid w:val="00AE7643"/>
    <w:rsid w:val="00AE7B5D"/>
    <w:rsid w:val="00AF2161"/>
    <w:rsid w:val="00AF2185"/>
    <w:rsid w:val="00AF364A"/>
    <w:rsid w:val="00AF4FB9"/>
    <w:rsid w:val="00AF55B9"/>
    <w:rsid w:val="00AF7023"/>
    <w:rsid w:val="00AF73E3"/>
    <w:rsid w:val="00AF786E"/>
    <w:rsid w:val="00AF7C21"/>
    <w:rsid w:val="00B00C52"/>
    <w:rsid w:val="00B00F7E"/>
    <w:rsid w:val="00B011E7"/>
    <w:rsid w:val="00B01522"/>
    <w:rsid w:val="00B019AF"/>
    <w:rsid w:val="00B01BF2"/>
    <w:rsid w:val="00B0273E"/>
    <w:rsid w:val="00B03E7A"/>
    <w:rsid w:val="00B03F51"/>
    <w:rsid w:val="00B04961"/>
    <w:rsid w:val="00B04C24"/>
    <w:rsid w:val="00B05121"/>
    <w:rsid w:val="00B051A2"/>
    <w:rsid w:val="00B05DEA"/>
    <w:rsid w:val="00B061E9"/>
    <w:rsid w:val="00B066DD"/>
    <w:rsid w:val="00B068D9"/>
    <w:rsid w:val="00B07654"/>
    <w:rsid w:val="00B07A66"/>
    <w:rsid w:val="00B1161D"/>
    <w:rsid w:val="00B125ED"/>
    <w:rsid w:val="00B12850"/>
    <w:rsid w:val="00B12E83"/>
    <w:rsid w:val="00B13BF9"/>
    <w:rsid w:val="00B141C1"/>
    <w:rsid w:val="00B1429E"/>
    <w:rsid w:val="00B1592C"/>
    <w:rsid w:val="00B159BD"/>
    <w:rsid w:val="00B15E53"/>
    <w:rsid w:val="00B1699F"/>
    <w:rsid w:val="00B17C49"/>
    <w:rsid w:val="00B22870"/>
    <w:rsid w:val="00B231EE"/>
    <w:rsid w:val="00B24376"/>
    <w:rsid w:val="00B24575"/>
    <w:rsid w:val="00B2483A"/>
    <w:rsid w:val="00B252B9"/>
    <w:rsid w:val="00B25B52"/>
    <w:rsid w:val="00B25D9E"/>
    <w:rsid w:val="00B260C1"/>
    <w:rsid w:val="00B279D9"/>
    <w:rsid w:val="00B3086F"/>
    <w:rsid w:val="00B30DF6"/>
    <w:rsid w:val="00B320A4"/>
    <w:rsid w:val="00B338C1"/>
    <w:rsid w:val="00B338EA"/>
    <w:rsid w:val="00B33EFB"/>
    <w:rsid w:val="00B34E24"/>
    <w:rsid w:val="00B352DF"/>
    <w:rsid w:val="00B3584C"/>
    <w:rsid w:val="00B361EA"/>
    <w:rsid w:val="00B42764"/>
    <w:rsid w:val="00B44946"/>
    <w:rsid w:val="00B44D9F"/>
    <w:rsid w:val="00B45947"/>
    <w:rsid w:val="00B46191"/>
    <w:rsid w:val="00B47200"/>
    <w:rsid w:val="00B4768C"/>
    <w:rsid w:val="00B476C2"/>
    <w:rsid w:val="00B508F0"/>
    <w:rsid w:val="00B50FF1"/>
    <w:rsid w:val="00B531B6"/>
    <w:rsid w:val="00B53941"/>
    <w:rsid w:val="00B55045"/>
    <w:rsid w:val="00B5578E"/>
    <w:rsid w:val="00B55CFB"/>
    <w:rsid w:val="00B56D16"/>
    <w:rsid w:val="00B60733"/>
    <w:rsid w:val="00B631DD"/>
    <w:rsid w:val="00B6395D"/>
    <w:rsid w:val="00B64A83"/>
    <w:rsid w:val="00B65895"/>
    <w:rsid w:val="00B66A5A"/>
    <w:rsid w:val="00B66CC6"/>
    <w:rsid w:val="00B67928"/>
    <w:rsid w:val="00B703F8"/>
    <w:rsid w:val="00B708DE"/>
    <w:rsid w:val="00B71F0D"/>
    <w:rsid w:val="00B72230"/>
    <w:rsid w:val="00B72A92"/>
    <w:rsid w:val="00B735D8"/>
    <w:rsid w:val="00B73CEB"/>
    <w:rsid w:val="00B74EE2"/>
    <w:rsid w:val="00B75A1B"/>
    <w:rsid w:val="00B7662C"/>
    <w:rsid w:val="00B767F4"/>
    <w:rsid w:val="00B7750D"/>
    <w:rsid w:val="00B77546"/>
    <w:rsid w:val="00B838F3"/>
    <w:rsid w:val="00B83C40"/>
    <w:rsid w:val="00B842C1"/>
    <w:rsid w:val="00B8477E"/>
    <w:rsid w:val="00B8544C"/>
    <w:rsid w:val="00B85643"/>
    <w:rsid w:val="00B86F3F"/>
    <w:rsid w:val="00B90469"/>
    <w:rsid w:val="00B90A17"/>
    <w:rsid w:val="00B927A8"/>
    <w:rsid w:val="00B9352F"/>
    <w:rsid w:val="00B937DC"/>
    <w:rsid w:val="00B93B8D"/>
    <w:rsid w:val="00B94B1D"/>
    <w:rsid w:val="00B963BE"/>
    <w:rsid w:val="00B96462"/>
    <w:rsid w:val="00B96B9E"/>
    <w:rsid w:val="00B96EF2"/>
    <w:rsid w:val="00B97064"/>
    <w:rsid w:val="00B97366"/>
    <w:rsid w:val="00B973E0"/>
    <w:rsid w:val="00B9757D"/>
    <w:rsid w:val="00BA01D4"/>
    <w:rsid w:val="00BA06E2"/>
    <w:rsid w:val="00BA0C9C"/>
    <w:rsid w:val="00BA10E7"/>
    <w:rsid w:val="00BA1B39"/>
    <w:rsid w:val="00BA3846"/>
    <w:rsid w:val="00BA467F"/>
    <w:rsid w:val="00BA5467"/>
    <w:rsid w:val="00BA5655"/>
    <w:rsid w:val="00BA5AEE"/>
    <w:rsid w:val="00BA6167"/>
    <w:rsid w:val="00BA63EB"/>
    <w:rsid w:val="00BA7473"/>
    <w:rsid w:val="00BB06C7"/>
    <w:rsid w:val="00BB12DA"/>
    <w:rsid w:val="00BB138D"/>
    <w:rsid w:val="00BB1CEA"/>
    <w:rsid w:val="00BB2B65"/>
    <w:rsid w:val="00BB2C42"/>
    <w:rsid w:val="00BB321B"/>
    <w:rsid w:val="00BB3CAD"/>
    <w:rsid w:val="00BB3D62"/>
    <w:rsid w:val="00BB40CD"/>
    <w:rsid w:val="00BB6092"/>
    <w:rsid w:val="00BB67DE"/>
    <w:rsid w:val="00BB6D79"/>
    <w:rsid w:val="00BB72FC"/>
    <w:rsid w:val="00BB738A"/>
    <w:rsid w:val="00BB7EF2"/>
    <w:rsid w:val="00BC0EC8"/>
    <w:rsid w:val="00BC14A7"/>
    <w:rsid w:val="00BC194B"/>
    <w:rsid w:val="00BC2322"/>
    <w:rsid w:val="00BC2331"/>
    <w:rsid w:val="00BC2BE5"/>
    <w:rsid w:val="00BC2F4C"/>
    <w:rsid w:val="00BC3257"/>
    <w:rsid w:val="00BC36B4"/>
    <w:rsid w:val="00BC3A1E"/>
    <w:rsid w:val="00BC5167"/>
    <w:rsid w:val="00BC6BD2"/>
    <w:rsid w:val="00BC6F52"/>
    <w:rsid w:val="00BC76B3"/>
    <w:rsid w:val="00BC7A90"/>
    <w:rsid w:val="00BD1AF0"/>
    <w:rsid w:val="00BD1B83"/>
    <w:rsid w:val="00BD24CE"/>
    <w:rsid w:val="00BD2702"/>
    <w:rsid w:val="00BD3BAF"/>
    <w:rsid w:val="00BD5A3B"/>
    <w:rsid w:val="00BD78DD"/>
    <w:rsid w:val="00BD7D81"/>
    <w:rsid w:val="00BE018F"/>
    <w:rsid w:val="00BE023F"/>
    <w:rsid w:val="00BE2961"/>
    <w:rsid w:val="00BE308D"/>
    <w:rsid w:val="00BE4597"/>
    <w:rsid w:val="00BE50D1"/>
    <w:rsid w:val="00BE71E5"/>
    <w:rsid w:val="00BF139E"/>
    <w:rsid w:val="00BF164A"/>
    <w:rsid w:val="00BF2715"/>
    <w:rsid w:val="00BF419F"/>
    <w:rsid w:val="00BF4A69"/>
    <w:rsid w:val="00BF4CBB"/>
    <w:rsid w:val="00BF7949"/>
    <w:rsid w:val="00C0068A"/>
    <w:rsid w:val="00C014EF"/>
    <w:rsid w:val="00C017A7"/>
    <w:rsid w:val="00C01934"/>
    <w:rsid w:val="00C01B5C"/>
    <w:rsid w:val="00C01C75"/>
    <w:rsid w:val="00C04120"/>
    <w:rsid w:val="00C06016"/>
    <w:rsid w:val="00C06753"/>
    <w:rsid w:val="00C078A1"/>
    <w:rsid w:val="00C10174"/>
    <w:rsid w:val="00C110DB"/>
    <w:rsid w:val="00C11E17"/>
    <w:rsid w:val="00C1311C"/>
    <w:rsid w:val="00C140CF"/>
    <w:rsid w:val="00C1550A"/>
    <w:rsid w:val="00C2040D"/>
    <w:rsid w:val="00C206F1"/>
    <w:rsid w:val="00C239C9"/>
    <w:rsid w:val="00C2519B"/>
    <w:rsid w:val="00C25B78"/>
    <w:rsid w:val="00C269AF"/>
    <w:rsid w:val="00C26BD0"/>
    <w:rsid w:val="00C26D04"/>
    <w:rsid w:val="00C26E7F"/>
    <w:rsid w:val="00C27053"/>
    <w:rsid w:val="00C30452"/>
    <w:rsid w:val="00C30C73"/>
    <w:rsid w:val="00C315CB"/>
    <w:rsid w:val="00C33249"/>
    <w:rsid w:val="00C3548A"/>
    <w:rsid w:val="00C35ED8"/>
    <w:rsid w:val="00C37D17"/>
    <w:rsid w:val="00C37DF1"/>
    <w:rsid w:val="00C44096"/>
    <w:rsid w:val="00C4438C"/>
    <w:rsid w:val="00C44847"/>
    <w:rsid w:val="00C451E3"/>
    <w:rsid w:val="00C47F74"/>
    <w:rsid w:val="00C5034C"/>
    <w:rsid w:val="00C50B28"/>
    <w:rsid w:val="00C515E8"/>
    <w:rsid w:val="00C51F17"/>
    <w:rsid w:val="00C522D5"/>
    <w:rsid w:val="00C563FC"/>
    <w:rsid w:val="00C56C3C"/>
    <w:rsid w:val="00C61BB1"/>
    <w:rsid w:val="00C61CCD"/>
    <w:rsid w:val="00C627CA"/>
    <w:rsid w:val="00C63207"/>
    <w:rsid w:val="00C6363D"/>
    <w:rsid w:val="00C64098"/>
    <w:rsid w:val="00C641AF"/>
    <w:rsid w:val="00C642A1"/>
    <w:rsid w:val="00C6432A"/>
    <w:rsid w:val="00C64FFD"/>
    <w:rsid w:val="00C66133"/>
    <w:rsid w:val="00C66B3C"/>
    <w:rsid w:val="00C66C7A"/>
    <w:rsid w:val="00C66CB9"/>
    <w:rsid w:val="00C677C1"/>
    <w:rsid w:val="00C67F42"/>
    <w:rsid w:val="00C67FB4"/>
    <w:rsid w:val="00C71BA5"/>
    <w:rsid w:val="00C721F4"/>
    <w:rsid w:val="00C72F5F"/>
    <w:rsid w:val="00C73491"/>
    <w:rsid w:val="00C7505D"/>
    <w:rsid w:val="00C754F1"/>
    <w:rsid w:val="00C75A49"/>
    <w:rsid w:val="00C77755"/>
    <w:rsid w:val="00C80792"/>
    <w:rsid w:val="00C82BFF"/>
    <w:rsid w:val="00C83FF1"/>
    <w:rsid w:val="00C85D69"/>
    <w:rsid w:val="00C868AE"/>
    <w:rsid w:val="00C86DA3"/>
    <w:rsid w:val="00C87742"/>
    <w:rsid w:val="00C900FA"/>
    <w:rsid w:val="00C90C21"/>
    <w:rsid w:val="00C914B2"/>
    <w:rsid w:val="00C9298A"/>
    <w:rsid w:val="00C94D43"/>
    <w:rsid w:val="00C94DE4"/>
    <w:rsid w:val="00C97485"/>
    <w:rsid w:val="00C97E22"/>
    <w:rsid w:val="00CA0B56"/>
    <w:rsid w:val="00CA0CDF"/>
    <w:rsid w:val="00CA12B3"/>
    <w:rsid w:val="00CA1CB7"/>
    <w:rsid w:val="00CA3A7B"/>
    <w:rsid w:val="00CA4C28"/>
    <w:rsid w:val="00CA4D95"/>
    <w:rsid w:val="00CA6E8E"/>
    <w:rsid w:val="00CA7BE5"/>
    <w:rsid w:val="00CB09C7"/>
    <w:rsid w:val="00CB16B5"/>
    <w:rsid w:val="00CB1D91"/>
    <w:rsid w:val="00CB2A51"/>
    <w:rsid w:val="00CB404E"/>
    <w:rsid w:val="00CB482C"/>
    <w:rsid w:val="00CB5184"/>
    <w:rsid w:val="00CB5AE3"/>
    <w:rsid w:val="00CB64D6"/>
    <w:rsid w:val="00CB6752"/>
    <w:rsid w:val="00CC1048"/>
    <w:rsid w:val="00CC27C6"/>
    <w:rsid w:val="00CC3B42"/>
    <w:rsid w:val="00CC47F5"/>
    <w:rsid w:val="00CC4E9E"/>
    <w:rsid w:val="00CC5486"/>
    <w:rsid w:val="00CD1923"/>
    <w:rsid w:val="00CD2B48"/>
    <w:rsid w:val="00CD2B4A"/>
    <w:rsid w:val="00CD2BA1"/>
    <w:rsid w:val="00CD2FE4"/>
    <w:rsid w:val="00CD3C99"/>
    <w:rsid w:val="00CE04F1"/>
    <w:rsid w:val="00CE1D61"/>
    <w:rsid w:val="00CE3CA9"/>
    <w:rsid w:val="00CE3F9E"/>
    <w:rsid w:val="00CE40E8"/>
    <w:rsid w:val="00CE4178"/>
    <w:rsid w:val="00CE4410"/>
    <w:rsid w:val="00CE4834"/>
    <w:rsid w:val="00CE5C09"/>
    <w:rsid w:val="00CE66BE"/>
    <w:rsid w:val="00CE74E4"/>
    <w:rsid w:val="00CE7580"/>
    <w:rsid w:val="00CE7ECC"/>
    <w:rsid w:val="00CF0908"/>
    <w:rsid w:val="00CF132C"/>
    <w:rsid w:val="00CF2779"/>
    <w:rsid w:val="00CF31AE"/>
    <w:rsid w:val="00CF43E6"/>
    <w:rsid w:val="00CF471F"/>
    <w:rsid w:val="00CF55E9"/>
    <w:rsid w:val="00CF6DBC"/>
    <w:rsid w:val="00CF757C"/>
    <w:rsid w:val="00CF79F2"/>
    <w:rsid w:val="00D003BF"/>
    <w:rsid w:val="00D00BE5"/>
    <w:rsid w:val="00D01595"/>
    <w:rsid w:val="00D019AE"/>
    <w:rsid w:val="00D024F8"/>
    <w:rsid w:val="00D033E5"/>
    <w:rsid w:val="00D063FA"/>
    <w:rsid w:val="00D06C00"/>
    <w:rsid w:val="00D07683"/>
    <w:rsid w:val="00D07AFF"/>
    <w:rsid w:val="00D07EE8"/>
    <w:rsid w:val="00D103A8"/>
    <w:rsid w:val="00D10A26"/>
    <w:rsid w:val="00D12B38"/>
    <w:rsid w:val="00D12C46"/>
    <w:rsid w:val="00D15916"/>
    <w:rsid w:val="00D161A9"/>
    <w:rsid w:val="00D16CFE"/>
    <w:rsid w:val="00D16E3E"/>
    <w:rsid w:val="00D16F31"/>
    <w:rsid w:val="00D17FD6"/>
    <w:rsid w:val="00D2039B"/>
    <w:rsid w:val="00D21D4A"/>
    <w:rsid w:val="00D243ED"/>
    <w:rsid w:val="00D252CE"/>
    <w:rsid w:val="00D25F7B"/>
    <w:rsid w:val="00D26BEE"/>
    <w:rsid w:val="00D30455"/>
    <w:rsid w:val="00D32A68"/>
    <w:rsid w:val="00D330F6"/>
    <w:rsid w:val="00D3483A"/>
    <w:rsid w:val="00D34C13"/>
    <w:rsid w:val="00D36185"/>
    <w:rsid w:val="00D36673"/>
    <w:rsid w:val="00D36E77"/>
    <w:rsid w:val="00D37C7C"/>
    <w:rsid w:val="00D405EC"/>
    <w:rsid w:val="00D4234D"/>
    <w:rsid w:val="00D4316A"/>
    <w:rsid w:val="00D449AD"/>
    <w:rsid w:val="00D44DB8"/>
    <w:rsid w:val="00D45527"/>
    <w:rsid w:val="00D459D4"/>
    <w:rsid w:val="00D466AD"/>
    <w:rsid w:val="00D46E51"/>
    <w:rsid w:val="00D476EC"/>
    <w:rsid w:val="00D47D7D"/>
    <w:rsid w:val="00D5030A"/>
    <w:rsid w:val="00D51EEB"/>
    <w:rsid w:val="00D528C9"/>
    <w:rsid w:val="00D53D0D"/>
    <w:rsid w:val="00D55232"/>
    <w:rsid w:val="00D560EB"/>
    <w:rsid w:val="00D561F5"/>
    <w:rsid w:val="00D56861"/>
    <w:rsid w:val="00D6007C"/>
    <w:rsid w:val="00D61C60"/>
    <w:rsid w:val="00D61E79"/>
    <w:rsid w:val="00D62117"/>
    <w:rsid w:val="00D62334"/>
    <w:rsid w:val="00D62F16"/>
    <w:rsid w:val="00D6347B"/>
    <w:rsid w:val="00D643B2"/>
    <w:rsid w:val="00D64B7F"/>
    <w:rsid w:val="00D66692"/>
    <w:rsid w:val="00D70242"/>
    <w:rsid w:val="00D7080C"/>
    <w:rsid w:val="00D7088F"/>
    <w:rsid w:val="00D72C9A"/>
    <w:rsid w:val="00D7306A"/>
    <w:rsid w:val="00D73D9B"/>
    <w:rsid w:val="00D74C31"/>
    <w:rsid w:val="00D777EE"/>
    <w:rsid w:val="00D81B2C"/>
    <w:rsid w:val="00D8210D"/>
    <w:rsid w:val="00D83EA9"/>
    <w:rsid w:val="00D843C9"/>
    <w:rsid w:val="00D84E00"/>
    <w:rsid w:val="00D858B3"/>
    <w:rsid w:val="00D87D43"/>
    <w:rsid w:val="00D90673"/>
    <w:rsid w:val="00D909DA"/>
    <w:rsid w:val="00D94D8D"/>
    <w:rsid w:val="00D94FBC"/>
    <w:rsid w:val="00D95B0D"/>
    <w:rsid w:val="00D95BC5"/>
    <w:rsid w:val="00D95F27"/>
    <w:rsid w:val="00DA16D0"/>
    <w:rsid w:val="00DA21CF"/>
    <w:rsid w:val="00DA2C55"/>
    <w:rsid w:val="00DA486D"/>
    <w:rsid w:val="00DA62EA"/>
    <w:rsid w:val="00DA6AD6"/>
    <w:rsid w:val="00DB015F"/>
    <w:rsid w:val="00DB0251"/>
    <w:rsid w:val="00DB0C8F"/>
    <w:rsid w:val="00DB1D8E"/>
    <w:rsid w:val="00DB30FD"/>
    <w:rsid w:val="00DB41D2"/>
    <w:rsid w:val="00DB5B5B"/>
    <w:rsid w:val="00DB5C18"/>
    <w:rsid w:val="00DB66FA"/>
    <w:rsid w:val="00DB7ABD"/>
    <w:rsid w:val="00DB7AEA"/>
    <w:rsid w:val="00DC0235"/>
    <w:rsid w:val="00DC16F6"/>
    <w:rsid w:val="00DC443A"/>
    <w:rsid w:val="00DC5147"/>
    <w:rsid w:val="00DC5894"/>
    <w:rsid w:val="00DC59B1"/>
    <w:rsid w:val="00DC6CC3"/>
    <w:rsid w:val="00DC7C55"/>
    <w:rsid w:val="00DD105D"/>
    <w:rsid w:val="00DD12DB"/>
    <w:rsid w:val="00DD556C"/>
    <w:rsid w:val="00DD5E35"/>
    <w:rsid w:val="00DD6D2D"/>
    <w:rsid w:val="00DD6D48"/>
    <w:rsid w:val="00DD700D"/>
    <w:rsid w:val="00DD7876"/>
    <w:rsid w:val="00DE02CC"/>
    <w:rsid w:val="00DE0D10"/>
    <w:rsid w:val="00DE116D"/>
    <w:rsid w:val="00DE174D"/>
    <w:rsid w:val="00DE3406"/>
    <w:rsid w:val="00DE5266"/>
    <w:rsid w:val="00DE5676"/>
    <w:rsid w:val="00DF0404"/>
    <w:rsid w:val="00DF0890"/>
    <w:rsid w:val="00DF4FB3"/>
    <w:rsid w:val="00DF5BE6"/>
    <w:rsid w:val="00DF5FD0"/>
    <w:rsid w:val="00E00E0E"/>
    <w:rsid w:val="00E01AB3"/>
    <w:rsid w:val="00E03696"/>
    <w:rsid w:val="00E037D7"/>
    <w:rsid w:val="00E037E5"/>
    <w:rsid w:val="00E03818"/>
    <w:rsid w:val="00E03A75"/>
    <w:rsid w:val="00E03E46"/>
    <w:rsid w:val="00E05E1E"/>
    <w:rsid w:val="00E06358"/>
    <w:rsid w:val="00E071C7"/>
    <w:rsid w:val="00E075C4"/>
    <w:rsid w:val="00E10336"/>
    <w:rsid w:val="00E12257"/>
    <w:rsid w:val="00E12F32"/>
    <w:rsid w:val="00E13241"/>
    <w:rsid w:val="00E1354D"/>
    <w:rsid w:val="00E13D2B"/>
    <w:rsid w:val="00E1649A"/>
    <w:rsid w:val="00E16DCC"/>
    <w:rsid w:val="00E1710E"/>
    <w:rsid w:val="00E2263B"/>
    <w:rsid w:val="00E235BF"/>
    <w:rsid w:val="00E242E4"/>
    <w:rsid w:val="00E24656"/>
    <w:rsid w:val="00E257E6"/>
    <w:rsid w:val="00E26530"/>
    <w:rsid w:val="00E27A32"/>
    <w:rsid w:val="00E30000"/>
    <w:rsid w:val="00E3327A"/>
    <w:rsid w:val="00E3348D"/>
    <w:rsid w:val="00E34C18"/>
    <w:rsid w:val="00E36760"/>
    <w:rsid w:val="00E36F47"/>
    <w:rsid w:val="00E37A4D"/>
    <w:rsid w:val="00E42D16"/>
    <w:rsid w:val="00E43938"/>
    <w:rsid w:val="00E4507A"/>
    <w:rsid w:val="00E4564B"/>
    <w:rsid w:val="00E4654B"/>
    <w:rsid w:val="00E4669C"/>
    <w:rsid w:val="00E47271"/>
    <w:rsid w:val="00E479C9"/>
    <w:rsid w:val="00E50A08"/>
    <w:rsid w:val="00E50AD4"/>
    <w:rsid w:val="00E50C70"/>
    <w:rsid w:val="00E50D6C"/>
    <w:rsid w:val="00E5152D"/>
    <w:rsid w:val="00E52773"/>
    <w:rsid w:val="00E53791"/>
    <w:rsid w:val="00E539C9"/>
    <w:rsid w:val="00E53B44"/>
    <w:rsid w:val="00E548E1"/>
    <w:rsid w:val="00E54C85"/>
    <w:rsid w:val="00E55CD0"/>
    <w:rsid w:val="00E613AC"/>
    <w:rsid w:val="00E61D3D"/>
    <w:rsid w:val="00E62386"/>
    <w:rsid w:val="00E63ACB"/>
    <w:rsid w:val="00E6445A"/>
    <w:rsid w:val="00E6516A"/>
    <w:rsid w:val="00E65B34"/>
    <w:rsid w:val="00E715F2"/>
    <w:rsid w:val="00E72DCF"/>
    <w:rsid w:val="00E73437"/>
    <w:rsid w:val="00E7411D"/>
    <w:rsid w:val="00E75618"/>
    <w:rsid w:val="00E758BC"/>
    <w:rsid w:val="00E7670A"/>
    <w:rsid w:val="00E7671B"/>
    <w:rsid w:val="00E76A2B"/>
    <w:rsid w:val="00E77FA7"/>
    <w:rsid w:val="00E80046"/>
    <w:rsid w:val="00E80C96"/>
    <w:rsid w:val="00E8174D"/>
    <w:rsid w:val="00E82768"/>
    <w:rsid w:val="00E828BB"/>
    <w:rsid w:val="00E837FC"/>
    <w:rsid w:val="00E83E7D"/>
    <w:rsid w:val="00E843D6"/>
    <w:rsid w:val="00E849FE"/>
    <w:rsid w:val="00E84BD6"/>
    <w:rsid w:val="00E853BC"/>
    <w:rsid w:val="00E85B24"/>
    <w:rsid w:val="00E865FA"/>
    <w:rsid w:val="00E873A5"/>
    <w:rsid w:val="00E87F93"/>
    <w:rsid w:val="00E904FD"/>
    <w:rsid w:val="00E9077C"/>
    <w:rsid w:val="00E90925"/>
    <w:rsid w:val="00E91085"/>
    <w:rsid w:val="00E911E8"/>
    <w:rsid w:val="00E91646"/>
    <w:rsid w:val="00E9209F"/>
    <w:rsid w:val="00E92DE2"/>
    <w:rsid w:val="00E93454"/>
    <w:rsid w:val="00E93575"/>
    <w:rsid w:val="00E938F0"/>
    <w:rsid w:val="00E956DD"/>
    <w:rsid w:val="00EA0EF6"/>
    <w:rsid w:val="00EA222E"/>
    <w:rsid w:val="00EA299A"/>
    <w:rsid w:val="00EA2C76"/>
    <w:rsid w:val="00EA3C63"/>
    <w:rsid w:val="00EA42DE"/>
    <w:rsid w:val="00EA4679"/>
    <w:rsid w:val="00EA585E"/>
    <w:rsid w:val="00EB0585"/>
    <w:rsid w:val="00EB0619"/>
    <w:rsid w:val="00EB10D8"/>
    <w:rsid w:val="00EB1B60"/>
    <w:rsid w:val="00EB215B"/>
    <w:rsid w:val="00EB31AB"/>
    <w:rsid w:val="00EB400B"/>
    <w:rsid w:val="00EB4495"/>
    <w:rsid w:val="00EB4779"/>
    <w:rsid w:val="00EB50BA"/>
    <w:rsid w:val="00EB5934"/>
    <w:rsid w:val="00EB62CF"/>
    <w:rsid w:val="00EB6A21"/>
    <w:rsid w:val="00EC06E1"/>
    <w:rsid w:val="00EC0C4C"/>
    <w:rsid w:val="00EC126B"/>
    <w:rsid w:val="00EC1C83"/>
    <w:rsid w:val="00EC49E8"/>
    <w:rsid w:val="00EC4AB0"/>
    <w:rsid w:val="00EC5C1B"/>
    <w:rsid w:val="00EC68F6"/>
    <w:rsid w:val="00EC7F1F"/>
    <w:rsid w:val="00ED0A71"/>
    <w:rsid w:val="00ED0DCF"/>
    <w:rsid w:val="00ED0E21"/>
    <w:rsid w:val="00ED1AF1"/>
    <w:rsid w:val="00ED2452"/>
    <w:rsid w:val="00ED40FF"/>
    <w:rsid w:val="00ED4905"/>
    <w:rsid w:val="00ED76A9"/>
    <w:rsid w:val="00EE0482"/>
    <w:rsid w:val="00EE0613"/>
    <w:rsid w:val="00EE0922"/>
    <w:rsid w:val="00EE1B5A"/>
    <w:rsid w:val="00EE2A79"/>
    <w:rsid w:val="00EE36E5"/>
    <w:rsid w:val="00EE3D5D"/>
    <w:rsid w:val="00EE56B0"/>
    <w:rsid w:val="00EE69D3"/>
    <w:rsid w:val="00EE6CC9"/>
    <w:rsid w:val="00EE798B"/>
    <w:rsid w:val="00EF094E"/>
    <w:rsid w:val="00EF1140"/>
    <w:rsid w:val="00EF18CF"/>
    <w:rsid w:val="00EF2D97"/>
    <w:rsid w:val="00EF58BE"/>
    <w:rsid w:val="00EF6253"/>
    <w:rsid w:val="00F00AE0"/>
    <w:rsid w:val="00F01195"/>
    <w:rsid w:val="00F01558"/>
    <w:rsid w:val="00F038CF"/>
    <w:rsid w:val="00F058AE"/>
    <w:rsid w:val="00F10709"/>
    <w:rsid w:val="00F11BA3"/>
    <w:rsid w:val="00F13CEC"/>
    <w:rsid w:val="00F1437B"/>
    <w:rsid w:val="00F14708"/>
    <w:rsid w:val="00F169D3"/>
    <w:rsid w:val="00F1734B"/>
    <w:rsid w:val="00F17A0E"/>
    <w:rsid w:val="00F2186B"/>
    <w:rsid w:val="00F21C8F"/>
    <w:rsid w:val="00F21CA7"/>
    <w:rsid w:val="00F226E0"/>
    <w:rsid w:val="00F23839"/>
    <w:rsid w:val="00F254A3"/>
    <w:rsid w:val="00F26FF4"/>
    <w:rsid w:val="00F276D6"/>
    <w:rsid w:val="00F33012"/>
    <w:rsid w:val="00F3398E"/>
    <w:rsid w:val="00F34EAB"/>
    <w:rsid w:val="00F3587A"/>
    <w:rsid w:val="00F3656B"/>
    <w:rsid w:val="00F3775C"/>
    <w:rsid w:val="00F40074"/>
    <w:rsid w:val="00F41DC2"/>
    <w:rsid w:val="00F4210A"/>
    <w:rsid w:val="00F43703"/>
    <w:rsid w:val="00F44576"/>
    <w:rsid w:val="00F44B21"/>
    <w:rsid w:val="00F44C29"/>
    <w:rsid w:val="00F44F35"/>
    <w:rsid w:val="00F45488"/>
    <w:rsid w:val="00F459EB"/>
    <w:rsid w:val="00F46115"/>
    <w:rsid w:val="00F461E7"/>
    <w:rsid w:val="00F50815"/>
    <w:rsid w:val="00F50847"/>
    <w:rsid w:val="00F514AE"/>
    <w:rsid w:val="00F514C7"/>
    <w:rsid w:val="00F5190D"/>
    <w:rsid w:val="00F52770"/>
    <w:rsid w:val="00F53094"/>
    <w:rsid w:val="00F54011"/>
    <w:rsid w:val="00F5404A"/>
    <w:rsid w:val="00F54182"/>
    <w:rsid w:val="00F54266"/>
    <w:rsid w:val="00F542A6"/>
    <w:rsid w:val="00F5698B"/>
    <w:rsid w:val="00F60366"/>
    <w:rsid w:val="00F61022"/>
    <w:rsid w:val="00F6270B"/>
    <w:rsid w:val="00F6278F"/>
    <w:rsid w:val="00F6307B"/>
    <w:rsid w:val="00F643EA"/>
    <w:rsid w:val="00F64914"/>
    <w:rsid w:val="00F651FE"/>
    <w:rsid w:val="00F65640"/>
    <w:rsid w:val="00F65CBC"/>
    <w:rsid w:val="00F667F3"/>
    <w:rsid w:val="00F66929"/>
    <w:rsid w:val="00F66EAD"/>
    <w:rsid w:val="00F67615"/>
    <w:rsid w:val="00F6793A"/>
    <w:rsid w:val="00F70862"/>
    <w:rsid w:val="00F70DB5"/>
    <w:rsid w:val="00F72270"/>
    <w:rsid w:val="00F722B2"/>
    <w:rsid w:val="00F723EE"/>
    <w:rsid w:val="00F72B71"/>
    <w:rsid w:val="00F742F9"/>
    <w:rsid w:val="00F74785"/>
    <w:rsid w:val="00F76307"/>
    <w:rsid w:val="00F77BB0"/>
    <w:rsid w:val="00F813D4"/>
    <w:rsid w:val="00F81D65"/>
    <w:rsid w:val="00F821B1"/>
    <w:rsid w:val="00F8240D"/>
    <w:rsid w:val="00F82790"/>
    <w:rsid w:val="00F8305C"/>
    <w:rsid w:val="00F8315B"/>
    <w:rsid w:val="00F8406F"/>
    <w:rsid w:val="00F845FA"/>
    <w:rsid w:val="00F8755D"/>
    <w:rsid w:val="00F87BCF"/>
    <w:rsid w:val="00F87F74"/>
    <w:rsid w:val="00F91418"/>
    <w:rsid w:val="00F92175"/>
    <w:rsid w:val="00F947EE"/>
    <w:rsid w:val="00F94CF1"/>
    <w:rsid w:val="00F94F67"/>
    <w:rsid w:val="00F9609D"/>
    <w:rsid w:val="00F967AC"/>
    <w:rsid w:val="00F974F2"/>
    <w:rsid w:val="00F976EA"/>
    <w:rsid w:val="00F97C2B"/>
    <w:rsid w:val="00FA2310"/>
    <w:rsid w:val="00FA2979"/>
    <w:rsid w:val="00FA6BA4"/>
    <w:rsid w:val="00FB030B"/>
    <w:rsid w:val="00FB0455"/>
    <w:rsid w:val="00FB0A72"/>
    <w:rsid w:val="00FB1705"/>
    <w:rsid w:val="00FB185E"/>
    <w:rsid w:val="00FB19B3"/>
    <w:rsid w:val="00FB6C5A"/>
    <w:rsid w:val="00FB6C8B"/>
    <w:rsid w:val="00FB7509"/>
    <w:rsid w:val="00FB7BA9"/>
    <w:rsid w:val="00FC03A3"/>
    <w:rsid w:val="00FC086D"/>
    <w:rsid w:val="00FC1E52"/>
    <w:rsid w:val="00FC3239"/>
    <w:rsid w:val="00FC3574"/>
    <w:rsid w:val="00FC4480"/>
    <w:rsid w:val="00FC5743"/>
    <w:rsid w:val="00FC588F"/>
    <w:rsid w:val="00FC6524"/>
    <w:rsid w:val="00FC7665"/>
    <w:rsid w:val="00FD00CC"/>
    <w:rsid w:val="00FD0BE6"/>
    <w:rsid w:val="00FD1919"/>
    <w:rsid w:val="00FD3251"/>
    <w:rsid w:val="00FD3DAE"/>
    <w:rsid w:val="00FD3FB9"/>
    <w:rsid w:val="00FD49F3"/>
    <w:rsid w:val="00FD6A65"/>
    <w:rsid w:val="00FD778F"/>
    <w:rsid w:val="00FE0530"/>
    <w:rsid w:val="00FE16AB"/>
    <w:rsid w:val="00FE26B6"/>
    <w:rsid w:val="00FE28E0"/>
    <w:rsid w:val="00FE2EDB"/>
    <w:rsid w:val="00FE318D"/>
    <w:rsid w:val="00FE4CE8"/>
    <w:rsid w:val="00FE6E50"/>
    <w:rsid w:val="00FE6F45"/>
    <w:rsid w:val="00FE7677"/>
    <w:rsid w:val="00FE7BF3"/>
    <w:rsid w:val="00FE7DAB"/>
    <w:rsid w:val="00FF0AC4"/>
    <w:rsid w:val="00FF0CD4"/>
    <w:rsid w:val="00FF129E"/>
    <w:rsid w:val="00FF140E"/>
    <w:rsid w:val="00FF2D69"/>
    <w:rsid w:val="00FF2D72"/>
    <w:rsid w:val="00FF2FEB"/>
    <w:rsid w:val="00FF3166"/>
    <w:rsid w:val="00FF31AD"/>
    <w:rsid w:val="00FF3B2F"/>
    <w:rsid w:val="00FF4090"/>
    <w:rsid w:val="00FF6032"/>
    <w:rsid w:val="00FF65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able of figures" w:locked="1" w:semiHidden="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527"/>
    <w:pPr>
      <w:widowControl w:val="0"/>
      <w:adjustRightInd w:val="0"/>
      <w:spacing w:line="360" w:lineRule="auto"/>
      <w:jc w:val="both"/>
      <w:textAlignment w:val="baseline"/>
    </w:pPr>
    <w:rPr>
      <w:rFonts w:ascii="Arial" w:hAnsi="Arial"/>
      <w:szCs w:val="24"/>
    </w:rPr>
  </w:style>
  <w:style w:type="paragraph" w:styleId="Heading1">
    <w:name w:val="heading 1"/>
    <w:basedOn w:val="Normal"/>
    <w:next w:val="Normal"/>
    <w:link w:val="Heading1Char"/>
    <w:uiPriority w:val="99"/>
    <w:qFormat/>
    <w:rsid w:val="00895CF7"/>
    <w:pPr>
      <w:keepNext/>
      <w:spacing w:before="240" w:after="60"/>
      <w:outlineLvl w:val="0"/>
    </w:pPr>
    <w:rPr>
      <w:b/>
      <w:bCs/>
      <w:color w:val="1F497D"/>
      <w:kern w:val="32"/>
      <w:sz w:val="30"/>
      <w:szCs w:val="32"/>
    </w:rPr>
  </w:style>
  <w:style w:type="paragraph" w:styleId="Heading2">
    <w:name w:val="heading 2"/>
    <w:basedOn w:val="Normal"/>
    <w:next w:val="Normal"/>
    <w:link w:val="Heading2Char"/>
    <w:uiPriority w:val="99"/>
    <w:qFormat/>
    <w:rsid w:val="00895CF7"/>
    <w:pPr>
      <w:keepNext/>
      <w:spacing w:before="240" w:after="60"/>
      <w:outlineLvl w:val="1"/>
    </w:pPr>
    <w:rPr>
      <w:rFonts w:cs="Arial"/>
      <w:b/>
      <w:bCs/>
      <w:iCs/>
      <w:color w:val="4F81BD"/>
      <w:sz w:val="24"/>
      <w:szCs w:val="28"/>
    </w:rPr>
  </w:style>
  <w:style w:type="paragraph" w:styleId="Heading3">
    <w:name w:val="heading 3"/>
    <w:basedOn w:val="Normal"/>
    <w:next w:val="Normal"/>
    <w:link w:val="Heading3Char"/>
    <w:uiPriority w:val="99"/>
    <w:qFormat/>
    <w:rsid w:val="00895CF7"/>
    <w:pPr>
      <w:keepNext/>
      <w:spacing w:before="240" w:after="60"/>
      <w:outlineLvl w:val="2"/>
    </w:pPr>
    <w:rPr>
      <w:rFonts w:cs="Arial"/>
      <w:b/>
      <w:bCs/>
      <w:i/>
      <w:color w:val="8DB4E3"/>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95CF7"/>
    <w:rPr>
      <w:rFonts w:ascii="Arial" w:hAnsi="Arial" w:cs="Times New Roman"/>
      <w:b/>
      <w:color w:val="1F497D"/>
      <w:kern w:val="32"/>
      <w:sz w:val="32"/>
      <w:lang w:val="nl-NL" w:eastAsia="nl-NL"/>
    </w:rPr>
  </w:style>
  <w:style w:type="character" w:customStyle="1" w:styleId="Heading2Char">
    <w:name w:val="Heading 2 Char"/>
    <w:basedOn w:val="DefaultParagraphFont"/>
    <w:link w:val="Heading2"/>
    <w:uiPriority w:val="99"/>
    <w:locked/>
    <w:rsid w:val="00895CF7"/>
    <w:rPr>
      <w:rFonts w:ascii="Arial" w:hAnsi="Arial" w:cs="Times New Roman"/>
      <w:b/>
      <w:color w:val="4F81BD"/>
      <w:sz w:val="28"/>
      <w:lang w:val="nl-NL" w:eastAsia="nl-NL"/>
    </w:rPr>
  </w:style>
  <w:style w:type="character" w:customStyle="1" w:styleId="Heading3Char">
    <w:name w:val="Heading 3 Char"/>
    <w:basedOn w:val="DefaultParagraphFont"/>
    <w:link w:val="Heading3"/>
    <w:uiPriority w:val="99"/>
    <w:semiHidden/>
    <w:locked/>
    <w:rsid w:val="00222C1A"/>
    <w:rPr>
      <w:rFonts w:ascii="Cambria" w:hAnsi="Cambria" w:cs="Times New Roman"/>
      <w:b/>
      <w:bCs/>
      <w:sz w:val="26"/>
      <w:szCs w:val="26"/>
    </w:rPr>
  </w:style>
  <w:style w:type="paragraph" w:customStyle="1" w:styleId="ondertitel">
    <w:name w:val="ondertitel"/>
    <w:basedOn w:val="Normal"/>
    <w:uiPriority w:val="99"/>
    <w:rsid w:val="007C120F"/>
    <w:pPr>
      <w:jc w:val="center"/>
    </w:pPr>
    <w:rPr>
      <w:b/>
      <w:bCs/>
      <w:szCs w:val="20"/>
    </w:rPr>
  </w:style>
  <w:style w:type="paragraph" w:customStyle="1" w:styleId="titel">
    <w:name w:val="titel"/>
    <w:basedOn w:val="Normal"/>
    <w:uiPriority w:val="99"/>
    <w:rsid w:val="007C120F"/>
    <w:pPr>
      <w:jc w:val="center"/>
    </w:pPr>
    <w:rPr>
      <w:b/>
      <w:bCs/>
      <w:sz w:val="72"/>
      <w:szCs w:val="20"/>
    </w:rPr>
  </w:style>
  <w:style w:type="paragraph" w:styleId="Footer">
    <w:name w:val="footer"/>
    <w:basedOn w:val="Normal"/>
    <w:link w:val="FooterChar"/>
    <w:uiPriority w:val="99"/>
    <w:rsid w:val="007C120F"/>
    <w:pPr>
      <w:tabs>
        <w:tab w:val="center" w:pos="4536"/>
        <w:tab w:val="right" w:pos="9072"/>
      </w:tabs>
    </w:pPr>
  </w:style>
  <w:style w:type="character" w:customStyle="1" w:styleId="FooterChar">
    <w:name w:val="Footer Char"/>
    <w:basedOn w:val="DefaultParagraphFont"/>
    <w:link w:val="Footer"/>
    <w:uiPriority w:val="99"/>
    <w:semiHidden/>
    <w:locked/>
    <w:rsid w:val="00222C1A"/>
    <w:rPr>
      <w:rFonts w:ascii="Arial" w:hAnsi="Arial" w:cs="Times New Roman"/>
      <w:sz w:val="24"/>
      <w:szCs w:val="24"/>
    </w:rPr>
  </w:style>
  <w:style w:type="character" w:styleId="PageNumber">
    <w:name w:val="page number"/>
    <w:basedOn w:val="DefaultParagraphFont"/>
    <w:uiPriority w:val="99"/>
    <w:rsid w:val="007C120F"/>
    <w:rPr>
      <w:rFonts w:cs="Times New Roman"/>
    </w:rPr>
  </w:style>
  <w:style w:type="paragraph" w:styleId="TOC1">
    <w:name w:val="toc 1"/>
    <w:basedOn w:val="Normal"/>
    <w:next w:val="Normal"/>
    <w:autoRedefine/>
    <w:uiPriority w:val="39"/>
    <w:rsid w:val="0035773C"/>
  </w:style>
  <w:style w:type="character" w:styleId="Hyperlink">
    <w:name w:val="Hyperlink"/>
    <w:basedOn w:val="DefaultParagraphFont"/>
    <w:uiPriority w:val="99"/>
    <w:rsid w:val="00E61D3D"/>
    <w:rPr>
      <w:rFonts w:cs="Times New Roman"/>
      <w:color w:val="0000FF"/>
      <w:u w:val="single"/>
    </w:rPr>
  </w:style>
  <w:style w:type="paragraph" w:styleId="ListParagraph">
    <w:name w:val="List Paragraph"/>
    <w:basedOn w:val="Normal"/>
    <w:uiPriority w:val="99"/>
    <w:qFormat/>
    <w:rsid w:val="0029555A"/>
    <w:pPr>
      <w:ind w:left="720"/>
      <w:contextualSpacing/>
    </w:pPr>
    <w:rPr>
      <w:rFonts w:ascii="Times New Roman" w:hAnsi="Times New Roman"/>
      <w:lang w:val="en-US" w:eastAsia="en-US"/>
    </w:rPr>
  </w:style>
  <w:style w:type="character" w:styleId="Strong">
    <w:name w:val="Strong"/>
    <w:basedOn w:val="DefaultParagraphFont"/>
    <w:uiPriority w:val="99"/>
    <w:qFormat/>
    <w:rsid w:val="00642BCB"/>
    <w:rPr>
      <w:rFonts w:cs="Times New Roman"/>
      <w:b/>
    </w:rPr>
  </w:style>
  <w:style w:type="paragraph" w:styleId="TOC2">
    <w:name w:val="toc 2"/>
    <w:basedOn w:val="Normal"/>
    <w:next w:val="Normal"/>
    <w:autoRedefine/>
    <w:uiPriority w:val="39"/>
    <w:rsid w:val="0035773C"/>
    <w:pPr>
      <w:tabs>
        <w:tab w:val="right" w:leader="dot" w:pos="9059"/>
      </w:tabs>
      <w:ind w:left="240"/>
    </w:pPr>
    <w:rPr>
      <w:noProof/>
      <w:lang w:val="en-GB"/>
    </w:rPr>
  </w:style>
  <w:style w:type="paragraph" w:styleId="Header">
    <w:name w:val="header"/>
    <w:basedOn w:val="Normal"/>
    <w:link w:val="HeaderChar"/>
    <w:uiPriority w:val="99"/>
    <w:rsid w:val="00C64098"/>
    <w:pPr>
      <w:tabs>
        <w:tab w:val="center" w:pos="4536"/>
        <w:tab w:val="right" w:pos="9072"/>
      </w:tabs>
    </w:pPr>
  </w:style>
  <w:style w:type="character" w:customStyle="1" w:styleId="HeaderChar">
    <w:name w:val="Header Char"/>
    <w:basedOn w:val="DefaultParagraphFont"/>
    <w:link w:val="Header"/>
    <w:uiPriority w:val="99"/>
    <w:semiHidden/>
    <w:locked/>
    <w:rsid w:val="00222C1A"/>
    <w:rPr>
      <w:rFonts w:ascii="Arial" w:hAnsi="Arial" w:cs="Times New Roman"/>
      <w:sz w:val="24"/>
      <w:szCs w:val="24"/>
    </w:rPr>
  </w:style>
  <w:style w:type="paragraph" w:customStyle="1" w:styleId="OpmaakprofielKop2Uitvullen">
    <w:name w:val="Opmaakprofiel Kop 2 + Uitvullen"/>
    <w:basedOn w:val="Heading2"/>
    <w:uiPriority w:val="99"/>
    <w:rsid w:val="00FE7BF3"/>
    <w:rPr>
      <w:rFonts w:cs="Times New Roman"/>
      <w:szCs w:val="20"/>
    </w:rPr>
  </w:style>
  <w:style w:type="paragraph" w:styleId="FootnoteText">
    <w:name w:val="footnote text"/>
    <w:basedOn w:val="Normal"/>
    <w:link w:val="FootnoteTextChar"/>
    <w:uiPriority w:val="99"/>
    <w:rsid w:val="0052255E"/>
    <w:pPr>
      <w:spacing w:line="240" w:lineRule="auto"/>
    </w:pPr>
    <w:rPr>
      <w:rFonts w:ascii="Times New Roman" w:hAnsi="Times New Roman"/>
      <w:sz w:val="20"/>
      <w:szCs w:val="20"/>
    </w:rPr>
  </w:style>
  <w:style w:type="character" w:customStyle="1" w:styleId="FootnoteTextChar">
    <w:name w:val="Footnote Text Char"/>
    <w:basedOn w:val="DefaultParagraphFont"/>
    <w:link w:val="FootnoteText"/>
    <w:uiPriority w:val="99"/>
    <w:locked/>
    <w:rsid w:val="00DB5C18"/>
    <w:rPr>
      <w:rFonts w:cs="Times New Roman"/>
      <w:lang w:val="nl-NL" w:eastAsia="nl-NL"/>
    </w:rPr>
  </w:style>
  <w:style w:type="character" w:styleId="FootnoteReference">
    <w:name w:val="footnote reference"/>
    <w:basedOn w:val="DefaultParagraphFont"/>
    <w:uiPriority w:val="99"/>
    <w:rsid w:val="0052255E"/>
    <w:rPr>
      <w:rFonts w:cs="Times New Roman"/>
      <w:vertAlign w:val="superscript"/>
    </w:rPr>
  </w:style>
  <w:style w:type="character" w:customStyle="1" w:styleId="hps">
    <w:name w:val="hps"/>
    <w:basedOn w:val="DefaultParagraphFont"/>
    <w:uiPriority w:val="99"/>
    <w:rsid w:val="00141285"/>
    <w:rPr>
      <w:rFonts w:cs="Times New Roman"/>
    </w:rPr>
  </w:style>
  <w:style w:type="paragraph" w:styleId="TOC3">
    <w:name w:val="toc 3"/>
    <w:basedOn w:val="Normal"/>
    <w:next w:val="Normal"/>
    <w:autoRedefine/>
    <w:uiPriority w:val="39"/>
    <w:rsid w:val="00B60733"/>
    <w:pPr>
      <w:ind w:left="440"/>
    </w:pPr>
  </w:style>
  <w:style w:type="paragraph" w:styleId="NormalWeb">
    <w:name w:val="Normal (Web)"/>
    <w:basedOn w:val="Normal"/>
    <w:uiPriority w:val="99"/>
    <w:rsid w:val="009C4B52"/>
    <w:pPr>
      <w:spacing w:before="75" w:after="75" w:line="240" w:lineRule="auto"/>
      <w:jc w:val="left"/>
    </w:pPr>
    <w:rPr>
      <w:rFonts w:ascii="Times New Roman" w:hAnsi="Times New Roman"/>
      <w:sz w:val="24"/>
      <w:lang w:val="en-US" w:eastAsia="en-US"/>
    </w:rPr>
  </w:style>
  <w:style w:type="paragraph" w:styleId="BalloonText">
    <w:name w:val="Balloon Text"/>
    <w:basedOn w:val="Normal"/>
    <w:link w:val="BalloonTextChar"/>
    <w:uiPriority w:val="99"/>
    <w:rsid w:val="00FE6F45"/>
    <w:pPr>
      <w:spacing w:line="240" w:lineRule="auto"/>
    </w:pPr>
    <w:rPr>
      <w:rFonts w:ascii="Tahoma" w:hAnsi="Tahoma"/>
      <w:sz w:val="16"/>
      <w:szCs w:val="16"/>
    </w:rPr>
  </w:style>
  <w:style w:type="character" w:customStyle="1" w:styleId="BalloonTextChar">
    <w:name w:val="Balloon Text Char"/>
    <w:basedOn w:val="DefaultParagraphFont"/>
    <w:link w:val="BalloonText"/>
    <w:uiPriority w:val="99"/>
    <w:locked/>
    <w:rsid w:val="00FE6F45"/>
    <w:rPr>
      <w:rFonts w:ascii="Tahoma" w:hAnsi="Tahoma" w:cs="Times New Roman"/>
      <w:sz w:val="16"/>
      <w:lang w:val="nl-NL" w:eastAsia="nl-NL"/>
    </w:rPr>
  </w:style>
  <w:style w:type="character" w:styleId="FollowedHyperlink">
    <w:name w:val="FollowedHyperlink"/>
    <w:basedOn w:val="DefaultParagraphFont"/>
    <w:uiPriority w:val="99"/>
    <w:rsid w:val="00A27DCA"/>
    <w:rPr>
      <w:rFonts w:cs="Times New Roman"/>
      <w:color w:val="800080"/>
      <w:u w:val="single"/>
    </w:rPr>
  </w:style>
  <w:style w:type="paragraph" w:customStyle="1" w:styleId="Normal9">
    <w:name w:val="Normal+9"/>
    <w:basedOn w:val="Normal"/>
    <w:next w:val="Normal"/>
    <w:uiPriority w:val="99"/>
    <w:rsid w:val="00E37A4D"/>
    <w:pPr>
      <w:autoSpaceDE w:val="0"/>
      <w:autoSpaceDN w:val="0"/>
      <w:spacing w:line="240" w:lineRule="auto"/>
      <w:jc w:val="left"/>
    </w:pPr>
    <w:rPr>
      <w:rFonts w:ascii="BKLJFC+Arial,Bold" w:hAnsi="BKLJFC+Arial,Bold"/>
      <w:sz w:val="24"/>
    </w:rPr>
  </w:style>
  <w:style w:type="table" w:styleId="TableGrid">
    <w:name w:val="Table Grid"/>
    <w:basedOn w:val="TableNormal"/>
    <w:uiPriority w:val="99"/>
    <w:rsid w:val="008247A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99"/>
    <w:qFormat/>
    <w:rsid w:val="00091129"/>
    <w:rPr>
      <w:b/>
      <w:bCs/>
      <w:color w:val="548DD4"/>
      <w:sz w:val="20"/>
      <w:szCs w:val="20"/>
    </w:rPr>
  </w:style>
  <w:style w:type="paragraph" w:styleId="TableofFigures">
    <w:name w:val="table of figures"/>
    <w:basedOn w:val="Normal"/>
    <w:next w:val="Normal"/>
    <w:uiPriority w:val="99"/>
    <w:rsid w:val="00813A4B"/>
  </w:style>
  <w:style w:type="character" w:customStyle="1" w:styleId="example">
    <w:name w:val="example"/>
    <w:basedOn w:val="DefaultParagraphFont"/>
    <w:uiPriority w:val="99"/>
    <w:rsid w:val="00791B73"/>
    <w:rPr>
      <w:rFonts w:cs="Times New Roman"/>
    </w:rPr>
  </w:style>
  <w:style w:type="paragraph" w:customStyle="1" w:styleId="OpmaakprofielKop2Cursief">
    <w:name w:val="Opmaakprofiel Kop 2 + Cursief"/>
    <w:basedOn w:val="Heading2"/>
    <w:link w:val="OpmaakprofielKop2CursiefChar"/>
    <w:uiPriority w:val="99"/>
    <w:rsid w:val="004F6919"/>
    <w:rPr>
      <w:rFonts w:cs="Times New Roman"/>
      <w:bCs w:val="0"/>
      <w:i/>
      <w:iCs w:val="0"/>
      <w:color w:val="FF0000"/>
      <w:sz w:val="28"/>
      <w:szCs w:val="20"/>
    </w:rPr>
  </w:style>
  <w:style w:type="character" w:customStyle="1" w:styleId="OpmaakprofielKop2CursiefChar">
    <w:name w:val="Opmaakprofiel Kop 2 + Cursief Char"/>
    <w:link w:val="OpmaakprofielKop2Cursief"/>
    <w:uiPriority w:val="99"/>
    <w:locked/>
    <w:rsid w:val="004F6919"/>
    <w:rPr>
      <w:rFonts w:ascii="Arial" w:hAnsi="Arial"/>
      <w:b/>
      <w:i/>
      <w:color w:val="FF0000"/>
      <w:sz w:val="28"/>
      <w:lang w:val="nl-NL" w:eastAsia="nl-NL"/>
    </w:rPr>
  </w:style>
  <w:style w:type="numbering" w:customStyle="1" w:styleId="OpmaakprofielMetopsommingstekens1">
    <w:name w:val="Opmaakprofiel Met opsommingstekens1"/>
    <w:rsid w:val="0066730F"/>
    <w:pPr>
      <w:numPr>
        <w:numId w:val="23"/>
      </w:numPr>
    </w:pPr>
  </w:style>
  <w:style w:type="numbering" w:customStyle="1" w:styleId="OpmaakprofielMetopsommingstekens">
    <w:name w:val="Opmaakprofiel Met opsommingstekens"/>
    <w:rsid w:val="0066730F"/>
    <w:pPr>
      <w:numPr>
        <w:numId w:val="8"/>
      </w:numPr>
    </w:pPr>
  </w:style>
  <w:style w:type="character" w:styleId="PlaceholderText">
    <w:name w:val="Placeholder Text"/>
    <w:basedOn w:val="DefaultParagraphFont"/>
    <w:uiPriority w:val="99"/>
    <w:semiHidden/>
    <w:rsid w:val="0059557F"/>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able of figures" w:locked="1" w:semiHidden="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527"/>
    <w:pPr>
      <w:widowControl w:val="0"/>
      <w:adjustRightInd w:val="0"/>
      <w:spacing w:line="360" w:lineRule="auto"/>
      <w:jc w:val="both"/>
      <w:textAlignment w:val="baseline"/>
    </w:pPr>
    <w:rPr>
      <w:rFonts w:ascii="Arial" w:hAnsi="Arial"/>
      <w:szCs w:val="24"/>
    </w:rPr>
  </w:style>
  <w:style w:type="paragraph" w:styleId="Heading1">
    <w:name w:val="heading 1"/>
    <w:basedOn w:val="Normal"/>
    <w:next w:val="Normal"/>
    <w:link w:val="Heading1Char"/>
    <w:uiPriority w:val="99"/>
    <w:qFormat/>
    <w:rsid w:val="00895CF7"/>
    <w:pPr>
      <w:keepNext/>
      <w:spacing w:before="240" w:after="60"/>
      <w:outlineLvl w:val="0"/>
    </w:pPr>
    <w:rPr>
      <w:b/>
      <w:bCs/>
      <w:color w:val="1F497D"/>
      <w:kern w:val="32"/>
      <w:sz w:val="30"/>
      <w:szCs w:val="32"/>
    </w:rPr>
  </w:style>
  <w:style w:type="paragraph" w:styleId="Heading2">
    <w:name w:val="heading 2"/>
    <w:basedOn w:val="Normal"/>
    <w:next w:val="Normal"/>
    <w:link w:val="Heading2Char"/>
    <w:uiPriority w:val="99"/>
    <w:qFormat/>
    <w:rsid w:val="00895CF7"/>
    <w:pPr>
      <w:keepNext/>
      <w:spacing w:before="240" w:after="60"/>
      <w:outlineLvl w:val="1"/>
    </w:pPr>
    <w:rPr>
      <w:rFonts w:cs="Arial"/>
      <w:b/>
      <w:bCs/>
      <w:iCs/>
      <w:color w:val="4F81BD"/>
      <w:sz w:val="24"/>
      <w:szCs w:val="28"/>
    </w:rPr>
  </w:style>
  <w:style w:type="paragraph" w:styleId="Heading3">
    <w:name w:val="heading 3"/>
    <w:basedOn w:val="Normal"/>
    <w:next w:val="Normal"/>
    <w:link w:val="Heading3Char"/>
    <w:uiPriority w:val="99"/>
    <w:qFormat/>
    <w:rsid w:val="00895CF7"/>
    <w:pPr>
      <w:keepNext/>
      <w:spacing w:before="240" w:after="60"/>
      <w:outlineLvl w:val="2"/>
    </w:pPr>
    <w:rPr>
      <w:rFonts w:cs="Arial"/>
      <w:b/>
      <w:bCs/>
      <w:i/>
      <w:color w:val="8DB4E3"/>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95CF7"/>
    <w:rPr>
      <w:rFonts w:ascii="Arial" w:hAnsi="Arial" w:cs="Times New Roman"/>
      <w:b/>
      <w:color w:val="1F497D"/>
      <w:kern w:val="32"/>
      <w:sz w:val="32"/>
      <w:lang w:val="nl-NL" w:eastAsia="nl-NL"/>
    </w:rPr>
  </w:style>
  <w:style w:type="character" w:customStyle="1" w:styleId="Heading2Char">
    <w:name w:val="Heading 2 Char"/>
    <w:basedOn w:val="DefaultParagraphFont"/>
    <w:link w:val="Heading2"/>
    <w:uiPriority w:val="99"/>
    <w:locked/>
    <w:rsid w:val="00895CF7"/>
    <w:rPr>
      <w:rFonts w:ascii="Arial" w:hAnsi="Arial" w:cs="Times New Roman"/>
      <w:b/>
      <w:color w:val="4F81BD"/>
      <w:sz w:val="28"/>
      <w:lang w:val="nl-NL" w:eastAsia="nl-NL"/>
    </w:rPr>
  </w:style>
  <w:style w:type="character" w:customStyle="1" w:styleId="Heading3Char">
    <w:name w:val="Heading 3 Char"/>
    <w:basedOn w:val="DefaultParagraphFont"/>
    <w:link w:val="Heading3"/>
    <w:uiPriority w:val="99"/>
    <w:semiHidden/>
    <w:locked/>
    <w:rsid w:val="00222C1A"/>
    <w:rPr>
      <w:rFonts w:ascii="Cambria" w:hAnsi="Cambria" w:cs="Times New Roman"/>
      <w:b/>
      <w:bCs/>
      <w:sz w:val="26"/>
      <w:szCs w:val="26"/>
    </w:rPr>
  </w:style>
  <w:style w:type="paragraph" w:customStyle="1" w:styleId="ondertitel">
    <w:name w:val="ondertitel"/>
    <w:basedOn w:val="Normal"/>
    <w:uiPriority w:val="99"/>
    <w:rsid w:val="007C120F"/>
    <w:pPr>
      <w:jc w:val="center"/>
    </w:pPr>
    <w:rPr>
      <w:b/>
      <w:bCs/>
      <w:szCs w:val="20"/>
    </w:rPr>
  </w:style>
  <w:style w:type="paragraph" w:customStyle="1" w:styleId="titel">
    <w:name w:val="titel"/>
    <w:basedOn w:val="Normal"/>
    <w:uiPriority w:val="99"/>
    <w:rsid w:val="007C120F"/>
    <w:pPr>
      <w:jc w:val="center"/>
    </w:pPr>
    <w:rPr>
      <w:b/>
      <w:bCs/>
      <w:sz w:val="72"/>
      <w:szCs w:val="20"/>
    </w:rPr>
  </w:style>
  <w:style w:type="paragraph" w:styleId="Footer">
    <w:name w:val="footer"/>
    <w:basedOn w:val="Normal"/>
    <w:link w:val="FooterChar"/>
    <w:uiPriority w:val="99"/>
    <w:rsid w:val="007C120F"/>
    <w:pPr>
      <w:tabs>
        <w:tab w:val="center" w:pos="4536"/>
        <w:tab w:val="right" w:pos="9072"/>
      </w:tabs>
    </w:pPr>
  </w:style>
  <w:style w:type="character" w:customStyle="1" w:styleId="FooterChar">
    <w:name w:val="Footer Char"/>
    <w:basedOn w:val="DefaultParagraphFont"/>
    <w:link w:val="Footer"/>
    <w:uiPriority w:val="99"/>
    <w:semiHidden/>
    <w:locked/>
    <w:rsid w:val="00222C1A"/>
    <w:rPr>
      <w:rFonts w:ascii="Arial" w:hAnsi="Arial" w:cs="Times New Roman"/>
      <w:sz w:val="24"/>
      <w:szCs w:val="24"/>
    </w:rPr>
  </w:style>
  <w:style w:type="character" w:styleId="PageNumber">
    <w:name w:val="page number"/>
    <w:basedOn w:val="DefaultParagraphFont"/>
    <w:uiPriority w:val="99"/>
    <w:rsid w:val="007C120F"/>
    <w:rPr>
      <w:rFonts w:cs="Times New Roman"/>
    </w:rPr>
  </w:style>
  <w:style w:type="paragraph" w:styleId="TOC1">
    <w:name w:val="toc 1"/>
    <w:basedOn w:val="Normal"/>
    <w:next w:val="Normal"/>
    <w:autoRedefine/>
    <w:uiPriority w:val="39"/>
    <w:rsid w:val="0035773C"/>
  </w:style>
  <w:style w:type="character" w:styleId="Hyperlink">
    <w:name w:val="Hyperlink"/>
    <w:basedOn w:val="DefaultParagraphFont"/>
    <w:uiPriority w:val="99"/>
    <w:rsid w:val="00E61D3D"/>
    <w:rPr>
      <w:rFonts w:cs="Times New Roman"/>
      <w:color w:val="0000FF"/>
      <w:u w:val="single"/>
    </w:rPr>
  </w:style>
  <w:style w:type="paragraph" w:styleId="ListParagraph">
    <w:name w:val="List Paragraph"/>
    <w:basedOn w:val="Normal"/>
    <w:uiPriority w:val="99"/>
    <w:qFormat/>
    <w:rsid w:val="0029555A"/>
    <w:pPr>
      <w:ind w:left="720"/>
      <w:contextualSpacing/>
    </w:pPr>
    <w:rPr>
      <w:rFonts w:ascii="Times New Roman" w:hAnsi="Times New Roman"/>
      <w:lang w:val="en-US" w:eastAsia="en-US"/>
    </w:rPr>
  </w:style>
  <w:style w:type="character" w:styleId="Strong">
    <w:name w:val="Strong"/>
    <w:basedOn w:val="DefaultParagraphFont"/>
    <w:uiPriority w:val="99"/>
    <w:qFormat/>
    <w:rsid w:val="00642BCB"/>
    <w:rPr>
      <w:rFonts w:cs="Times New Roman"/>
      <w:b/>
    </w:rPr>
  </w:style>
  <w:style w:type="paragraph" w:styleId="TOC2">
    <w:name w:val="toc 2"/>
    <w:basedOn w:val="Normal"/>
    <w:next w:val="Normal"/>
    <w:autoRedefine/>
    <w:uiPriority w:val="39"/>
    <w:rsid w:val="0035773C"/>
    <w:pPr>
      <w:tabs>
        <w:tab w:val="right" w:leader="dot" w:pos="9059"/>
      </w:tabs>
      <w:ind w:left="240"/>
    </w:pPr>
    <w:rPr>
      <w:noProof/>
      <w:lang w:val="en-GB"/>
    </w:rPr>
  </w:style>
  <w:style w:type="paragraph" w:styleId="Header">
    <w:name w:val="header"/>
    <w:basedOn w:val="Normal"/>
    <w:link w:val="HeaderChar"/>
    <w:uiPriority w:val="99"/>
    <w:rsid w:val="00C64098"/>
    <w:pPr>
      <w:tabs>
        <w:tab w:val="center" w:pos="4536"/>
        <w:tab w:val="right" w:pos="9072"/>
      </w:tabs>
    </w:pPr>
  </w:style>
  <w:style w:type="character" w:customStyle="1" w:styleId="HeaderChar">
    <w:name w:val="Header Char"/>
    <w:basedOn w:val="DefaultParagraphFont"/>
    <w:link w:val="Header"/>
    <w:uiPriority w:val="99"/>
    <w:semiHidden/>
    <w:locked/>
    <w:rsid w:val="00222C1A"/>
    <w:rPr>
      <w:rFonts w:ascii="Arial" w:hAnsi="Arial" w:cs="Times New Roman"/>
      <w:sz w:val="24"/>
      <w:szCs w:val="24"/>
    </w:rPr>
  </w:style>
  <w:style w:type="paragraph" w:customStyle="1" w:styleId="OpmaakprofielKop2Uitvullen">
    <w:name w:val="Opmaakprofiel Kop 2 + Uitvullen"/>
    <w:basedOn w:val="Heading2"/>
    <w:uiPriority w:val="99"/>
    <w:rsid w:val="00FE7BF3"/>
    <w:rPr>
      <w:rFonts w:cs="Times New Roman"/>
      <w:szCs w:val="20"/>
    </w:rPr>
  </w:style>
  <w:style w:type="paragraph" w:styleId="FootnoteText">
    <w:name w:val="footnote text"/>
    <w:basedOn w:val="Normal"/>
    <w:link w:val="FootnoteTextChar"/>
    <w:uiPriority w:val="99"/>
    <w:rsid w:val="0052255E"/>
    <w:pPr>
      <w:spacing w:line="240" w:lineRule="auto"/>
    </w:pPr>
    <w:rPr>
      <w:rFonts w:ascii="Times New Roman" w:hAnsi="Times New Roman"/>
      <w:sz w:val="20"/>
      <w:szCs w:val="20"/>
    </w:rPr>
  </w:style>
  <w:style w:type="character" w:customStyle="1" w:styleId="FootnoteTextChar">
    <w:name w:val="Footnote Text Char"/>
    <w:basedOn w:val="DefaultParagraphFont"/>
    <w:link w:val="FootnoteText"/>
    <w:uiPriority w:val="99"/>
    <w:locked/>
    <w:rsid w:val="00DB5C18"/>
    <w:rPr>
      <w:rFonts w:cs="Times New Roman"/>
      <w:lang w:val="nl-NL" w:eastAsia="nl-NL"/>
    </w:rPr>
  </w:style>
  <w:style w:type="character" w:styleId="FootnoteReference">
    <w:name w:val="footnote reference"/>
    <w:basedOn w:val="DefaultParagraphFont"/>
    <w:uiPriority w:val="99"/>
    <w:rsid w:val="0052255E"/>
    <w:rPr>
      <w:rFonts w:cs="Times New Roman"/>
      <w:vertAlign w:val="superscript"/>
    </w:rPr>
  </w:style>
  <w:style w:type="character" w:customStyle="1" w:styleId="hps">
    <w:name w:val="hps"/>
    <w:basedOn w:val="DefaultParagraphFont"/>
    <w:uiPriority w:val="99"/>
    <w:rsid w:val="00141285"/>
    <w:rPr>
      <w:rFonts w:cs="Times New Roman"/>
    </w:rPr>
  </w:style>
  <w:style w:type="paragraph" w:styleId="TOC3">
    <w:name w:val="toc 3"/>
    <w:basedOn w:val="Normal"/>
    <w:next w:val="Normal"/>
    <w:autoRedefine/>
    <w:uiPriority w:val="39"/>
    <w:rsid w:val="00B60733"/>
    <w:pPr>
      <w:ind w:left="440"/>
    </w:pPr>
  </w:style>
  <w:style w:type="paragraph" w:styleId="NormalWeb">
    <w:name w:val="Normal (Web)"/>
    <w:basedOn w:val="Normal"/>
    <w:uiPriority w:val="99"/>
    <w:rsid w:val="009C4B52"/>
    <w:pPr>
      <w:spacing w:before="75" w:after="75" w:line="240" w:lineRule="auto"/>
      <w:jc w:val="left"/>
    </w:pPr>
    <w:rPr>
      <w:rFonts w:ascii="Times New Roman" w:hAnsi="Times New Roman"/>
      <w:sz w:val="24"/>
      <w:lang w:val="en-US" w:eastAsia="en-US"/>
    </w:rPr>
  </w:style>
  <w:style w:type="paragraph" w:styleId="BalloonText">
    <w:name w:val="Balloon Text"/>
    <w:basedOn w:val="Normal"/>
    <w:link w:val="BalloonTextChar"/>
    <w:uiPriority w:val="99"/>
    <w:rsid w:val="00FE6F45"/>
    <w:pPr>
      <w:spacing w:line="240" w:lineRule="auto"/>
    </w:pPr>
    <w:rPr>
      <w:rFonts w:ascii="Tahoma" w:hAnsi="Tahoma"/>
      <w:sz w:val="16"/>
      <w:szCs w:val="16"/>
    </w:rPr>
  </w:style>
  <w:style w:type="character" w:customStyle="1" w:styleId="BalloonTextChar">
    <w:name w:val="Balloon Text Char"/>
    <w:basedOn w:val="DefaultParagraphFont"/>
    <w:link w:val="BalloonText"/>
    <w:uiPriority w:val="99"/>
    <w:locked/>
    <w:rsid w:val="00FE6F45"/>
    <w:rPr>
      <w:rFonts w:ascii="Tahoma" w:hAnsi="Tahoma" w:cs="Times New Roman"/>
      <w:sz w:val="16"/>
      <w:lang w:val="nl-NL" w:eastAsia="nl-NL"/>
    </w:rPr>
  </w:style>
  <w:style w:type="character" w:styleId="FollowedHyperlink">
    <w:name w:val="FollowedHyperlink"/>
    <w:basedOn w:val="DefaultParagraphFont"/>
    <w:uiPriority w:val="99"/>
    <w:rsid w:val="00A27DCA"/>
    <w:rPr>
      <w:rFonts w:cs="Times New Roman"/>
      <w:color w:val="800080"/>
      <w:u w:val="single"/>
    </w:rPr>
  </w:style>
  <w:style w:type="paragraph" w:customStyle="1" w:styleId="Normal9">
    <w:name w:val="Normal+9"/>
    <w:basedOn w:val="Normal"/>
    <w:next w:val="Normal"/>
    <w:uiPriority w:val="99"/>
    <w:rsid w:val="00E37A4D"/>
    <w:pPr>
      <w:autoSpaceDE w:val="0"/>
      <w:autoSpaceDN w:val="0"/>
      <w:spacing w:line="240" w:lineRule="auto"/>
      <w:jc w:val="left"/>
    </w:pPr>
    <w:rPr>
      <w:rFonts w:ascii="BKLJFC+Arial,Bold" w:hAnsi="BKLJFC+Arial,Bold"/>
      <w:sz w:val="24"/>
    </w:rPr>
  </w:style>
  <w:style w:type="table" w:styleId="TableGrid">
    <w:name w:val="Table Grid"/>
    <w:basedOn w:val="TableNormal"/>
    <w:uiPriority w:val="99"/>
    <w:rsid w:val="008247A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99"/>
    <w:qFormat/>
    <w:rsid w:val="00091129"/>
    <w:rPr>
      <w:b/>
      <w:bCs/>
      <w:color w:val="548DD4"/>
      <w:sz w:val="20"/>
      <w:szCs w:val="20"/>
    </w:rPr>
  </w:style>
  <w:style w:type="paragraph" w:styleId="TableofFigures">
    <w:name w:val="table of figures"/>
    <w:basedOn w:val="Normal"/>
    <w:next w:val="Normal"/>
    <w:uiPriority w:val="99"/>
    <w:rsid w:val="00813A4B"/>
  </w:style>
  <w:style w:type="character" w:customStyle="1" w:styleId="example">
    <w:name w:val="example"/>
    <w:basedOn w:val="DefaultParagraphFont"/>
    <w:uiPriority w:val="99"/>
    <w:rsid w:val="00791B73"/>
    <w:rPr>
      <w:rFonts w:cs="Times New Roman"/>
    </w:rPr>
  </w:style>
  <w:style w:type="paragraph" w:customStyle="1" w:styleId="OpmaakprofielKop2Cursief">
    <w:name w:val="Opmaakprofiel Kop 2 + Cursief"/>
    <w:basedOn w:val="Heading2"/>
    <w:link w:val="OpmaakprofielKop2CursiefChar"/>
    <w:uiPriority w:val="99"/>
    <w:rsid w:val="004F6919"/>
    <w:rPr>
      <w:rFonts w:cs="Times New Roman"/>
      <w:bCs w:val="0"/>
      <w:i/>
      <w:iCs w:val="0"/>
      <w:color w:val="FF0000"/>
      <w:sz w:val="28"/>
      <w:szCs w:val="20"/>
    </w:rPr>
  </w:style>
  <w:style w:type="character" w:customStyle="1" w:styleId="OpmaakprofielKop2CursiefChar">
    <w:name w:val="Opmaakprofiel Kop 2 + Cursief Char"/>
    <w:link w:val="OpmaakprofielKop2Cursief"/>
    <w:uiPriority w:val="99"/>
    <w:locked/>
    <w:rsid w:val="004F6919"/>
    <w:rPr>
      <w:rFonts w:ascii="Arial" w:hAnsi="Arial"/>
      <w:b/>
      <w:i/>
      <w:color w:val="FF0000"/>
      <w:sz w:val="28"/>
      <w:lang w:val="nl-NL" w:eastAsia="nl-NL"/>
    </w:rPr>
  </w:style>
  <w:style w:type="numbering" w:customStyle="1" w:styleId="OpmaakprofielMetopsommingstekens1">
    <w:name w:val="Opmaakprofiel Met opsommingstekens1"/>
    <w:rsid w:val="0066730F"/>
    <w:pPr>
      <w:numPr>
        <w:numId w:val="23"/>
      </w:numPr>
    </w:pPr>
  </w:style>
  <w:style w:type="numbering" w:customStyle="1" w:styleId="OpmaakprofielMetopsommingstekens">
    <w:name w:val="Opmaakprofiel Met opsommingstekens"/>
    <w:rsid w:val="0066730F"/>
    <w:pPr>
      <w:numPr>
        <w:numId w:val="8"/>
      </w:numPr>
    </w:pPr>
  </w:style>
  <w:style w:type="character" w:styleId="PlaceholderText">
    <w:name w:val="Placeholder Text"/>
    <w:basedOn w:val="DefaultParagraphFont"/>
    <w:uiPriority w:val="99"/>
    <w:semiHidden/>
    <w:rsid w:val="0059557F"/>
    <w:rPr>
      <w:color w:val="808080"/>
    </w:rPr>
  </w:style>
</w:styles>
</file>

<file path=word/webSettings.xml><?xml version="1.0" encoding="utf-8"?>
<w:webSettings xmlns:r="http://schemas.openxmlformats.org/officeDocument/2006/relationships" xmlns:w="http://schemas.openxmlformats.org/wordprocessingml/2006/main">
  <w:divs>
    <w:div w:id="20399515">
      <w:bodyDiv w:val="1"/>
      <w:marLeft w:val="0"/>
      <w:marRight w:val="0"/>
      <w:marTop w:val="0"/>
      <w:marBottom w:val="0"/>
      <w:divBdr>
        <w:top w:val="none" w:sz="0" w:space="0" w:color="auto"/>
        <w:left w:val="none" w:sz="0" w:space="0" w:color="auto"/>
        <w:bottom w:val="none" w:sz="0" w:space="0" w:color="auto"/>
        <w:right w:val="none" w:sz="0" w:space="0" w:color="auto"/>
      </w:divBdr>
    </w:div>
    <w:div w:id="88620081">
      <w:bodyDiv w:val="1"/>
      <w:marLeft w:val="0"/>
      <w:marRight w:val="0"/>
      <w:marTop w:val="0"/>
      <w:marBottom w:val="0"/>
      <w:divBdr>
        <w:top w:val="none" w:sz="0" w:space="0" w:color="auto"/>
        <w:left w:val="none" w:sz="0" w:space="0" w:color="auto"/>
        <w:bottom w:val="none" w:sz="0" w:space="0" w:color="auto"/>
        <w:right w:val="none" w:sz="0" w:space="0" w:color="auto"/>
      </w:divBdr>
    </w:div>
    <w:div w:id="290861191">
      <w:bodyDiv w:val="1"/>
      <w:marLeft w:val="0"/>
      <w:marRight w:val="0"/>
      <w:marTop w:val="0"/>
      <w:marBottom w:val="0"/>
      <w:divBdr>
        <w:top w:val="none" w:sz="0" w:space="0" w:color="auto"/>
        <w:left w:val="none" w:sz="0" w:space="0" w:color="auto"/>
        <w:bottom w:val="none" w:sz="0" w:space="0" w:color="auto"/>
        <w:right w:val="none" w:sz="0" w:space="0" w:color="auto"/>
      </w:divBdr>
    </w:div>
    <w:div w:id="730932044">
      <w:bodyDiv w:val="1"/>
      <w:marLeft w:val="0"/>
      <w:marRight w:val="0"/>
      <w:marTop w:val="0"/>
      <w:marBottom w:val="0"/>
      <w:divBdr>
        <w:top w:val="none" w:sz="0" w:space="0" w:color="auto"/>
        <w:left w:val="none" w:sz="0" w:space="0" w:color="auto"/>
        <w:bottom w:val="none" w:sz="0" w:space="0" w:color="auto"/>
        <w:right w:val="none" w:sz="0" w:space="0" w:color="auto"/>
      </w:divBdr>
    </w:div>
    <w:div w:id="909080174">
      <w:bodyDiv w:val="1"/>
      <w:marLeft w:val="0"/>
      <w:marRight w:val="0"/>
      <w:marTop w:val="0"/>
      <w:marBottom w:val="0"/>
      <w:divBdr>
        <w:top w:val="none" w:sz="0" w:space="0" w:color="auto"/>
        <w:left w:val="none" w:sz="0" w:space="0" w:color="auto"/>
        <w:bottom w:val="none" w:sz="0" w:space="0" w:color="auto"/>
        <w:right w:val="none" w:sz="0" w:space="0" w:color="auto"/>
      </w:divBdr>
    </w:div>
    <w:div w:id="961226999">
      <w:bodyDiv w:val="1"/>
      <w:marLeft w:val="0"/>
      <w:marRight w:val="0"/>
      <w:marTop w:val="0"/>
      <w:marBottom w:val="0"/>
      <w:divBdr>
        <w:top w:val="none" w:sz="0" w:space="0" w:color="auto"/>
        <w:left w:val="none" w:sz="0" w:space="0" w:color="auto"/>
        <w:bottom w:val="none" w:sz="0" w:space="0" w:color="auto"/>
        <w:right w:val="none" w:sz="0" w:space="0" w:color="auto"/>
      </w:divBdr>
    </w:div>
    <w:div w:id="1114210264">
      <w:bodyDiv w:val="1"/>
      <w:marLeft w:val="0"/>
      <w:marRight w:val="0"/>
      <w:marTop w:val="0"/>
      <w:marBottom w:val="0"/>
      <w:divBdr>
        <w:top w:val="none" w:sz="0" w:space="0" w:color="auto"/>
        <w:left w:val="none" w:sz="0" w:space="0" w:color="auto"/>
        <w:bottom w:val="none" w:sz="0" w:space="0" w:color="auto"/>
        <w:right w:val="none" w:sz="0" w:space="0" w:color="auto"/>
      </w:divBdr>
    </w:div>
    <w:div w:id="1263100312">
      <w:bodyDiv w:val="1"/>
      <w:marLeft w:val="0"/>
      <w:marRight w:val="0"/>
      <w:marTop w:val="0"/>
      <w:marBottom w:val="0"/>
      <w:divBdr>
        <w:top w:val="none" w:sz="0" w:space="0" w:color="auto"/>
        <w:left w:val="none" w:sz="0" w:space="0" w:color="auto"/>
        <w:bottom w:val="none" w:sz="0" w:space="0" w:color="auto"/>
        <w:right w:val="none" w:sz="0" w:space="0" w:color="auto"/>
      </w:divBdr>
    </w:div>
    <w:div w:id="1340043878">
      <w:marLeft w:val="0"/>
      <w:marRight w:val="0"/>
      <w:marTop w:val="0"/>
      <w:marBottom w:val="0"/>
      <w:divBdr>
        <w:top w:val="none" w:sz="0" w:space="0" w:color="auto"/>
        <w:left w:val="none" w:sz="0" w:space="0" w:color="auto"/>
        <w:bottom w:val="none" w:sz="0" w:space="0" w:color="auto"/>
        <w:right w:val="none" w:sz="0" w:space="0" w:color="auto"/>
      </w:divBdr>
    </w:div>
    <w:div w:id="1340043879">
      <w:marLeft w:val="0"/>
      <w:marRight w:val="0"/>
      <w:marTop w:val="0"/>
      <w:marBottom w:val="0"/>
      <w:divBdr>
        <w:top w:val="none" w:sz="0" w:space="0" w:color="auto"/>
        <w:left w:val="none" w:sz="0" w:space="0" w:color="auto"/>
        <w:bottom w:val="none" w:sz="0" w:space="0" w:color="auto"/>
        <w:right w:val="none" w:sz="0" w:space="0" w:color="auto"/>
      </w:divBdr>
    </w:div>
    <w:div w:id="1340043880">
      <w:marLeft w:val="0"/>
      <w:marRight w:val="0"/>
      <w:marTop w:val="0"/>
      <w:marBottom w:val="0"/>
      <w:divBdr>
        <w:top w:val="none" w:sz="0" w:space="0" w:color="auto"/>
        <w:left w:val="none" w:sz="0" w:space="0" w:color="auto"/>
        <w:bottom w:val="none" w:sz="0" w:space="0" w:color="auto"/>
        <w:right w:val="none" w:sz="0" w:space="0" w:color="auto"/>
      </w:divBdr>
    </w:div>
    <w:div w:id="1340043882">
      <w:marLeft w:val="0"/>
      <w:marRight w:val="0"/>
      <w:marTop w:val="0"/>
      <w:marBottom w:val="0"/>
      <w:divBdr>
        <w:top w:val="none" w:sz="0" w:space="0" w:color="auto"/>
        <w:left w:val="none" w:sz="0" w:space="0" w:color="auto"/>
        <w:bottom w:val="none" w:sz="0" w:space="0" w:color="auto"/>
        <w:right w:val="none" w:sz="0" w:space="0" w:color="auto"/>
      </w:divBdr>
    </w:div>
    <w:div w:id="1340043884">
      <w:marLeft w:val="0"/>
      <w:marRight w:val="0"/>
      <w:marTop w:val="0"/>
      <w:marBottom w:val="0"/>
      <w:divBdr>
        <w:top w:val="none" w:sz="0" w:space="0" w:color="auto"/>
        <w:left w:val="none" w:sz="0" w:space="0" w:color="auto"/>
        <w:bottom w:val="none" w:sz="0" w:space="0" w:color="auto"/>
        <w:right w:val="none" w:sz="0" w:space="0" w:color="auto"/>
      </w:divBdr>
    </w:div>
    <w:div w:id="1340043885">
      <w:marLeft w:val="0"/>
      <w:marRight w:val="0"/>
      <w:marTop w:val="0"/>
      <w:marBottom w:val="0"/>
      <w:divBdr>
        <w:top w:val="none" w:sz="0" w:space="0" w:color="auto"/>
        <w:left w:val="none" w:sz="0" w:space="0" w:color="auto"/>
        <w:bottom w:val="none" w:sz="0" w:space="0" w:color="auto"/>
        <w:right w:val="none" w:sz="0" w:space="0" w:color="auto"/>
      </w:divBdr>
    </w:div>
    <w:div w:id="1340043886">
      <w:marLeft w:val="0"/>
      <w:marRight w:val="0"/>
      <w:marTop w:val="0"/>
      <w:marBottom w:val="0"/>
      <w:divBdr>
        <w:top w:val="none" w:sz="0" w:space="0" w:color="auto"/>
        <w:left w:val="none" w:sz="0" w:space="0" w:color="auto"/>
        <w:bottom w:val="none" w:sz="0" w:space="0" w:color="auto"/>
        <w:right w:val="none" w:sz="0" w:space="0" w:color="auto"/>
      </w:divBdr>
    </w:div>
    <w:div w:id="1340043887">
      <w:marLeft w:val="0"/>
      <w:marRight w:val="0"/>
      <w:marTop w:val="0"/>
      <w:marBottom w:val="0"/>
      <w:divBdr>
        <w:top w:val="none" w:sz="0" w:space="0" w:color="auto"/>
        <w:left w:val="none" w:sz="0" w:space="0" w:color="auto"/>
        <w:bottom w:val="none" w:sz="0" w:space="0" w:color="auto"/>
        <w:right w:val="none" w:sz="0" w:space="0" w:color="auto"/>
      </w:divBdr>
    </w:div>
    <w:div w:id="1340043888">
      <w:marLeft w:val="0"/>
      <w:marRight w:val="0"/>
      <w:marTop w:val="0"/>
      <w:marBottom w:val="0"/>
      <w:divBdr>
        <w:top w:val="none" w:sz="0" w:space="0" w:color="auto"/>
        <w:left w:val="none" w:sz="0" w:space="0" w:color="auto"/>
        <w:bottom w:val="none" w:sz="0" w:space="0" w:color="auto"/>
        <w:right w:val="none" w:sz="0" w:space="0" w:color="auto"/>
      </w:divBdr>
    </w:div>
    <w:div w:id="1340043889">
      <w:marLeft w:val="0"/>
      <w:marRight w:val="0"/>
      <w:marTop w:val="0"/>
      <w:marBottom w:val="0"/>
      <w:divBdr>
        <w:top w:val="none" w:sz="0" w:space="0" w:color="auto"/>
        <w:left w:val="none" w:sz="0" w:space="0" w:color="auto"/>
        <w:bottom w:val="none" w:sz="0" w:space="0" w:color="auto"/>
        <w:right w:val="none" w:sz="0" w:space="0" w:color="auto"/>
      </w:divBdr>
    </w:div>
    <w:div w:id="1340043890">
      <w:marLeft w:val="0"/>
      <w:marRight w:val="0"/>
      <w:marTop w:val="0"/>
      <w:marBottom w:val="0"/>
      <w:divBdr>
        <w:top w:val="none" w:sz="0" w:space="0" w:color="auto"/>
        <w:left w:val="none" w:sz="0" w:space="0" w:color="auto"/>
        <w:bottom w:val="none" w:sz="0" w:space="0" w:color="auto"/>
        <w:right w:val="none" w:sz="0" w:space="0" w:color="auto"/>
      </w:divBdr>
    </w:div>
    <w:div w:id="1340043891">
      <w:marLeft w:val="0"/>
      <w:marRight w:val="0"/>
      <w:marTop w:val="0"/>
      <w:marBottom w:val="0"/>
      <w:divBdr>
        <w:top w:val="none" w:sz="0" w:space="0" w:color="auto"/>
        <w:left w:val="none" w:sz="0" w:space="0" w:color="auto"/>
        <w:bottom w:val="none" w:sz="0" w:space="0" w:color="auto"/>
        <w:right w:val="none" w:sz="0" w:space="0" w:color="auto"/>
      </w:divBdr>
    </w:div>
    <w:div w:id="1340043892">
      <w:marLeft w:val="0"/>
      <w:marRight w:val="0"/>
      <w:marTop w:val="0"/>
      <w:marBottom w:val="0"/>
      <w:divBdr>
        <w:top w:val="none" w:sz="0" w:space="0" w:color="auto"/>
        <w:left w:val="none" w:sz="0" w:space="0" w:color="auto"/>
        <w:bottom w:val="none" w:sz="0" w:space="0" w:color="auto"/>
        <w:right w:val="none" w:sz="0" w:space="0" w:color="auto"/>
      </w:divBdr>
    </w:div>
    <w:div w:id="1340043893">
      <w:marLeft w:val="0"/>
      <w:marRight w:val="0"/>
      <w:marTop w:val="0"/>
      <w:marBottom w:val="0"/>
      <w:divBdr>
        <w:top w:val="none" w:sz="0" w:space="0" w:color="auto"/>
        <w:left w:val="none" w:sz="0" w:space="0" w:color="auto"/>
        <w:bottom w:val="none" w:sz="0" w:space="0" w:color="auto"/>
        <w:right w:val="none" w:sz="0" w:space="0" w:color="auto"/>
      </w:divBdr>
    </w:div>
    <w:div w:id="1340043894">
      <w:marLeft w:val="0"/>
      <w:marRight w:val="0"/>
      <w:marTop w:val="0"/>
      <w:marBottom w:val="0"/>
      <w:divBdr>
        <w:top w:val="none" w:sz="0" w:space="0" w:color="auto"/>
        <w:left w:val="none" w:sz="0" w:space="0" w:color="auto"/>
        <w:bottom w:val="none" w:sz="0" w:space="0" w:color="auto"/>
        <w:right w:val="none" w:sz="0" w:space="0" w:color="auto"/>
      </w:divBdr>
      <w:divsChild>
        <w:div w:id="1340043953">
          <w:marLeft w:val="0"/>
          <w:marRight w:val="0"/>
          <w:marTop w:val="0"/>
          <w:marBottom w:val="0"/>
          <w:divBdr>
            <w:top w:val="none" w:sz="0" w:space="0" w:color="auto"/>
            <w:left w:val="none" w:sz="0" w:space="0" w:color="auto"/>
            <w:bottom w:val="none" w:sz="0" w:space="0" w:color="auto"/>
            <w:right w:val="none" w:sz="0" w:space="0" w:color="auto"/>
          </w:divBdr>
          <w:divsChild>
            <w:div w:id="1340043975">
              <w:marLeft w:val="0"/>
              <w:marRight w:val="0"/>
              <w:marTop w:val="0"/>
              <w:marBottom w:val="0"/>
              <w:divBdr>
                <w:top w:val="none" w:sz="0" w:space="0" w:color="auto"/>
                <w:left w:val="none" w:sz="0" w:space="0" w:color="auto"/>
                <w:bottom w:val="none" w:sz="0" w:space="0" w:color="auto"/>
                <w:right w:val="none" w:sz="0" w:space="0" w:color="auto"/>
              </w:divBdr>
              <w:divsChild>
                <w:div w:id="1340043934">
                  <w:marLeft w:val="0"/>
                  <w:marRight w:val="0"/>
                  <w:marTop w:val="0"/>
                  <w:marBottom w:val="0"/>
                  <w:divBdr>
                    <w:top w:val="none" w:sz="0" w:space="0" w:color="auto"/>
                    <w:left w:val="none" w:sz="0" w:space="0" w:color="auto"/>
                    <w:bottom w:val="none" w:sz="0" w:space="0" w:color="auto"/>
                    <w:right w:val="none" w:sz="0" w:space="0" w:color="auto"/>
                  </w:divBdr>
                  <w:divsChild>
                    <w:div w:id="1340043883">
                      <w:marLeft w:val="0"/>
                      <w:marRight w:val="0"/>
                      <w:marTop w:val="0"/>
                      <w:marBottom w:val="0"/>
                      <w:divBdr>
                        <w:top w:val="none" w:sz="0" w:space="0" w:color="auto"/>
                        <w:left w:val="none" w:sz="0" w:space="0" w:color="auto"/>
                        <w:bottom w:val="none" w:sz="0" w:space="0" w:color="auto"/>
                        <w:right w:val="none" w:sz="0" w:space="0" w:color="auto"/>
                      </w:divBdr>
                      <w:divsChild>
                        <w:div w:id="1340043915">
                          <w:marLeft w:val="0"/>
                          <w:marRight w:val="0"/>
                          <w:marTop w:val="0"/>
                          <w:marBottom w:val="0"/>
                          <w:divBdr>
                            <w:top w:val="none" w:sz="0" w:space="0" w:color="auto"/>
                            <w:left w:val="none" w:sz="0" w:space="0" w:color="auto"/>
                            <w:bottom w:val="none" w:sz="0" w:space="0" w:color="auto"/>
                            <w:right w:val="none" w:sz="0" w:space="0" w:color="auto"/>
                          </w:divBdr>
                          <w:divsChild>
                            <w:div w:id="1340043997">
                              <w:marLeft w:val="0"/>
                              <w:marRight w:val="0"/>
                              <w:marTop w:val="0"/>
                              <w:marBottom w:val="0"/>
                              <w:divBdr>
                                <w:top w:val="none" w:sz="0" w:space="0" w:color="auto"/>
                                <w:left w:val="none" w:sz="0" w:space="0" w:color="auto"/>
                                <w:bottom w:val="none" w:sz="0" w:space="0" w:color="auto"/>
                                <w:right w:val="none" w:sz="0" w:space="0" w:color="auto"/>
                              </w:divBdr>
                              <w:divsChild>
                                <w:div w:id="1340043966">
                                  <w:marLeft w:val="0"/>
                                  <w:marRight w:val="0"/>
                                  <w:marTop w:val="0"/>
                                  <w:marBottom w:val="0"/>
                                  <w:divBdr>
                                    <w:top w:val="none" w:sz="0" w:space="0" w:color="auto"/>
                                    <w:left w:val="none" w:sz="0" w:space="0" w:color="auto"/>
                                    <w:bottom w:val="none" w:sz="0" w:space="0" w:color="auto"/>
                                    <w:right w:val="none" w:sz="0" w:space="0" w:color="auto"/>
                                  </w:divBdr>
                                  <w:divsChild>
                                    <w:div w:id="1340043911">
                                      <w:marLeft w:val="0"/>
                                      <w:marRight w:val="0"/>
                                      <w:marTop w:val="0"/>
                                      <w:marBottom w:val="0"/>
                                      <w:divBdr>
                                        <w:top w:val="single" w:sz="6" w:space="0" w:color="F5F5F5"/>
                                        <w:left w:val="single" w:sz="6" w:space="0" w:color="F5F5F5"/>
                                        <w:bottom w:val="single" w:sz="6" w:space="0" w:color="F5F5F5"/>
                                        <w:right w:val="single" w:sz="6" w:space="0" w:color="F5F5F5"/>
                                      </w:divBdr>
                                      <w:divsChild>
                                        <w:div w:id="1340043979">
                                          <w:marLeft w:val="0"/>
                                          <w:marRight w:val="0"/>
                                          <w:marTop w:val="0"/>
                                          <w:marBottom w:val="0"/>
                                          <w:divBdr>
                                            <w:top w:val="none" w:sz="0" w:space="0" w:color="auto"/>
                                            <w:left w:val="none" w:sz="0" w:space="0" w:color="auto"/>
                                            <w:bottom w:val="none" w:sz="0" w:space="0" w:color="auto"/>
                                            <w:right w:val="none" w:sz="0" w:space="0" w:color="auto"/>
                                          </w:divBdr>
                                          <w:divsChild>
                                            <w:div w:id="134004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40043895">
      <w:marLeft w:val="0"/>
      <w:marRight w:val="0"/>
      <w:marTop w:val="0"/>
      <w:marBottom w:val="0"/>
      <w:divBdr>
        <w:top w:val="none" w:sz="0" w:space="0" w:color="auto"/>
        <w:left w:val="none" w:sz="0" w:space="0" w:color="auto"/>
        <w:bottom w:val="none" w:sz="0" w:space="0" w:color="auto"/>
        <w:right w:val="none" w:sz="0" w:space="0" w:color="auto"/>
      </w:divBdr>
    </w:div>
    <w:div w:id="1340043897">
      <w:marLeft w:val="0"/>
      <w:marRight w:val="0"/>
      <w:marTop w:val="0"/>
      <w:marBottom w:val="0"/>
      <w:divBdr>
        <w:top w:val="none" w:sz="0" w:space="0" w:color="auto"/>
        <w:left w:val="none" w:sz="0" w:space="0" w:color="auto"/>
        <w:bottom w:val="none" w:sz="0" w:space="0" w:color="auto"/>
        <w:right w:val="none" w:sz="0" w:space="0" w:color="auto"/>
      </w:divBdr>
    </w:div>
    <w:div w:id="1340043898">
      <w:marLeft w:val="0"/>
      <w:marRight w:val="0"/>
      <w:marTop w:val="0"/>
      <w:marBottom w:val="0"/>
      <w:divBdr>
        <w:top w:val="none" w:sz="0" w:space="0" w:color="auto"/>
        <w:left w:val="none" w:sz="0" w:space="0" w:color="auto"/>
        <w:bottom w:val="none" w:sz="0" w:space="0" w:color="auto"/>
        <w:right w:val="none" w:sz="0" w:space="0" w:color="auto"/>
      </w:divBdr>
    </w:div>
    <w:div w:id="1340043899">
      <w:marLeft w:val="0"/>
      <w:marRight w:val="0"/>
      <w:marTop w:val="0"/>
      <w:marBottom w:val="0"/>
      <w:divBdr>
        <w:top w:val="none" w:sz="0" w:space="0" w:color="auto"/>
        <w:left w:val="none" w:sz="0" w:space="0" w:color="auto"/>
        <w:bottom w:val="none" w:sz="0" w:space="0" w:color="auto"/>
        <w:right w:val="none" w:sz="0" w:space="0" w:color="auto"/>
      </w:divBdr>
    </w:div>
    <w:div w:id="1340043900">
      <w:marLeft w:val="0"/>
      <w:marRight w:val="0"/>
      <w:marTop w:val="0"/>
      <w:marBottom w:val="0"/>
      <w:divBdr>
        <w:top w:val="none" w:sz="0" w:space="0" w:color="auto"/>
        <w:left w:val="none" w:sz="0" w:space="0" w:color="auto"/>
        <w:bottom w:val="none" w:sz="0" w:space="0" w:color="auto"/>
        <w:right w:val="none" w:sz="0" w:space="0" w:color="auto"/>
      </w:divBdr>
    </w:div>
    <w:div w:id="1340043901">
      <w:marLeft w:val="0"/>
      <w:marRight w:val="0"/>
      <w:marTop w:val="0"/>
      <w:marBottom w:val="0"/>
      <w:divBdr>
        <w:top w:val="none" w:sz="0" w:space="0" w:color="auto"/>
        <w:left w:val="none" w:sz="0" w:space="0" w:color="auto"/>
        <w:bottom w:val="none" w:sz="0" w:space="0" w:color="auto"/>
        <w:right w:val="none" w:sz="0" w:space="0" w:color="auto"/>
      </w:divBdr>
    </w:div>
    <w:div w:id="1340043902">
      <w:marLeft w:val="0"/>
      <w:marRight w:val="0"/>
      <w:marTop w:val="0"/>
      <w:marBottom w:val="0"/>
      <w:divBdr>
        <w:top w:val="none" w:sz="0" w:space="0" w:color="auto"/>
        <w:left w:val="none" w:sz="0" w:space="0" w:color="auto"/>
        <w:bottom w:val="none" w:sz="0" w:space="0" w:color="auto"/>
        <w:right w:val="none" w:sz="0" w:space="0" w:color="auto"/>
      </w:divBdr>
    </w:div>
    <w:div w:id="1340043903">
      <w:marLeft w:val="0"/>
      <w:marRight w:val="0"/>
      <w:marTop w:val="0"/>
      <w:marBottom w:val="0"/>
      <w:divBdr>
        <w:top w:val="none" w:sz="0" w:space="0" w:color="auto"/>
        <w:left w:val="none" w:sz="0" w:space="0" w:color="auto"/>
        <w:bottom w:val="none" w:sz="0" w:space="0" w:color="auto"/>
        <w:right w:val="none" w:sz="0" w:space="0" w:color="auto"/>
      </w:divBdr>
    </w:div>
    <w:div w:id="1340043905">
      <w:marLeft w:val="0"/>
      <w:marRight w:val="0"/>
      <w:marTop w:val="0"/>
      <w:marBottom w:val="0"/>
      <w:divBdr>
        <w:top w:val="none" w:sz="0" w:space="0" w:color="auto"/>
        <w:left w:val="none" w:sz="0" w:space="0" w:color="auto"/>
        <w:bottom w:val="none" w:sz="0" w:space="0" w:color="auto"/>
        <w:right w:val="none" w:sz="0" w:space="0" w:color="auto"/>
      </w:divBdr>
      <w:divsChild>
        <w:div w:id="1340043943">
          <w:marLeft w:val="720"/>
          <w:marRight w:val="0"/>
          <w:marTop w:val="100"/>
          <w:marBottom w:val="100"/>
          <w:divBdr>
            <w:top w:val="none" w:sz="0" w:space="0" w:color="auto"/>
            <w:left w:val="none" w:sz="0" w:space="0" w:color="auto"/>
            <w:bottom w:val="none" w:sz="0" w:space="0" w:color="auto"/>
            <w:right w:val="none" w:sz="0" w:space="0" w:color="auto"/>
          </w:divBdr>
        </w:div>
      </w:divsChild>
    </w:div>
    <w:div w:id="1340043906">
      <w:marLeft w:val="0"/>
      <w:marRight w:val="0"/>
      <w:marTop w:val="0"/>
      <w:marBottom w:val="0"/>
      <w:divBdr>
        <w:top w:val="none" w:sz="0" w:space="0" w:color="auto"/>
        <w:left w:val="none" w:sz="0" w:space="0" w:color="auto"/>
        <w:bottom w:val="none" w:sz="0" w:space="0" w:color="auto"/>
        <w:right w:val="none" w:sz="0" w:space="0" w:color="auto"/>
      </w:divBdr>
    </w:div>
    <w:div w:id="1340043907">
      <w:marLeft w:val="0"/>
      <w:marRight w:val="0"/>
      <w:marTop w:val="0"/>
      <w:marBottom w:val="0"/>
      <w:divBdr>
        <w:top w:val="none" w:sz="0" w:space="0" w:color="auto"/>
        <w:left w:val="none" w:sz="0" w:space="0" w:color="auto"/>
        <w:bottom w:val="none" w:sz="0" w:space="0" w:color="auto"/>
        <w:right w:val="none" w:sz="0" w:space="0" w:color="auto"/>
      </w:divBdr>
    </w:div>
    <w:div w:id="1340043908">
      <w:marLeft w:val="0"/>
      <w:marRight w:val="0"/>
      <w:marTop w:val="0"/>
      <w:marBottom w:val="0"/>
      <w:divBdr>
        <w:top w:val="none" w:sz="0" w:space="0" w:color="auto"/>
        <w:left w:val="none" w:sz="0" w:space="0" w:color="auto"/>
        <w:bottom w:val="none" w:sz="0" w:space="0" w:color="auto"/>
        <w:right w:val="none" w:sz="0" w:space="0" w:color="auto"/>
      </w:divBdr>
    </w:div>
    <w:div w:id="1340043909">
      <w:marLeft w:val="0"/>
      <w:marRight w:val="0"/>
      <w:marTop w:val="0"/>
      <w:marBottom w:val="0"/>
      <w:divBdr>
        <w:top w:val="none" w:sz="0" w:space="0" w:color="auto"/>
        <w:left w:val="none" w:sz="0" w:space="0" w:color="auto"/>
        <w:bottom w:val="none" w:sz="0" w:space="0" w:color="auto"/>
        <w:right w:val="none" w:sz="0" w:space="0" w:color="auto"/>
      </w:divBdr>
    </w:div>
    <w:div w:id="1340043910">
      <w:marLeft w:val="0"/>
      <w:marRight w:val="0"/>
      <w:marTop w:val="0"/>
      <w:marBottom w:val="0"/>
      <w:divBdr>
        <w:top w:val="none" w:sz="0" w:space="0" w:color="auto"/>
        <w:left w:val="none" w:sz="0" w:space="0" w:color="auto"/>
        <w:bottom w:val="none" w:sz="0" w:space="0" w:color="auto"/>
        <w:right w:val="none" w:sz="0" w:space="0" w:color="auto"/>
      </w:divBdr>
    </w:div>
    <w:div w:id="1340043912">
      <w:marLeft w:val="0"/>
      <w:marRight w:val="0"/>
      <w:marTop w:val="0"/>
      <w:marBottom w:val="0"/>
      <w:divBdr>
        <w:top w:val="none" w:sz="0" w:space="0" w:color="auto"/>
        <w:left w:val="none" w:sz="0" w:space="0" w:color="auto"/>
        <w:bottom w:val="none" w:sz="0" w:space="0" w:color="auto"/>
        <w:right w:val="none" w:sz="0" w:space="0" w:color="auto"/>
      </w:divBdr>
    </w:div>
    <w:div w:id="1340043913">
      <w:marLeft w:val="0"/>
      <w:marRight w:val="0"/>
      <w:marTop w:val="0"/>
      <w:marBottom w:val="0"/>
      <w:divBdr>
        <w:top w:val="none" w:sz="0" w:space="0" w:color="auto"/>
        <w:left w:val="none" w:sz="0" w:space="0" w:color="auto"/>
        <w:bottom w:val="none" w:sz="0" w:space="0" w:color="auto"/>
        <w:right w:val="none" w:sz="0" w:space="0" w:color="auto"/>
      </w:divBdr>
    </w:div>
    <w:div w:id="1340043914">
      <w:marLeft w:val="0"/>
      <w:marRight w:val="0"/>
      <w:marTop w:val="0"/>
      <w:marBottom w:val="0"/>
      <w:divBdr>
        <w:top w:val="none" w:sz="0" w:space="0" w:color="auto"/>
        <w:left w:val="none" w:sz="0" w:space="0" w:color="auto"/>
        <w:bottom w:val="none" w:sz="0" w:space="0" w:color="auto"/>
        <w:right w:val="none" w:sz="0" w:space="0" w:color="auto"/>
      </w:divBdr>
    </w:div>
    <w:div w:id="1340043916">
      <w:marLeft w:val="0"/>
      <w:marRight w:val="0"/>
      <w:marTop w:val="0"/>
      <w:marBottom w:val="0"/>
      <w:divBdr>
        <w:top w:val="none" w:sz="0" w:space="0" w:color="auto"/>
        <w:left w:val="none" w:sz="0" w:space="0" w:color="auto"/>
        <w:bottom w:val="none" w:sz="0" w:space="0" w:color="auto"/>
        <w:right w:val="none" w:sz="0" w:space="0" w:color="auto"/>
      </w:divBdr>
    </w:div>
    <w:div w:id="1340043917">
      <w:marLeft w:val="0"/>
      <w:marRight w:val="0"/>
      <w:marTop w:val="0"/>
      <w:marBottom w:val="0"/>
      <w:divBdr>
        <w:top w:val="none" w:sz="0" w:space="0" w:color="auto"/>
        <w:left w:val="none" w:sz="0" w:space="0" w:color="auto"/>
        <w:bottom w:val="none" w:sz="0" w:space="0" w:color="auto"/>
        <w:right w:val="none" w:sz="0" w:space="0" w:color="auto"/>
      </w:divBdr>
    </w:div>
    <w:div w:id="1340043918">
      <w:marLeft w:val="0"/>
      <w:marRight w:val="0"/>
      <w:marTop w:val="0"/>
      <w:marBottom w:val="0"/>
      <w:divBdr>
        <w:top w:val="none" w:sz="0" w:space="0" w:color="auto"/>
        <w:left w:val="none" w:sz="0" w:space="0" w:color="auto"/>
        <w:bottom w:val="none" w:sz="0" w:space="0" w:color="auto"/>
        <w:right w:val="none" w:sz="0" w:space="0" w:color="auto"/>
      </w:divBdr>
    </w:div>
    <w:div w:id="1340043919">
      <w:marLeft w:val="0"/>
      <w:marRight w:val="0"/>
      <w:marTop w:val="0"/>
      <w:marBottom w:val="0"/>
      <w:divBdr>
        <w:top w:val="none" w:sz="0" w:space="0" w:color="auto"/>
        <w:left w:val="none" w:sz="0" w:space="0" w:color="auto"/>
        <w:bottom w:val="none" w:sz="0" w:space="0" w:color="auto"/>
        <w:right w:val="none" w:sz="0" w:space="0" w:color="auto"/>
      </w:divBdr>
    </w:div>
    <w:div w:id="1340043920">
      <w:marLeft w:val="0"/>
      <w:marRight w:val="0"/>
      <w:marTop w:val="0"/>
      <w:marBottom w:val="0"/>
      <w:divBdr>
        <w:top w:val="none" w:sz="0" w:space="0" w:color="auto"/>
        <w:left w:val="none" w:sz="0" w:space="0" w:color="auto"/>
        <w:bottom w:val="none" w:sz="0" w:space="0" w:color="auto"/>
        <w:right w:val="none" w:sz="0" w:space="0" w:color="auto"/>
      </w:divBdr>
    </w:div>
    <w:div w:id="1340043921">
      <w:marLeft w:val="0"/>
      <w:marRight w:val="0"/>
      <w:marTop w:val="0"/>
      <w:marBottom w:val="0"/>
      <w:divBdr>
        <w:top w:val="none" w:sz="0" w:space="0" w:color="auto"/>
        <w:left w:val="none" w:sz="0" w:space="0" w:color="auto"/>
        <w:bottom w:val="none" w:sz="0" w:space="0" w:color="auto"/>
        <w:right w:val="none" w:sz="0" w:space="0" w:color="auto"/>
      </w:divBdr>
    </w:div>
    <w:div w:id="1340043922">
      <w:marLeft w:val="0"/>
      <w:marRight w:val="0"/>
      <w:marTop w:val="0"/>
      <w:marBottom w:val="0"/>
      <w:divBdr>
        <w:top w:val="none" w:sz="0" w:space="0" w:color="auto"/>
        <w:left w:val="none" w:sz="0" w:space="0" w:color="auto"/>
        <w:bottom w:val="none" w:sz="0" w:space="0" w:color="auto"/>
        <w:right w:val="none" w:sz="0" w:space="0" w:color="auto"/>
      </w:divBdr>
    </w:div>
    <w:div w:id="1340043923">
      <w:marLeft w:val="0"/>
      <w:marRight w:val="0"/>
      <w:marTop w:val="0"/>
      <w:marBottom w:val="0"/>
      <w:divBdr>
        <w:top w:val="none" w:sz="0" w:space="0" w:color="auto"/>
        <w:left w:val="none" w:sz="0" w:space="0" w:color="auto"/>
        <w:bottom w:val="none" w:sz="0" w:space="0" w:color="auto"/>
        <w:right w:val="none" w:sz="0" w:space="0" w:color="auto"/>
      </w:divBdr>
      <w:divsChild>
        <w:div w:id="1340043881">
          <w:marLeft w:val="0"/>
          <w:marRight w:val="0"/>
          <w:marTop w:val="0"/>
          <w:marBottom w:val="0"/>
          <w:divBdr>
            <w:top w:val="none" w:sz="0" w:space="0" w:color="auto"/>
            <w:left w:val="none" w:sz="0" w:space="0" w:color="auto"/>
            <w:bottom w:val="none" w:sz="0" w:space="0" w:color="auto"/>
            <w:right w:val="none" w:sz="0" w:space="0" w:color="auto"/>
          </w:divBdr>
          <w:divsChild>
            <w:div w:id="1340043992">
              <w:marLeft w:val="0"/>
              <w:marRight w:val="0"/>
              <w:marTop w:val="0"/>
              <w:marBottom w:val="0"/>
              <w:divBdr>
                <w:top w:val="none" w:sz="0" w:space="0" w:color="auto"/>
                <w:left w:val="none" w:sz="0" w:space="0" w:color="auto"/>
                <w:bottom w:val="none" w:sz="0" w:space="0" w:color="auto"/>
                <w:right w:val="none" w:sz="0" w:space="0" w:color="auto"/>
              </w:divBdr>
              <w:divsChild>
                <w:div w:id="1340043896">
                  <w:marLeft w:val="26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043924">
      <w:marLeft w:val="0"/>
      <w:marRight w:val="0"/>
      <w:marTop w:val="0"/>
      <w:marBottom w:val="0"/>
      <w:divBdr>
        <w:top w:val="none" w:sz="0" w:space="0" w:color="auto"/>
        <w:left w:val="none" w:sz="0" w:space="0" w:color="auto"/>
        <w:bottom w:val="none" w:sz="0" w:space="0" w:color="auto"/>
        <w:right w:val="none" w:sz="0" w:space="0" w:color="auto"/>
      </w:divBdr>
    </w:div>
    <w:div w:id="1340043926">
      <w:marLeft w:val="0"/>
      <w:marRight w:val="0"/>
      <w:marTop w:val="0"/>
      <w:marBottom w:val="0"/>
      <w:divBdr>
        <w:top w:val="none" w:sz="0" w:space="0" w:color="auto"/>
        <w:left w:val="none" w:sz="0" w:space="0" w:color="auto"/>
        <w:bottom w:val="none" w:sz="0" w:space="0" w:color="auto"/>
        <w:right w:val="none" w:sz="0" w:space="0" w:color="auto"/>
      </w:divBdr>
    </w:div>
    <w:div w:id="1340043927">
      <w:marLeft w:val="0"/>
      <w:marRight w:val="0"/>
      <w:marTop w:val="0"/>
      <w:marBottom w:val="0"/>
      <w:divBdr>
        <w:top w:val="none" w:sz="0" w:space="0" w:color="auto"/>
        <w:left w:val="none" w:sz="0" w:space="0" w:color="auto"/>
        <w:bottom w:val="none" w:sz="0" w:space="0" w:color="auto"/>
        <w:right w:val="none" w:sz="0" w:space="0" w:color="auto"/>
      </w:divBdr>
    </w:div>
    <w:div w:id="1340043928">
      <w:marLeft w:val="0"/>
      <w:marRight w:val="0"/>
      <w:marTop w:val="0"/>
      <w:marBottom w:val="0"/>
      <w:divBdr>
        <w:top w:val="none" w:sz="0" w:space="0" w:color="auto"/>
        <w:left w:val="none" w:sz="0" w:space="0" w:color="auto"/>
        <w:bottom w:val="none" w:sz="0" w:space="0" w:color="auto"/>
        <w:right w:val="none" w:sz="0" w:space="0" w:color="auto"/>
      </w:divBdr>
    </w:div>
    <w:div w:id="1340043929">
      <w:marLeft w:val="0"/>
      <w:marRight w:val="0"/>
      <w:marTop w:val="0"/>
      <w:marBottom w:val="0"/>
      <w:divBdr>
        <w:top w:val="none" w:sz="0" w:space="0" w:color="auto"/>
        <w:left w:val="none" w:sz="0" w:space="0" w:color="auto"/>
        <w:bottom w:val="none" w:sz="0" w:space="0" w:color="auto"/>
        <w:right w:val="none" w:sz="0" w:space="0" w:color="auto"/>
      </w:divBdr>
    </w:div>
    <w:div w:id="1340043930">
      <w:marLeft w:val="0"/>
      <w:marRight w:val="0"/>
      <w:marTop w:val="0"/>
      <w:marBottom w:val="0"/>
      <w:divBdr>
        <w:top w:val="none" w:sz="0" w:space="0" w:color="auto"/>
        <w:left w:val="none" w:sz="0" w:space="0" w:color="auto"/>
        <w:bottom w:val="none" w:sz="0" w:space="0" w:color="auto"/>
        <w:right w:val="none" w:sz="0" w:space="0" w:color="auto"/>
      </w:divBdr>
    </w:div>
    <w:div w:id="1340043931">
      <w:marLeft w:val="0"/>
      <w:marRight w:val="0"/>
      <w:marTop w:val="0"/>
      <w:marBottom w:val="0"/>
      <w:divBdr>
        <w:top w:val="none" w:sz="0" w:space="0" w:color="auto"/>
        <w:left w:val="none" w:sz="0" w:space="0" w:color="auto"/>
        <w:bottom w:val="none" w:sz="0" w:space="0" w:color="auto"/>
        <w:right w:val="none" w:sz="0" w:space="0" w:color="auto"/>
      </w:divBdr>
    </w:div>
    <w:div w:id="1340043932">
      <w:marLeft w:val="0"/>
      <w:marRight w:val="0"/>
      <w:marTop w:val="0"/>
      <w:marBottom w:val="0"/>
      <w:divBdr>
        <w:top w:val="none" w:sz="0" w:space="0" w:color="auto"/>
        <w:left w:val="none" w:sz="0" w:space="0" w:color="auto"/>
        <w:bottom w:val="none" w:sz="0" w:space="0" w:color="auto"/>
        <w:right w:val="none" w:sz="0" w:space="0" w:color="auto"/>
      </w:divBdr>
    </w:div>
    <w:div w:id="1340043933">
      <w:marLeft w:val="0"/>
      <w:marRight w:val="0"/>
      <w:marTop w:val="0"/>
      <w:marBottom w:val="0"/>
      <w:divBdr>
        <w:top w:val="none" w:sz="0" w:space="0" w:color="auto"/>
        <w:left w:val="none" w:sz="0" w:space="0" w:color="auto"/>
        <w:bottom w:val="none" w:sz="0" w:space="0" w:color="auto"/>
        <w:right w:val="none" w:sz="0" w:space="0" w:color="auto"/>
      </w:divBdr>
    </w:div>
    <w:div w:id="1340043935">
      <w:marLeft w:val="0"/>
      <w:marRight w:val="0"/>
      <w:marTop w:val="0"/>
      <w:marBottom w:val="0"/>
      <w:divBdr>
        <w:top w:val="none" w:sz="0" w:space="0" w:color="auto"/>
        <w:left w:val="none" w:sz="0" w:space="0" w:color="auto"/>
        <w:bottom w:val="none" w:sz="0" w:space="0" w:color="auto"/>
        <w:right w:val="none" w:sz="0" w:space="0" w:color="auto"/>
      </w:divBdr>
    </w:div>
    <w:div w:id="1340043936">
      <w:marLeft w:val="0"/>
      <w:marRight w:val="0"/>
      <w:marTop w:val="0"/>
      <w:marBottom w:val="0"/>
      <w:divBdr>
        <w:top w:val="none" w:sz="0" w:space="0" w:color="auto"/>
        <w:left w:val="none" w:sz="0" w:space="0" w:color="auto"/>
        <w:bottom w:val="none" w:sz="0" w:space="0" w:color="auto"/>
        <w:right w:val="none" w:sz="0" w:space="0" w:color="auto"/>
      </w:divBdr>
    </w:div>
    <w:div w:id="1340043937">
      <w:marLeft w:val="0"/>
      <w:marRight w:val="0"/>
      <w:marTop w:val="0"/>
      <w:marBottom w:val="0"/>
      <w:divBdr>
        <w:top w:val="none" w:sz="0" w:space="0" w:color="auto"/>
        <w:left w:val="none" w:sz="0" w:space="0" w:color="auto"/>
        <w:bottom w:val="none" w:sz="0" w:space="0" w:color="auto"/>
        <w:right w:val="none" w:sz="0" w:space="0" w:color="auto"/>
      </w:divBdr>
      <w:divsChild>
        <w:div w:id="1340043965">
          <w:marLeft w:val="720"/>
          <w:marRight w:val="0"/>
          <w:marTop w:val="100"/>
          <w:marBottom w:val="100"/>
          <w:divBdr>
            <w:top w:val="none" w:sz="0" w:space="0" w:color="auto"/>
            <w:left w:val="none" w:sz="0" w:space="0" w:color="auto"/>
            <w:bottom w:val="none" w:sz="0" w:space="0" w:color="auto"/>
            <w:right w:val="none" w:sz="0" w:space="0" w:color="auto"/>
          </w:divBdr>
        </w:div>
      </w:divsChild>
    </w:div>
    <w:div w:id="1340043938">
      <w:marLeft w:val="0"/>
      <w:marRight w:val="0"/>
      <w:marTop w:val="0"/>
      <w:marBottom w:val="0"/>
      <w:divBdr>
        <w:top w:val="none" w:sz="0" w:space="0" w:color="auto"/>
        <w:left w:val="none" w:sz="0" w:space="0" w:color="auto"/>
        <w:bottom w:val="none" w:sz="0" w:space="0" w:color="auto"/>
        <w:right w:val="none" w:sz="0" w:space="0" w:color="auto"/>
      </w:divBdr>
    </w:div>
    <w:div w:id="1340043939">
      <w:marLeft w:val="0"/>
      <w:marRight w:val="0"/>
      <w:marTop w:val="0"/>
      <w:marBottom w:val="0"/>
      <w:divBdr>
        <w:top w:val="none" w:sz="0" w:space="0" w:color="auto"/>
        <w:left w:val="none" w:sz="0" w:space="0" w:color="auto"/>
        <w:bottom w:val="none" w:sz="0" w:space="0" w:color="auto"/>
        <w:right w:val="none" w:sz="0" w:space="0" w:color="auto"/>
      </w:divBdr>
    </w:div>
    <w:div w:id="1340043940">
      <w:marLeft w:val="0"/>
      <w:marRight w:val="0"/>
      <w:marTop w:val="0"/>
      <w:marBottom w:val="0"/>
      <w:divBdr>
        <w:top w:val="none" w:sz="0" w:space="0" w:color="auto"/>
        <w:left w:val="none" w:sz="0" w:space="0" w:color="auto"/>
        <w:bottom w:val="none" w:sz="0" w:space="0" w:color="auto"/>
        <w:right w:val="none" w:sz="0" w:space="0" w:color="auto"/>
      </w:divBdr>
    </w:div>
    <w:div w:id="1340043941">
      <w:marLeft w:val="0"/>
      <w:marRight w:val="0"/>
      <w:marTop w:val="0"/>
      <w:marBottom w:val="0"/>
      <w:divBdr>
        <w:top w:val="none" w:sz="0" w:space="0" w:color="auto"/>
        <w:left w:val="none" w:sz="0" w:space="0" w:color="auto"/>
        <w:bottom w:val="none" w:sz="0" w:space="0" w:color="auto"/>
        <w:right w:val="none" w:sz="0" w:space="0" w:color="auto"/>
      </w:divBdr>
    </w:div>
    <w:div w:id="1340043942">
      <w:marLeft w:val="0"/>
      <w:marRight w:val="0"/>
      <w:marTop w:val="0"/>
      <w:marBottom w:val="0"/>
      <w:divBdr>
        <w:top w:val="none" w:sz="0" w:space="0" w:color="auto"/>
        <w:left w:val="none" w:sz="0" w:space="0" w:color="auto"/>
        <w:bottom w:val="none" w:sz="0" w:space="0" w:color="auto"/>
        <w:right w:val="none" w:sz="0" w:space="0" w:color="auto"/>
      </w:divBdr>
    </w:div>
    <w:div w:id="1340043944">
      <w:marLeft w:val="0"/>
      <w:marRight w:val="0"/>
      <w:marTop w:val="0"/>
      <w:marBottom w:val="0"/>
      <w:divBdr>
        <w:top w:val="none" w:sz="0" w:space="0" w:color="auto"/>
        <w:left w:val="none" w:sz="0" w:space="0" w:color="auto"/>
        <w:bottom w:val="none" w:sz="0" w:space="0" w:color="auto"/>
        <w:right w:val="none" w:sz="0" w:space="0" w:color="auto"/>
      </w:divBdr>
    </w:div>
    <w:div w:id="1340043945">
      <w:marLeft w:val="0"/>
      <w:marRight w:val="0"/>
      <w:marTop w:val="0"/>
      <w:marBottom w:val="0"/>
      <w:divBdr>
        <w:top w:val="none" w:sz="0" w:space="0" w:color="auto"/>
        <w:left w:val="none" w:sz="0" w:space="0" w:color="auto"/>
        <w:bottom w:val="none" w:sz="0" w:space="0" w:color="auto"/>
        <w:right w:val="none" w:sz="0" w:space="0" w:color="auto"/>
      </w:divBdr>
    </w:div>
    <w:div w:id="1340043946">
      <w:marLeft w:val="0"/>
      <w:marRight w:val="0"/>
      <w:marTop w:val="0"/>
      <w:marBottom w:val="0"/>
      <w:divBdr>
        <w:top w:val="none" w:sz="0" w:space="0" w:color="auto"/>
        <w:left w:val="none" w:sz="0" w:space="0" w:color="auto"/>
        <w:bottom w:val="none" w:sz="0" w:space="0" w:color="auto"/>
        <w:right w:val="none" w:sz="0" w:space="0" w:color="auto"/>
      </w:divBdr>
    </w:div>
    <w:div w:id="1340043947">
      <w:marLeft w:val="0"/>
      <w:marRight w:val="0"/>
      <w:marTop w:val="0"/>
      <w:marBottom w:val="0"/>
      <w:divBdr>
        <w:top w:val="none" w:sz="0" w:space="0" w:color="auto"/>
        <w:left w:val="none" w:sz="0" w:space="0" w:color="auto"/>
        <w:bottom w:val="none" w:sz="0" w:space="0" w:color="auto"/>
        <w:right w:val="none" w:sz="0" w:space="0" w:color="auto"/>
      </w:divBdr>
    </w:div>
    <w:div w:id="1340043948">
      <w:marLeft w:val="0"/>
      <w:marRight w:val="0"/>
      <w:marTop w:val="0"/>
      <w:marBottom w:val="0"/>
      <w:divBdr>
        <w:top w:val="none" w:sz="0" w:space="0" w:color="auto"/>
        <w:left w:val="none" w:sz="0" w:space="0" w:color="auto"/>
        <w:bottom w:val="none" w:sz="0" w:space="0" w:color="auto"/>
        <w:right w:val="none" w:sz="0" w:space="0" w:color="auto"/>
      </w:divBdr>
    </w:div>
    <w:div w:id="1340043949">
      <w:marLeft w:val="0"/>
      <w:marRight w:val="0"/>
      <w:marTop w:val="0"/>
      <w:marBottom w:val="0"/>
      <w:divBdr>
        <w:top w:val="none" w:sz="0" w:space="0" w:color="auto"/>
        <w:left w:val="none" w:sz="0" w:space="0" w:color="auto"/>
        <w:bottom w:val="none" w:sz="0" w:space="0" w:color="auto"/>
        <w:right w:val="none" w:sz="0" w:space="0" w:color="auto"/>
      </w:divBdr>
    </w:div>
    <w:div w:id="1340043950">
      <w:marLeft w:val="0"/>
      <w:marRight w:val="0"/>
      <w:marTop w:val="0"/>
      <w:marBottom w:val="0"/>
      <w:divBdr>
        <w:top w:val="none" w:sz="0" w:space="0" w:color="auto"/>
        <w:left w:val="none" w:sz="0" w:space="0" w:color="auto"/>
        <w:bottom w:val="none" w:sz="0" w:space="0" w:color="auto"/>
        <w:right w:val="none" w:sz="0" w:space="0" w:color="auto"/>
      </w:divBdr>
    </w:div>
    <w:div w:id="1340043951">
      <w:marLeft w:val="0"/>
      <w:marRight w:val="0"/>
      <w:marTop w:val="0"/>
      <w:marBottom w:val="0"/>
      <w:divBdr>
        <w:top w:val="none" w:sz="0" w:space="0" w:color="auto"/>
        <w:left w:val="none" w:sz="0" w:space="0" w:color="auto"/>
        <w:bottom w:val="none" w:sz="0" w:space="0" w:color="auto"/>
        <w:right w:val="none" w:sz="0" w:space="0" w:color="auto"/>
      </w:divBdr>
    </w:div>
    <w:div w:id="1340043952">
      <w:marLeft w:val="0"/>
      <w:marRight w:val="0"/>
      <w:marTop w:val="0"/>
      <w:marBottom w:val="0"/>
      <w:divBdr>
        <w:top w:val="none" w:sz="0" w:space="0" w:color="auto"/>
        <w:left w:val="none" w:sz="0" w:space="0" w:color="auto"/>
        <w:bottom w:val="none" w:sz="0" w:space="0" w:color="auto"/>
        <w:right w:val="none" w:sz="0" w:space="0" w:color="auto"/>
      </w:divBdr>
    </w:div>
    <w:div w:id="1340043955">
      <w:marLeft w:val="0"/>
      <w:marRight w:val="0"/>
      <w:marTop w:val="0"/>
      <w:marBottom w:val="0"/>
      <w:divBdr>
        <w:top w:val="none" w:sz="0" w:space="0" w:color="auto"/>
        <w:left w:val="none" w:sz="0" w:space="0" w:color="auto"/>
        <w:bottom w:val="none" w:sz="0" w:space="0" w:color="auto"/>
        <w:right w:val="none" w:sz="0" w:space="0" w:color="auto"/>
      </w:divBdr>
    </w:div>
    <w:div w:id="1340043956">
      <w:marLeft w:val="0"/>
      <w:marRight w:val="0"/>
      <w:marTop w:val="0"/>
      <w:marBottom w:val="0"/>
      <w:divBdr>
        <w:top w:val="none" w:sz="0" w:space="0" w:color="auto"/>
        <w:left w:val="none" w:sz="0" w:space="0" w:color="auto"/>
        <w:bottom w:val="none" w:sz="0" w:space="0" w:color="auto"/>
        <w:right w:val="none" w:sz="0" w:space="0" w:color="auto"/>
      </w:divBdr>
    </w:div>
    <w:div w:id="1340043957">
      <w:marLeft w:val="0"/>
      <w:marRight w:val="0"/>
      <w:marTop w:val="0"/>
      <w:marBottom w:val="0"/>
      <w:divBdr>
        <w:top w:val="none" w:sz="0" w:space="0" w:color="auto"/>
        <w:left w:val="none" w:sz="0" w:space="0" w:color="auto"/>
        <w:bottom w:val="none" w:sz="0" w:space="0" w:color="auto"/>
        <w:right w:val="none" w:sz="0" w:space="0" w:color="auto"/>
      </w:divBdr>
    </w:div>
    <w:div w:id="1340043958">
      <w:marLeft w:val="0"/>
      <w:marRight w:val="0"/>
      <w:marTop w:val="0"/>
      <w:marBottom w:val="0"/>
      <w:divBdr>
        <w:top w:val="none" w:sz="0" w:space="0" w:color="auto"/>
        <w:left w:val="none" w:sz="0" w:space="0" w:color="auto"/>
        <w:bottom w:val="none" w:sz="0" w:space="0" w:color="auto"/>
        <w:right w:val="none" w:sz="0" w:space="0" w:color="auto"/>
      </w:divBdr>
    </w:div>
    <w:div w:id="1340043959">
      <w:marLeft w:val="0"/>
      <w:marRight w:val="0"/>
      <w:marTop w:val="0"/>
      <w:marBottom w:val="0"/>
      <w:divBdr>
        <w:top w:val="none" w:sz="0" w:space="0" w:color="auto"/>
        <w:left w:val="none" w:sz="0" w:space="0" w:color="auto"/>
        <w:bottom w:val="none" w:sz="0" w:space="0" w:color="auto"/>
        <w:right w:val="none" w:sz="0" w:space="0" w:color="auto"/>
      </w:divBdr>
    </w:div>
    <w:div w:id="1340043960">
      <w:marLeft w:val="0"/>
      <w:marRight w:val="0"/>
      <w:marTop w:val="0"/>
      <w:marBottom w:val="0"/>
      <w:divBdr>
        <w:top w:val="none" w:sz="0" w:space="0" w:color="auto"/>
        <w:left w:val="none" w:sz="0" w:space="0" w:color="auto"/>
        <w:bottom w:val="none" w:sz="0" w:space="0" w:color="auto"/>
        <w:right w:val="none" w:sz="0" w:space="0" w:color="auto"/>
      </w:divBdr>
    </w:div>
    <w:div w:id="1340043961">
      <w:marLeft w:val="0"/>
      <w:marRight w:val="0"/>
      <w:marTop w:val="0"/>
      <w:marBottom w:val="0"/>
      <w:divBdr>
        <w:top w:val="none" w:sz="0" w:space="0" w:color="auto"/>
        <w:left w:val="none" w:sz="0" w:space="0" w:color="auto"/>
        <w:bottom w:val="none" w:sz="0" w:space="0" w:color="auto"/>
        <w:right w:val="none" w:sz="0" w:space="0" w:color="auto"/>
      </w:divBdr>
    </w:div>
    <w:div w:id="1340043962">
      <w:marLeft w:val="0"/>
      <w:marRight w:val="0"/>
      <w:marTop w:val="0"/>
      <w:marBottom w:val="0"/>
      <w:divBdr>
        <w:top w:val="none" w:sz="0" w:space="0" w:color="auto"/>
        <w:left w:val="none" w:sz="0" w:space="0" w:color="auto"/>
        <w:bottom w:val="none" w:sz="0" w:space="0" w:color="auto"/>
        <w:right w:val="none" w:sz="0" w:space="0" w:color="auto"/>
      </w:divBdr>
    </w:div>
    <w:div w:id="1340043963">
      <w:marLeft w:val="0"/>
      <w:marRight w:val="0"/>
      <w:marTop w:val="0"/>
      <w:marBottom w:val="0"/>
      <w:divBdr>
        <w:top w:val="none" w:sz="0" w:space="0" w:color="auto"/>
        <w:left w:val="none" w:sz="0" w:space="0" w:color="auto"/>
        <w:bottom w:val="none" w:sz="0" w:space="0" w:color="auto"/>
        <w:right w:val="none" w:sz="0" w:space="0" w:color="auto"/>
      </w:divBdr>
    </w:div>
    <w:div w:id="1340043964">
      <w:marLeft w:val="0"/>
      <w:marRight w:val="0"/>
      <w:marTop w:val="0"/>
      <w:marBottom w:val="0"/>
      <w:divBdr>
        <w:top w:val="none" w:sz="0" w:space="0" w:color="auto"/>
        <w:left w:val="none" w:sz="0" w:space="0" w:color="auto"/>
        <w:bottom w:val="none" w:sz="0" w:space="0" w:color="auto"/>
        <w:right w:val="none" w:sz="0" w:space="0" w:color="auto"/>
      </w:divBdr>
    </w:div>
    <w:div w:id="1340043967">
      <w:marLeft w:val="0"/>
      <w:marRight w:val="0"/>
      <w:marTop w:val="0"/>
      <w:marBottom w:val="0"/>
      <w:divBdr>
        <w:top w:val="none" w:sz="0" w:space="0" w:color="auto"/>
        <w:left w:val="none" w:sz="0" w:space="0" w:color="auto"/>
        <w:bottom w:val="none" w:sz="0" w:space="0" w:color="auto"/>
        <w:right w:val="none" w:sz="0" w:space="0" w:color="auto"/>
      </w:divBdr>
    </w:div>
    <w:div w:id="1340043968">
      <w:marLeft w:val="0"/>
      <w:marRight w:val="0"/>
      <w:marTop w:val="0"/>
      <w:marBottom w:val="0"/>
      <w:divBdr>
        <w:top w:val="none" w:sz="0" w:space="0" w:color="auto"/>
        <w:left w:val="none" w:sz="0" w:space="0" w:color="auto"/>
        <w:bottom w:val="none" w:sz="0" w:space="0" w:color="auto"/>
        <w:right w:val="none" w:sz="0" w:space="0" w:color="auto"/>
      </w:divBdr>
    </w:div>
    <w:div w:id="1340043969">
      <w:marLeft w:val="0"/>
      <w:marRight w:val="0"/>
      <w:marTop w:val="0"/>
      <w:marBottom w:val="0"/>
      <w:divBdr>
        <w:top w:val="none" w:sz="0" w:space="0" w:color="auto"/>
        <w:left w:val="none" w:sz="0" w:space="0" w:color="auto"/>
        <w:bottom w:val="none" w:sz="0" w:space="0" w:color="auto"/>
        <w:right w:val="none" w:sz="0" w:space="0" w:color="auto"/>
      </w:divBdr>
    </w:div>
    <w:div w:id="1340043970">
      <w:marLeft w:val="0"/>
      <w:marRight w:val="0"/>
      <w:marTop w:val="0"/>
      <w:marBottom w:val="0"/>
      <w:divBdr>
        <w:top w:val="none" w:sz="0" w:space="0" w:color="auto"/>
        <w:left w:val="none" w:sz="0" w:space="0" w:color="auto"/>
        <w:bottom w:val="none" w:sz="0" w:space="0" w:color="auto"/>
        <w:right w:val="none" w:sz="0" w:space="0" w:color="auto"/>
      </w:divBdr>
    </w:div>
    <w:div w:id="1340043971">
      <w:marLeft w:val="0"/>
      <w:marRight w:val="0"/>
      <w:marTop w:val="0"/>
      <w:marBottom w:val="0"/>
      <w:divBdr>
        <w:top w:val="none" w:sz="0" w:space="0" w:color="auto"/>
        <w:left w:val="none" w:sz="0" w:space="0" w:color="auto"/>
        <w:bottom w:val="none" w:sz="0" w:space="0" w:color="auto"/>
        <w:right w:val="none" w:sz="0" w:space="0" w:color="auto"/>
      </w:divBdr>
    </w:div>
    <w:div w:id="1340043972">
      <w:marLeft w:val="0"/>
      <w:marRight w:val="0"/>
      <w:marTop w:val="0"/>
      <w:marBottom w:val="0"/>
      <w:divBdr>
        <w:top w:val="none" w:sz="0" w:space="0" w:color="auto"/>
        <w:left w:val="none" w:sz="0" w:space="0" w:color="auto"/>
        <w:bottom w:val="none" w:sz="0" w:space="0" w:color="auto"/>
        <w:right w:val="none" w:sz="0" w:space="0" w:color="auto"/>
      </w:divBdr>
    </w:div>
    <w:div w:id="1340043973">
      <w:marLeft w:val="0"/>
      <w:marRight w:val="0"/>
      <w:marTop w:val="0"/>
      <w:marBottom w:val="0"/>
      <w:divBdr>
        <w:top w:val="none" w:sz="0" w:space="0" w:color="auto"/>
        <w:left w:val="none" w:sz="0" w:space="0" w:color="auto"/>
        <w:bottom w:val="none" w:sz="0" w:space="0" w:color="auto"/>
        <w:right w:val="none" w:sz="0" w:space="0" w:color="auto"/>
      </w:divBdr>
    </w:div>
    <w:div w:id="1340043974">
      <w:marLeft w:val="0"/>
      <w:marRight w:val="0"/>
      <w:marTop w:val="0"/>
      <w:marBottom w:val="0"/>
      <w:divBdr>
        <w:top w:val="none" w:sz="0" w:space="0" w:color="auto"/>
        <w:left w:val="none" w:sz="0" w:space="0" w:color="auto"/>
        <w:bottom w:val="none" w:sz="0" w:space="0" w:color="auto"/>
        <w:right w:val="none" w:sz="0" w:space="0" w:color="auto"/>
      </w:divBdr>
    </w:div>
    <w:div w:id="1340043976">
      <w:marLeft w:val="0"/>
      <w:marRight w:val="0"/>
      <w:marTop w:val="0"/>
      <w:marBottom w:val="0"/>
      <w:divBdr>
        <w:top w:val="none" w:sz="0" w:space="0" w:color="auto"/>
        <w:left w:val="none" w:sz="0" w:space="0" w:color="auto"/>
        <w:bottom w:val="none" w:sz="0" w:space="0" w:color="auto"/>
        <w:right w:val="none" w:sz="0" w:space="0" w:color="auto"/>
      </w:divBdr>
    </w:div>
    <w:div w:id="1340043977">
      <w:marLeft w:val="0"/>
      <w:marRight w:val="0"/>
      <w:marTop w:val="0"/>
      <w:marBottom w:val="0"/>
      <w:divBdr>
        <w:top w:val="none" w:sz="0" w:space="0" w:color="auto"/>
        <w:left w:val="none" w:sz="0" w:space="0" w:color="auto"/>
        <w:bottom w:val="none" w:sz="0" w:space="0" w:color="auto"/>
        <w:right w:val="none" w:sz="0" w:space="0" w:color="auto"/>
      </w:divBdr>
    </w:div>
    <w:div w:id="1340043978">
      <w:marLeft w:val="0"/>
      <w:marRight w:val="0"/>
      <w:marTop w:val="0"/>
      <w:marBottom w:val="0"/>
      <w:divBdr>
        <w:top w:val="none" w:sz="0" w:space="0" w:color="auto"/>
        <w:left w:val="none" w:sz="0" w:space="0" w:color="auto"/>
        <w:bottom w:val="none" w:sz="0" w:space="0" w:color="auto"/>
        <w:right w:val="none" w:sz="0" w:space="0" w:color="auto"/>
      </w:divBdr>
    </w:div>
    <w:div w:id="1340043980">
      <w:marLeft w:val="0"/>
      <w:marRight w:val="0"/>
      <w:marTop w:val="0"/>
      <w:marBottom w:val="0"/>
      <w:divBdr>
        <w:top w:val="none" w:sz="0" w:space="0" w:color="auto"/>
        <w:left w:val="none" w:sz="0" w:space="0" w:color="auto"/>
        <w:bottom w:val="none" w:sz="0" w:space="0" w:color="auto"/>
        <w:right w:val="none" w:sz="0" w:space="0" w:color="auto"/>
      </w:divBdr>
    </w:div>
    <w:div w:id="1340043981">
      <w:marLeft w:val="0"/>
      <w:marRight w:val="0"/>
      <w:marTop w:val="0"/>
      <w:marBottom w:val="0"/>
      <w:divBdr>
        <w:top w:val="none" w:sz="0" w:space="0" w:color="auto"/>
        <w:left w:val="none" w:sz="0" w:space="0" w:color="auto"/>
        <w:bottom w:val="none" w:sz="0" w:space="0" w:color="auto"/>
        <w:right w:val="none" w:sz="0" w:space="0" w:color="auto"/>
      </w:divBdr>
    </w:div>
    <w:div w:id="1340043982">
      <w:marLeft w:val="0"/>
      <w:marRight w:val="0"/>
      <w:marTop w:val="0"/>
      <w:marBottom w:val="0"/>
      <w:divBdr>
        <w:top w:val="none" w:sz="0" w:space="0" w:color="auto"/>
        <w:left w:val="none" w:sz="0" w:space="0" w:color="auto"/>
        <w:bottom w:val="none" w:sz="0" w:space="0" w:color="auto"/>
        <w:right w:val="none" w:sz="0" w:space="0" w:color="auto"/>
      </w:divBdr>
    </w:div>
    <w:div w:id="1340043983">
      <w:marLeft w:val="0"/>
      <w:marRight w:val="0"/>
      <w:marTop w:val="0"/>
      <w:marBottom w:val="0"/>
      <w:divBdr>
        <w:top w:val="none" w:sz="0" w:space="0" w:color="auto"/>
        <w:left w:val="none" w:sz="0" w:space="0" w:color="auto"/>
        <w:bottom w:val="none" w:sz="0" w:space="0" w:color="auto"/>
        <w:right w:val="none" w:sz="0" w:space="0" w:color="auto"/>
      </w:divBdr>
    </w:div>
    <w:div w:id="1340043984">
      <w:marLeft w:val="0"/>
      <w:marRight w:val="0"/>
      <w:marTop w:val="0"/>
      <w:marBottom w:val="0"/>
      <w:divBdr>
        <w:top w:val="none" w:sz="0" w:space="0" w:color="auto"/>
        <w:left w:val="none" w:sz="0" w:space="0" w:color="auto"/>
        <w:bottom w:val="none" w:sz="0" w:space="0" w:color="auto"/>
        <w:right w:val="none" w:sz="0" w:space="0" w:color="auto"/>
      </w:divBdr>
    </w:div>
    <w:div w:id="1340043985">
      <w:marLeft w:val="0"/>
      <w:marRight w:val="0"/>
      <w:marTop w:val="0"/>
      <w:marBottom w:val="0"/>
      <w:divBdr>
        <w:top w:val="none" w:sz="0" w:space="0" w:color="auto"/>
        <w:left w:val="none" w:sz="0" w:space="0" w:color="auto"/>
        <w:bottom w:val="none" w:sz="0" w:space="0" w:color="auto"/>
        <w:right w:val="none" w:sz="0" w:space="0" w:color="auto"/>
      </w:divBdr>
      <w:divsChild>
        <w:div w:id="1340043954">
          <w:marLeft w:val="0"/>
          <w:marRight w:val="0"/>
          <w:marTop w:val="0"/>
          <w:marBottom w:val="0"/>
          <w:divBdr>
            <w:top w:val="none" w:sz="0" w:space="0" w:color="auto"/>
            <w:left w:val="none" w:sz="0" w:space="0" w:color="auto"/>
            <w:bottom w:val="none" w:sz="0" w:space="0" w:color="auto"/>
            <w:right w:val="none" w:sz="0" w:space="0" w:color="auto"/>
          </w:divBdr>
          <w:divsChild>
            <w:div w:id="1340043991">
              <w:marLeft w:val="0"/>
              <w:marRight w:val="0"/>
              <w:marTop w:val="0"/>
              <w:marBottom w:val="0"/>
              <w:divBdr>
                <w:top w:val="none" w:sz="0" w:space="0" w:color="auto"/>
                <w:left w:val="none" w:sz="0" w:space="0" w:color="auto"/>
                <w:bottom w:val="none" w:sz="0" w:space="0" w:color="auto"/>
                <w:right w:val="none" w:sz="0" w:space="0" w:color="auto"/>
              </w:divBdr>
              <w:divsChild>
                <w:div w:id="1340043925">
                  <w:marLeft w:val="26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043986">
      <w:marLeft w:val="0"/>
      <w:marRight w:val="0"/>
      <w:marTop w:val="0"/>
      <w:marBottom w:val="0"/>
      <w:divBdr>
        <w:top w:val="none" w:sz="0" w:space="0" w:color="auto"/>
        <w:left w:val="none" w:sz="0" w:space="0" w:color="auto"/>
        <w:bottom w:val="none" w:sz="0" w:space="0" w:color="auto"/>
        <w:right w:val="none" w:sz="0" w:space="0" w:color="auto"/>
      </w:divBdr>
    </w:div>
    <w:div w:id="1340043987">
      <w:marLeft w:val="0"/>
      <w:marRight w:val="0"/>
      <w:marTop w:val="0"/>
      <w:marBottom w:val="0"/>
      <w:divBdr>
        <w:top w:val="none" w:sz="0" w:space="0" w:color="auto"/>
        <w:left w:val="none" w:sz="0" w:space="0" w:color="auto"/>
        <w:bottom w:val="none" w:sz="0" w:space="0" w:color="auto"/>
        <w:right w:val="none" w:sz="0" w:space="0" w:color="auto"/>
      </w:divBdr>
    </w:div>
    <w:div w:id="1340043988">
      <w:marLeft w:val="0"/>
      <w:marRight w:val="0"/>
      <w:marTop w:val="0"/>
      <w:marBottom w:val="0"/>
      <w:divBdr>
        <w:top w:val="none" w:sz="0" w:space="0" w:color="auto"/>
        <w:left w:val="none" w:sz="0" w:space="0" w:color="auto"/>
        <w:bottom w:val="none" w:sz="0" w:space="0" w:color="auto"/>
        <w:right w:val="none" w:sz="0" w:space="0" w:color="auto"/>
      </w:divBdr>
    </w:div>
    <w:div w:id="1340043989">
      <w:marLeft w:val="0"/>
      <w:marRight w:val="0"/>
      <w:marTop w:val="0"/>
      <w:marBottom w:val="0"/>
      <w:divBdr>
        <w:top w:val="none" w:sz="0" w:space="0" w:color="auto"/>
        <w:left w:val="none" w:sz="0" w:space="0" w:color="auto"/>
        <w:bottom w:val="none" w:sz="0" w:space="0" w:color="auto"/>
        <w:right w:val="none" w:sz="0" w:space="0" w:color="auto"/>
      </w:divBdr>
    </w:div>
    <w:div w:id="1340043990">
      <w:marLeft w:val="0"/>
      <w:marRight w:val="0"/>
      <w:marTop w:val="0"/>
      <w:marBottom w:val="0"/>
      <w:divBdr>
        <w:top w:val="none" w:sz="0" w:space="0" w:color="auto"/>
        <w:left w:val="none" w:sz="0" w:space="0" w:color="auto"/>
        <w:bottom w:val="none" w:sz="0" w:space="0" w:color="auto"/>
        <w:right w:val="none" w:sz="0" w:space="0" w:color="auto"/>
      </w:divBdr>
    </w:div>
    <w:div w:id="1340043993">
      <w:marLeft w:val="0"/>
      <w:marRight w:val="0"/>
      <w:marTop w:val="0"/>
      <w:marBottom w:val="0"/>
      <w:divBdr>
        <w:top w:val="none" w:sz="0" w:space="0" w:color="auto"/>
        <w:left w:val="none" w:sz="0" w:space="0" w:color="auto"/>
        <w:bottom w:val="none" w:sz="0" w:space="0" w:color="auto"/>
        <w:right w:val="none" w:sz="0" w:space="0" w:color="auto"/>
      </w:divBdr>
    </w:div>
    <w:div w:id="1340043994">
      <w:marLeft w:val="0"/>
      <w:marRight w:val="0"/>
      <w:marTop w:val="0"/>
      <w:marBottom w:val="0"/>
      <w:divBdr>
        <w:top w:val="none" w:sz="0" w:space="0" w:color="auto"/>
        <w:left w:val="none" w:sz="0" w:space="0" w:color="auto"/>
        <w:bottom w:val="none" w:sz="0" w:space="0" w:color="auto"/>
        <w:right w:val="none" w:sz="0" w:space="0" w:color="auto"/>
      </w:divBdr>
    </w:div>
    <w:div w:id="1340043995">
      <w:marLeft w:val="0"/>
      <w:marRight w:val="0"/>
      <w:marTop w:val="0"/>
      <w:marBottom w:val="0"/>
      <w:divBdr>
        <w:top w:val="none" w:sz="0" w:space="0" w:color="auto"/>
        <w:left w:val="none" w:sz="0" w:space="0" w:color="auto"/>
        <w:bottom w:val="none" w:sz="0" w:space="0" w:color="auto"/>
        <w:right w:val="none" w:sz="0" w:space="0" w:color="auto"/>
      </w:divBdr>
    </w:div>
    <w:div w:id="1340043996">
      <w:marLeft w:val="0"/>
      <w:marRight w:val="0"/>
      <w:marTop w:val="0"/>
      <w:marBottom w:val="0"/>
      <w:divBdr>
        <w:top w:val="none" w:sz="0" w:space="0" w:color="auto"/>
        <w:left w:val="none" w:sz="0" w:space="0" w:color="auto"/>
        <w:bottom w:val="none" w:sz="0" w:space="0" w:color="auto"/>
        <w:right w:val="none" w:sz="0" w:space="0" w:color="auto"/>
      </w:divBdr>
    </w:div>
    <w:div w:id="1340043998">
      <w:marLeft w:val="0"/>
      <w:marRight w:val="0"/>
      <w:marTop w:val="0"/>
      <w:marBottom w:val="0"/>
      <w:divBdr>
        <w:top w:val="none" w:sz="0" w:space="0" w:color="auto"/>
        <w:left w:val="none" w:sz="0" w:space="0" w:color="auto"/>
        <w:bottom w:val="none" w:sz="0" w:space="0" w:color="auto"/>
        <w:right w:val="none" w:sz="0" w:space="0" w:color="auto"/>
      </w:divBdr>
    </w:div>
    <w:div w:id="1340043999">
      <w:marLeft w:val="0"/>
      <w:marRight w:val="0"/>
      <w:marTop w:val="0"/>
      <w:marBottom w:val="0"/>
      <w:divBdr>
        <w:top w:val="none" w:sz="0" w:space="0" w:color="auto"/>
        <w:left w:val="none" w:sz="0" w:space="0" w:color="auto"/>
        <w:bottom w:val="none" w:sz="0" w:space="0" w:color="auto"/>
        <w:right w:val="none" w:sz="0" w:space="0" w:color="auto"/>
      </w:divBdr>
    </w:div>
    <w:div w:id="1340044000">
      <w:marLeft w:val="0"/>
      <w:marRight w:val="0"/>
      <w:marTop w:val="0"/>
      <w:marBottom w:val="0"/>
      <w:divBdr>
        <w:top w:val="none" w:sz="0" w:space="0" w:color="auto"/>
        <w:left w:val="none" w:sz="0" w:space="0" w:color="auto"/>
        <w:bottom w:val="none" w:sz="0" w:space="0" w:color="auto"/>
        <w:right w:val="none" w:sz="0" w:space="0" w:color="auto"/>
      </w:divBdr>
    </w:div>
    <w:div w:id="1340044001">
      <w:marLeft w:val="0"/>
      <w:marRight w:val="0"/>
      <w:marTop w:val="0"/>
      <w:marBottom w:val="0"/>
      <w:divBdr>
        <w:top w:val="none" w:sz="0" w:space="0" w:color="auto"/>
        <w:left w:val="none" w:sz="0" w:space="0" w:color="auto"/>
        <w:bottom w:val="none" w:sz="0" w:space="0" w:color="auto"/>
        <w:right w:val="none" w:sz="0" w:space="0" w:color="auto"/>
      </w:divBdr>
    </w:div>
    <w:div w:id="1340044002">
      <w:marLeft w:val="0"/>
      <w:marRight w:val="0"/>
      <w:marTop w:val="0"/>
      <w:marBottom w:val="0"/>
      <w:divBdr>
        <w:top w:val="none" w:sz="0" w:space="0" w:color="auto"/>
        <w:left w:val="none" w:sz="0" w:space="0" w:color="auto"/>
        <w:bottom w:val="none" w:sz="0" w:space="0" w:color="auto"/>
        <w:right w:val="none" w:sz="0" w:space="0" w:color="auto"/>
      </w:divBdr>
    </w:div>
    <w:div w:id="1340044003">
      <w:marLeft w:val="0"/>
      <w:marRight w:val="0"/>
      <w:marTop w:val="0"/>
      <w:marBottom w:val="0"/>
      <w:divBdr>
        <w:top w:val="none" w:sz="0" w:space="0" w:color="auto"/>
        <w:left w:val="none" w:sz="0" w:space="0" w:color="auto"/>
        <w:bottom w:val="none" w:sz="0" w:space="0" w:color="auto"/>
        <w:right w:val="none" w:sz="0" w:space="0" w:color="auto"/>
      </w:divBdr>
    </w:div>
    <w:div w:id="1431776168">
      <w:bodyDiv w:val="1"/>
      <w:marLeft w:val="0"/>
      <w:marRight w:val="0"/>
      <w:marTop w:val="0"/>
      <w:marBottom w:val="0"/>
      <w:divBdr>
        <w:top w:val="none" w:sz="0" w:space="0" w:color="auto"/>
        <w:left w:val="none" w:sz="0" w:space="0" w:color="auto"/>
        <w:bottom w:val="none" w:sz="0" w:space="0" w:color="auto"/>
        <w:right w:val="none" w:sz="0" w:space="0" w:color="auto"/>
      </w:divBdr>
    </w:div>
    <w:div w:id="1459643983">
      <w:bodyDiv w:val="1"/>
      <w:marLeft w:val="0"/>
      <w:marRight w:val="0"/>
      <w:marTop w:val="0"/>
      <w:marBottom w:val="0"/>
      <w:divBdr>
        <w:top w:val="none" w:sz="0" w:space="0" w:color="auto"/>
        <w:left w:val="none" w:sz="0" w:space="0" w:color="auto"/>
        <w:bottom w:val="none" w:sz="0" w:space="0" w:color="auto"/>
        <w:right w:val="none" w:sz="0" w:space="0" w:color="auto"/>
      </w:divBdr>
    </w:div>
    <w:div w:id="1474982393">
      <w:bodyDiv w:val="1"/>
      <w:marLeft w:val="0"/>
      <w:marRight w:val="0"/>
      <w:marTop w:val="0"/>
      <w:marBottom w:val="0"/>
      <w:divBdr>
        <w:top w:val="none" w:sz="0" w:space="0" w:color="auto"/>
        <w:left w:val="none" w:sz="0" w:space="0" w:color="auto"/>
        <w:bottom w:val="none" w:sz="0" w:space="0" w:color="auto"/>
        <w:right w:val="none" w:sz="0" w:space="0" w:color="auto"/>
      </w:divBdr>
    </w:div>
    <w:div w:id="1967657860">
      <w:bodyDiv w:val="1"/>
      <w:marLeft w:val="0"/>
      <w:marRight w:val="0"/>
      <w:marTop w:val="0"/>
      <w:marBottom w:val="0"/>
      <w:divBdr>
        <w:top w:val="none" w:sz="0" w:space="0" w:color="auto"/>
        <w:left w:val="none" w:sz="0" w:space="0" w:color="auto"/>
        <w:bottom w:val="none" w:sz="0" w:space="0" w:color="auto"/>
        <w:right w:val="none" w:sz="0" w:space="0" w:color="auto"/>
      </w:divBdr>
    </w:div>
    <w:div w:id="2068844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hyperlink" Target="http://www.oecd.org" TargetMode="External"/><Relationship Id="rId42"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hyperlink" Target="http://www.europa.eu" TargetMode="External"/><Relationship Id="rId38"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hyperlink" Target="http://papers.ssrn.com/sol3/papers.cfm?abstract_id=620647"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hyperlink" Target="http://www.kluwermanagement.nl" TargetMode="External"/><Relationship Id="rId37" Type="http://schemas.openxmlformats.org/officeDocument/2006/relationships/hyperlink" Target="http://www.ifrs.org/IFRSs/IAS.htm"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www.sec.gov/rules/final/33-8177.htm" TargetMode="Externa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hyperlink" Target="http://ssrn.com/abstract=612234"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hyperlink" Target="http://papers.ssrn.com/sol3/papers.cfm?abstract_id=239724" TargetMode="External"/><Relationship Id="rId35" Type="http://schemas.openxmlformats.org/officeDocument/2006/relationships/hyperlink" Target="http://dss.princeton.edu/online_help/stats_packages/stata/panel.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EE9146-2360-459E-8008-871D7EA5F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32608</Words>
  <Characters>185867</Characters>
  <Application>Microsoft Office Word</Application>
  <DocSecurity>0</DocSecurity>
  <Lines>1548</Lines>
  <Paragraphs>436</Paragraphs>
  <ScaleCrop>false</ScaleCrop>
  <HeadingPairs>
    <vt:vector size="2" baseType="variant">
      <vt:variant>
        <vt:lpstr>Title</vt:lpstr>
      </vt:variant>
      <vt:variant>
        <vt:i4>1</vt:i4>
      </vt:variant>
    </vt:vector>
  </HeadingPairs>
  <TitlesOfParts>
    <vt:vector size="1" baseType="lpstr">
      <vt:lpstr>The proposed leasing standard</vt:lpstr>
    </vt:vector>
  </TitlesOfParts>
  <Company>Erasmus Universiteit Rotterdam</Company>
  <LinksUpToDate>false</LinksUpToDate>
  <CharactersWithSpaces>218039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proposed leasing standard</dc:title>
  <dc:creator>Suzanne</dc:creator>
  <cp:lastModifiedBy>Chris D. Knoops</cp:lastModifiedBy>
  <cp:revision>2</cp:revision>
  <cp:lastPrinted>2013-02-22T15:40:00Z</cp:lastPrinted>
  <dcterms:created xsi:type="dcterms:W3CDTF">2013-02-27T11:41:00Z</dcterms:created>
  <dcterms:modified xsi:type="dcterms:W3CDTF">2013-02-27T11:41:00Z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ies>
</file>